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 w:name="page2"/>
    <w:bookmarkEnd w:id="1"/>
    <w:p>
      <w:pPr>
        <w:spacing w:after="0"/>
        <w:rPr>
          <w:sz w:val="20"/>
          <w:szCs w:val="20"/>
          <w:color w:val="auto"/>
        </w:rPr>
      </w:pPr>
      <w:r>
        <w:rPr>
          <w:rFonts w:ascii="Arial" w:cs="Arial" w:eastAsia="Arial" w:hAnsi="Arial"/>
          <w:sz w:val="48"/>
          <w:szCs w:val="48"/>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t>STOCKHOLDER INFORMATION</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color w:val="69C5D2"/>
        </w:rPr>
        <w:t>STOCK TRANSFER AGENT &amp; REGISTRAR</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69C5D2"/>
        </w:rPr>
        <w:t>Shareholder correspondence should be mailed to:</w:t>
      </w:r>
    </w:p>
    <w:p>
      <w:pPr>
        <w:spacing w:after="0" w:line="67" w:lineRule="exact"/>
        <w:rPr>
          <w:sz w:val="20"/>
          <w:szCs w:val="20"/>
          <w:color w:val="auto"/>
        </w:rPr>
      </w:pPr>
    </w:p>
    <w:p>
      <w:pPr>
        <w:ind w:left="720"/>
        <w:spacing w:after="0"/>
        <w:rPr>
          <w:sz w:val="20"/>
          <w:szCs w:val="20"/>
          <w:color w:val="auto"/>
        </w:rPr>
      </w:pPr>
      <w:r>
        <w:rPr>
          <w:rFonts w:ascii="Arial" w:cs="Arial" w:eastAsia="Arial" w:hAnsi="Arial"/>
          <w:sz w:val="22"/>
          <w:szCs w:val="22"/>
          <w:color w:val="FFFAFD"/>
        </w:rPr>
        <w:t>Computershare</w:t>
      </w:r>
    </w:p>
    <w:p>
      <w:pPr>
        <w:spacing w:after="0" w:line="67" w:lineRule="exact"/>
        <w:rPr>
          <w:sz w:val="20"/>
          <w:szCs w:val="20"/>
          <w:color w:val="auto"/>
        </w:rPr>
      </w:pPr>
    </w:p>
    <w:p>
      <w:pPr>
        <w:ind w:left="720"/>
        <w:spacing w:after="0"/>
        <w:rPr>
          <w:sz w:val="20"/>
          <w:szCs w:val="20"/>
          <w:color w:val="auto"/>
        </w:rPr>
      </w:pPr>
      <w:r>
        <w:rPr>
          <w:rFonts w:ascii="Arial" w:cs="Arial" w:eastAsia="Arial" w:hAnsi="Arial"/>
          <w:sz w:val="22"/>
          <w:szCs w:val="22"/>
          <w:color w:val="69C5D2"/>
        </w:rPr>
        <w:t>PO Box 505000</w:t>
      </w:r>
    </w:p>
    <w:p>
      <w:pPr>
        <w:spacing w:after="0" w:line="67" w:lineRule="exact"/>
        <w:rPr>
          <w:sz w:val="20"/>
          <w:szCs w:val="20"/>
          <w:color w:val="auto"/>
        </w:rPr>
      </w:pPr>
    </w:p>
    <w:p>
      <w:pPr>
        <w:ind w:left="720"/>
        <w:spacing w:after="0"/>
        <w:rPr>
          <w:sz w:val="20"/>
          <w:szCs w:val="20"/>
          <w:color w:val="auto"/>
        </w:rPr>
      </w:pPr>
      <w:r>
        <w:rPr>
          <w:rFonts w:ascii="Arial" w:cs="Arial" w:eastAsia="Arial" w:hAnsi="Arial"/>
          <w:sz w:val="22"/>
          <w:szCs w:val="22"/>
          <w:color w:val="69C5D2"/>
        </w:rPr>
        <w:t>Louisville KY 40233-5000</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color w:val="FFFAFD"/>
        </w:rPr>
        <w:t>STOCKHOLDER INQUIRIES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69C5D2"/>
        </w:rPr>
        <w:t>Overnight correspondence should be mailed to:</w:t>
      </w:r>
    </w:p>
    <w:p>
      <w:pPr>
        <w:spacing w:after="0" w:line="147" w:lineRule="exact"/>
        <w:rPr>
          <w:sz w:val="20"/>
          <w:szCs w:val="20"/>
          <w:color w:val="auto"/>
        </w:rPr>
      </w:pPr>
    </w:p>
    <w:p>
      <w:pPr>
        <w:ind w:left="720"/>
        <w:spacing w:after="0"/>
        <w:rPr>
          <w:sz w:val="20"/>
          <w:szCs w:val="20"/>
          <w:color w:val="auto"/>
        </w:rPr>
      </w:pPr>
      <w:r>
        <w:rPr>
          <w:rFonts w:ascii="Arial" w:cs="Arial" w:eastAsia="Arial" w:hAnsi="Arial"/>
          <w:sz w:val="22"/>
          <w:szCs w:val="22"/>
          <w:color w:val="FFFAFD"/>
        </w:rPr>
        <w:t>Computershare</w:t>
      </w:r>
    </w:p>
    <w:p>
      <w:pPr>
        <w:spacing w:after="0" w:line="67" w:lineRule="exact"/>
        <w:rPr>
          <w:sz w:val="20"/>
          <w:szCs w:val="20"/>
          <w:color w:val="auto"/>
        </w:rPr>
      </w:pPr>
    </w:p>
    <w:p>
      <w:pPr>
        <w:ind w:left="720"/>
        <w:spacing w:after="0"/>
        <w:rPr>
          <w:sz w:val="20"/>
          <w:szCs w:val="20"/>
          <w:color w:val="auto"/>
        </w:rPr>
      </w:pPr>
      <w:r>
        <w:rPr>
          <w:rFonts w:ascii="Arial" w:cs="Arial" w:eastAsia="Arial" w:hAnsi="Arial"/>
          <w:sz w:val="22"/>
          <w:szCs w:val="22"/>
          <w:color w:val="69C5D2"/>
        </w:rPr>
        <w:t>462 South 4th Street Suite 1600</w:t>
      </w:r>
    </w:p>
    <w:p>
      <w:pPr>
        <w:spacing w:after="0" w:line="67" w:lineRule="exact"/>
        <w:rPr>
          <w:sz w:val="20"/>
          <w:szCs w:val="20"/>
          <w:color w:val="auto"/>
        </w:rPr>
      </w:pPr>
    </w:p>
    <w:p>
      <w:pPr>
        <w:ind w:left="720"/>
        <w:spacing w:after="0"/>
        <w:rPr>
          <w:sz w:val="20"/>
          <w:szCs w:val="20"/>
          <w:color w:val="auto"/>
        </w:rPr>
      </w:pPr>
      <w:r>
        <w:rPr>
          <w:rFonts w:ascii="Arial" w:cs="Arial" w:eastAsia="Arial" w:hAnsi="Arial"/>
          <w:sz w:val="22"/>
          <w:szCs w:val="22"/>
          <w:color w:val="69C5D2"/>
        </w:rPr>
        <w:t>Louisville KY 40202</w:t>
      </w:r>
    </w:p>
    <w:p>
      <w:pPr>
        <w:spacing w:after="0" w:line="387" w:lineRule="exact"/>
        <w:rPr>
          <w:sz w:val="20"/>
          <w:szCs w:val="20"/>
          <w:color w:val="auto"/>
        </w:rPr>
      </w:pPr>
    </w:p>
    <w:p>
      <w:pPr>
        <w:ind w:left="720"/>
        <w:spacing w:after="0"/>
        <w:rPr>
          <w:sz w:val="20"/>
          <w:szCs w:val="20"/>
          <w:color w:val="auto"/>
        </w:rPr>
      </w:pPr>
      <w:r>
        <w:rPr>
          <w:rFonts w:ascii="Arial" w:cs="Arial" w:eastAsia="Arial" w:hAnsi="Arial"/>
          <w:sz w:val="22"/>
          <w:szCs w:val="22"/>
          <w:color w:val="69C5D2"/>
        </w:rPr>
        <w:t>1 (877) 373-6374</w:t>
      </w: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color w:val="FFFAFD"/>
        </w:rPr>
        <w:t xml:space="preserve">Email: </w:t>
      </w:r>
      <w:r>
        <w:rPr>
          <w:rFonts w:ascii="Arial" w:cs="Arial" w:eastAsia="Arial" w:hAnsi="Arial"/>
          <w:sz w:val="22"/>
          <w:szCs w:val="22"/>
          <w:color w:val="69C5D2"/>
        </w:rPr>
        <w:t>shareholder@computershare.com</w:t>
      </w: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color w:val="FFFAFD"/>
        </w:rPr>
        <w:t xml:space="preserve">Online inquires: </w:t>
      </w:r>
      <w:r>
        <w:rPr>
          <w:rFonts w:ascii="Arial" w:cs="Arial" w:eastAsia="Arial" w:hAnsi="Arial"/>
          <w:sz w:val="22"/>
          <w:szCs w:val="22"/>
          <w:color w:val="69C5D2"/>
        </w:rPr>
        <w:t>www-us.computershare.com/Investor/#Contact</w:t>
      </w: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color w:val="FFFAFD"/>
        </w:rPr>
        <w:t xml:space="preserve">Website: </w:t>
      </w:r>
      <w:r>
        <w:rPr>
          <w:rFonts w:ascii="Arial" w:cs="Arial" w:eastAsia="Arial" w:hAnsi="Arial"/>
          <w:sz w:val="22"/>
          <w:szCs w:val="22"/>
          <w:color w:val="69C5D2"/>
        </w:rPr>
        <w:t>www.computershare.com/investor</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color w:val="FFFAFD"/>
        </w:rPr>
        <w:t>Send certificates for transfers &amp; address changes to:</w:t>
      </w:r>
    </w:p>
    <w:p>
      <w:pPr>
        <w:spacing w:after="0" w:line="147" w:lineRule="exact"/>
        <w:rPr>
          <w:sz w:val="20"/>
          <w:szCs w:val="20"/>
          <w:color w:val="auto"/>
        </w:rPr>
      </w:pPr>
    </w:p>
    <w:p>
      <w:pPr>
        <w:ind w:left="720"/>
        <w:spacing w:after="0"/>
        <w:rPr>
          <w:sz w:val="20"/>
          <w:szCs w:val="20"/>
          <w:color w:val="auto"/>
        </w:rPr>
      </w:pPr>
      <w:r>
        <w:rPr>
          <w:rFonts w:ascii="Arial" w:cs="Arial" w:eastAsia="Arial" w:hAnsi="Arial"/>
          <w:sz w:val="22"/>
          <w:szCs w:val="22"/>
          <w:color w:val="FFFAFD"/>
        </w:rPr>
        <w:t>Computershare</w:t>
      </w:r>
    </w:p>
    <w:p>
      <w:pPr>
        <w:spacing w:after="0" w:line="67" w:lineRule="exact"/>
        <w:rPr>
          <w:sz w:val="20"/>
          <w:szCs w:val="20"/>
          <w:color w:val="auto"/>
        </w:rPr>
      </w:pPr>
    </w:p>
    <w:p>
      <w:pPr>
        <w:ind w:left="720"/>
        <w:spacing w:after="0"/>
        <w:rPr>
          <w:sz w:val="20"/>
          <w:szCs w:val="20"/>
          <w:color w:val="auto"/>
        </w:rPr>
      </w:pPr>
      <w:r>
        <w:rPr>
          <w:rFonts w:ascii="Arial" w:cs="Arial" w:eastAsia="Arial" w:hAnsi="Arial"/>
          <w:sz w:val="22"/>
          <w:szCs w:val="22"/>
          <w:color w:val="69C5D2"/>
        </w:rPr>
        <w:t>PO Box 505000</w:t>
      </w:r>
    </w:p>
    <w:p>
      <w:pPr>
        <w:spacing w:after="0" w:line="67" w:lineRule="exact"/>
        <w:rPr>
          <w:sz w:val="20"/>
          <w:szCs w:val="20"/>
          <w:color w:val="auto"/>
        </w:rPr>
      </w:pPr>
    </w:p>
    <w:p>
      <w:pPr>
        <w:ind w:left="720"/>
        <w:spacing w:after="0"/>
        <w:rPr>
          <w:sz w:val="20"/>
          <w:szCs w:val="20"/>
          <w:color w:val="auto"/>
        </w:rPr>
      </w:pPr>
      <w:r>
        <w:rPr>
          <w:rFonts w:ascii="Arial" w:cs="Arial" w:eastAsia="Arial" w:hAnsi="Arial"/>
          <w:sz w:val="22"/>
          <w:szCs w:val="22"/>
          <w:color w:val="69C5D2"/>
        </w:rPr>
        <w:t>Louisville KY 40233-5000</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color w:val="FFFAFD"/>
        </w:rPr>
        <w:t>STOCK LISTING</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69C5D2"/>
        </w:rPr>
        <w:t>Clearway Energy’s Class A and Class C common stock are listed on the</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69C5D2"/>
        </w:rPr>
        <w:t>New York Stock Exchange under the ticker symbols CWEN.A and CWEN respectively</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color w:val="FFFAFD"/>
        </w:rPr>
        <w:t>FINANCIAL INFORMATION</w:t>
      </w:r>
    </w:p>
    <w:p>
      <w:pPr>
        <w:spacing w:after="0" w:line="127" w:lineRule="exact"/>
        <w:rPr>
          <w:sz w:val="20"/>
          <w:szCs w:val="20"/>
          <w:color w:val="auto"/>
        </w:rPr>
      </w:pPr>
    </w:p>
    <w:p>
      <w:pPr>
        <w:ind w:right="3560"/>
        <w:spacing w:after="0" w:line="366" w:lineRule="auto"/>
        <w:rPr>
          <w:sz w:val="20"/>
          <w:szCs w:val="20"/>
          <w:color w:val="auto"/>
        </w:rPr>
      </w:pPr>
      <w:r>
        <w:rPr>
          <w:rFonts w:ascii="Arial" w:cs="Arial" w:eastAsia="Arial" w:hAnsi="Arial"/>
          <w:sz w:val="21"/>
          <w:szCs w:val="21"/>
          <w:color w:val="69C5D2"/>
        </w:rPr>
        <w:t>Clearway Energy’s Annual Report Form 10-K Proxy Statement and other SEC Filings are available at www.clearwayenergy.com</w:t>
      </w:r>
    </w:p>
    <w:p>
      <w:pPr>
        <w:sectPr>
          <w:pgSz w:w="11880" w:h="15480" w:orient="portrait"/>
          <w:cols w:equalWidth="0" w:num="1">
            <w:col w:w="9780"/>
          </w:cols>
          <w:pgMar w:left="660" w:top="854"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24"/>
          <w:szCs w:val="24"/>
          <w:b w:val="1"/>
          <w:bCs w:val="1"/>
          <w:color w:val="auto"/>
        </w:rPr>
        <mc:AlternateContent>
          <mc:Choice Requires="wps">
            <w:drawing>
              <wp:anchor simplePos="0" relativeHeight="251657728" behindDoc="1" locked="0" layoutInCell="0" allowOverlap="1">
                <wp:simplePos x="0" y="0"/>
                <wp:positionH relativeFrom="page">
                  <wp:posOffset>618490</wp:posOffset>
                </wp:positionH>
                <wp:positionV relativeFrom="page">
                  <wp:posOffset>293370</wp:posOffset>
                </wp:positionV>
                <wp:extent cx="6334125"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8.7pt,23.1pt" to="547.45pt,23.1pt" o:allowincell="f" strokecolor="#000000" strokeweight="2pt">
                <w10:wrap anchorx="page" anchory="page"/>
              </v:line>
            </w:pict>
          </mc:Fallback>
        </mc:AlternateContent>
        <mc:AlternateContent>
          <mc:Choice Requires="wps">
            <w:drawing>
              <wp:anchor simplePos="0" relativeHeight="251657728" behindDoc="1" locked="0" layoutInCell="0" allowOverlap="1">
                <wp:simplePos x="0" y="0"/>
                <wp:positionH relativeFrom="page">
                  <wp:posOffset>618490</wp:posOffset>
                </wp:positionH>
                <wp:positionV relativeFrom="page">
                  <wp:posOffset>340995</wp:posOffset>
                </wp:positionV>
                <wp:extent cx="6334125"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8.7pt,26.85pt" to="547.45pt,26.85pt" o:allowincell="f" strokecolor="#000000" strokeweight="1pt">
                <w10:wrap anchorx="page" anchory="page"/>
              </v:line>
            </w:pict>
          </mc:Fallback>
        </mc:AlternateContent>
        <w:t>UNITED STATES SECURITIES AND EXCHANGE COMMISSION</w:t>
      </w:r>
    </w:p>
    <w:p>
      <w:pPr>
        <w:jc w:val="center"/>
        <w:spacing w:after="0" w:line="232" w:lineRule="auto"/>
        <w:rPr>
          <w:sz w:val="20"/>
          <w:szCs w:val="20"/>
          <w:color w:val="auto"/>
        </w:rPr>
      </w:pPr>
      <w:r>
        <w:rPr>
          <w:rFonts w:ascii="Arial" w:cs="Arial" w:eastAsia="Arial" w:hAnsi="Arial"/>
          <w:sz w:val="18"/>
          <w:szCs w:val="18"/>
          <w:b w:val="1"/>
          <w:bCs w:val="1"/>
          <w:color w:val="auto"/>
        </w:rPr>
        <w:t>Washington, D.C. 20549</w:t>
      </w:r>
    </w:p>
    <w:p>
      <w:pPr>
        <w:jc w:val="center"/>
        <w:spacing w:after="0"/>
        <w:rPr>
          <w:sz w:val="20"/>
          <w:szCs w:val="20"/>
          <w:color w:val="auto"/>
        </w:rPr>
      </w:pPr>
      <w:r>
        <w:rPr>
          <w:rFonts w:ascii="Arial" w:cs="Arial" w:eastAsia="Arial" w:hAnsi="Arial"/>
          <w:sz w:val="32"/>
          <w:szCs w:val="32"/>
          <w:b w:val="1"/>
          <w:bCs w:val="1"/>
          <w:color w:val="auto"/>
        </w:rPr>
        <w:t>Form 10-K</w:t>
      </w:r>
    </w:p>
    <w:p>
      <w:pPr>
        <w:spacing w:after="0" w:line="172" w:lineRule="exact"/>
        <w:rPr>
          <w:sz w:val="20"/>
          <w:szCs w:val="20"/>
          <w:color w:val="auto"/>
        </w:rPr>
      </w:pPr>
    </w:p>
    <w:p>
      <w:pPr>
        <w:ind w:left="600" w:hanging="303"/>
        <w:spacing w:after="0"/>
        <w:tabs>
          <w:tab w:leader="none" w:pos="600" w:val="left"/>
        </w:tabs>
        <w:numPr>
          <w:ilvl w:val="0"/>
          <w:numId w:val="1"/>
        </w:numPr>
        <w:rPr>
          <w:rFonts w:ascii="MS PGothic" w:cs="MS PGothic" w:eastAsia="MS PGothic" w:hAnsi="MS PGothic"/>
          <w:sz w:val="20"/>
          <w:szCs w:val="20"/>
          <w:b w:val="1"/>
          <w:bCs w:val="1"/>
          <w:color w:val="auto"/>
        </w:rPr>
      </w:pPr>
      <w:r>
        <w:rPr>
          <w:rFonts w:ascii="Arial" w:cs="Arial" w:eastAsia="Arial" w:hAnsi="Arial"/>
          <w:sz w:val="17"/>
          <w:szCs w:val="17"/>
          <w:b w:val="1"/>
          <w:bCs w:val="1"/>
          <w:color w:val="auto"/>
        </w:rPr>
        <w:t>ANNUAL REPORT PURSUANT TO SECTION 13 OR 15(d) OF THE SECURITIES EXCHANGE ACT OF 1934</w:t>
      </w:r>
    </w:p>
    <w:p>
      <w:pPr>
        <w:spacing w:after="0" w:line="17" w:lineRule="exact"/>
        <w:rPr>
          <w:sz w:val="20"/>
          <w:szCs w:val="20"/>
          <w:color w:val="auto"/>
        </w:rPr>
      </w:pPr>
    </w:p>
    <w:p>
      <w:pPr>
        <w:ind w:left="600"/>
        <w:spacing w:after="0"/>
        <w:tabs>
          <w:tab w:leader="none" w:pos="2920" w:val="left"/>
        </w:tabs>
        <w:rPr>
          <w:sz w:val="20"/>
          <w:szCs w:val="20"/>
          <w:color w:val="auto"/>
        </w:rPr>
      </w:pPr>
      <w:r>
        <w:rPr>
          <w:rFonts w:ascii="Arial" w:cs="Arial" w:eastAsia="Arial" w:hAnsi="Arial"/>
          <w:sz w:val="17"/>
          <w:szCs w:val="17"/>
          <w:b w:val="1"/>
          <w:bCs w:val="1"/>
          <w:color w:val="auto"/>
        </w:rPr>
        <w:t>For the Fiscal Year ended</w:t>
      </w:r>
      <w:r>
        <w:rPr>
          <w:sz w:val="20"/>
          <w:szCs w:val="20"/>
          <w:color w:val="auto"/>
        </w:rPr>
        <w:tab/>
      </w:r>
      <w:r>
        <w:rPr>
          <w:rFonts w:ascii="Arial" w:cs="Arial" w:eastAsia="Arial" w:hAnsi="Arial"/>
          <w:sz w:val="15"/>
          <w:szCs w:val="15"/>
          <w:b w:val="1"/>
          <w:bCs w:val="1"/>
          <w:color w:val="auto"/>
        </w:rPr>
        <w:t>December 31, 2023</w:t>
      </w:r>
    </w:p>
    <w:p>
      <w:pPr>
        <w:spacing w:after="0" w:line="49" w:lineRule="exact"/>
        <w:rPr>
          <w:sz w:val="20"/>
          <w:szCs w:val="20"/>
          <w:color w:val="auto"/>
        </w:rPr>
      </w:pPr>
    </w:p>
    <w:p>
      <w:pPr>
        <w:ind w:left="600" w:hanging="303"/>
        <w:spacing w:after="0"/>
        <w:tabs>
          <w:tab w:leader="none" w:pos="600" w:val="left"/>
        </w:tabs>
        <w:numPr>
          <w:ilvl w:val="0"/>
          <w:numId w:val="2"/>
        </w:numPr>
        <w:rPr>
          <w:rFonts w:ascii="MS PGothic" w:cs="MS PGothic" w:eastAsia="MS PGothic" w:hAnsi="MS PGothic"/>
          <w:sz w:val="20"/>
          <w:szCs w:val="20"/>
          <w:b w:val="1"/>
          <w:bCs w:val="1"/>
          <w:color w:val="auto"/>
        </w:rPr>
      </w:pPr>
      <w:r>
        <w:rPr>
          <w:rFonts w:ascii="Arial" w:cs="Arial" w:eastAsia="Arial" w:hAnsi="Arial"/>
          <w:sz w:val="17"/>
          <w:szCs w:val="17"/>
          <w:b w:val="1"/>
          <w:bCs w:val="1"/>
          <w:color w:val="auto"/>
        </w:rPr>
        <w:t>TRANSITION REPORT PURSUANT TO SECTION 13 OR 15(d) OF THE SECURITIES EXCHANGE ACT OF 1934</w:t>
      </w:r>
    </w:p>
    <w:p>
      <w:pPr>
        <w:ind w:left="600"/>
        <w:spacing w:after="0"/>
        <w:rPr>
          <w:rFonts w:ascii="MS PGothic" w:cs="MS PGothic" w:eastAsia="MS PGothic" w:hAnsi="MS PGothic"/>
          <w:sz w:val="20"/>
          <w:szCs w:val="20"/>
          <w:b w:val="1"/>
          <w:bCs w:val="1"/>
          <w:color w:val="auto"/>
        </w:rPr>
      </w:pPr>
      <w:r>
        <w:rPr>
          <w:rFonts w:ascii="Arial" w:cs="Arial" w:eastAsia="Arial" w:hAnsi="Arial"/>
          <w:sz w:val="18"/>
          <w:szCs w:val="18"/>
          <w:b w:val="1"/>
          <w:bCs w:val="1"/>
          <w:color w:val="auto"/>
        </w:rPr>
        <w:t>to.</w:t>
      </w:r>
      <w:r>
        <w:rPr>
          <w:rFonts w:ascii="Arial" w:cs="Arial" w:eastAsia="Arial" w:hAnsi="Arial"/>
          <w:sz w:val="17"/>
          <w:szCs w:val="17"/>
          <w:b w:val="1"/>
          <w:bCs w:val="1"/>
          <w:color w:val="auto"/>
        </w:rPr>
        <w:t>FortheTransitionperiodfrom</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Commission File Number: 001-36002</w:t>
      </w:r>
    </w:p>
    <w:p>
      <w:pPr>
        <w:jc w:val="center"/>
        <w:spacing w:after="0"/>
        <w:rPr>
          <w:sz w:val="20"/>
          <w:szCs w:val="20"/>
          <w:color w:val="auto"/>
        </w:rPr>
      </w:pPr>
      <w:r>
        <w:rPr>
          <w:rFonts w:ascii="Arial" w:cs="Arial" w:eastAsia="Arial" w:hAnsi="Arial"/>
          <w:sz w:val="44"/>
          <w:szCs w:val="44"/>
          <w:b w:val="1"/>
          <w:bCs w:val="1"/>
          <w:color w:val="auto"/>
        </w:rPr>
        <w:t>Clearway Energy, Inc.</w:t>
      </w:r>
    </w:p>
    <w:p>
      <w:pPr>
        <w:spacing w:after="0" w:line="170" w:lineRule="exact"/>
        <w:rPr>
          <w:sz w:val="20"/>
          <w:szCs w:val="20"/>
          <w:color w:val="auto"/>
        </w:rPr>
      </w:pPr>
    </w:p>
    <w:tbl>
      <w:tblPr>
        <w:tblLayout w:type="fixed"/>
        <w:tblInd w:w="280" w:type="dxa"/>
        <w:tblCellMar>
          <w:top w:w="0" w:type="dxa"/>
          <w:left w:w="0" w:type="dxa"/>
          <w:bottom w:w="0" w:type="dxa"/>
          <w:right w:w="0" w:type="dxa"/>
        </w:tblCellMar>
      </w:tblPr>
      <w:tr>
        <w:trPr>
          <w:trHeight w:val="265"/>
        </w:trPr>
        <w:tc>
          <w:tcPr>
            <w:tcW w:w="10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5000" w:type="dxa"/>
            <w:vAlign w:val="bottom"/>
            <w:gridSpan w:val="6"/>
          </w:tcPr>
          <w:p>
            <w:pPr>
              <w:jc w:val="center"/>
              <w:ind w:left="248"/>
              <w:spacing w:after="0"/>
              <w:rPr>
                <w:sz w:val="20"/>
                <w:szCs w:val="20"/>
                <w:color w:val="auto"/>
              </w:rPr>
            </w:pPr>
            <w:r>
              <w:rPr>
                <w:rFonts w:ascii="Arial" w:cs="Arial" w:eastAsia="Arial" w:hAnsi="Arial"/>
                <w:sz w:val="20"/>
                <w:szCs w:val="20"/>
                <w:b w:val="1"/>
                <w:bCs w:val="1"/>
                <w:i w:val="1"/>
                <w:iCs w:val="1"/>
                <w:color w:val="auto"/>
                <w:w w:val="84"/>
              </w:rPr>
              <w:t>(Exact name of registrant as specified in its charter)</w:t>
            </w:r>
          </w:p>
        </w:tc>
        <w:tc>
          <w:tcPr>
            <w:tcW w:w="17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3"/>
        </w:trPr>
        <w:tc>
          <w:tcPr>
            <w:tcW w:w="1080" w:type="dxa"/>
            <w:vAlign w:val="bottom"/>
          </w:tcPr>
          <w:p>
            <w:pPr>
              <w:spacing w:after="0"/>
              <w:rPr>
                <w:sz w:val="24"/>
                <w:szCs w:val="24"/>
                <w:color w:val="auto"/>
              </w:rPr>
            </w:pPr>
          </w:p>
        </w:tc>
        <w:tc>
          <w:tcPr>
            <w:tcW w:w="2600" w:type="dxa"/>
            <w:vAlign w:val="bottom"/>
            <w:gridSpan w:val="2"/>
          </w:tcPr>
          <w:p>
            <w:pPr>
              <w:jc w:val="center"/>
              <w:ind w:right="1008"/>
              <w:spacing w:after="0"/>
              <w:rPr>
                <w:sz w:val="20"/>
                <w:szCs w:val="20"/>
                <w:color w:val="auto"/>
              </w:rPr>
            </w:pPr>
            <w:r>
              <w:rPr>
                <w:rFonts w:ascii="Arial" w:cs="Arial" w:eastAsia="Arial" w:hAnsi="Arial"/>
                <w:sz w:val="20"/>
                <w:szCs w:val="20"/>
                <w:b w:val="1"/>
                <w:bCs w:val="1"/>
                <w:color w:val="auto"/>
                <w:w w:val="93"/>
              </w:rPr>
              <w:t>Delaware</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jc w:val="right"/>
              <w:ind w:right="220"/>
              <w:spacing w:after="0"/>
              <w:rPr>
                <w:sz w:val="20"/>
                <w:szCs w:val="20"/>
                <w:color w:val="auto"/>
              </w:rPr>
            </w:pPr>
            <w:r>
              <w:rPr>
                <w:rFonts w:ascii="Arial" w:cs="Arial" w:eastAsia="Arial" w:hAnsi="Arial"/>
                <w:sz w:val="20"/>
                <w:szCs w:val="20"/>
                <w:b w:val="1"/>
                <w:bCs w:val="1"/>
                <w:color w:val="auto"/>
              </w:rPr>
              <w:t>46-1777204</w:t>
            </w: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680" w:type="dxa"/>
            <w:vAlign w:val="bottom"/>
            <w:gridSpan w:val="3"/>
          </w:tcPr>
          <w:p>
            <w:pPr>
              <w:jc w:val="center"/>
              <w:spacing w:after="0" w:line="227" w:lineRule="exact"/>
              <w:rPr>
                <w:sz w:val="20"/>
                <w:szCs w:val="20"/>
                <w:color w:val="auto"/>
              </w:rPr>
            </w:pPr>
            <w:r>
              <w:rPr>
                <w:rFonts w:ascii="Arial" w:cs="Arial" w:eastAsia="Arial" w:hAnsi="Arial"/>
                <w:sz w:val="20"/>
                <w:szCs w:val="20"/>
                <w:b w:val="1"/>
                <w:bCs w:val="1"/>
                <w:i w:val="1"/>
                <w:iCs w:val="1"/>
                <w:color w:val="auto"/>
                <w:w w:val="85"/>
              </w:rPr>
              <w:t>(State or other jurisdiction</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700" w:type="dxa"/>
            <w:vAlign w:val="bottom"/>
          </w:tcPr>
          <w:p>
            <w:pPr>
              <w:jc w:val="center"/>
              <w:spacing w:after="0" w:line="227" w:lineRule="exact"/>
              <w:rPr>
                <w:sz w:val="20"/>
                <w:szCs w:val="20"/>
                <w:color w:val="auto"/>
              </w:rPr>
            </w:pPr>
            <w:r>
              <w:rPr>
                <w:rFonts w:ascii="Arial" w:cs="Arial" w:eastAsia="Arial" w:hAnsi="Arial"/>
                <w:sz w:val="20"/>
                <w:szCs w:val="20"/>
                <w:b w:val="1"/>
                <w:bCs w:val="1"/>
                <w:i w:val="1"/>
                <w:iCs w:val="1"/>
                <w:color w:val="auto"/>
                <w:w w:val="87"/>
              </w:rPr>
              <w:t>(I.R.S. Employer</w:t>
            </w: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3680" w:type="dxa"/>
            <w:vAlign w:val="bottom"/>
            <w:gridSpan w:val="3"/>
          </w:tcPr>
          <w:p>
            <w:pPr>
              <w:jc w:val="center"/>
              <w:spacing w:after="0"/>
              <w:rPr>
                <w:sz w:val="20"/>
                <w:szCs w:val="20"/>
                <w:color w:val="auto"/>
              </w:rPr>
            </w:pPr>
            <w:r>
              <w:rPr>
                <w:rFonts w:ascii="Arial" w:cs="Arial" w:eastAsia="Arial" w:hAnsi="Arial"/>
                <w:sz w:val="20"/>
                <w:szCs w:val="20"/>
                <w:b w:val="1"/>
                <w:bCs w:val="1"/>
                <w:i w:val="1"/>
                <w:iCs w:val="1"/>
                <w:color w:val="auto"/>
                <w:w w:val="87"/>
              </w:rPr>
              <w:t>of incorporation or organization)</w:t>
            </w: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Arial" w:cs="Arial" w:eastAsia="Arial" w:hAnsi="Arial"/>
                <w:sz w:val="20"/>
                <w:szCs w:val="20"/>
                <w:b w:val="1"/>
                <w:bCs w:val="1"/>
                <w:i w:val="1"/>
                <w:iCs w:val="1"/>
                <w:color w:val="auto"/>
                <w:w w:val="87"/>
              </w:rPr>
              <w:t>Identification No.)</w:t>
            </w:r>
          </w:p>
        </w:tc>
        <w:tc>
          <w:tcPr>
            <w:tcW w:w="5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9"/>
        </w:trPr>
        <w:tc>
          <w:tcPr>
            <w:tcW w:w="3680" w:type="dxa"/>
            <w:vAlign w:val="bottom"/>
            <w:gridSpan w:val="3"/>
          </w:tcPr>
          <w:p>
            <w:pPr>
              <w:jc w:val="center"/>
              <w:spacing w:after="0"/>
              <w:rPr>
                <w:sz w:val="20"/>
                <w:szCs w:val="20"/>
                <w:color w:val="auto"/>
              </w:rPr>
            </w:pPr>
            <w:r>
              <w:rPr>
                <w:rFonts w:ascii="Arial" w:cs="Arial" w:eastAsia="Arial" w:hAnsi="Arial"/>
                <w:sz w:val="20"/>
                <w:szCs w:val="20"/>
                <w:b w:val="1"/>
                <w:bCs w:val="1"/>
                <w:color w:val="auto"/>
                <w:w w:val="90"/>
              </w:rPr>
              <w:t>300 Carnegie Center, Suite 300</w:t>
            </w:r>
          </w:p>
        </w:tc>
        <w:tc>
          <w:tcPr>
            <w:tcW w:w="1100" w:type="dxa"/>
            <w:vAlign w:val="bottom"/>
            <w:gridSpan w:val="2"/>
          </w:tcPr>
          <w:p>
            <w:pPr>
              <w:ind w:left="200"/>
              <w:spacing w:after="0"/>
              <w:rPr>
                <w:sz w:val="20"/>
                <w:szCs w:val="20"/>
                <w:color w:val="auto"/>
              </w:rPr>
            </w:pPr>
            <w:r>
              <w:rPr>
                <w:rFonts w:ascii="Arial" w:cs="Arial" w:eastAsia="Arial" w:hAnsi="Arial"/>
                <w:sz w:val="20"/>
                <w:szCs w:val="20"/>
                <w:b w:val="1"/>
                <w:bCs w:val="1"/>
                <w:color w:val="auto"/>
                <w:w w:val="95"/>
              </w:rPr>
              <w:t>Princeton</w:t>
            </w:r>
          </w:p>
        </w:tc>
        <w:tc>
          <w:tcPr>
            <w:tcW w:w="2040" w:type="dxa"/>
            <w:vAlign w:val="bottom"/>
            <w:gridSpan w:val="2"/>
          </w:tcPr>
          <w:p>
            <w:pPr>
              <w:ind w:left="600"/>
              <w:spacing w:after="0"/>
              <w:rPr>
                <w:sz w:val="20"/>
                <w:szCs w:val="20"/>
                <w:color w:val="auto"/>
              </w:rPr>
            </w:pPr>
            <w:r>
              <w:rPr>
                <w:rFonts w:ascii="Arial" w:cs="Arial" w:eastAsia="Arial" w:hAnsi="Arial"/>
                <w:sz w:val="20"/>
                <w:szCs w:val="20"/>
                <w:b w:val="1"/>
                <w:bCs w:val="1"/>
                <w:color w:val="auto"/>
              </w:rPr>
              <w:t>New Jersey</w:t>
            </w:r>
          </w:p>
        </w:tc>
        <w:tc>
          <w:tcPr>
            <w:tcW w:w="760" w:type="dxa"/>
            <w:vAlign w:val="bottom"/>
          </w:tcPr>
          <w:p>
            <w:pPr>
              <w:spacing w:after="0"/>
              <w:rPr>
                <w:sz w:val="24"/>
                <w:szCs w:val="24"/>
                <w:color w:val="auto"/>
              </w:rPr>
            </w:pPr>
          </w:p>
        </w:tc>
        <w:tc>
          <w:tcPr>
            <w:tcW w:w="1700" w:type="dxa"/>
            <w:vAlign w:val="bottom"/>
          </w:tcPr>
          <w:p>
            <w:pPr>
              <w:jc w:val="right"/>
              <w:ind w:right="460"/>
              <w:spacing w:after="0"/>
              <w:rPr>
                <w:sz w:val="20"/>
                <w:szCs w:val="20"/>
                <w:color w:val="auto"/>
              </w:rPr>
            </w:pPr>
            <w:r>
              <w:rPr>
                <w:rFonts w:ascii="Arial" w:cs="Arial" w:eastAsia="Arial" w:hAnsi="Arial"/>
                <w:sz w:val="20"/>
                <w:szCs w:val="20"/>
                <w:b w:val="1"/>
                <w:bCs w:val="1"/>
                <w:color w:val="auto"/>
              </w:rPr>
              <w:t>08540</w:t>
            </w: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080" w:type="dxa"/>
            <w:vAlign w:val="bottom"/>
          </w:tcPr>
          <w:p>
            <w:pPr>
              <w:spacing w:after="0"/>
              <w:rPr>
                <w:sz w:val="24"/>
                <w:szCs w:val="24"/>
                <w:color w:val="auto"/>
              </w:rPr>
            </w:pPr>
          </w:p>
        </w:tc>
        <w:tc>
          <w:tcPr>
            <w:tcW w:w="5740" w:type="dxa"/>
            <w:vAlign w:val="bottom"/>
            <w:gridSpan w:val="6"/>
          </w:tcPr>
          <w:p>
            <w:pPr>
              <w:ind w:left="760"/>
              <w:spacing w:after="0"/>
              <w:rPr>
                <w:sz w:val="20"/>
                <w:szCs w:val="20"/>
                <w:color w:val="auto"/>
              </w:rPr>
            </w:pPr>
            <w:r>
              <w:rPr>
                <w:rFonts w:ascii="Arial" w:cs="Arial" w:eastAsia="Arial" w:hAnsi="Arial"/>
                <w:sz w:val="20"/>
                <w:szCs w:val="20"/>
                <w:b w:val="1"/>
                <w:bCs w:val="1"/>
                <w:i w:val="1"/>
                <w:iCs w:val="1"/>
                <w:color w:val="auto"/>
              </w:rPr>
              <w:t>(Address of principal executive offices)</w:t>
            </w:r>
          </w:p>
        </w:tc>
        <w:tc>
          <w:tcPr>
            <w:tcW w:w="7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20"/>
                <w:szCs w:val="20"/>
                <w:b w:val="1"/>
                <w:bCs w:val="1"/>
                <w:i w:val="1"/>
                <w:iCs w:val="1"/>
                <w:color w:val="auto"/>
                <w:w w:val="88"/>
              </w:rPr>
              <w:t>(Zip Code)</w:t>
            </w: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0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380" w:type="dxa"/>
            <w:vAlign w:val="bottom"/>
            <w:gridSpan w:val="3"/>
          </w:tcPr>
          <w:p>
            <w:pPr>
              <w:jc w:val="center"/>
              <w:ind w:left="685"/>
              <w:spacing w:after="0"/>
              <w:rPr>
                <w:sz w:val="20"/>
                <w:szCs w:val="20"/>
                <w:color w:val="auto"/>
              </w:rPr>
            </w:pPr>
            <w:r>
              <w:rPr>
                <w:rFonts w:ascii="Arial" w:cs="Arial" w:eastAsia="Arial" w:hAnsi="Arial"/>
                <w:sz w:val="18"/>
                <w:szCs w:val="18"/>
                <w:b w:val="1"/>
                <w:bCs w:val="1"/>
                <w:color w:val="auto"/>
                <w:w w:val="90"/>
              </w:rPr>
              <w:t>(609) 608-1525</w:t>
            </w: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000" w:type="dxa"/>
            <w:vAlign w:val="bottom"/>
            <w:gridSpan w:val="6"/>
          </w:tcPr>
          <w:p>
            <w:pPr>
              <w:jc w:val="center"/>
              <w:ind w:left="268"/>
              <w:spacing w:after="0"/>
              <w:rPr>
                <w:sz w:val="20"/>
                <w:szCs w:val="20"/>
                <w:color w:val="auto"/>
              </w:rPr>
            </w:pPr>
            <w:r>
              <w:rPr>
                <w:rFonts w:ascii="Arial" w:cs="Arial" w:eastAsia="Arial" w:hAnsi="Arial"/>
                <w:sz w:val="18"/>
                <w:szCs w:val="18"/>
                <w:color w:val="auto"/>
                <w:w w:val="90"/>
              </w:rPr>
              <w:t>(Registrant’s telephone number, including area code)</w:t>
            </w:r>
          </w:p>
        </w:tc>
        <w:tc>
          <w:tcPr>
            <w:tcW w:w="1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0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000" w:type="dxa"/>
            <w:vAlign w:val="bottom"/>
            <w:gridSpan w:val="6"/>
          </w:tcPr>
          <w:p>
            <w:pPr>
              <w:jc w:val="center"/>
              <w:ind w:left="268"/>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1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1080" w:type="dxa"/>
            <w:vAlign w:val="bottom"/>
          </w:tcPr>
          <w:p>
            <w:pPr>
              <w:spacing w:after="0"/>
              <w:rPr>
                <w:sz w:val="23"/>
                <w:szCs w:val="23"/>
                <w:color w:val="auto"/>
              </w:rPr>
            </w:pPr>
          </w:p>
        </w:tc>
        <w:tc>
          <w:tcPr>
            <w:tcW w:w="2600" w:type="dxa"/>
            <w:vAlign w:val="bottom"/>
            <w:gridSpan w:val="2"/>
          </w:tcPr>
          <w:p>
            <w:pPr>
              <w:jc w:val="center"/>
              <w:ind w:right="1008"/>
              <w:spacing w:after="0"/>
              <w:rPr>
                <w:sz w:val="20"/>
                <w:szCs w:val="20"/>
                <w:color w:val="auto"/>
              </w:rPr>
            </w:pPr>
            <w:r>
              <w:rPr>
                <w:rFonts w:ascii="Arial" w:cs="Arial" w:eastAsia="Arial" w:hAnsi="Arial"/>
                <w:sz w:val="20"/>
                <w:szCs w:val="20"/>
                <w:b w:val="1"/>
                <w:bCs w:val="1"/>
                <w:color w:val="auto"/>
                <w:w w:val="87"/>
              </w:rPr>
              <w:t>Title of each class</w:t>
            </w:r>
          </w:p>
        </w:tc>
        <w:tc>
          <w:tcPr>
            <w:tcW w:w="780" w:type="dxa"/>
            <w:vAlign w:val="bottom"/>
          </w:tcPr>
          <w:p>
            <w:pPr>
              <w:spacing w:after="0"/>
              <w:rPr>
                <w:sz w:val="23"/>
                <w:szCs w:val="23"/>
                <w:color w:val="auto"/>
              </w:rPr>
            </w:pPr>
          </w:p>
        </w:tc>
        <w:tc>
          <w:tcPr>
            <w:tcW w:w="2360" w:type="dxa"/>
            <w:vAlign w:val="bottom"/>
            <w:gridSpan w:val="3"/>
          </w:tcPr>
          <w:p>
            <w:pPr>
              <w:jc w:val="center"/>
              <w:ind w:right="760"/>
              <w:spacing w:after="0"/>
              <w:rPr>
                <w:sz w:val="20"/>
                <w:szCs w:val="20"/>
                <w:color w:val="auto"/>
              </w:rPr>
            </w:pPr>
            <w:r>
              <w:rPr>
                <w:rFonts w:ascii="Arial" w:cs="Arial" w:eastAsia="Arial" w:hAnsi="Arial"/>
                <w:sz w:val="20"/>
                <w:szCs w:val="20"/>
                <w:b w:val="1"/>
                <w:bCs w:val="1"/>
                <w:color w:val="auto"/>
                <w:w w:val="91"/>
              </w:rPr>
              <w:t>Trading Symbol(s)</w:t>
            </w:r>
          </w:p>
        </w:tc>
        <w:tc>
          <w:tcPr>
            <w:tcW w:w="3720" w:type="dxa"/>
            <w:vAlign w:val="bottom"/>
            <w:gridSpan w:val="4"/>
          </w:tcPr>
          <w:p>
            <w:pPr>
              <w:spacing w:after="0"/>
              <w:rPr>
                <w:sz w:val="20"/>
                <w:szCs w:val="20"/>
                <w:color w:val="auto"/>
              </w:rPr>
            </w:pPr>
            <w:r>
              <w:rPr>
                <w:rFonts w:ascii="Arial" w:cs="Arial" w:eastAsia="Arial" w:hAnsi="Arial"/>
                <w:sz w:val="20"/>
                <w:szCs w:val="20"/>
                <w:b w:val="1"/>
                <w:bCs w:val="1"/>
                <w:color w:val="auto"/>
                <w:w w:val="87"/>
              </w:rPr>
              <w:t>Name of each exchange on which registered</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80" w:type="dxa"/>
            <w:vAlign w:val="bottom"/>
            <w:gridSpan w:val="2"/>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3680" w:type="dxa"/>
            <w:vAlign w:val="bottom"/>
            <w:gridSpan w:val="3"/>
          </w:tcPr>
          <w:p>
            <w:pPr>
              <w:jc w:val="center"/>
              <w:spacing w:after="0"/>
              <w:rPr>
                <w:sz w:val="20"/>
                <w:szCs w:val="20"/>
                <w:color w:val="auto"/>
              </w:rPr>
            </w:pPr>
            <w:r>
              <w:rPr>
                <w:rFonts w:ascii="Arial" w:cs="Arial" w:eastAsia="Arial" w:hAnsi="Arial"/>
                <w:sz w:val="20"/>
                <w:szCs w:val="20"/>
                <w:color w:val="auto"/>
                <w:w w:val="90"/>
              </w:rPr>
              <w:t>Class A Common Stock, par value $0.01</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40" w:type="dxa"/>
            <w:vAlign w:val="bottom"/>
            <w:gridSpan w:val="2"/>
          </w:tcPr>
          <w:p>
            <w:pPr>
              <w:jc w:val="center"/>
              <w:ind w:right="1100"/>
              <w:spacing w:after="0"/>
              <w:rPr>
                <w:sz w:val="20"/>
                <w:szCs w:val="20"/>
                <w:color w:val="auto"/>
              </w:rPr>
            </w:pPr>
            <w:r>
              <w:rPr>
                <w:rFonts w:ascii="Arial" w:cs="Arial" w:eastAsia="Arial" w:hAnsi="Arial"/>
                <w:sz w:val="20"/>
                <w:szCs w:val="20"/>
                <w:color w:val="auto"/>
                <w:w w:val="97"/>
              </w:rPr>
              <w:t>CWEN.A</w:t>
            </w:r>
          </w:p>
        </w:tc>
        <w:tc>
          <w:tcPr>
            <w:tcW w:w="760" w:type="dxa"/>
            <w:vAlign w:val="bottom"/>
          </w:tcPr>
          <w:p>
            <w:pPr>
              <w:spacing w:after="0"/>
              <w:rPr>
                <w:sz w:val="24"/>
                <w:szCs w:val="24"/>
                <w:color w:val="auto"/>
              </w:rPr>
            </w:pPr>
          </w:p>
        </w:tc>
        <w:tc>
          <w:tcPr>
            <w:tcW w:w="2280" w:type="dxa"/>
            <w:vAlign w:val="bottom"/>
            <w:gridSpan w:val="2"/>
          </w:tcPr>
          <w:p>
            <w:pPr>
              <w:jc w:val="right"/>
              <w:ind w:right="20"/>
              <w:spacing w:after="0"/>
              <w:rPr>
                <w:sz w:val="20"/>
                <w:szCs w:val="20"/>
                <w:color w:val="auto"/>
              </w:rPr>
            </w:pPr>
            <w:r>
              <w:rPr>
                <w:rFonts w:ascii="Arial" w:cs="Arial" w:eastAsia="Arial" w:hAnsi="Arial"/>
                <w:sz w:val="20"/>
                <w:szCs w:val="20"/>
                <w:color w:val="auto"/>
                <w:w w:val="91"/>
              </w:rPr>
              <w:t>New York Stock Exchange</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680" w:type="dxa"/>
            <w:vAlign w:val="bottom"/>
            <w:gridSpan w:val="3"/>
          </w:tcPr>
          <w:p>
            <w:pPr>
              <w:jc w:val="center"/>
              <w:spacing w:after="0"/>
              <w:rPr>
                <w:sz w:val="20"/>
                <w:szCs w:val="20"/>
                <w:color w:val="auto"/>
              </w:rPr>
            </w:pPr>
            <w:r>
              <w:rPr>
                <w:rFonts w:ascii="Arial" w:cs="Arial" w:eastAsia="Arial" w:hAnsi="Arial"/>
                <w:sz w:val="20"/>
                <w:szCs w:val="20"/>
                <w:color w:val="auto"/>
                <w:w w:val="89"/>
              </w:rPr>
              <w:t>Class C Common Stock, par value $0.01</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40" w:type="dxa"/>
            <w:vAlign w:val="bottom"/>
            <w:gridSpan w:val="2"/>
          </w:tcPr>
          <w:p>
            <w:pPr>
              <w:jc w:val="center"/>
              <w:ind w:right="1080"/>
              <w:spacing w:after="0"/>
              <w:rPr>
                <w:sz w:val="20"/>
                <w:szCs w:val="20"/>
                <w:color w:val="auto"/>
              </w:rPr>
            </w:pPr>
            <w:r>
              <w:rPr>
                <w:rFonts w:ascii="Arial" w:cs="Arial" w:eastAsia="Arial" w:hAnsi="Arial"/>
                <w:sz w:val="20"/>
                <w:szCs w:val="20"/>
                <w:color w:val="auto"/>
                <w:w w:val="98"/>
              </w:rPr>
              <w:t>CWEN</w:t>
            </w:r>
          </w:p>
        </w:tc>
        <w:tc>
          <w:tcPr>
            <w:tcW w:w="760" w:type="dxa"/>
            <w:vAlign w:val="bottom"/>
          </w:tcPr>
          <w:p>
            <w:pPr>
              <w:spacing w:after="0"/>
              <w:rPr>
                <w:sz w:val="24"/>
                <w:szCs w:val="24"/>
                <w:color w:val="auto"/>
              </w:rPr>
            </w:pPr>
          </w:p>
        </w:tc>
        <w:tc>
          <w:tcPr>
            <w:tcW w:w="2280" w:type="dxa"/>
            <w:vAlign w:val="bottom"/>
            <w:gridSpan w:val="2"/>
          </w:tcPr>
          <w:p>
            <w:pPr>
              <w:jc w:val="right"/>
              <w:ind w:right="20"/>
              <w:spacing w:after="0"/>
              <w:rPr>
                <w:sz w:val="20"/>
                <w:szCs w:val="20"/>
                <w:color w:val="auto"/>
              </w:rPr>
            </w:pPr>
            <w:r>
              <w:rPr>
                <w:rFonts w:ascii="Arial" w:cs="Arial" w:eastAsia="Arial" w:hAnsi="Arial"/>
                <w:sz w:val="20"/>
                <w:szCs w:val="20"/>
                <w:color w:val="auto"/>
                <w:w w:val="91"/>
              </w:rPr>
              <w:t>New York Stock Exchange</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0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000" w:type="dxa"/>
            <w:vAlign w:val="bottom"/>
            <w:gridSpan w:val="6"/>
          </w:tcPr>
          <w:p>
            <w:pPr>
              <w:ind w:left="600"/>
              <w:spacing w:after="0"/>
              <w:rPr>
                <w:sz w:val="20"/>
                <w:szCs w:val="20"/>
                <w:color w:val="auto"/>
              </w:rPr>
            </w:pPr>
            <w:r>
              <w:rPr>
                <w:rFonts w:ascii="Arial" w:cs="Arial" w:eastAsia="Arial" w:hAnsi="Arial"/>
                <w:sz w:val="18"/>
                <w:szCs w:val="18"/>
                <w:b w:val="1"/>
                <w:bCs w:val="1"/>
                <w:color w:val="auto"/>
                <w:w w:val="88"/>
              </w:rPr>
              <w:t>Securities registered pursuant to Section 12(g) of the Act:</w:t>
            </w:r>
          </w:p>
        </w:tc>
        <w:tc>
          <w:tcPr>
            <w:tcW w:w="1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40" w:type="dxa"/>
            <w:vAlign w:val="bottom"/>
            <w:gridSpan w:val="2"/>
          </w:tcPr>
          <w:p>
            <w:pPr>
              <w:jc w:val="center"/>
              <w:ind w:right="1080"/>
              <w:spacing w:after="0"/>
              <w:rPr>
                <w:sz w:val="20"/>
                <w:szCs w:val="20"/>
                <w:color w:val="auto"/>
              </w:rPr>
            </w:pPr>
            <w:r>
              <w:rPr>
                <w:rFonts w:ascii="Arial" w:cs="Arial" w:eastAsia="Arial" w:hAnsi="Arial"/>
                <w:sz w:val="18"/>
                <w:szCs w:val="18"/>
                <w:b w:val="1"/>
                <w:bCs w:val="1"/>
                <w:color w:val="auto"/>
                <w:w w:val="88"/>
              </w:rPr>
              <w:t>None</w:t>
            </w:r>
          </w:p>
        </w:tc>
        <w:tc>
          <w:tcPr>
            <w:tcW w:w="7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80" w:type="dxa"/>
            <w:vAlign w:val="bottom"/>
            <w:vMerge w:val="restart"/>
          </w:tcPr>
          <w:p>
            <w:pPr>
              <w:jc w:val="right"/>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b w:val="1"/>
                <w:bCs w:val="1"/>
                <w:color w:val="auto"/>
              </w:rPr>
              <w:t>☒</w:t>
            </w:r>
          </w:p>
        </w:tc>
        <w:tc>
          <w:tcPr>
            <w:tcW w:w="680" w:type="dxa"/>
            <w:vAlign w:val="bottom"/>
            <w:vMerge w:val="restart"/>
          </w:tcPr>
          <w:p>
            <w:pPr>
              <w:ind w:left="10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b w:val="1"/>
                <w:bCs w:val="1"/>
                <w:color w:val="auto"/>
              </w:rPr>
              <w:t>☐</w:t>
            </w:r>
          </w:p>
        </w:tc>
        <w:tc>
          <w:tcPr>
            <w:tcW w:w="0" w:type="dxa"/>
            <w:vAlign w:val="bottom"/>
          </w:tcPr>
          <w:p>
            <w:pPr>
              <w:spacing w:after="0"/>
              <w:rPr>
                <w:sz w:val="1"/>
                <w:szCs w:val="1"/>
                <w:color w:val="auto"/>
              </w:rPr>
            </w:pPr>
          </w:p>
        </w:tc>
      </w:tr>
      <w:tr>
        <w:trPr>
          <w:trHeight w:val="223"/>
        </w:trPr>
        <w:tc>
          <w:tcPr>
            <w:tcW w:w="7580" w:type="dxa"/>
            <w:vAlign w:val="bottom"/>
            <w:gridSpan w:val="8"/>
          </w:tcPr>
          <w:p>
            <w:pPr>
              <w:spacing w:after="0"/>
              <w:rPr>
                <w:sz w:val="20"/>
                <w:szCs w:val="20"/>
                <w:color w:val="auto"/>
              </w:rPr>
            </w:pPr>
            <w:r>
              <w:rPr>
                <w:rFonts w:ascii="Arial" w:cs="Arial" w:eastAsia="Arial" w:hAnsi="Arial"/>
                <w:sz w:val="16"/>
                <w:szCs w:val="16"/>
                <w:color w:val="auto"/>
                <w:w w:val="91"/>
              </w:rPr>
              <w:t>Indicate by check mark if the registrant is a well-known seasoned issuer, as defined in Rule 405 of the Securities Act.</w:t>
            </w:r>
          </w:p>
        </w:tc>
        <w:tc>
          <w:tcPr>
            <w:tcW w:w="170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9280" w:type="dxa"/>
            <w:vAlign w:val="bottom"/>
            <w:gridSpan w:val="9"/>
          </w:tcPr>
          <w:p>
            <w:pPr>
              <w:spacing w:after="0"/>
              <w:rPr>
                <w:sz w:val="20"/>
                <w:szCs w:val="20"/>
                <w:color w:val="auto"/>
              </w:rPr>
            </w:pPr>
            <w:r>
              <w:rPr>
                <w:rFonts w:ascii="Arial" w:cs="Arial" w:eastAsia="Arial" w:hAnsi="Arial"/>
                <w:sz w:val="18"/>
                <w:szCs w:val="18"/>
                <w:color w:val="auto"/>
              </w:rPr>
              <w:t>I</w:t>
            </w:r>
            <w:r>
              <w:rPr>
                <w:rFonts w:ascii="Arial" w:cs="Arial" w:eastAsia="Arial" w:hAnsi="Arial"/>
                <w:sz w:val="16"/>
                <w:szCs w:val="16"/>
                <w:color w:val="auto"/>
              </w:rPr>
              <w:t>ndicate by check mark if the registrant is not required to file reports pursuant to Section 13 or Section 15(d) of the Exchange Act.</w:t>
            </w:r>
          </w:p>
        </w:tc>
        <w:tc>
          <w:tcPr>
            <w:tcW w:w="580" w:type="dxa"/>
            <w:vAlign w:val="bottom"/>
          </w:tcPr>
          <w:p>
            <w:pPr>
              <w:jc w:val="right"/>
              <w:ind w:right="20"/>
              <w:spacing w:after="0" w:line="184" w:lineRule="exact"/>
              <w:rPr>
                <w:sz w:val="20"/>
                <w:szCs w:val="20"/>
                <w:color w:val="auto"/>
              </w:rPr>
            </w:pPr>
            <w:r>
              <w:rPr>
                <w:rFonts w:ascii="Arial" w:cs="Arial" w:eastAsia="Arial" w:hAnsi="Arial"/>
                <w:sz w:val="16"/>
                <w:szCs w:val="16"/>
                <w:color w:val="auto"/>
                <w:w w:val="95"/>
              </w:rPr>
              <w:t xml:space="preserve">Yes </w:t>
            </w:r>
            <w:r>
              <w:rPr>
                <w:rFonts w:ascii="MS PGothic" w:cs="MS PGothic" w:eastAsia="MS PGothic" w:hAnsi="MS PGothic"/>
                <w:sz w:val="16"/>
                <w:szCs w:val="16"/>
                <w:b w:val="1"/>
                <w:bCs w:val="1"/>
                <w:color w:val="auto"/>
                <w:w w:val="95"/>
              </w:rPr>
              <w:t>☐</w:t>
            </w:r>
          </w:p>
        </w:tc>
        <w:tc>
          <w:tcPr>
            <w:tcW w:w="680" w:type="dxa"/>
            <w:vAlign w:val="bottom"/>
          </w:tcPr>
          <w:p>
            <w:pPr>
              <w:ind w:left="6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b w:val="1"/>
                <w:bCs w:val="1"/>
                <w:color w:val="auto"/>
              </w:rPr>
              <w:t>☒</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right="380" w:firstLine="270"/>
        <w:spacing w:after="0" w:line="281"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0"/>
          <w:szCs w:val="20"/>
          <w:color w:val="auto"/>
        </w:rPr>
      </w:pPr>
    </w:p>
    <w:p>
      <w:pPr>
        <w:spacing w:after="0" w:line="184" w:lineRule="exact"/>
        <w:tabs>
          <w:tab w:leader="none" w:pos="9620" w:val="left"/>
          <w:tab w:leader="none" w:pos="10180" w:val="left"/>
        </w:tabs>
        <w:rPr>
          <w:sz w:val="20"/>
          <w:szCs w:val="20"/>
          <w:color w:val="auto"/>
        </w:rPr>
      </w:pPr>
      <w:r>
        <w:rPr>
          <w:rFonts w:ascii="Arial" w:cs="Arial" w:eastAsia="Arial" w:hAnsi="Arial"/>
          <w:sz w:val="16"/>
          <w:szCs w:val="16"/>
          <w:color w:val="auto"/>
        </w:rPr>
        <w:t>90 days.</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b w:val="1"/>
          <w:bCs w:val="1"/>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b w:val="1"/>
          <w:bCs w:val="1"/>
          <w:color w:val="auto"/>
        </w:rPr>
        <w:t>☐</w:t>
      </w:r>
    </w:p>
    <w:p>
      <w:pPr>
        <w:spacing w:after="0" w:line="88"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w:t>
      </w:r>
    </w:p>
    <w:p>
      <w:pPr>
        <w:spacing w:after="0" w:line="43" w:lineRule="exact"/>
        <w:rPr>
          <w:sz w:val="20"/>
          <w:szCs w:val="20"/>
          <w:color w:val="auto"/>
        </w:rPr>
      </w:pPr>
    </w:p>
    <w:p>
      <w:pPr>
        <w:spacing w:after="0" w:line="184" w:lineRule="exact"/>
        <w:tabs>
          <w:tab w:leader="none" w:pos="9620" w:val="left"/>
          <w:tab w:leader="none" w:pos="10180" w:val="left"/>
        </w:tabs>
        <w:rPr>
          <w:sz w:val="20"/>
          <w:szCs w:val="20"/>
          <w:color w:val="auto"/>
        </w:rPr>
      </w:pPr>
      <w:r>
        <w:rPr>
          <w:rFonts w:ascii="Arial" w:cs="Arial" w:eastAsia="Arial" w:hAnsi="Arial"/>
          <w:sz w:val="16"/>
          <w:szCs w:val="16"/>
          <w:color w:val="auto"/>
        </w:rPr>
        <w:t>(§232.405 of this chapter) during the preceding 12 months (or for such shorter period that the registrant was required to submit such files).</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b w:val="1"/>
          <w:bCs w:val="1"/>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b w:val="1"/>
          <w:bCs w:val="1"/>
          <w:color w:val="auto"/>
        </w:rPr>
        <w:t>☐</w:t>
      </w:r>
    </w:p>
    <w:p>
      <w:pPr>
        <w:spacing w:after="0" w:line="90" w:lineRule="exact"/>
        <w:rPr>
          <w:sz w:val="20"/>
          <w:szCs w:val="20"/>
          <w:color w:val="auto"/>
        </w:rPr>
      </w:pPr>
    </w:p>
    <w:p>
      <w:pPr>
        <w:jc w:val="both"/>
        <w:ind w:firstLine="270"/>
        <w:spacing w:after="0" w:line="22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0"/>
          <w:szCs w:val="20"/>
          <w:color w:val="auto"/>
        </w:rPr>
      </w:pPr>
    </w:p>
    <w:tbl>
      <w:tblPr>
        <w:tblLayout w:type="fixed"/>
        <w:tblInd w:w="1520" w:type="dxa"/>
        <w:tblCellMar>
          <w:top w:w="0" w:type="dxa"/>
          <w:left w:w="0" w:type="dxa"/>
          <w:bottom w:w="0" w:type="dxa"/>
          <w:right w:w="0" w:type="dxa"/>
        </w:tblCellMar>
      </w:tblPr>
      <w:tr>
        <w:trPr>
          <w:trHeight w:val="280"/>
        </w:trPr>
        <w:tc>
          <w:tcPr>
            <w:tcW w:w="2260" w:type="dxa"/>
            <w:vAlign w:val="bottom"/>
          </w:tcPr>
          <w:p>
            <w:pPr>
              <w:jc w:val="center"/>
              <w:ind w:right="360"/>
              <w:spacing w:after="0"/>
              <w:rPr>
                <w:sz w:val="20"/>
                <w:szCs w:val="20"/>
                <w:color w:val="auto"/>
              </w:rPr>
            </w:pPr>
            <w:r>
              <w:rPr>
                <w:rFonts w:ascii="Arial" w:cs="Arial" w:eastAsia="Arial" w:hAnsi="Arial"/>
                <w:sz w:val="20"/>
                <w:szCs w:val="20"/>
                <w:color w:val="auto"/>
                <w:w w:val="90"/>
              </w:rPr>
              <w:t>Large accelerated filer</w:t>
            </w:r>
          </w:p>
        </w:tc>
        <w:tc>
          <w:tcPr>
            <w:tcW w:w="1180" w:type="dxa"/>
            <w:vAlign w:val="bottom"/>
          </w:tcPr>
          <w:p>
            <w:pPr>
              <w:ind w:left="480"/>
              <w:spacing w:after="0" w:line="201" w:lineRule="exact"/>
              <w:rPr>
                <w:sz w:val="20"/>
                <w:szCs w:val="20"/>
                <w:color w:val="auto"/>
              </w:rPr>
            </w:pPr>
            <w:r>
              <w:rPr>
                <w:rFonts w:ascii="MS PGothic" w:cs="MS PGothic" w:eastAsia="MS PGothic" w:hAnsi="MS PGothic"/>
                <w:sz w:val="20"/>
                <w:szCs w:val="20"/>
                <w:b w:val="1"/>
                <w:bCs w:val="1"/>
                <w:color w:val="auto"/>
              </w:rPr>
              <w:t>☒</w:t>
            </w:r>
          </w:p>
        </w:tc>
        <w:tc>
          <w:tcPr>
            <w:tcW w:w="3220" w:type="dxa"/>
            <w:vAlign w:val="bottom"/>
          </w:tcPr>
          <w:p>
            <w:pPr>
              <w:ind w:left="540"/>
              <w:spacing w:after="0"/>
              <w:rPr>
                <w:sz w:val="20"/>
                <w:szCs w:val="20"/>
                <w:color w:val="auto"/>
              </w:rPr>
            </w:pPr>
            <w:r>
              <w:rPr>
                <w:rFonts w:ascii="Arial" w:cs="Arial" w:eastAsia="Arial" w:hAnsi="Arial"/>
                <w:sz w:val="20"/>
                <w:szCs w:val="20"/>
                <w:color w:val="auto"/>
              </w:rPr>
              <w:t>Accelerated filer</w:t>
            </w:r>
          </w:p>
        </w:tc>
        <w:tc>
          <w:tcPr>
            <w:tcW w:w="640" w:type="dxa"/>
            <w:vAlign w:val="bottom"/>
          </w:tcPr>
          <w:p>
            <w:pPr>
              <w:ind w:left="480"/>
              <w:spacing w:after="0" w:line="191" w:lineRule="exact"/>
              <w:rPr>
                <w:sz w:val="20"/>
                <w:szCs w:val="20"/>
                <w:color w:val="auto"/>
              </w:rPr>
            </w:pPr>
            <w:r>
              <w:rPr>
                <w:rFonts w:ascii="MS PGothic" w:cs="MS PGothic" w:eastAsia="MS PGothic" w:hAnsi="MS PGothic"/>
                <w:sz w:val="19"/>
                <w:szCs w:val="19"/>
                <w:b w:val="1"/>
                <w:bCs w:val="1"/>
                <w:color w:val="auto"/>
                <w:w w:val="73"/>
              </w:rPr>
              <w:t>☐</w:t>
            </w:r>
          </w:p>
        </w:tc>
      </w:tr>
      <w:tr>
        <w:trPr>
          <w:trHeight w:val="285"/>
        </w:trPr>
        <w:tc>
          <w:tcPr>
            <w:tcW w:w="2260" w:type="dxa"/>
            <w:vAlign w:val="bottom"/>
          </w:tcPr>
          <w:p>
            <w:pPr>
              <w:jc w:val="center"/>
              <w:ind w:right="360"/>
              <w:spacing w:after="0"/>
              <w:rPr>
                <w:sz w:val="20"/>
                <w:szCs w:val="20"/>
                <w:color w:val="auto"/>
              </w:rPr>
            </w:pPr>
            <w:r>
              <w:rPr>
                <w:rFonts w:ascii="Arial" w:cs="Arial" w:eastAsia="Arial" w:hAnsi="Arial"/>
                <w:sz w:val="20"/>
                <w:szCs w:val="20"/>
                <w:color w:val="auto"/>
                <w:w w:val="91"/>
              </w:rPr>
              <w:t>Non-accelerated filer</w:t>
            </w:r>
          </w:p>
        </w:tc>
        <w:tc>
          <w:tcPr>
            <w:tcW w:w="1180" w:type="dxa"/>
            <w:vAlign w:val="bottom"/>
          </w:tcPr>
          <w:p>
            <w:pPr>
              <w:ind w:left="480"/>
              <w:spacing w:after="0" w:line="201" w:lineRule="exact"/>
              <w:rPr>
                <w:sz w:val="20"/>
                <w:szCs w:val="20"/>
                <w:color w:val="auto"/>
              </w:rPr>
            </w:pPr>
            <w:r>
              <w:rPr>
                <w:rFonts w:ascii="MS PGothic" w:cs="MS PGothic" w:eastAsia="MS PGothic" w:hAnsi="MS PGothic"/>
                <w:sz w:val="20"/>
                <w:szCs w:val="20"/>
                <w:b w:val="1"/>
                <w:bCs w:val="1"/>
                <w:color w:val="auto"/>
              </w:rPr>
              <w:t>☐</w:t>
            </w:r>
          </w:p>
        </w:tc>
        <w:tc>
          <w:tcPr>
            <w:tcW w:w="3220" w:type="dxa"/>
            <w:vAlign w:val="bottom"/>
          </w:tcPr>
          <w:p>
            <w:pPr>
              <w:ind w:left="540"/>
              <w:spacing w:after="0"/>
              <w:rPr>
                <w:sz w:val="20"/>
                <w:szCs w:val="20"/>
                <w:color w:val="auto"/>
              </w:rPr>
            </w:pPr>
            <w:r>
              <w:rPr>
                <w:rFonts w:ascii="Arial" w:cs="Arial" w:eastAsia="Arial" w:hAnsi="Arial"/>
                <w:sz w:val="20"/>
                <w:szCs w:val="20"/>
                <w:color w:val="auto"/>
              </w:rPr>
              <w:t>Smaller reporting company</w:t>
            </w:r>
          </w:p>
        </w:tc>
        <w:tc>
          <w:tcPr>
            <w:tcW w:w="640" w:type="dxa"/>
            <w:vAlign w:val="bottom"/>
          </w:tcPr>
          <w:p>
            <w:pPr>
              <w:ind w:left="480"/>
              <w:spacing w:after="0" w:line="191" w:lineRule="exact"/>
              <w:rPr>
                <w:sz w:val="20"/>
                <w:szCs w:val="20"/>
                <w:color w:val="auto"/>
              </w:rPr>
            </w:pPr>
            <w:r>
              <w:rPr>
                <w:rFonts w:ascii="MS PGothic" w:cs="MS PGothic" w:eastAsia="MS PGothic" w:hAnsi="MS PGothic"/>
                <w:sz w:val="19"/>
                <w:szCs w:val="19"/>
                <w:b w:val="1"/>
                <w:bCs w:val="1"/>
                <w:color w:val="auto"/>
                <w:w w:val="73"/>
              </w:rPr>
              <w:t>☐</w:t>
            </w:r>
          </w:p>
        </w:tc>
      </w:tr>
      <w:tr>
        <w:trPr>
          <w:trHeight w:val="285"/>
        </w:trPr>
        <w:tc>
          <w:tcPr>
            <w:tcW w:w="2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20" w:type="dxa"/>
            <w:vAlign w:val="bottom"/>
          </w:tcPr>
          <w:p>
            <w:pPr>
              <w:ind w:left="540"/>
              <w:spacing w:after="0"/>
              <w:rPr>
                <w:sz w:val="20"/>
                <w:szCs w:val="20"/>
                <w:color w:val="auto"/>
              </w:rPr>
            </w:pPr>
            <w:r>
              <w:rPr>
                <w:rFonts w:ascii="Arial" w:cs="Arial" w:eastAsia="Arial" w:hAnsi="Arial"/>
                <w:sz w:val="20"/>
                <w:szCs w:val="20"/>
                <w:color w:val="auto"/>
              </w:rPr>
              <w:t>Emerging growth company</w:t>
            </w:r>
          </w:p>
        </w:tc>
        <w:tc>
          <w:tcPr>
            <w:tcW w:w="640" w:type="dxa"/>
            <w:vAlign w:val="bottom"/>
          </w:tcPr>
          <w:p>
            <w:pPr>
              <w:ind w:left="480"/>
              <w:spacing w:after="0" w:line="191" w:lineRule="exact"/>
              <w:rPr>
                <w:sz w:val="20"/>
                <w:szCs w:val="20"/>
                <w:color w:val="auto"/>
              </w:rPr>
            </w:pPr>
            <w:r>
              <w:rPr>
                <w:rFonts w:ascii="MS PGothic" w:cs="MS PGothic" w:eastAsia="MS PGothic" w:hAnsi="MS PGothic"/>
                <w:sz w:val="19"/>
                <w:szCs w:val="19"/>
                <w:b w:val="1"/>
                <w:bCs w:val="1"/>
                <w:color w:val="auto"/>
                <w:w w:val="73"/>
              </w:rPr>
              <w:t>☐</w:t>
            </w:r>
          </w:p>
        </w:tc>
      </w:tr>
    </w:tbl>
    <w:p>
      <w:pPr>
        <w:spacing w:after="0" w:line="57" w:lineRule="exact"/>
        <w:rPr>
          <w:sz w:val="20"/>
          <w:szCs w:val="20"/>
          <w:color w:val="auto"/>
        </w:rPr>
      </w:pPr>
    </w:p>
    <w:p>
      <w:pPr>
        <w:ind w:firstLine="270"/>
        <w:spacing w:after="0" w:line="19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b w:val="1"/>
          <w:bCs w:val="1"/>
          <w:color w:val="auto"/>
        </w:rPr>
        <w:t>☐</w:t>
      </w:r>
    </w:p>
    <w:p>
      <w:pPr>
        <w:ind w:left="280"/>
        <w:spacing w:after="0" w:line="184" w:lineRule="exact"/>
        <w:tabs>
          <w:tab w:leader="none" w:pos="9620" w:val="left"/>
          <w:tab w:leader="none" w:pos="101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b w:val="1"/>
          <w:bCs w:val="1"/>
          <w:color w:val="auto"/>
        </w:rPr>
        <w:t>☐</w:t>
      </w:r>
      <w:r>
        <w:rPr>
          <w:rFonts w:ascii="Arial" w:cs="Arial" w:eastAsia="Arial" w:hAnsi="Arial"/>
          <w:sz w:val="16"/>
          <w:szCs w:val="16"/>
          <w:color w:val="auto"/>
        </w:rPr>
        <w:tab/>
        <w:t xml:space="preserve">No </w:t>
      </w:r>
      <w:r>
        <w:rPr>
          <w:rFonts w:ascii="Arial" w:cs="Arial" w:eastAsia="Arial" w:hAnsi="Arial"/>
          <w:sz w:val="16"/>
          <w:szCs w:val="16"/>
          <w:b w:val="1"/>
          <w:bCs w:val="1"/>
          <w:color w:val="auto"/>
        </w:rPr>
        <w:t>x</w:t>
      </w:r>
    </w:p>
    <w:p>
      <w:pPr>
        <w:spacing w:after="0" w:line="67" w:lineRule="exact"/>
        <w:rPr>
          <w:sz w:val="20"/>
          <w:szCs w:val="20"/>
          <w:color w:val="auto"/>
        </w:rPr>
      </w:pPr>
    </w:p>
    <w:p>
      <w:pPr>
        <w:ind w:firstLine="270"/>
        <w:spacing w:after="0" w:line="330" w:lineRule="auto"/>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w:cs="Arial" w:eastAsia="Arial" w:hAnsi="Arial"/>
          <w:sz w:val="14"/>
          <w:szCs w:val="14"/>
          <w:b w:val="1"/>
          <w:bCs w:val="1"/>
          <w:color w:val="auto"/>
        </w:rPr>
        <w:t>x</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If securities are registered pursuant to Section 12(b) of the Act, indicate by check mark whether the financial statements of the registrant included in the filing reflect the</w:t>
      </w:r>
    </w:p>
    <w:p>
      <w:pPr>
        <w:spacing w:after="0" w:line="19" w:lineRule="exact"/>
        <w:rPr>
          <w:sz w:val="20"/>
          <w:szCs w:val="20"/>
          <w:color w:val="auto"/>
        </w:rPr>
      </w:pPr>
    </w:p>
    <w:p>
      <w:pPr>
        <w:spacing w:after="0" w:line="184" w:lineRule="exact"/>
        <w:tabs>
          <w:tab w:leader="none" w:pos="10780" w:val="left"/>
        </w:tabs>
        <w:rPr>
          <w:sz w:val="20"/>
          <w:szCs w:val="20"/>
          <w:color w:val="auto"/>
        </w:rPr>
      </w:pPr>
      <w:r>
        <w:rPr>
          <w:rFonts w:ascii="Arial" w:cs="Arial" w:eastAsia="Arial" w:hAnsi="Arial"/>
          <w:sz w:val="16"/>
          <w:szCs w:val="16"/>
          <w:color w:val="auto"/>
        </w:rPr>
        <w:t>correction of an error to previously issued financial statements.</w:t>
      </w:r>
      <w:r>
        <w:rPr>
          <w:sz w:val="20"/>
          <w:szCs w:val="20"/>
          <w:color w:val="auto"/>
        </w:rPr>
        <w:tab/>
      </w:r>
      <w:r>
        <w:rPr>
          <w:rFonts w:ascii="MS PGothic" w:cs="MS PGothic" w:eastAsia="MS PGothic" w:hAnsi="MS PGothic"/>
          <w:sz w:val="12"/>
          <w:szCs w:val="12"/>
          <w:b w:val="1"/>
          <w:bCs w:val="1"/>
          <w:color w:val="auto"/>
        </w:rPr>
        <w:t>☐</w:t>
      </w:r>
    </w:p>
    <w:p>
      <w:pPr>
        <w:spacing w:after="0" w:line="80"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Indicate by check mark whether any of those error corrections are restatements that required a recovery analysis of incentive-based compensation received by any of the</w:t>
      </w:r>
    </w:p>
    <w:p>
      <w:pPr>
        <w:spacing w:after="0" w:line="19" w:lineRule="exact"/>
        <w:rPr>
          <w:sz w:val="20"/>
          <w:szCs w:val="20"/>
          <w:color w:val="auto"/>
        </w:rPr>
      </w:pPr>
    </w:p>
    <w:p>
      <w:pPr>
        <w:spacing w:after="0" w:line="184" w:lineRule="exact"/>
        <w:tabs>
          <w:tab w:leader="none" w:pos="10780" w:val="left"/>
        </w:tabs>
        <w:rPr>
          <w:sz w:val="20"/>
          <w:szCs w:val="20"/>
          <w:color w:val="auto"/>
        </w:rPr>
      </w:pPr>
      <w:r>
        <w:rPr>
          <w:rFonts w:ascii="Arial" w:cs="Arial" w:eastAsia="Arial" w:hAnsi="Arial"/>
          <w:sz w:val="16"/>
          <w:szCs w:val="16"/>
          <w:color w:val="auto"/>
        </w:rPr>
        <w:t>registrant’s executive officers during the relevant recovery period pursuant to §240.10D-1(b).</w:t>
      </w:r>
      <w:r>
        <w:rPr>
          <w:sz w:val="20"/>
          <w:szCs w:val="20"/>
          <w:color w:val="auto"/>
        </w:rPr>
        <w:tab/>
      </w:r>
      <w:r>
        <w:rPr>
          <w:rFonts w:ascii="MS PGothic" w:cs="MS PGothic" w:eastAsia="MS PGothic" w:hAnsi="MS PGothic"/>
          <w:sz w:val="12"/>
          <w:szCs w:val="12"/>
          <w:b w:val="1"/>
          <w:bCs w:val="1"/>
          <w:color w:val="auto"/>
        </w:rPr>
        <w:t>☐</w:t>
      </w:r>
    </w:p>
    <w:p>
      <w:pPr>
        <w:spacing w:after="0" w:line="80" w:lineRule="exact"/>
        <w:rPr>
          <w:sz w:val="20"/>
          <w:szCs w:val="20"/>
          <w:color w:val="auto"/>
        </w:rPr>
      </w:pPr>
    </w:p>
    <w:p>
      <w:pPr>
        <w:ind w:firstLine="270"/>
        <w:spacing w:after="0" w:line="283" w:lineRule="auto"/>
        <w:rPr>
          <w:sz w:val="20"/>
          <w:szCs w:val="20"/>
          <w:color w:val="auto"/>
        </w:rPr>
      </w:pPr>
      <w:r>
        <w:rPr>
          <w:rFonts w:ascii="Arial" w:cs="Arial" w:eastAsia="Arial" w:hAnsi="Arial"/>
          <w:sz w:val="16"/>
          <w:szCs w:val="16"/>
          <w:color w:val="auto"/>
        </w:rPr>
        <w:t>As of the last business day of the most recently completed second fiscal quarter, the aggregate market value of the common stock of the registrant held by non-affiliates was approximately $2.54 billion based on the closing sale prices of such shares as reported on the New York Stock Exchange.</w:t>
      </w:r>
    </w:p>
    <w:p>
      <w:pPr>
        <w:spacing w:after="0" w:line="1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Indicate the number of shares outstanding of each of the registrant’s classes of common stock as of the latest practicable date.</w:t>
      </w:r>
    </w:p>
    <w:p>
      <w:pPr>
        <w:spacing w:after="0" w:line="35" w:lineRule="exact"/>
        <w:rPr>
          <w:sz w:val="20"/>
          <w:szCs w:val="20"/>
          <w:color w:val="auto"/>
        </w:rPr>
      </w:pPr>
    </w:p>
    <w:tbl>
      <w:tblPr>
        <w:tblLayout w:type="fixed"/>
        <w:tblInd w:w="1820" w:type="dxa"/>
        <w:tblCellMar>
          <w:top w:w="0" w:type="dxa"/>
          <w:left w:w="0" w:type="dxa"/>
          <w:bottom w:w="0" w:type="dxa"/>
          <w:right w:w="0" w:type="dxa"/>
        </w:tblCellMar>
      </w:tblPr>
      <w:tr>
        <w:trPr>
          <w:trHeight w:val="195"/>
        </w:trPr>
        <w:tc>
          <w:tcPr>
            <w:tcW w:w="1540" w:type="dxa"/>
            <w:vAlign w:val="bottom"/>
          </w:tcPr>
          <w:p>
            <w:pPr>
              <w:spacing w:after="0"/>
              <w:rPr>
                <w:sz w:val="16"/>
                <w:szCs w:val="16"/>
                <w:color w:val="auto"/>
              </w:rPr>
            </w:pPr>
          </w:p>
        </w:tc>
        <w:tc>
          <w:tcPr>
            <w:tcW w:w="3200" w:type="dxa"/>
            <w:vAlign w:val="bottom"/>
            <w:gridSpan w:val="2"/>
          </w:tcPr>
          <w:p>
            <w:pPr>
              <w:jc w:val="center"/>
              <w:ind w:right="2820"/>
              <w:spacing w:after="0"/>
              <w:rPr>
                <w:sz w:val="20"/>
                <w:szCs w:val="20"/>
                <w:color w:val="auto"/>
              </w:rPr>
            </w:pPr>
            <w:r>
              <w:rPr>
                <w:rFonts w:ascii="Arial" w:cs="Arial" w:eastAsia="Arial" w:hAnsi="Arial"/>
                <w:sz w:val="17"/>
                <w:szCs w:val="17"/>
                <w:b w:val="1"/>
                <w:bCs w:val="1"/>
                <w:color w:val="auto"/>
                <w:w w:val="83"/>
              </w:rPr>
              <w:t>Class</w:t>
            </w:r>
          </w:p>
        </w:tc>
        <w:tc>
          <w:tcPr>
            <w:tcW w:w="2380" w:type="dxa"/>
            <w:vAlign w:val="bottom"/>
          </w:tcPr>
          <w:p>
            <w:pPr>
              <w:jc w:val="center"/>
              <w:spacing w:after="0"/>
              <w:rPr>
                <w:sz w:val="20"/>
                <w:szCs w:val="20"/>
                <w:color w:val="auto"/>
              </w:rPr>
            </w:pPr>
            <w:r>
              <w:rPr>
                <w:rFonts w:ascii="Arial" w:cs="Arial" w:eastAsia="Arial" w:hAnsi="Arial"/>
                <w:sz w:val="17"/>
                <w:szCs w:val="17"/>
                <w:b w:val="1"/>
                <w:bCs w:val="1"/>
                <w:color w:val="auto"/>
                <w:w w:val="91"/>
              </w:rPr>
              <w:t>Outstanding at January 31, 2024</w:t>
            </w:r>
          </w:p>
        </w:tc>
      </w:tr>
      <w:tr>
        <w:trPr>
          <w:trHeight w:val="20"/>
        </w:trPr>
        <w:tc>
          <w:tcPr>
            <w:tcW w:w="15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r>
      <w:tr>
        <w:trPr>
          <w:trHeight w:val="258"/>
        </w:trPr>
        <w:tc>
          <w:tcPr>
            <w:tcW w:w="4740" w:type="dxa"/>
            <w:vAlign w:val="bottom"/>
            <w:gridSpan w:val="3"/>
          </w:tcPr>
          <w:p>
            <w:pPr>
              <w:jc w:val="center"/>
              <w:ind w:right="1260"/>
              <w:spacing w:after="0"/>
              <w:rPr>
                <w:sz w:val="20"/>
                <w:szCs w:val="20"/>
                <w:color w:val="auto"/>
              </w:rPr>
            </w:pPr>
            <w:r>
              <w:rPr>
                <w:rFonts w:ascii="Arial" w:cs="Arial" w:eastAsia="Arial" w:hAnsi="Arial"/>
                <w:sz w:val="17"/>
                <w:szCs w:val="17"/>
                <w:color w:val="auto"/>
                <w:w w:val="89"/>
              </w:rPr>
              <w:t>Common Stock, Class A, par value $0.01 per share</w:t>
            </w:r>
          </w:p>
        </w:tc>
        <w:tc>
          <w:tcPr>
            <w:tcW w:w="2380" w:type="dxa"/>
            <w:vAlign w:val="bottom"/>
          </w:tcPr>
          <w:p>
            <w:pPr>
              <w:jc w:val="center"/>
              <w:spacing w:after="0"/>
              <w:rPr>
                <w:sz w:val="20"/>
                <w:szCs w:val="20"/>
                <w:color w:val="auto"/>
              </w:rPr>
            </w:pPr>
            <w:r>
              <w:rPr>
                <w:rFonts w:ascii="Arial" w:cs="Arial" w:eastAsia="Arial" w:hAnsi="Arial"/>
                <w:sz w:val="17"/>
                <w:szCs w:val="17"/>
                <w:color w:val="auto"/>
                <w:w w:val="91"/>
              </w:rPr>
              <w:t>34,613,853</w:t>
            </w:r>
          </w:p>
        </w:tc>
      </w:tr>
      <w:tr>
        <w:trPr>
          <w:trHeight w:val="240"/>
        </w:trPr>
        <w:tc>
          <w:tcPr>
            <w:tcW w:w="4740" w:type="dxa"/>
            <w:vAlign w:val="bottom"/>
            <w:gridSpan w:val="3"/>
          </w:tcPr>
          <w:p>
            <w:pPr>
              <w:jc w:val="center"/>
              <w:ind w:right="1280"/>
              <w:spacing w:after="0"/>
              <w:rPr>
                <w:sz w:val="20"/>
                <w:szCs w:val="20"/>
                <w:color w:val="auto"/>
              </w:rPr>
            </w:pPr>
            <w:r>
              <w:rPr>
                <w:rFonts w:ascii="Arial" w:cs="Arial" w:eastAsia="Arial" w:hAnsi="Arial"/>
                <w:sz w:val="17"/>
                <w:szCs w:val="17"/>
                <w:color w:val="auto"/>
                <w:w w:val="89"/>
              </w:rPr>
              <w:t>Common Stock, Class B, par value $0.01 per share</w:t>
            </w:r>
          </w:p>
        </w:tc>
        <w:tc>
          <w:tcPr>
            <w:tcW w:w="2380" w:type="dxa"/>
            <w:vAlign w:val="bottom"/>
          </w:tcPr>
          <w:p>
            <w:pPr>
              <w:jc w:val="center"/>
              <w:spacing w:after="0"/>
              <w:rPr>
                <w:sz w:val="20"/>
                <w:szCs w:val="20"/>
                <w:color w:val="auto"/>
              </w:rPr>
            </w:pPr>
            <w:r>
              <w:rPr>
                <w:rFonts w:ascii="Arial" w:cs="Arial" w:eastAsia="Arial" w:hAnsi="Arial"/>
                <w:sz w:val="17"/>
                <w:szCs w:val="17"/>
                <w:color w:val="auto"/>
                <w:w w:val="91"/>
              </w:rPr>
              <w:t>42,738,750</w:t>
            </w:r>
          </w:p>
        </w:tc>
      </w:tr>
      <w:tr>
        <w:trPr>
          <w:trHeight w:val="240"/>
        </w:trPr>
        <w:tc>
          <w:tcPr>
            <w:tcW w:w="4740" w:type="dxa"/>
            <w:vAlign w:val="bottom"/>
            <w:gridSpan w:val="3"/>
          </w:tcPr>
          <w:p>
            <w:pPr>
              <w:jc w:val="center"/>
              <w:ind w:right="1280"/>
              <w:spacing w:after="0"/>
              <w:rPr>
                <w:sz w:val="20"/>
                <w:szCs w:val="20"/>
                <w:color w:val="auto"/>
              </w:rPr>
            </w:pPr>
            <w:r>
              <w:rPr>
                <w:rFonts w:ascii="Arial" w:cs="Arial" w:eastAsia="Arial" w:hAnsi="Arial"/>
                <w:sz w:val="17"/>
                <w:szCs w:val="17"/>
                <w:color w:val="auto"/>
                <w:w w:val="89"/>
              </w:rPr>
              <w:t>Common Stock, Class C, par value $0.01 per share</w:t>
            </w:r>
          </w:p>
        </w:tc>
        <w:tc>
          <w:tcPr>
            <w:tcW w:w="2380" w:type="dxa"/>
            <w:vAlign w:val="bottom"/>
          </w:tcPr>
          <w:p>
            <w:pPr>
              <w:jc w:val="center"/>
              <w:spacing w:after="0"/>
              <w:rPr>
                <w:sz w:val="20"/>
                <w:szCs w:val="20"/>
                <w:color w:val="auto"/>
              </w:rPr>
            </w:pPr>
            <w:r>
              <w:rPr>
                <w:rFonts w:ascii="Arial" w:cs="Arial" w:eastAsia="Arial" w:hAnsi="Arial"/>
                <w:sz w:val="17"/>
                <w:szCs w:val="17"/>
                <w:color w:val="auto"/>
                <w:w w:val="91"/>
              </w:rPr>
              <w:t>82,391,441</w:t>
            </w:r>
          </w:p>
        </w:tc>
      </w:tr>
      <w:tr>
        <w:trPr>
          <w:trHeight w:val="240"/>
        </w:trPr>
        <w:tc>
          <w:tcPr>
            <w:tcW w:w="4740" w:type="dxa"/>
            <w:vAlign w:val="bottom"/>
            <w:gridSpan w:val="3"/>
          </w:tcPr>
          <w:p>
            <w:pPr>
              <w:jc w:val="center"/>
              <w:ind w:right="1260"/>
              <w:spacing w:after="0"/>
              <w:rPr>
                <w:sz w:val="20"/>
                <w:szCs w:val="20"/>
                <w:color w:val="auto"/>
              </w:rPr>
            </w:pPr>
            <w:r>
              <w:rPr>
                <w:rFonts w:ascii="Arial" w:cs="Arial" w:eastAsia="Arial" w:hAnsi="Arial"/>
                <w:sz w:val="17"/>
                <w:szCs w:val="17"/>
                <w:color w:val="auto"/>
                <w:w w:val="89"/>
              </w:rPr>
              <w:t>Common Stock, Class D, par value $0.01 per share</w:t>
            </w:r>
          </w:p>
        </w:tc>
        <w:tc>
          <w:tcPr>
            <w:tcW w:w="2380" w:type="dxa"/>
            <w:vAlign w:val="bottom"/>
          </w:tcPr>
          <w:p>
            <w:pPr>
              <w:jc w:val="center"/>
              <w:spacing w:after="0"/>
              <w:rPr>
                <w:sz w:val="20"/>
                <w:szCs w:val="20"/>
                <w:color w:val="auto"/>
              </w:rPr>
            </w:pPr>
            <w:r>
              <w:rPr>
                <w:rFonts w:ascii="Arial" w:cs="Arial" w:eastAsia="Arial" w:hAnsi="Arial"/>
                <w:sz w:val="17"/>
                <w:szCs w:val="17"/>
                <w:color w:val="auto"/>
                <w:w w:val="91"/>
              </w:rPr>
              <w:t>42,336,750</w:t>
            </w:r>
          </w:p>
        </w:tc>
      </w:tr>
    </w:tbl>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Documents Incorporated by Reference: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Portions of the Registrant’s Definitive Proxy Statement relating to its 2024 Annual Meeting of Stockholders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are incorporated by reference into Part III of this Annual Report on 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348615</wp:posOffset>
                </wp:positionH>
                <wp:positionV relativeFrom="paragraph">
                  <wp:posOffset>42545</wp:posOffset>
                </wp:positionV>
                <wp:extent cx="6334125"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45pt,3.35pt" to="526.2pt,3.3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348615</wp:posOffset>
                </wp:positionH>
                <wp:positionV relativeFrom="paragraph">
                  <wp:posOffset>90170</wp:posOffset>
                </wp:positionV>
                <wp:extent cx="6334125"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4125"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45pt,7.1pt" to="526.2pt,7.1pt" o:allowincell="f" strokecolor="#000000" strokeweight="2pt"/>
            </w:pict>
          </mc:Fallback>
        </mc:AlternateContent>
      </w:r>
    </w:p>
    <w:p>
      <w:pPr>
        <w:sectPr>
          <w:pgSz w:w="11880" w:h="15480" w:orient="portrait"/>
          <w:cols w:equalWidth="0" w:num="1">
            <w:col w:w="11080"/>
          </w:cols>
          <w:pgMar w:left="400" w:top="675" w:right="400" w:bottom="41"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9"/>
        </w:trPr>
        <w:tc>
          <w:tcPr>
            <w:tcW w:w="9480" w:type="dxa"/>
            <w:vAlign w:val="bottom"/>
          </w:tcPr>
          <w:p>
            <w:pPr>
              <w:ind w:left="3960"/>
              <w:spacing w:after="0"/>
              <w:rPr>
                <w:sz w:val="20"/>
                <w:szCs w:val="20"/>
                <w:color w:val="auto"/>
              </w:rPr>
            </w:pPr>
            <w:r>
              <w:rPr>
                <w:rFonts w:ascii="Arial" w:cs="Arial" w:eastAsia="Arial" w:hAnsi="Arial"/>
                <w:sz w:val="20"/>
                <w:szCs w:val="20"/>
                <w:b w:val="1"/>
                <w:bCs w:val="1"/>
                <w:color w:val="auto"/>
              </w:rPr>
              <w:t>TABLE OF CONTENTS</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9480" w:type="dxa"/>
            <w:vAlign w:val="bottom"/>
          </w:tcPr>
          <w:p>
            <w:pPr>
              <w:ind w:left="4800"/>
              <w:spacing w:after="0"/>
              <w:rPr>
                <w:sz w:val="20"/>
                <w:szCs w:val="20"/>
                <w:color w:val="auto"/>
              </w:rPr>
            </w:pPr>
            <w:r>
              <w:rPr>
                <w:rFonts w:ascii="Arial" w:cs="Arial" w:eastAsia="Arial" w:hAnsi="Arial"/>
                <w:sz w:val="20"/>
                <w:szCs w:val="20"/>
                <w:b w:val="1"/>
                <w:bCs w:val="1"/>
                <w:color w:val="auto"/>
              </w:rPr>
              <w:t>Index</w:t>
            </w: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0"/>
        </w:trPr>
        <w:tc>
          <w:tcPr>
            <w:tcW w:w="9480" w:type="dxa"/>
            <w:vAlign w:val="bottom"/>
          </w:tcPr>
          <w:p>
            <w:pPr>
              <w:spacing w:after="0"/>
              <w:rPr>
                <w:sz w:val="20"/>
                <w:szCs w:val="20"/>
                <w:color w:val="auto"/>
              </w:rPr>
            </w:pPr>
            <w:r>
              <w:rPr>
                <w:rFonts w:ascii="Arial" w:cs="Arial" w:eastAsia="Arial" w:hAnsi="Arial"/>
                <w:sz w:val="20"/>
                <w:szCs w:val="20"/>
                <w:color w:val="auto"/>
              </w:rPr>
              <w:t>GLOSSARY OF TERMS</w:t>
            </w:r>
          </w:p>
        </w:tc>
        <w:tc>
          <w:tcPr>
            <w:tcW w:w="600" w:type="dxa"/>
            <w:vAlign w:val="bottom"/>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98"/>
        </w:trPr>
        <w:tc>
          <w:tcPr>
            <w:tcW w:w="9480" w:type="dxa"/>
            <w:vAlign w:val="bottom"/>
          </w:tcPr>
          <w:p>
            <w:pPr>
              <w:spacing w:after="0"/>
              <w:rPr>
                <w:sz w:val="20"/>
                <w:szCs w:val="20"/>
                <w:color w:val="auto"/>
              </w:rPr>
            </w:pPr>
            <w:r>
              <w:rPr>
                <w:rFonts w:ascii="Arial" w:cs="Arial" w:eastAsia="Arial" w:hAnsi="Arial"/>
                <w:sz w:val="20"/>
                <w:szCs w:val="20"/>
                <w:b w:val="1"/>
                <w:bCs w:val="1"/>
                <w:color w:val="auto"/>
              </w:rPr>
              <w:t>PART I</w:t>
            </w:r>
          </w:p>
        </w:tc>
        <w:tc>
          <w:tcPr>
            <w:tcW w:w="600" w:type="dxa"/>
            <w:vAlign w:val="bottom"/>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98"/>
        </w:trPr>
        <w:tc>
          <w:tcPr>
            <w:tcW w:w="9480" w:type="dxa"/>
            <w:vAlign w:val="bottom"/>
          </w:tcPr>
          <w:p>
            <w:pPr>
              <w:ind w:left="220"/>
              <w:spacing w:after="0"/>
              <w:rPr>
                <w:sz w:val="20"/>
                <w:szCs w:val="20"/>
                <w:color w:val="auto"/>
              </w:rPr>
            </w:pPr>
            <w:r>
              <w:rPr>
                <w:rFonts w:ascii="Arial" w:cs="Arial" w:eastAsia="Arial" w:hAnsi="Arial"/>
                <w:sz w:val="20"/>
                <w:szCs w:val="20"/>
                <w:color w:val="auto"/>
              </w:rPr>
              <w:t>Item 1 — Business</w:t>
            </w:r>
          </w:p>
        </w:tc>
        <w:tc>
          <w:tcPr>
            <w:tcW w:w="600" w:type="dxa"/>
            <w:vAlign w:val="bottom"/>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99"/>
        </w:trPr>
        <w:tc>
          <w:tcPr>
            <w:tcW w:w="9480" w:type="dxa"/>
            <w:vAlign w:val="bottom"/>
          </w:tcPr>
          <w:p>
            <w:pPr>
              <w:ind w:left="220"/>
              <w:spacing w:after="0"/>
              <w:rPr>
                <w:sz w:val="20"/>
                <w:szCs w:val="20"/>
                <w:color w:val="auto"/>
              </w:rPr>
            </w:pPr>
            <w:r>
              <w:rPr>
                <w:rFonts w:ascii="Arial" w:cs="Arial" w:eastAsia="Arial" w:hAnsi="Arial"/>
                <w:sz w:val="20"/>
                <w:szCs w:val="20"/>
                <w:color w:val="auto"/>
              </w:rPr>
              <w:t>Item 1A — Risk Factors</w:t>
            </w:r>
          </w:p>
        </w:tc>
        <w:tc>
          <w:tcPr>
            <w:tcW w:w="600" w:type="dxa"/>
            <w:vAlign w:val="bottom"/>
          </w:tcPr>
          <w:p>
            <w:pPr>
              <w:jc w:val="right"/>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298"/>
        </w:trPr>
        <w:tc>
          <w:tcPr>
            <w:tcW w:w="9480" w:type="dxa"/>
            <w:vAlign w:val="bottom"/>
          </w:tcPr>
          <w:p>
            <w:pPr>
              <w:ind w:left="220"/>
              <w:spacing w:after="0"/>
              <w:rPr>
                <w:sz w:val="20"/>
                <w:szCs w:val="20"/>
                <w:color w:val="auto"/>
              </w:rPr>
            </w:pPr>
            <w:r>
              <w:rPr>
                <w:rFonts w:ascii="Arial" w:cs="Arial" w:eastAsia="Arial" w:hAnsi="Arial"/>
                <w:sz w:val="20"/>
                <w:szCs w:val="20"/>
                <w:color w:val="auto"/>
              </w:rPr>
              <w:t>Item 1B — Unresolved Staff Comments</w:t>
            </w:r>
          </w:p>
        </w:tc>
        <w:tc>
          <w:tcPr>
            <w:tcW w:w="600" w:type="dxa"/>
            <w:vAlign w:val="bottom"/>
          </w:tcPr>
          <w:p>
            <w:pPr>
              <w:jc w:val="right"/>
              <w:spacing w:after="0"/>
              <w:rPr>
                <w:sz w:val="20"/>
                <w:szCs w:val="20"/>
                <w:color w:val="auto"/>
              </w:rPr>
            </w:pPr>
            <w:r>
              <w:rPr>
                <w:rFonts w:ascii="Arial" w:cs="Arial" w:eastAsia="Arial" w:hAnsi="Arial"/>
                <w:sz w:val="20"/>
                <w:szCs w:val="20"/>
                <w:color w:val="auto"/>
              </w:rPr>
              <w:t>36</w:t>
            </w:r>
          </w:p>
        </w:tc>
        <w:tc>
          <w:tcPr>
            <w:tcW w:w="0" w:type="dxa"/>
            <w:vAlign w:val="bottom"/>
          </w:tcPr>
          <w:p>
            <w:pPr>
              <w:spacing w:after="0"/>
              <w:rPr>
                <w:sz w:val="1"/>
                <w:szCs w:val="1"/>
                <w:color w:val="auto"/>
              </w:rPr>
            </w:pPr>
          </w:p>
        </w:tc>
      </w:tr>
      <w:tr>
        <w:trPr>
          <w:trHeight w:val="298"/>
        </w:trPr>
        <w:tc>
          <w:tcPr>
            <w:tcW w:w="9480" w:type="dxa"/>
            <w:vAlign w:val="bottom"/>
          </w:tcPr>
          <w:p>
            <w:pPr>
              <w:ind w:left="220"/>
              <w:spacing w:after="0"/>
              <w:rPr>
                <w:sz w:val="20"/>
                <w:szCs w:val="20"/>
                <w:color w:val="auto"/>
              </w:rPr>
            </w:pPr>
            <w:r>
              <w:rPr>
                <w:rFonts w:ascii="Arial" w:cs="Arial" w:eastAsia="Arial" w:hAnsi="Arial"/>
                <w:sz w:val="20"/>
                <w:szCs w:val="20"/>
                <w:color w:val="auto"/>
              </w:rPr>
              <w:t>Item 1C — Cybersecurity</w:t>
            </w:r>
          </w:p>
        </w:tc>
        <w:tc>
          <w:tcPr>
            <w:tcW w:w="600" w:type="dxa"/>
            <w:vAlign w:val="bottom"/>
          </w:tcPr>
          <w:p>
            <w:pPr>
              <w:jc w:val="right"/>
              <w:spacing w:after="0"/>
              <w:rPr>
                <w:sz w:val="20"/>
                <w:szCs w:val="20"/>
                <w:color w:val="auto"/>
              </w:rPr>
            </w:pPr>
            <w:r>
              <w:rPr>
                <w:rFonts w:ascii="Arial" w:cs="Arial" w:eastAsia="Arial" w:hAnsi="Arial"/>
                <w:sz w:val="20"/>
                <w:szCs w:val="20"/>
                <w:color w:val="auto"/>
              </w:rPr>
              <w:t>37</w:t>
            </w:r>
          </w:p>
        </w:tc>
        <w:tc>
          <w:tcPr>
            <w:tcW w:w="0" w:type="dxa"/>
            <w:vAlign w:val="bottom"/>
          </w:tcPr>
          <w:p>
            <w:pPr>
              <w:spacing w:after="0"/>
              <w:rPr>
                <w:sz w:val="1"/>
                <w:szCs w:val="1"/>
                <w:color w:val="auto"/>
              </w:rPr>
            </w:pPr>
          </w:p>
        </w:tc>
      </w:tr>
      <w:tr>
        <w:trPr>
          <w:trHeight w:val="298"/>
        </w:trPr>
        <w:tc>
          <w:tcPr>
            <w:tcW w:w="9480" w:type="dxa"/>
            <w:vAlign w:val="bottom"/>
          </w:tcPr>
          <w:p>
            <w:pPr>
              <w:ind w:left="220"/>
              <w:spacing w:after="0"/>
              <w:rPr>
                <w:sz w:val="20"/>
                <w:szCs w:val="20"/>
                <w:color w:val="auto"/>
              </w:rPr>
            </w:pPr>
            <w:r>
              <w:rPr>
                <w:rFonts w:ascii="Arial" w:cs="Arial" w:eastAsia="Arial" w:hAnsi="Arial"/>
                <w:sz w:val="20"/>
                <w:szCs w:val="20"/>
                <w:color w:val="auto"/>
              </w:rPr>
              <w:t>Item 2 — Properties</w:t>
            </w:r>
          </w:p>
        </w:tc>
        <w:tc>
          <w:tcPr>
            <w:tcW w:w="600" w:type="dxa"/>
            <w:vAlign w:val="bottom"/>
          </w:tcPr>
          <w:p>
            <w:pPr>
              <w:jc w:val="right"/>
              <w:spacing w:after="0"/>
              <w:rPr>
                <w:sz w:val="20"/>
                <w:szCs w:val="20"/>
                <w:color w:val="auto"/>
              </w:rPr>
            </w:pPr>
            <w:r>
              <w:rPr>
                <w:rFonts w:ascii="Arial" w:cs="Arial" w:eastAsia="Arial" w:hAnsi="Arial"/>
                <w:sz w:val="20"/>
                <w:szCs w:val="20"/>
                <w:color w:val="auto"/>
              </w:rPr>
              <w:t>39</w:t>
            </w:r>
          </w:p>
        </w:tc>
        <w:tc>
          <w:tcPr>
            <w:tcW w:w="0" w:type="dxa"/>
            <w:vAlign w:val="bottom"/>
          </w:tcPr>
          <w:p>
            <w:pPr>
              <w:spacing w:after="0"/>
              <w:rPr>
                <w:sz w:val="1"/>
                <w:szCs w:val="1"/>
                <w:color w:val="auto"/>
              </w:rPr>
            </w:pPr>
          </w:p>
        </w:tc>
      </w:tr>
      <w:tr>
        <w:trPr>
          <w:trHeight w:val="298"/>
        </w:trPr>
        <w:tc>
          <w:tcPr>
            <w:tcW w:w="9480" w:type="dxa"/>
            <w:vAlign w:val="bottom"/>
          </w:tcPr>
          <w:p>
            <w:pPr>
              <w:ind w:left="220"/>
              <w:spacing w:after="0"/>
              <w:rPr>
                <w:sz w:val="20"/>
                <w:szCs w:val="20"/>
                <w:color w:val="auto"/>
              </w:rPr>
            </w:pPr>
            <w:r>
              <w:rPr>
                <w:rFonts w:ascii="Arial" w:cs="Arial" w:eastAsia="Arial" w:hAnsi="Arial"/>
                <w:sz w:val="20"/>
                <w:szCs w:val="20"/>
                <w:color w:val="auto"/>
              </w:rPr>
              <w:t>Item 3 — Legal Proceedings</w:t>
            </w:r>
          </w:p>
        </w:tc>
        <w:tc>
          <w:tcPr>
            <w:tcW w:w="600" w:type="dxa"/>
            <w:vAlign w:val="bottom"/>
          </w:tcPr>
          <w:p>
            <w:pPr>
              <w:jc w:val="right"/>
              <w:spacing w:after="0"/>
              <w:rPr>
                <w:sz w:val="20"/>
                <w:szCs w:val="20"/>
                <w:color w:val="auto"/>
              </w:rPr>
            </w:pPr>
            <w:r>
              <w:rPr>
                <w:rFonts w:ascii="Arial" w:cs="Arial" w:eastAsia="Arial" w:hAnsi="Arial"/>
                <w:sz w:val="20"/>
                <w:szCs w:val="20"/>
                <w:color w:val="auto"/>
              </w:rPr>
              <w:t>42</w:t>
            </w:r>
          </w:p>
        </w:tc>
        <w:tc>
          <w:tcPr>
            <w:tcW w:w="0" w:type="dxa"/>
            <w:vAlign w:val="bottom"/>
          </w:tcPr>
          <w:p>
            <w:pPr>
              <w:spacing w:after="0"/>
              <w:rPr>
                <w:sz w:val="1"/>
                <w:szCs w:val="1"/>
                <w:color w:val="auto"/>
              </w:rPr>
            </w:pPr>
          </w:p>
        </w:tc>
      </w:tr>
      <w:tr>
        <w:trPr>
          <w:trHeight w:val="299"/>
        </w:trPr>
        <w:tc>
          <w:tcPr>
            <w:tcW w:w="9480" w:type="dxa"/>
            <w:vAlign w:val="bottom"/>
          </w:tcPr>
          <w:p>
            <w:pPr>
              <w:ind w:left="220"/>
              <w:spacing w:after="0"/>
              <w:rPr>
                <w:sz w:val="20"/>
                <w:szCs w:val="20"/>
                <w:color w:val="auto"/>
              </w:rPr>
            </w:pPr>
            <w:r>
              <w:rPr>
                <w:rFonts w:ascii="Arial" w:cs="Arial" w:eastAsia="Arial" w:hAnsi="Arial"/>
                <w:sz w:val="20"/>
                <w:szCs w:val="20"/>
                <w:color w:val="auto"/>
              </w:rPr>
              <w:t>Item 4 — Mine Safety Disclosures</w:t>
            </w:r>
          </w:p>
        </w:tc>
        <w:tc>
          <w:tcPr>
            <w:tcW w:w="600" w:type="dxa"/>
            <w:vAlign w:val="bottom"/>
          </w:tcPr>
          <w:p>
            <w:pPr>
              <w:jc w:val="right"/>
              <w:spacing w:after="0"/>
              <w:rPr>
                <w:sz w:val="20"/>
                <w:szCs w:val="20"/>
                <w:color w:val="auto"/>
              </w:rPr>
            </w:pPr>
            <w:r>
              <w:rPr>
                <w:rFonts w:ascii="Arial" w:cs="Arial" w:eastAsia="Arial" w:hAnsi="Arial"/>
                <w:sz w:val="20"/>
                <w:szCs w:val="20"/>
                <w:color w:val="auto"/>
              </w:rPr>
              <w:t>42</w:t>
            </w:r>
          </w:p>
        </w:tc>
        <w:tc>
          <w:tcPr>
            <w:tcW w:w="0" w:type="dxa"/>
            <w:vAlign w:val="bottom"/>
          </w:tcPr>
          <w:p>
            <w:pPr>
              <w:spacing w:after="0"/>
              <w:rPr>
                <w:sz w:val="1"/>
                <w:szCs w:val="1"/>
                <w:color w:val="auto"/>
              </w:rPr>
            </w:pPr>
          </w:p>
        </w:tc>
      </w:tr>
      <w:tr>
        <w:trPr>
          <w:trHeight w:val="298"/>
        </w:trPr>
        <w:tc>
          <w:tcPr>
            <w:tcW w:w="9480" w:type="dxa"/>
            <w:vAlign w:val="bottom"/>
          </w:tcPr>
          <w:p>
            <w:pPr>
              <w:spacing w:after="0"/>
              <w:rPr>
                <w:sz w:val="20"/>
                <w:szCs w:val="20"/>
                <w:color w:val="auto"/>
              </w:rPr>
            </w:pPr>
            <w:r>
              <w:rPr>
                <w:rFonts w:ascii="Arial" w:cs="Arial" w:eastAsia="Arial" w:hAnsi="Arial"/>
                <w:sz w:val="20"/>
                <w:szCs w:val="20"/>
                <w:b w:val="1"/>
                <w:bCs w:val="1"/>
                <w:color w:val="auto"/>
              </w:rPr>
              <w:t>PART II</w:t>
            </w:r>
          </w:p>
        </w:tc>
        <w:tc>
          <w:tcPr>
            <w:tcW w:w="600" w:type="dxa"/>
            <w:vAlign w:val="bottom"/>
          </w:tcPr>
          <w:p>
            <w:pPr>
              <w:jc w:val="right"/>
              <w:spacing w:after="0"/>
              <w:rPr>
                <w:sz w:val="20"/>
                <w:szCs w:val="20"/>
                <w:color w:val="auto"/>
              </w:rPr>
            </w:pPr>
            <w:r>
              <w:rPr>
                <w:rFonts w:ascii="Arial" w:cs="Arial" w:eastAsia="Arial" w:hAnsi="Arial"/>
                <w:sz w:val="20"/>
                <w:szCs w:val="20"/>
                <w:color w:val="auto"/>
              </w:rPr>
              <w:t>43</w:t>
            </w:r>
          </w:p>
        </w:tc>
        <w:tc>
          <w:tcPr>
            <w:tcW w:w="0" w:type="dxa"/>
            <w:vAlign w:val="bottom"/>
          </w:tcPr>
          <w:p>
            <w:pPr>
              <w:spacing w:after="0"/>
              <w:rPr>
                <w:sz w:val="1"/>
                <w:szCs w:val="1"/>
                <w:color w:val="auto"/>
              </w:rPr>
            </w:pPr>
          </w:p>
        </w:tc>
      </w:tr>
      <w:tr>
        <w:trPr>
          <w:trHeight w:val="234"/>
        </w:trPr>
        <w:tc>
          <w:tcPr>
            <w:tcW w:w="9480" w:type="dxa"/>
            <w:vAlign w:val="bottom"/>
          </w:tcPr>
          <w:p>
            <w:pPr>
              <w:ind w:left="220"/>
              <w:spacing w:after="0"/>
              <w:rPr>
                <w:sz w:val="20"/>
                <w:szCs w:val="20"/>
                <w:color w:val="auto"/>
              </w:rPr>
            </w:pPr>
            <w:r>
              <w:rPr>
                <w:rFonts w:ascii="Arial" w:cs="Arial" w:eastAsia="Arial" w:hAnsi="Arial"/>
                <w:sz w:val="20"/>
                <w:szCs w:val="20"/>
                <w:color w:val="auto"/>
                <w:w w:val="94"/>
              </w:rPr>
              <w:t>Item 5 — Market for Registrant’s Common Equity, Related Stockholder Matters and Issuer Purchases of Equity</w:t>
            </w:r>
          </w:p>
        </w:tc>
        <w:tc>
          <w:tcPr>
            <w:tcW w:w="600" w:type="dxa"/>
            <w:vAlign w:val="bottom"/>
            <w:vMerge w:val="restart"/>
          </w:tcPr>
          <w:p>
            <w:pPr>
              <w:jc w:val="right"/>
              <w:spacing w:after="0"/>
              <w:rPr>
                <w:sz w:val="20"/>
                <w:szCs w:val="20"/>
                <w:color w:val="auto"/>
              </w:rPr>
            </w:pPr>
            <w:r>
              <w:rPr>
                <w:rFonts w:ascii="Arial" w:cs="Arial" w:eastAsia="Arial" w:hAnsi="Arial"/>
                <w:sz w:val="20"/>
                <w:szCs w:val="20"/>
                <w:color w:val="auto"/>
              </w:rPr>
              <w:t>43</w:t>
            </w:r>
          </w:p>
        </w:tc>
        <w:tc>
          <w:tcPr>
            <w:tcW w:w="0" w:type="dxa"/>
            <w:vAlign w:val="bottom"/>
          </w:tcPr>
          <w:p>
            <w:pPr>
              <w:spacing w:after="0"/>
              <w:rPr>
                <w:sz w:val="1"/>
                <w:szCs w:val="1"/>
                <w:color w:val="auto"/>
              </w:rPr>
            </w:pPr>
          </w:p>
        </w:tc>
      </w:tr>
      <w:tr>
        <w:trPr>
          <w:trHeight w:val="260"/>
        </w:trPr>
        <w:tc>
          <w:tcPr>
            <w:tcW w:w="9480" w:type="dxa"/>
            <w:vAlign w:val="bottom"/>
          </w:tcPr>
          <w:p>
            <w:pPr>
              <w:ind w:left="220"/>
              <w:spacing w:after="0"/>
              <w:rPr>
                <w:sz w:val="20"/>
                <w:szCs w:val="20"/>
                <w:color w:val="auto"/>
              </w:rPr>
            </w:pPr>
            <w:r>
              <w:rPr>
                <w:rFonts w:ascii="Arial" w:cs="Arial" w:eastAsia="Arial" w:hAnsi="Arial"/>
                <w:sz w:val="20"/>
                <w:szCs w:val="20"/>
                <w:color w:val="auto"/>
              </w:rPr>
              <w:t>Securities</w:t>
            </w:r>
          </w:p>
        </w:tc>
        <w:tc>
          <w:tcPr>
            <w:tcW w:w="6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9480" w:type="dxa"/>
            <w:vAlign w:val="bottom"/>
          </w:tcPr>
          <w:p>
            <w:pPr>
              <w:ind w:left="220"/>
              <w:spacing w:after="0"/>
              <w:rPr>
                <w:sz w:val="20"/>
                <w:szCs w:val="20"/>
                <w:color w:val="auto"/>
              </w:rPr>
            </w:pPr>
            <w:r>
              <w:rPr>
                <w:rFonts w:ascii="Arial" w:cs="Arial" w:eastAsia="Arial" w:hAnsi="Arial"/>
                <w:sz w:val="20"/>
                <w:szCs w:val="20"/>
                <w:color w:val="auto"/>
              </w:rPr>
              <w:t>Item 6 — Reserved</w:t>
            </w:r>
          </w:p>
        </w:tc>
        <w:tc>
          <w:tcPr>
            <w:tcW w:w="600" w:type="dxa"/>
            <w:vAlign w:val="bottom"/>
          </w:tcPr>
          <w:p>
            <w:pPr>
              <w:jc w:val="right"/>
              <w:spacing w:after="0"/>
              <w:rPr>
                <w:sz w:val="20"/>
                <w:szCs w:val="20"/>
                <w:color w:val="auto"/>
              </w:rPr>
            </w:pPr>
            <w:r>
              <w:rPr>
                <w:rFonts w:ascii="Arial" w:cs="Arial" w:eastAsia="Arial" w:hAnsi="Arial"/>
                <w:sz w:val="20"/>
                <w:szCs w:val="20"/>
                <w:color w:val="auto"/>
              </w:rPr>
              <w:t>44</w:t>
            </w:r>
          </w:p>
        </w:tc>
        <w:tc>
          <w:tcPr>
            <w:tcW w:w="0" w:type="dxa"/>
            <w:vAlign w:val="bottom"/>
          </w:tcPr>
          <w:p>
            <w:pPr>
              <w:spacing w:after="0"/>
              <w:rPr>
                <w:sz w:val="1"/>
                <w:szCs w:val="1"/>
                <w:color w:val="auto"/>
              </w:rPr>
            </w:pPr>
          </w:p>
        </w:tc>
      </w:tr>
      <w:tr>
        <w:trPr>
          <w:trHeight w:val="298"/>
        </w:trPr>
        <w:tc>
          <w:tcPr>
            <w:tcW w:w="9480" w:type="dxa"/>
            <w:vAlign w:val="bottom"/>
          </w:tcPr>
          <w:p>
            <w:pPr>
              <w:ind w:left="220"/>
              <w:spacing w:after="0"/>
              <w:rPr>
                <w:sz w:val="20"/>
                <w:szCs w:val="20"/>
                <w:color w:val="auto"/>
              </w:rPr>
            </w:pPr>
            <w:r>
              <w:rPr>
                <w:rFonts w:ascii="Arial" w:cs="Arial" w:eastAsia="Arial" w:hAnsi="Arial"/>
                <w:sz w:val="20"/>
                <w:szCs w:val="20"/>
                <w:color w:val="auto"/>
              </w:rPr>
              <w:t>Item 7 — Management’s Discussion and Analysis of Financial Condition and Results of Operations</w:t>
            </w:r>
          </w:p>
        </w:tc>
        <w:tc>
          <w:tcPr>
            <w:tcW w:w="600" w:type="dxa"/>
            <w:vAlign w:val="bottom"/>
          </w:tcPr>
          <w:p>
            <w:pPr>
              <w:jc w:val="right"/>
              <w:spacing w:after="0"/>
              <w:rPr>
                <w:sz w:val="20"/>
                <w:szCs w:val="20"/>
                <w:color w:val="auto"/>
              </w:rPr>
            </w:pPr>
            <w:r>
              <w:rPr>
                <w:rFonts w:ascii="Arial" w:cs="Arial" w:eastAsia="Arial" w:hAnsi="Arial"/>
                <w:sz w:val="20"/>
                <w:szCs w:val="20"/>
                <w:color w:val="auto"/>
              </w:rPr>
              <w:t>45</w:t>
            </w:r>
          </w:p>
        </w:tc>
        <w:tc>
          <w:tcPr>
            <w:tcW w:w="0" w:type="dxa"/>
            <w:vAlign w:val="bottom"/>
          </w:tcPr>
          <w:p>
            <w:pPr>
              <w:spacing w:after="0"/>
              <w:rPr>
                <w:sz w:val="1"/>
                <w:szCs w:val="1"/>
                <w:color w:val="auto"/>
              </w:rPr>
            </w:pPr>
          </w:p>
        </w:tc>
      </w:tr>
      <w:tr>
        <w:trPr>
          <w:trHeight w:val="298"/>
        </w:trPr>
        <w:tc>
          <w:tcPr>
            <w:tcW w:w="9480" w:type="dxa"/>
            <w:vAlign w:val="bottom"/>
          </w:tcPr>
          <w:p>
            <w:pPr>
              <w:ind w:left="220"/>
              <w:spacing w:after="0"/>
              <w:rPr>
                <w:sz w:val="20"/>
                <w:szCs w:val="20"/>
                <w:color w:val="auto"/>
              </w:rPr>
            </w:pPr>
            <w:r>
              <w:rPr>
                <w:rFonts w:ascii="Arial" w:cs="Arial" w:eastAsia="Arial" w:hAnsi="Arial"/>
                <w:sz w:val="20"/>
                <w:szCs w:val="20"/>
                <w:color w:val="auto"/>
              </w:rPr>
              <w:t>Item 7A — Quantitative and Qualitative Disclosures About Market Risk</w:t>
            </w:r>
          </w:p>
        </w:tc>
        <w:tc>
          <w:tcPr>
            <w:tcW w:w="600" w:type="dxa"/>
            <w:vAlign w:val="bottom"/>
          </w:tcPr>
          <w:p>
            <w:pPr>
              <w:jc w:val="right"/>
              <w:spacing w:after="0"/>
              <w:rPr>
                <w:sz w:val="20"/>
                <w:szCs w:val="20"/>
                <w:color w:val="auto"/>
              </w:rPr>
            </w:pPr>
            <w:r>
              <w:rPr>
                <w:rFonts w:ascii="Arial" w:cs="Arial" w:eastAsia="Arial" w:hAnsi="Arial"/>
                <w:sz w:val="20"/>
                <w:szCs w:val="20"/>
                <w:color w:val="auto"/>
              </w:rPr>
              <w:t>64</w:t>
            </w:r>
          </w:p>
        </w:tc>
        <w:tc>
          <w:tcPr>
            <w:tcW w:w="0" w:type="dxa"/>
            <w:vAlign w:val="bottom"/>
          </w:tcPr>
          <w:p>
            <w:pPr>
              <w:spacing w:after="0"/>
              <w:rPr>
                <w:sz w:val="1"/>
                <w:szCs w:val="1"/>
                <w:color w:val="auto"/>
              </w:rPr>
            </w:pPr>
          </w:p>
        </w:tc>
      </w:tr>
      <w:tr>
        <w:trPr>
          <w:trHeight w:val="298"/>
        </w:trPr>
        <w:tc>
          <w:tcPr>
            <w:tcW w:w="9480" w:type="dxa"/>
            <w:vAlign w:val="bottom"/>
          </w:tcPr>
          <w:p>
            <w:pPr>
              <w:ind w:left="220"/>
              <w:spacing w:after="0"/>
              <w:rPr>
                <w:sz w:val="20"/>
                <w:szCs w:val="20"/>
                <w:color w:val="auto"/>
              </w:rPr>
            </w:pPr>
            <w:r>
              <w:rPr>
                <w:rFonts w:ascii="Arial" w:cs="Arial" w:eastAsia="Arial" w:hAnsi="Arial"/>
                <w:sz w:val="20"/>
                <w:szCs w:val="20"/>
                <w:color w:val="auto"/>
              </w:rPr>
              <w:t>Item 8 — Financial Statements and Supplementary Data</w:t>
            </w:r>
          </w:p>
        </w:tc>
        <w:tc>
          <w:tcPr>
            <w:tcW w:w="600" w:type="dxa"/>
            <w:vAlign w:val="bottom"/>
          </w:tcPr>
          <w:p>
            <w:pPr>
              <w:jc w:val="right"/>
              <w:spacing w:after="0"/>
              <w:rPr>
                <w:sz w:val="20"/>
                <w:szCs w:val="20"/>
                <w:color w:val="auto"/>
              </w:rPr>
            </w:pPr>
            <w:r>
              <w:rPr>
                <w:rFonts w:ascii="Arial" w:cs="Arial" w:eastAsia="Arial" w:hAnsi="Arial"/>
                <w:sz w:val="20"/>
                <w:szCs w:val="20"/>
                <w:color w:val="auto"/>
              </w:rPr>
              <w:t>64</w:t>
            </w:r>
          </w:p>
        </w:tc>
        <w:tc>
          <w:tcPr>
            <w:tcW w:w="0" w:type="dxa"/>
            <w:vAlign w:val="bottom"/>
          </w:tcPr>
          <w:p>
            <w:pPr>
              <w:spacing w:after="0"/>
              <w:rPr>
                <w:sz w:val="1"/>
                <w:szCs w:val="1"/>
                <w:color w:val="auto"/>
              </w:rPr>
            </w:pPr>
          </w:p>
        </w:tc>
      </w:tr>
      <w:tr>
        <w:trPr>
          <w:trHeight w:val="299"/>
        </w:trPr>
        <w:tc>
          <w:tcPr>
            <w:tcW w:w="9480" w:type="dxa"/>
            <w:vAlign w:val="bottom"/>
          </w:tcPr>
          <w:p>
            <w:pPr>
              <w:ind w:left="220"/>
              <w:spacing w:after="0"/>
              <w:rPr>
                <w:sz w:val="20"/>
                <w:szCs w:val="20"/>
                <w:color w:val="auto"/>
              </w:rPr>
            </w:pPr>
            <w:r>
              <w:rPr>
                <w:rFonts w:ascii="Arial" w:cs="Arial" w:eastAsia="Arial" w:hAnsi="Arial"/>
                <w:sz w:val="20"/>
                <w:szCs w:val="20"/>
                <w:color w:val="auto"/>
              </w:rPr>
              <w:t>Item 9 — Changes in and Disagreements with Accountants on Accounting and Financial Disclosure</w:t>
            </w:r>
          </w:p>
        </w:tc>
        <w:tc>
          <w:tcPr>
            <w:tcW w:w="600" w:type="dxa"/>
            <w:vAlign w:val="bottom"/>
          </w:tcPr>
          <w:p>
            <w:pPr>
              <w:jc w:val="right"/>
              <w:spacing w:after="0"/>
              <w:rPr>
                <w:sz w:val="20"/>
                <w:szCs w:val="20"/>
                <w:color w:val="auto"/>
              </w:rPr>
            </w:pPr>
            <w:r>
              <w:rPr>
                <w:rFonts w:ascii="Arial" w:cs="Arial" w:eastAsia="Arial" w:hAnsi="Arial"/>
                <w:sz w:val="20"/>
                <w:szCs w:val="20"/>
                <w:color w:val="auto"/>
              </w:rPr>
              <w:t>65</w:t>
            </w:r>
          </w:p>
        </w:tc>
        <w:tc>
          <w:tcPr>
            <w:tcW w:w="0" w:type="dxa"/>
            <w:vAlign w:val="bottom"/>
          </w:tcPr>
          <w:p>
            <w:pPr>
              <w:spacing w:after="0"/>
              <w:rPr>
                <w:sz w:val="1"/>
                <w:szCs w:val="1"/>
                <w:color w:val="auto"/>
              </w:rPr>
            </w:pPr>
          </w:p>
        </w:tc>
      </w:tr>
      <w:tr>
        <w:trPr>
          <w:trHeight w:val="298"/>
        </w:trPr>
        <w:tc>
          <w:tcPr>
            <w:tcW w:w="9480" w:type="dxa"/>
            <w:vAlign w:val="bottom"/>
          </w:tcPr>
          <w:p>
            <w:pPr>
              <w:ind w:left="220"/>
              <w:spacing w:after="0"/>
              <w:rPr>
                <w:sz w:val="20"/>
                <w:szCs w:val="20"/>
                <w:color w:val="auto"/>
              </w:rPr>
            </w:pPr>
            <w:r>
              <w:rPr>
                <w:rFonts w:ascii="Arial" w:cs="Arial" w:eastAsia="Arial" w:hAnsi="Arial"/>
                <w:sz w:val="20"/>
                <w:szCs w:val="20"/>
                <w:color w:val="auto"/>
              </w:rPr>
              <w:t>Item 9A — Controls and Procedures</w:t>
            </w:r>
          </w:p>
        </w:tc>
        <w:tc>
          <w:tcPr>
            <w:tcW w:w="600" w:type="dxa"/>
            <w:vAlign w:val="bottom"/>
          </w:tcPr>
          <w:p>
            <w:pPr>
              <w:jc w:val="right"/>
              <w:spacing w:after="0"/>
              <w:rPr>
                <w:sz w:val="20"/>
                <w:szCs w:val="20"/>
                <w:color w:val="auto"/>
              </w:rPr>
            </w:pPr>
            <w:r>
              <w:rPr>
                <w:rFonts w:ascii="Arial" w:cs="Arial" w:eastAsia="Arial" w:hAnsi="Arial"/>
                <w:sz w:val="20"/>
                <w:szCs w:val="20"/>
                <w:color w:val="auto"/>
              </w:rPr>
              <w:t>65</w:t>
            </w:r>
          </w:p>
        </w:tc>
        <w:tc>
          <w:tcPr>
            <w:tcW w:w="0" w:type="dxa"/>
            <w:vAlign w:val="bottom"/>
          </w:tcPr>
          <w:p>
            <w:pPr>
              <w:spacing w:after="0"/>
              <w:rPr>
                <w:sz w:val="1"/>
                <w:szCs w:val="1"/>
                <w:color w:val="auto"/>
              </w:rPr>
            </w:pPr>
          </w:p>
        </w:tc>
      </w:tr>
      <w:tr>
        <w:trPr>
          <w:trHeight w:val="298"/>
        </w:trPr>
        <w:tc>
          <w:tcPr>
            <w:tcW w:w="9480" w:type="dxa"/>
            <w:vAlign w:val="bottom"/>
          </w:tcPr>
          <w:p>
            <w:pPr>
              <w:ind w:left="220"/>
              <w:spacing w:after="0"/>
              <w:rPr>
                <w:sz w:val="20"/>
                <w:szCs w:val="20"/>
                <w:color w:val="auto"/>
              </w:rPr>
            </w:pPr>
            <w:r>
              <w:rPr>
                <w:rFonts w:ascii="Arial" w:cs="Arial" w:eastAsia="Arial" w:hAnsi="Arial"/>
                <w:sz w:val="20"/>
                <w:szCs w:val="20"/>
                <w:color w:val="auto"/>
              </w:rPr>
              <w:t>Item 9B — Other Information</w:t>
            </w:r>
          </w:p>
        </w:tc>
        <w:tc>
          <w:tcPr>
            <w:tcW w:w="600" w:type="dxa"/>
            <w:vAlign w:val="bottom"/>
          </w:tcPr>
          <w:p>
            <w:pPr>
              <w:jc w:val="right"/>
              <w:spacing w:after="0"/>
              <w:rPr>
                <w:sz w:val="20"/>
                <w:szCs w:val="20"/>
                <w:color w:val="auto"/>
              </w:rPr>
            </w:pPr>
            <w:r>
              <w:rPr>
                <w:rFonts w:ascii="Arial" w:cs="Arial" w:eastAsia="Arial" w:hAnsi="Arial"/>
                <w:sz w:val="20"/>
                <w:szCs w:val="20"/>
                <w:color w:val="auto"/>
              </w:rPr>
              <w:t>67</w:t>
            </w:r>
          </w:p>
        </w:tc>
        <w:tc>
          <w:tcPr>
            <w:tcW w:w="0" w:type="dxa"/>
            <w:vAlign w:val="bottom"/>
          </w:tcPr>
          <w:p>
            <w:pPr>
              <w:spacing w:after="0"/>
              <w:rPr>
                <w:sz w:val="1"/>
                <w:szCs w:val="1"/>
                <w:color w:val="auto"/>
              </w:rPr>
            </w:pPr>
          </w:p>
        </w:tc>
      </w:tr>
      <w:tr>
        <w:trPr>
          <w:trHeight w:val="299"/>
        </w:trPr>
        <w:tc>
          <w:tcPr>
            <w:tcW w:w="9480" w:type="dxa"/>
            <w:vAlign w:val="bottom"/>
          </w:tcPr>
          <w:p>
            <w:pPr>
              <w:spacing w:after="0"/>
              <w:rPr>
                <w:sz w:val="20"/>
                <w:szCs w:val="20"/>
                <w:color w:val="auto"/>
              </w:rPr>
            </w:pPr>
            <w:r>
              <w:rPr>
                <w:rFonts w:ascii="Arial" w:cs="Arial" w:eastAsia="Arial" w:hAnsi="Arial"/>
                <w:sz w:val="20"/>
                <w:szCs w:val="20"/>
                <w:b w:val="1"/>
                <w:bCs w:val="1"/>
                <w:color w:val="auto"/>
              </w:rPr>
              <w:t>PART III</w:t>
            </w:r>
          </w:p>
        </w:tc>
        <w:tc>
          <w:tcPr>
            <w:tcW w:w="600" w:type="dxa"/>
            <w:vAlign w:val="bottom"/>
          </w:tcPr>
          <w:p>
            <w:pPr>
              <w:jc w:val="right"/>
              <w:spacing w:after="0"/>
              <w:rPr>
                <w:sz w:val="20"/>
                <w:szCs w:val="20"/>
                <w:color w:val="auto"/>
              </w:rPr>
            </w:pPr>
            <w:r>
              <w:rPr>
                <w:rFonts w:ascii="Arial" w:cs="Arial" w:eastAsia="Arial" w:hAnsi="Arial"/>
                <w:sz w:val="20"/>
                <w:szCs w:val="20"/>
                <w:color w:val="auto"/>
              </w:rPr>
              <w:t>68</w:t>
            </w:r>
          </w:p>
        </w:tc>
        <w:tc>
          <w:tcPr>
            <w:tcW w:w="0" w:type="dxa"/>
            <w:vAlign w:val="bottom"/>
          </w:tcPr>
          <w:p>
            <w:pPr>
              <w:spacing w:after="0"/>
              <w:rPr>
                <w:sz w:val="1"/>
                <w:szCs w:val="1"/>
                <w:color w:val="auto"/>
              </w:rPr>
            </w:pPr>
          </w:p>
        </w:tc>
      </w:tr>
      <w:tr>
        <w:trPr>
          <w:trHeight w:val="298"/>
        </w:trPr>
        <w:tc>
          <w:tcPr>
            <w:tcW w:w="9480" w:type="dxa"/>
            <w:vAlign w:val="bottom"/>
          </w:tcPr>
          <w:p>
            <w:pPr>
              <w:ind w:left="220"/>
              <w:spacing w:after="0"/>
              <w:rPr>
                <w:sz w:val="20"/>
                <w:szCs w:val="20"/>
                <w:color w:val="auto"/>
              </w:rPr>
            </w:pPr>
            <w:r>
              <w:rPr>
                <w:rFonts w:ascii="Arial" w:cs="Arial" w:eastAsia="Arial" w:hAnsi="Arial"/>
                <w:sz w:val="20"/>
                <w:szCs w:val="20"/>
                <w:color w:val="auto"/>
              </w:rPr>
              <w:t>Item 10 — Information about Directors, Executive Officers and Corporate Governance</w:t>
            </w:r>
          </w:p>
        </w:tc>
        <w:tc>
          <w:tcPr>
            <w:tcW w:w="600" w:type="dxa"/>
            <w:vAlign w:val="bottom"/>
          </w:tcPr>
          <w:p>
            <w:pPr>
              <w:jc w:val="right"/>
              <w:spacing w:after="0"/>
              <w:rPr>
                <w:sz w:val="20"/>
                <w:szCs w:val="20"/>
                <w:color w:val="auto"/>
              </w:rPr>
            </w:pPr>
            <w:r>
              <w:rPr>
                <w:rFonts w:ascii="Arial" w:cs="Arial" w:eastAsia="Arial" w:hAnsi="Arial"/>
                <w:sz w:val="20"/>
                <w:szCs w:val="20"/>
                <w:color w:val="auto"/>
              </w:rPr>
              <w:t>68</w:t>
            </w:r>
          </w:p>
        </w:tc>
        <w:tc>
          <w:tcPr>
            <w:tcW w:w="0" w:type="dxa"/>
            <w:vAlign w:val="bottom"/>
          </w:tcPr>
          <w:p>
            <w:pPr>
              <w:spacing w:after="0"/>
              <w:rPr>
                <w:sz w:val="1"/>
                <w:szCs w:val="1"/>
                <w:color w:val="auto"/>
              </w:rPr>
            </w:pPr>
          </w:p>
        </w:tc>
      </w:tr>
      <w:tr>
        <w:trPr>
          <w:trHeight w:val="299"/>
        </w:trPr>
        <w:tc>
          <w:tcPr>
            <w:tcW w:w="9480" w:type="dxa"/>
            <w:vAlign w:val="bottom"/>
          </w:tcPr>
          <w:p>
            <w:pPr>
              <w:ind w:left="220"/>
              <w:spacing w:after="0"/>
              <w:rPr>
                <w:sz w:val="20"/>
                <w:szCs w:val="20"/>
                <w:color w:val="auto"/>
              </w:rPr>
            </w:pPr>
            <w:r>
              <w:rPr>
                <w:rFonts w:ascii="Arial" w:cs="Arial" w:eastAsia="Arial" w:hAnsi="Arial"/>
                <w:sz w:val="20"/>
                <w:szCs w:val="20"/>
                <w:color w:val="auto"/>
              </w:rPr>
              <w:t>Item 11 — Executive Compensation</w:t>
            </w:r>
          </w:p>
        </w:tc>
        <w:tc>
          <w:tcPr>
            <w:tcW w:w="600" w:type="dxa"/>
            <w:vAlign w:val="bottom"/>
          </w:tcPr>
          <w:p>
            <w:pPr>
              <w:jc w:val="right"/>
              <w:spacing w:after="0"/>
              <w:rPr>
                <w:sz w:val="20"/>
                <w:szCs w:val="20"/>
                <w:color w:val="auto"/>
              </w:rPr>
            </w:pPr>
            <w:r>
              <w:rPr>
                <w:rFonts w:ascii="Arial" w:cs="Arial" w:eastAsia="Arial" w:hAnsi="Arial"/>
                <w:sz w:val="20"/>
                <w:szCs w:val="20"/>
                <w:color w:val="auto"/>
              </w:rPr>
              <w:t>71</w:t>
            </w:r>
          </w:p>
        </w:tc>
        <w:tc>
          <w:tcPr>
            <w:tcW w:w="0" w:type="dxa"/>
            <w:vAlign w:val="bottom"/>
          </w:tcPr>
          <w:p>
            <w:pPr>
              <w:spacing w:after="0"/>
              <w:rPr>
                <w:sz w:val="1"/>
                <w:szCs w:val="1"/>
                <w:color w:val="auto"/>
              </w:rPr>
            </w:pPr>
          </w:p>
        </w:tc>
      </w:tr>
      <w:tr>
        <w:trPr>
          <w:trHeight w:val="298"/>
        </w:trPr>
        <w:tc>
          <w:tcPr>
            <w:tcW w:w="9480" w:type="dxa"/>
            <w:vAlign w:val="bottom"/>
          </w:tcPr>
          <w:p>
            <w:pPr>
              <w:ind w:left="220"/>
              <w:spacing w:after="0"/>
              <w:rPr>
                <w:sz w:val="20"/>
                <w:szCs w:val="20"/>
                <w:color w:val="auto"/>
              </w:rPr>
            </w:pPr>
            <w:r>
              <w:rPr>
                <w:rFonts w:ascii="Arial" w:cs="Arial" w:eastAsia="Arial" w:hAnsi="Arial"/>
                <w:sz w:val="20"/>
                <w:szCs w:val="20"/>
                <w:color w:val="auto"/>
                <w:w w:val="93"/>
              </w:rPr>
              <w:t>Item 12 — Security Ownership of Certain Beneficial Owners and Management and Related Stockholder Matters</w:t>
            </w:r>
          </w:p>
        </w:tc>
        <w:tc>
          <w:tcPr>
            <w:tcW w:w="600" w:type="dxa"/>
            <w:vAlign w:val="bottom"/>
          </w:tcPr>
          <w:p>
            <w:pPr>
              <w:jc w:val="right"/>
              <w:spacing w:after="0"/>
              <w:rPr>
                <w:sz w:val="20"/>
                <w:szCs w:val="20"/>
                <w:color w:val="auto"/>
              </w:rPr>
            </w:pPr>
            <w:r>
              <w:rPr>
                <w:rFonts w:ascii="Arial" w:cs="Arial" w:eastAsia="Arial" w:hAnsi="Arial"/>
                <w:sz w:val="20"/>
                <w:szCs w:val="20"/>
                <w:color w:val="auto"/>
              </w:rPr>
              <w:t>71</w:t>
            </w:r>
          </w:p>
        </w:tc>
        <w:tc>
          <w:tcPr>
            <w:tcW w:w="0" w:type="dxa"/>
            <w:vAlign w:val="bottom"/>
          </w:tcPr>
          <w:p>
            <w:pPr>
              <w:spacing w:after="0"/>
              <w:rPr>
                <w:sz w:val="1"/>
                <w:szCs w:val="1"/>
                <w:color w:val="auto"/>
              </w:rPr>
            </w:pPr>
          </w:p>
        </w:tc>
      </w:tr>
      <w:tr>
        <w:trPr>
          <w:trHeight w:val="298"/>
        </w:trPr>
        <w:tc>
          <w:tcPr>
            <w:tcW w:w="9480" w:type="dxa"/>
            <w:vAlign w:val="bottom"/>
          </w:tcPr>
          <w:p>
            <w:pPr>
              <w:ind w:left="220"/>
              <w:spacing w:after="0"/>
              <w:rPr>
                <w:sz w:val="20"/>
                <w:szCs w:val="20"/>
                <w:color w:val="auto"/>
              </w:rPr>
            </w:pPr>
            <w:r>
              <w:rPr>
                <w:rFonts w:ascii="Arial" w:cs="Arial" w:eastAsia="Arial" w:hAnsi="Arial"/>
                <w:sz w:val="20"/>
                <w:szCs w:val="20"/>
                <w:color w:val="auto"/>
              </w:rPr>
              <w:t>Item 13 — Certain Relationships and Related Transactions, and Director Independence</w:t>
            </w:r>
          </w:p>
        </w:tc>
        <w:tc>
          <w:tcPr>
            <w:tcW w:w="600" w:type="dxa"/>
            <w:vAlign w:val="bottom"/>
          </w:tcPr>
          <w:p>
            <w:pPr>
              <w:jc w:val="right"/>
              <w:spacing w:after="0"/>
              <w:rPr>
                <w:sz w:val="20"/>
                <w:szCs w:val="20"/>
                <w:color w:val="auto"/>
              </w:rPr>
            </w:pPr>
            <w:r>
              <w:rPr>
                <w:rFonts w:ascii="Arial" w:cs="Arial" w:eastAsia="Arial" w:hAnsi="Arial"/>
                <w:sz w:val="20"/>
                <w:szCs w:val="20"/>
                <w:color w:val="auto"/>
              </w:rPr>
              <w:t>71</w:t>
            </w:r>
          </w:p>
        </w:tc>
        <w:tc>
          <w:tcPr>
            <w:tcW w:w="0" w:type="dxa"/>
            <w:vAlign w:val="bottom"/>
          </w:tcPr>
          <w:p>
            <w:pPr>
              <w:spacing w:after="0"/>
              <w:rPr>
                <w:sz w:val="1"/>
                <w:szCs w:val="1"/>
                <w:color w:val="auto"/>
              </w:rPr>
            </w:pPr>
          </w:p>
        </w:tc>
      </w:tr>
      <w:tr>
        <w:trPr>
          <w:trHeight w:val="299"/>
        </w:trPr>
        <w:tc>
          <w:tcPr>
            <w:tcW w:w="9480" w:type="dxa"/>
            <w:vAlign w:val="bottom"/>
          </w:tcPr>
          <w:p>
            <w:pPr>
              <w:ind w:left="220"/>
              <w:spacing w:after="0"/>
              <w:rPr>
                <w:sz w:val="20"/>
                <w:szCs w:val="20"/>
                <w:color w:val="auto"/>
              </w:rPr>
            </w:pPr>
            <w:r>
              <w:rPr>
                <w:rFonts w:ascii="Arial" w:cs="Arial" w:eastAsia="Arial" w:hAnsi="Arial"/>
                <w:sz w:val="20"/>
                <w:szCs w:val="20"/>
                <w:color w:val="auto"/>
              </w:rPr>
              <w:t>Item 14 — Principal Accounting Fees and Services</w:t>
            </w:r>
          </w:p>
        </w:tc>
        <w:tc>
          <w:tcPr>
            <w:tcW w:w="600" w:type="dxa"/>
            <w:vAlign w:val="bottom"/>
          </w:tcPr>
          <w:p>
            <w:pPr>
              <w:jc w:val="right"/>
              <w:spacing w:after="0"/>
              <w:rPr>
                <w:sz w:val="20"/>
                <w:szCs w:val="20"/>
                <w:color w:val="auto"/>
              </w:rPr>
            </w:pPr>
            <w:r>
              <w:rPr>
                <w:rFonts w:ascii="Arial" w:cs="Arial" w:eastAsia="Arial" w:hAnsi="Arial"/>
                <w:sz w:val="20"/>
                <w:szCs w:val="20"/>
                <w:color w:val="auto"/>
              </w:rPr>
              <w:t>71</w:t>
            </w:r>
          </w:p>
        </w:tc>
        <w:tc>
          <w:tcPr>
            <w:tcW w:w="0" w:type="dxa"/>
            <w:vAlign w:val="bottom"/>
          </w:tcPr>
          <w:p>
            <w:pPr>
              <w:spacing w:after="0"/>
              <w:rPr>
                <w:sz w:val="1"/>
                <w:szCs w:val="1"/>
                <w:color w:val="auto"/>
              </w:rPr>
            </w:pPr>
          </w:p>
        </w:tc>
      </w:tr>
      <w:tr>
        <w:trPr>
          <w:trHeight w:val="298"/>
        </w:trPr>
        <w:tc>
          <w:tcPr>
            <w:tcW w:w="9480" w:type="dxa"/>
            <w:vAlign w:val="bottom"/>
          </w:tcPr>
          <w:p>
            <w:pPr>
              <w:spacing w:after="0"/>
              <w:rPr>
                <w:sz w:val="20"/>
                <w:szCs w:val="20"/>
                <w:color w:val="auto"/>
              </w:rPr>
            </w:pPr>
            <w:r>
              <w:rPr>
                <w:rFonts w:ascii="Arial" w:cs="Arial" w:eastAsia="Arial" w:hAnsi="Arial"/>
                <w:sz w:val="20"/>
                <w:szCs w:val="20"/>
                <w:b w:val="1"/>
                <w:bCs w:val="1"/>
                <w:color w:val="auto"/>
              </w:rPr>
              <w:t>PART IV</w:t>
            </w:r>
          </w:p>
        </w:tc>
        <w:tc>
          <w:tcPr>
            <w:tcW w:w="600" w:type="dxa"/>
            <w:vAlign w:val="bottom"/>
          </w:tcPr>
          <w:p>
            <w:pPr>
              <w:jc w:val="right"/>
              <w:spacing w:after="0"/>
              <w:rPr>
                <w:sz w:val="20"/>
                <w:szCs w:val="20"/>
                <w:color w:val="auto"/>
              </w:rPr>
            </w:pPr>
            <w:r>
              <w:rPr>
                <w:rFonts w:ascii="Arial" w:cs="Arial" w:eastAsia="Arial" w:hAnsi="Arial"/>
                <w:sz w:val="20"/>
                <w:szCs w:val="20"/>
                <w:color w:val="auto"/>
              </w:rPr>
              <w:t>72</w:t>
            </w:r>
          </w:p>
        </w:tc>
        <w:tc>
          <w:tcPr>
            <w:tcW w:w="0" w:type="dxa"/>
            <w:vAlign w:val="bottom"/>
          </w:tcPr>
          <w:p>
            <w:pPr>
              <w:spacing w:after="0"/>
              <w:rPr>
                <w:sz w:val="1"/>
                <w:szCs w:val="1"/>
                <w:color w:val="auto"/>
              </w:rPr>
            </w:pPr>
          </w:p>
        </w:tc>
      </w:tr>
      <w:tr>
        <w:trPr>
          <w:trHeight w:val="299"/>
        </w:trPr>
        <w:tc>
          <w:tcPr>
            <w:tcW w:w="9480" w:type="dxa"/>
            <w:vAlign w:val="bottom"/>
          </w:tcPr>
          <w:p>
            <w:pPr>
              <w:ind w:left="220"/>
              <w:spacing w:after="0"/>
              <w:rPr>
                <w:sz w:val="20"/>
                <w:szCs w:val="20"/>
                <w:color w:val="auto"/>
              </w:rPr>
            </w:pPr>
            <w:r>
              <w:rPr>
                <w:rFonts w:ascii="Arial" w:cs="Arial" w:eastAsia="Arial" w:hAnsi="Arial"/>
                <w:sz w:val="20"/>
                <w:szCs w:val="20"/>
                <w:color w:val="auto"/>
              </w:rPr>
              <w:t>Item 15 — Exhibits, Financial Statement Schedules</w:t>
            </w:r>
          </w:p>
        </w:tc>
        <w:tc>
          <w:tcPr>
            <w:tcW w:w="600" w:type="dxa"/>
            <w:vAlign w:val="bottom"/>
          </w:tcPr>
          <w:p>
            <w:pPr>
              <w:jc w:val="right"/>
              <w:spacing w:after="0"/>
              <w:rPr>
                <w:sz w:val="20"/>
                <w:szCs w:val="20"/>
                <w:color w:val="auto"/>
              </w:rPr>
            </w:pPr>
            <w:r>
              <w:rPr>
                <w:rFonts w:ascii="Arial" w:cs="Arial" w:eastAsia="Arial" w:hAnsi="Arial"/>
                <w:sz w:val="20"/>
                <w:szCs w:val="20"/>
                <w:color w:val="auto"/>
              </w:rPr>
              <w:t>72</w:t>
            </w:r>
          </w:p>
        </w:tc>
        <w:tc>
          <w:tcPr>
            <w:tcW w:w="0" w:type="dxa"/>
            <w:vAlign w:val="bottom"/>
          </w:tcPr>
          <w:p>
            <w:pPr>
              <w:spacing w:after="0"/>
              <w:rPr>
                <w:sz w:val="1"/>
                <w:szCs w:val="1"/>
                <w:color w:val="auto"/>
              </w:rPr>
            </w:pPr>
          </w:p>
        </w:tc>
      </w:tr>
      <w:tr>
        <w:trPr>
          <w:trHeight w:val="298"/>
        </w:trPr>
        <w:tc>
          <w:tcPr>
            <w:tcW w:w="9480" w:type="dxa"/>
            <w:vAlign w:val="bottom"/>
          </w:tcPr>
          <w:p>
            <w:pPr>
              <w:spacing w:after="0"/>
              <w:rPr>
                <w:sz w:val="20"/>
                <w:szCs w:val="20"/>
                <w:color w:val="auto"/>
              </w:rPr>
            </w:pPr>
            <w:r>
              <w:rPr>
                <w:rFonts w:ascii="Arial" w:cs="Arial" w:eastAsia="Arial" w:hAnsi="Arial"/>
                <w:sz w:val="20"/>
                <w:szCs w:val="20"/>
                <w:b w:val="1"/>
                <w:bCs w:val="1"/>
                <w:color w:val="auto"/>
              </w:rPr>
              <w:t>EXHIBIT INDEX</w:t>
            </w:r>
          </w:p>
        </w:tc>
        <w:tc>
          <w:tcPr>
            <w:tcW w:w="600" w:type="dxa"/>
            <w:vAlign w:val="bottom"/>
          </w:tcPr>
          <w:p>
            <w:pPr>
              <w:jc w:val="right"/>
              <w:spacing w:after="0"/>
              <w:rPr>
                <w:sz w:val="20"/>
                <w:szCs w:val="20"/>
                <w:color w:val="auto"/>
              </w:rPr>
            </w:pPr>
            <w:r>
              <w:rPr>
                <w:rFonts w:ascii="Arial" w:cs="Arial" w:eastAsia="Arial" w:hAnsi="Arial"/>
                <w:sz w:val="20"/>
                <w:szCs w:val="20"/>
                <w:color w:val="auto"/>
              </w:rPr>
              <w:t>130</w:t>
            </w:r>
          </w:p>
        </w:tc>
        <w:tc>
          <w:tcPr>
            <w:tcW w:w="0" w:type="dxa"/>
            <w:vAlign w:val="bottom"/>
          </w:tcPr>
          <w:p>
            <w:pPr>
              <w:spacing w:after="0"/>
              <w:rPr>
                <w:sz w:val="1"/>
                <w:szCs w:val="1"/>
                <w:color w:val="auto"/>
              </w:rPr>
            </w:pPr>
          </w:p>
        </w:tc>
      </w:tr>
      <w:tr>
        <w:trPr>
          <w:trHeight w:val="298"/>
        </w:trPr>
        <w:tc>
          <w:tcPr>
            <w:tcW w:w="9480" w:type="dxa"/>
            <w:vAlign w:val="bottom"/>
          </w:tcPr>
          <w:p>
            <w:pPr>
              <w:ind w:left="220"/>
              <w:spacing w:after="0"/>
              <w:rPr>
                <w:sz w:val="20"/>
                <w:szCs w:val="20"/>
                <w:color w:val="auto"/>
              </w:rPr>
            </w:pPr>
            <w:r>
              <w:rPr>
                <w:rFonts w:ascii="Arial" w:cs="Arial" w:eastAsia="Arial" w:hAnsi="Arial"/>
                <w:sz w:val="20"/>
                <w:szCs w:val="20"/>
                <w:color w:val="auto"/>
              </w:rPr>
              <w:t>Item 16 — Form 10-K Summary</w:t>
            </w:r>
          </w:p>
        </w:tc>
        <w:tc>
          <w:tcPr>
            <w:tcW w:w="600" w:type="dxa"/>
            <w:vAlign w:val="bottom"/>
          </w:tcPr>
          <w:p>
            <w:pPr>
              <w:jc w:val="right"/>
              <w:spacing w:after="0"/>
              <w:rPr>
                <w:sz w:val="20"/>
                <w:szCs w:val="20"/>
                <w:color w:val="auto"/>
              </w:rPr>
            </w:pPr>
            <w:r>
              <w:rPr>
                <w:rFonts w:ascii="Arial" w:cs="Arial" w:eastAsia="Arial" w:hAnsi="Arial"/>
                <w:sz w:val="20"/>
                <w:szCs w:val="20"/>
                <w:color w:val="auto"/>
              </w:rPr>
              <w:t>135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080"/>
          </w:cols>
          <w:pgMar w:left="900" w:top="40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880" w:h="15480" w:orient="portrait"/>
          <w:cols w:equalWidth="0" w:num="1">
            <w:col w:w="10080"/>
          </w:cols>
          <w:pgMar w:left="900" w:top="404" w:right="900" w:bottom="0" w:gutter="0" w:footer="0" w:header="0"/>
          <w:type w:val="continuous"/>
        </w:sectPr>
      </w:pPr>
    </w:p>
    <w:bookmarkStart w:id="4" w:name="page5"/>
    <w:bookmarkEnd w:id="4"/>
    <w:p>
      <w:pPr>
        <w:spacing w:after="0" w:line="232" w:lineRule="auto"/>
        <w:framePr w:w="2320" w:h="200" w:wrap="auto" w:vAnchor="page" w:hAnchor="page" w:x="840" w:y="11277"/>
        <w:rPr>
          <w:rFonts w:ascii="Arial" w:cs="Arial" w:eastAsia="Arial" w:hAnsi="Arial"/>
          <w:sz w:val="18"/>
          <w:szCs w:val="18"/>
          <w:color w:val="auto"/>
        </w:rPr>
      </w:pPr>
      <w:r>
        <w:rPr>
          <w:rFonts w:ascii="Arial" w:cs="Arial" w:eastAsia="Arial" w:hAnsi="Arial"/>
          <w:sz w:val="18"/>
          <w:szCs w:val="18"/>
          <w:color w:val="auto"/>
        </w:rPr>
        <w:t>Clearway Energy Operating</w:t>
      </w:r>
    </w:p>
    <w:p>
      <w:pPr>
        <w:spacing w:after="0" w:line="209" w:lineRule="auto"/>
        <w:framePr w:w="460" w:h="200" w:wrap="auto" w:vAnchor="page" w:hAnchor="page" w:x="840" w:y="11476"/>
        <w:rPr>
          <w:rFonts w:ascii="Arial" w:cs="Arial" w:eastAsia="Arial" w:hAnsi="Arial"/>
          <w:sz w:val="20"/>
          <w:szCs w:val="20"/>
          <w:color w:val="auto"/>
        </w:rPr>
      </w:pPr>
      <w:r>
        <w:rPr>
          <w:rFonts w:ascii="Arial" w:cs="Arial" w:eastAsia="Arial" w:hAnsi="Arial"/>
          <w:sz w:val="20"/>
          <w:szCs w:val="20"/>
          <w:color w:val="auto"/>
        </w:rPr>
        <w:t>LLC</w:t>
      </w:r>
    </w:p>
    <w:p>
      <w:pPr>
        <w:spacing w:after="0" w:line="232" w:lineRule="auto"/>
        <w:framePr w:w="1460" w:h="200" w:wrap="auto" w:vAnchor="page" w:hAnchor="page" w:x="840" w:y="11769"/>
        <w:rPr>
          <w:rFonts w:ascii="Arial" w:cs="Arial" w:eastAsia="Arial" w:hAnsi="Arial"/>
          <w:sz w:val="18"/>
          <w:szCs w:val="18"/>
          <w:color w:val="auto"/>
        </w:rPr>
      </w:pPr>
      <w:r>
        <w:rPr>
          <w:rFonts w:ascii="Arial" w:cs="Arial" w:eastAsia="Arial" w:hAnsi="Arial"/>
          <w:sz w:val="18"/>
          <w:szCs w:val="18"/>
          <w:color w:val="auto"/>
        </w:rPr>
        <w:t>Clearway Renew</w:t>
      </w:r>
    </w:p>
    <w:p>
      <w:pPr>
        <w:spacing w:after="0" w:line="232" w:lineRule="auto"/>
        <w:framePr w:w="500" w:h="200" w:wrap="auto" w:vAnchor="page" w:hAnchor="page" w:x="840" w:y="12068"/>
        <w:rPr>
          <w:rFonts w:ascii="Arial" w:cs="Arial" w:eastAsia="Arial" w:hAnsi="Arial"/>
          <w:sz w:val="18"/>
          <w:szCs w:val="18"/>
          <w:color w:val="auto"/>
        </w:rPr>
      </w:pPr>
      <w:r>
        <w:rPr>
          <w:rFonts w:ascii="Arial" w:cs="Arial" w:eastAsia="Arial" w:hAnsi="Arial"/>
          <w:sz w:val="18"/>
          <w:szCs w:val="18"/>
          <w:color w:val="auto"/>
        </w:rPr>
        <w:t>COD</w:t>
      </w:r>
    </w:p>
    <w:p>
      <w:pPr>
        <w:spacing w:after="0" w:line="289" w:lineRule="auto"/>
        <w:framePr w:w="860" w:h="499" w:wrap="auto" w:vAnchor="page" w:hAnchor="page" w:x="840" w:y="12366"/>
        <w:rPr>
          <w:rFonts w:ascii="Arial" w:cs="Arial" w:eastAsia="Arial" w:hAnsi="Arial"/>
          <w:sz w:val="18"/>
          <w:szCs w:val="18"/>
          <w:color w:val="auto"/>
        </w:rPr>
      </w:pPr>
      <w:r>
        <w:rPr>
          <w:rFonts w:ascii="Arial" w:cs="Arial" w:eastAsia="Arial" w:hAnsi="Arial"/>
          <w:sz w:val="18"/>
          <w:szCs w:val="18"/>
          <w:color w:val="auto"/>
        </w:rPr>
        <w:t>Code Company</w:t>
      </w:r>
    </w:p>
    <w:p>
      <w:pPr>
        <w:spacing w:after="0" w:line="232" w:lineRule="auto"/>
        <w:framePr w:w="600" w:h="200" w:wrap="auto" w:vAnchor="page" w:hAnchor="page" w:x="840" w:y="12963"/>
        <w:rPr>
          <w:rFonts w:ascii="Arial" w:cs="Arial" w:eastAsia="Arial" w:hAnsi="Arial"/>
          <w:sz w:val="18"/>
          <w:szCs w:val="18"/>
          <w:color w:val="auto"/>
        </w:rPr>
      </w:pPr>
      <w:r>
        <w:rPr>
          <w:rFonts w:ascii="Arial" w:cs="Arial" w:eastAsia="Arial" w:hAnsi="Arial"/>
          <w:sz w:val="18"/>
          <w:szCs w:val="18"/>
          <w:color w:val="auto"/>
        </w:rPr>
        <w:t>CVSR</w:t>
      </w:r>
    </w:p>
    <w:p>
      <w:pPr>
        <w:spacing w:after="0" w:line="289" w:lineRule="auto"/>
        <w:framePr w:w="1460" w:h="499" w:wrap="auto" w:vAnchor="page" w:hAnchor="page" w:x="840" w:y="13262"/>
        <w:rPr>
          <w:rFonts w:ascii="Arial" w:cs="Arial" w:eastAsia="Arial" w:hAnsi="Arial"/>
          <w:sz w:val="18"/>
          <w:szCs w:val="18"/>
          <w:color w:val="auto"/>
        </w:rPr>
      </w:pPr>
      <w:r>
        <w:rPr>
          <w:rFonts w:ascii="Arial" w:cs="Arial" w:eastAsia="Arial" w:hAnsi="Arial"/>
          <w:sz w:val="18"/>
          <w:szCs w:val="18"/>
          <w:color w:val="auto"/>
        </w:rPr>
        <w:t>CVSR Holdco Distributed Solar</w:t>
      </w:r>
    </w:p>
    <w:p>
      <w:pPr>
        <w:spacing w:after="0" w:line="232" w:lineRule="auto"/>
        <w:framePr w:w="2460" w:h="200" w:wrap="auto" w:vAnchor="page" w:hAnchor="page" w:x="840" w:y="10575"/>
        <w:rPr>
          <w:rFonts w:ascii="Arial" w:cs="Arial" w:eastAsia="Arial" w:hAnsi="Arial"/>
          <w:sz w:val="18"/>
          <w:szCs w:val="18"/>
          <w:color w:val="auto"/>
        </w:rPr>
      </w:pPr>
      <w:r>
        <w:rPr>
          <w:rFonts w:ascii="Arial" w:cs="Arial" w:eastAsia="Arial" w:hAnsi="Arial"/>
          <w:sz w:val="18"/>
          <w:szCs w:val="18"/>
          <w:color w:val="auto"/>
        </w:rPr>
        <w:t>Clearway Energy Group LLC</w:t>
      </w:r>
    </w:p>
    <w:p>
      <w:pPr>
        <w:spacing w:after="0" w:line="232" w:lineRule="auto"/>
        <w:framePr w:w="480" w:h="200" w:wrap="auto" w:vAnchor="page" w:hAnchor="page" w:x="840" w:y="9083"/>
        <w:rPr>
          <w:rFonts w:ascii="Arial" w:cs="Arial" w:eastAsia="Arial" w:hAnsi="Arial"/>
          <w:sz w:val="18"/>
          <w:szCs w:val="18"/>
          <w:color w:val="auto"/>
        </w:rPr>
      </w:pPr>
      <w:r>
        <w:rPr>
          <w:rFonts w:ascii="Arial" w:cs="Arial" w:eastAsia="Arial" w:hAnsi="Arial"/>
          <w:sz w:val="18"/>
          <w:szCs w:val="18"/>
          <w:color w:val="auto"/>
        </w:rPr>
        <w:t>CEG</w:t>
      </w:r>
    </w:p>
    <w:p>
      <w:pPr>
        <w:spacing w:after="0" w:line="219" w:lineRule="auto"/>
        <w:framePr w:w="1820" w:h="399" w:wrap="auto" w:vAnchor="page" w:hAnchor="page" w:x="840" w:y="9381"/>
        <w:rPr>
          <w:rFonts w:ascii="Arial" w:cs="Arial" w:eastAsia="Arial" w:hAnsi="Arial"/>
          <w:sz w:val="19"/>
          <w:szCs w:val="19"/>
          <w:color w:val="auto"/>
        </w:rPr>
      </w:pPr>
      <w:r>
        <w:rPr>
          <w:rFonts w:ascii="Arial" w:cs="Arial" w:eastAsia="Arial" w:hAnsi="Arial"/>
          <w:sz w:val="19"/>
          <w:szCs w:val="19"/>
          <w:color w:val="auto"/>
        </w:rPr>
        <w:t>CEG Master Services Agreement</w:t>
      </w:r>
    </w:p>
    <w:p>
      <w:pPr>
        <w:spacing w:after="0" w:line="232" w:lineRule="auto"/>
        <w:framePr w:w="1900" w:h="200" w:wrap="auto" w:vAnchor="page" w:hAnchor="page" w:x="840" w:y="9874"/>
        <w:rPr>
          <w:rFonts w:ascii="Arial" w:cs="Arial" w:eastAsia="Arial" w:hAnsi="Arial"/>
          <w:sz w:val="18"/>
          <w:szCs w:val="18"/>
          <w:color w:val="auto"/>
        </w:rPr>
      </w:pPr>
      <w:r>
        <w:rPr>
          <w:rFonts w:ascii="Arial" w:cs="Arial" w:eastAsia="Arial" w:hAnsi="Arial"/>
          <w:sz w:val="18"/>
          <w:szCs w:val="18"/>
          <w:color w:val="auto"/>
        </w:rPr>
        <w:t>Clearway Energy LLC</w:t>
      </w:r>
    </w:p>
    <w:p>
      <w:pPr>
        <w:spacing w:after="0" w:line="232" w:lineRule="auto"/>
        <w:framePr w:w="2200" w:h="200" w:wrap="auto" w:vAnchor="page" w:hAnchor="page" w:x="840" w:y="8381"/>
        <w:rPr>
          <w:rFonts w:ascii="Arial" w:cs="Arial" w:eastAsia="Arial" w:hAnsi="Arial"/>
          <w:sz w:val="18"/>
          <w:szCs w:val="18"/>
          <w:color w:val="auto"/>
        </w:rPr>
      </w:pPr>
      <w:r>
        <w:rPr>
          <w:rFonts w:ascii="Arial" w:cs="Arial" w:eastAsia="Arial" w:hAnsi="Arial"/>
          <w:sz w:val="18"/>
          <w:szCs w:val="18"/>
          <w:color w:val="auto"/>
        </w:rPr>
        <w:t>Capistrano Wind Portfolio</w:t>
      </w:r>
    </w:p>
    <w:p>
      <w:pPr>
        <w:spacing w:after="0" w:line="220" w:lineRule="auto"/>
        <w:framePr w:w="620" w:h="200" w:wrap="auto" w:vAnchor="page" w:hAnchor="page" w:x="840" w:y="6695"/>
        <w:rPr>
          <w:rFonts w:ascii="Arial" w:cs="Arial" w:eastAsia="Arial" w:hAnsi="Arial"/>
          <w:sz w:val="19"/>
          <w:szCs w:val="19"/>
          <w:color w:val="auto"/>
        </w:rPr>
      </w:pPr>
      <w:r>
        <w:rPr>
          <w:rFonts w:ascii="Arial" w:cs="Arial" w:eastAsia="Arial" w:hAnsi="Arial"/>
          <w:sz w:val="19"/>
          <w:szCs w:val="19"/>
          <w:color w:val="auto"/>
        </w:rPr>
        <w:t>CAFD</w:t>
      </w:r>
    </w:p>
    <w:p>
      <w:pPr>
        <w:spacing w:after="0" w:line="232" w:lineRule="auto"/>
        <w:framePr w:w="2020" w:h="200" w:wrap="auto" w:vAnchor="page" w:hAnchor="page" w:x="840" w:y="5993"/>
        <w:rPr>
          <w:rFonts w:ascii="Arial" w:cs="Arial" w:eastAsia="Arial" w:hAnsi="Arial"/>
          <w:sz w:val="18"/>
          <w:szCs w:val="18"/>
          <w:color w:val="auto"/>
        </w:rPr>
      </w:pPr>
      <w:r>
        <w:rPr>
          <w:rFonts w:ascii="Arial" w:cs="Arial" w:eastAsia="Arial" w:hAnsi="Arial"/>
          <w:sz w:val="18"/>
          <w:szCs w:val="18"/>
          <w:color w:val="auto"/>
        </w:rPr>
        <w:t>Bridge Loan Agreement</w:t>
      </w:r>
    </w:p>
    <w:p>
      <w:pPr>
        <w:spacing w:after="0" w:line="220" w:lineRule="auto"/>
        <w:framePr w:w="480" w:h="200" w:wrap="auto" w:vAnchor="page" w:hAnchor="page" w:x="840" w:y="4307"/>
        <w:rPr>
          <w:rFonts w:ascii="Arial" w:cs="Arial" w:eastAsia="Arial" w:hAnsi="Arial"/>
          <w:sz w:val="19"/>
          <w:szCs w:val="19"/>
          <w:color w:val="auto"/>
        </w:rPr>
      </w:pPr>
      <w:r>
        <w:rPr>
          <w:rFonts w:ascii="Arial" w:cs="Arial" w:eastAsia="Arial" w:hAnsi="Arial"/>
          <w:sz w:val="19"/>
          <w:szCs w:val="19"/>
          <w:color w:val="auto"/>
        </w:rPr>
        <w:t>ASU</w:t>
      </w:r>
    </w:p>
    <w:p>
      <w:pPr>
        <w:spacing w:after="0" w:line="232" w:lineRule="auto"/>
        <w:framePr w:w="1260" w:h="200" w:wrap="auto" w:vAnchor="page" w:hAnchor="page" w:x="840" w:y="4605"/>
        <w:rPr>
          <w:rFonts w:ascii="Arial" w:cs="Arial" w:eastAsia="Arial" w:hAnsi="Arial"/>
          <w:sz w:val="18"/>
          <w:szCs w:val="18"/>
          <w:color w:val="auto"/>
        </w:rPr>
      </w:pPr>
      <w:r>
        <w:rPr>
          <w:rFonts w:ascii="Arial" w:cs="Arial" w:eastAsia="Arial" w:hAnsi="Arial"/>
          <w:sz w:val="18"/>
          <w:szCs w:val="18"/>
          <w:color w:val="auto"/>
        </w:rPr>
        <w:t>ATM Program</w:t>
      </w:r>
    </w:p>
    <w:p>
      <w:pPr>
        <w:spacing w:after="0" w:line="308" w:lineRule="auto"/>
        <w:framePr w:w="980" w:h="797" w:wrap="auto" w:vAnchor="page" w:hAnchor="page" w:x="840" w:y="4904"/>
        <w:rPr>
          <w:rFonts w:ascii="Arial" w:cs="Arial" w:eastAsia="Arial" w:hAnsi="Arial"/>
          <w:sz w:val="18"/>
          <w:szCs w:val="18"/>
          <w:color w:val="auto"/>
        </w:rPr>
      </w:pPr>
      <w:r>
        <w:rPr>
          <w:rFonts w:ascii="Arial" w:cs="Arial" w:eastAsia="Arial" w:hAnsi="Arial"/>
          <w:sz w:val="18"/>
          <w:szCs w:val="18"/>
          <w:color w:val="auto"/>
        </w:rPr>
        <w:t>BESS BlackRock Black Start</w:t>
      </w:r>
    </w:p>
    <w:p>
      <w:pPr>
        <w:spacing w:after="0" w:line="220" w:lineRule="auto"/>
        <w:framePr w:w="500" w:h="200" w:wrap="auto" w:vAnchor="page" w:hAnchor="page" w:x="840" w:y="3516"/>
        <w:rPr>
          <w:rFonts w:ascii="Arial" w:cs="Arial" w:eastAsia="Arial" w:hAnsi="Arial"/>
          <w:sz w:val="19"/>
          <w:szCs w:val="19"/>
          <w:color w:val="auto"/>
        </w:rPr>
      </w:pPr>
      <w:r>
        <w:rPr>
          <w:rFonts w:ascii="Arial" w:cs="Arial" w:eastAsia="Arial" w:hAnsi="Arial"/>
          <w:sz w:val="19"/>
          <w:szCs w:val="19"/>
          <w:color w:val="auto"/>
        </w:rPr>
        <w:t>ARO</w:t>
      </w:r>
    </w:p>
    <w:p>
      <w:pPr>
        <w:spacing w:after="0" w:line="220" w:lineRule="auto"/>
        <w:framePr w:w="480" w:h="200" w:wrap="auto" w:vAnchor="page" w:hAnchor="page" w:x="840" w:y="3814"/>
        <w:rPr>
          <w:rFonts w:ascii="Arial" w:cs="Arial" w:eastAsia="Arial" w:hAnsi="Arial"/>
          <w:sz w:val="19"/>
          <w:szCs w:val="19"/>
          <w:color w:val="auto"/>
        </w:rPr>
      </w:pPr>
      <w:r>
        <w:rPr>
          <w:rFonts w:ascii="Arial" w:cs="Arial" w:eastAsia="Arial" w:hAnsi="Arial"/>
          <w:sz w:val="19"/>
          <w:szCs w:val="19"/>
          <w:color w:val="auto"/>
        </w:rPr>
        <w:t>ASC</w:t>
      </w:r>
    </w:p>
    <w:p>
      <w:pPr>
        <w:spacing w:after="0" w:line="220" w:lineRule="auto"/>
        <w:framePr w:w="1580" w:h="200" w:wrap="auto" w:vAnchor="page" w:hAnchor="page" w:x="840" w:y="2620"/>
        <w:rPr>
          <w:rFonts w:ascii="Arial" w:cs="Arial" w:eastAsia="Arial" w:hAnsi="Arial"/>
          <w:sz w:val="19"/>
          <w:szCs w:val="19"/>
          <w:color w:val="auto"/>
        </w:rPr>
      </w:pPr>
      <w:r>
        <w:rPr>
          <w:rFonts w:ascii="Arial" w:cs="Arial" w:eastAsia="Arial" w:hAnsi="Arial"/>
          <w:sz w:val="19"/>
          <w:szCs w:val="19"/>
          <w:color w:val="auto"/>
        </w:rPr>
        <w:t>Adjusted EBITDA</w:t>
      </w:r>
    </w:p>
    <w:p>
      <w:pPr>
        <w:spacing w:after="0" w:line="220" w:lineRule="auto"/>
        <w:framePr w:w="1560" w:h="200" w:wrap="auto" w:vAnchor="page" w:hAnchor="page" w:x="840" w:y="2128"/>
        <w:rPr>
          <w:rFonts w:ascii="Arial" w:cs="Arial" w:eastAsia="Arial" w:hAnsi="Arial"/>
          <w:sz w:val="17"/>
          <w:szCs w:val="17"/>
          <w:color w:val="auto"/>
        </w:rPr>
      </w:pPr>
      <w:r>
        <w:rPr>
          <w:rFonts w:ascii="Arial" w:cs="Arial" w:eastAsia="Arial" w:hAnsi="Arial"/>
          <w:sz w:val="17"/>
          <w:szCs w:val="17"/>
          <w:color w:val="auto"/>
        </w:rPr>
        <w:t>2032 Senior Notes</w:t>
      </w:r>
    </w:p>
    <w:p>
      <w:pPr>
        <w:spacing w:after="0" w:line="220" w:lineRule="auto"/>
        <w:framePr w:w="1560" w:h="200" w:wrap="auto" w:vAnchor="page" w:hAnchor="page" w:x="840" w:y="1635"/>
        <w:rPr>
          <w:rFonts w:ascii="Arial" w:cs="Arial" w:eastAsia="Arial" w:hAnsi="Arial"/>
          <w:sz w:val="17"/>
          <w:szCs w:val="17"/>
          <w:color w:val="auto"/>
        </w:rPr>
      </w:pPr>
      <w:r>
        <w:rPr>
          <w:rFonts w:ascii="Arial" w:cs="Arial" w:eastAsia="Arial" w:hAnsi="Arial"/>
          <w:sz w:val="17"/>
          <w:szCs w:val="17"/>
          <w:color w:val="auto"/>
        </w:rPr>
        <w:t>2031 Senior Notes</w:t>
      </w:r>
    </w:p>
    <w:p>
      <w:pPr>
        <w:jc w:val="center"/>
        <w:spacing w:after="0"/>
        <w:rPr>
          <w:sz w:val="20"/>
          <w:szCs w:val="20"/>
          <w:color w:val="auto"/>
        </w:rPr>
      </w:pPr>
      <w:r>
        <w:rPr>
          <w:rFonts w:ascii="Arial" w:cs="Arial" w:eastAsia="Arial" w:hAnsi="Arial"/>
          <w:sz w:val="20"/>
          <w:szCs w:val="20"/>
          <w:b w:val="1"/>
          <w:bCs w:val="1"/>
          <w:color w:val="auto"/>
        </w:rPr>
        <w:t>GLOSSARY OF TERMS</w:t>
      </w:r>
    </w:p>
    <w:p>
      <w:pPr>
        <w:spacing w:after="0" w:line="195" w:lineRule="exact"/>
        <w:rPr>
          <w:rFonts w:ascii="Arial" w:cs="Arial" w:eastAsia="Arial" w:hAnsi="Arial"/>
          <w:sz w:val="17"/>
          <w:szCs w:val="17"/>
          <w:color w:val="auto"/>
        </w:rPr>
      </w:pPr>
    </w:p>
    <w:p>
      <w:pPr>
        <w:jc w:val="center"/>
        <w:ind w:right="200"/>
        <w:spacing w:after="0"/>
        <w:rPr>
          <w:sz w:val="20"/>
          <w:szCs w:val="20"/>
          <w:color w:val="auto"/>
        </w:rPr>
      </w:pPr>
      <w:r>
        <w:rPr>
          <w:rFonts w:ascii="Arial" w:cs="Arial" w:eastAsia="Arial" w:hAnsi="Arial"/>
          <w:sz w:val="19"/>
          <w:szCs w:val="19"/>
          <w:color w:val="auto"/>
        </w:rPr>
        <w:t>When the following terms and abbreviations appear in the text of this report, they have the meanings indicated below:</w:t>
      </w:r>
    </w:p>
    <w:p>
      <w:pPr>
        <w:spacing w:after="0" w:line="95" w:lineRule="exact"/>
        <w:rPr>
          <w:rFonts w:ascii="Arial" w:cs="Arial" w:eastAsia="Arial" w:hAnsi="Arial"/>
          <w:sz w:val="17"/>
          <w:szCs w:val="17"/>
          <w:color w:val="auto"/>
        </w:rPr>
      </w:pPr>
    </w:p>
    <w:p>
      <w:pPr>
        <w:ind w:left="2620" w:hanging="2611"/>
        <w:spacing w:after="0" w:line="239" w:lineRule="auto"/>
        <w:tabs>
          <w:tab w:leader="none" w:pos="2600" w:val="left"/>
        </w:tabs>
        <w:rPr>
          <w:sz w:val="20"/>
          <w:szCs w:val="20"/>
          <w:color w:val="auto"/>
        </w:rPr>
      </w:pPr>
      <w:r>
        <w:rPr>
          <w:rFonts w:ascii="Arial" w:cs="Arial" w:eastAsia="Arial" w:hAnsi="Arial"/>
          <w:sz w:val="20"/>
          <w:szCs w:val="20"/>
          <w:color w:val="auto"/>
        </w:rPr>
        <w:t>2028 Senior Notes</w:t>
      </w:r>
      <w:r>
        <w:rPr>
          <w:sz w:val="20"/>
          <w:szCs w:val="20"/>
          <w:color w:val="auto"/>
        </w:rPr>
        <w:tab/>
      </w:r>
      <w:r>
        <w:rPr>
          <w:rFonts w:ascii="Arial" w:cs="Arial" w:eastAsia="Arial" w:hAnsi="Arial"/>
          <w:sz w:val="20"/>
          <w:szCs w:val="20"/>
          <w:color w:val="auto"/>
        </w:rPr>
        <w:t>$850 million aggregate principal amount of 4.75% unsecured senior notes due 2028, issued by Clearway Energy Operating LLC</w:t>
      </w:r>
    </w:p>
    <w:p>
      <w:pPr>
        <w:spacing w:after="0" w:line="34" w:lineRule="exact"/>
        <w:rPr>
          <w:rFonts w:ascii="Arial" w:cs="Arial" w:eastAsia="Arial" w:hAnsi="Arial"/>
          <w:sz w:val="17"/>
          <w:szCs w:val="17"/>
          <w:color w:val="auto"/>
        </w:rPr>
      </w:pPr>
    </w:p>
    <w:p>
      <w:pPr>
        <w:jc w:val="both"/>
        <w:ind w:left="2620"/>
        <w:spacing w:after="0" w:line="239" w:lineRule="auto"/>
        <w:rPr>
          <w:sz w:val="20"/>
          <w:szCs w:val="20"/>
          <w:color w:val="auto"/>
        </w:rPr>
      </w:pPr>
      <w:r>
        <w:rPr>
          <w:rFonts w:ascii="Arial" w:cs="Arial" w:eastAsia="Arial" w:hAnsi="Arial"/>
          <w:sz w:val="20"/>
          <w:szCs w:val="20"/>
          <w:color w:val="auto"/>
        </w:rPr>
        <w:t>$925 million aggregate principal amount of 3.75% unsecured senior notes due 2031, issued by Clearway Energy Operating LLC</w:t>
      </w:r>
    </w:p>
    <w:p>
      <w:pPr>
        <w:spacing w:after="0" w:line="34" w:lineRule="exact"/>
        <w:rPr>
          <w:rFonts w:ascii="Arial" w:cs="Arial" w:eastAsia="Arial" w:hAnsi="Arial"/>
          <w:sz w:val="17"/>
          <w:szCs w:val="17"/>
          <w:color w:val="auto"/>
        </w:rPr>
      </w:pPr>
    </w:p>
    <w:p>
      <w:pPr>
        <w:jc w:val="both"/>
        <w:ind w:left="2620"/>
        <w:spacing w:after="0" w:line="239" w:lineRule="auto"/>
        <w:rPr>
          <w:sz w:val="20"/>
          <w:szCs w:val="20"/>
          <w:color w:val="auto"/>
        </w:rPr>
      </w:pPr>
      <w:r>
        <w:rPr>
          <w:rFonts w:ascii="Arial" w:cs="Arial" w:eastAsia="Arial" w:hAnsi="Arial"/>
          <w:sz w:val="20"/>
          <w:szCs w:val="20"/>
          <w:color w:val="auto"/>
        </w:rPr>
        <w:t>$350 million aggregate principal amount of 3.75% unsecured senior notes due 2032, issued by Clearway Energy Operating LLC</w:t>
      </w:r>
    </w:p>
    <w:p>
      <w:pPr>
        <w:spacing w:after="0" w:line="34" w:lineRule="exact"/>
        <w:rPr>
          <w:rFonts w:ascii="Arial" w:cs="Arial" w:eastAsia="Arial" w:hAnsi="Arial"/>
          <w:sz w:val="17"/>
          <w:szCs w:val="17"/>
          <w:color w:val="auto"/>
        </w:rPr>
      </w:pPr>
    </w:p>
    <w:p>
      <w:pPr>
        <w:jc w:val="both"/>
        <w:ind w:left="2620"/>
        <w:spacing w:after="0" w:line="223" w:lineRule="auto"/>
        <w:rPr>
          <w:sz w:val="20"/>
          <w:szCs w:val="20"/>
          <w:color w:val="auto"/>
        </w:rPr>
      </w:pPr>
      <w:r>
        <w:rPr>
          <w:rFonts w:ascii="Arial" w:cs="Arial" w:eastAsia="Arial" w:hAnsi="Arial"/>
          <w:sz w:val="20"/>
          <w:szCs w:val="20"/>
          <w:color w:val="auto"/>
        </w:rPr>
        <w:t>A non-GAAP measure, represents earnings before interest (including loss on debt extinguishment), tax, depreciation and amortization adjusted for mark-to-market gains or losses, asset write offs and impairments; and factors which the Company does not consider indicative of future operating performance</w:t>
      </w:r>
    </w:p>
    <w:p>
      <w:pPr>
        <w:spacing w:after="0" w:line="41" w:lineRule="exact"/>
        <w:rPr>
          <w:rFonts w:ascii="Arial" w:cs="Arial" w:eastAsia="Arial" w:hAnsi="Arial"/>
          <w:sz w:val="17"/>
          <w:szCs w:val="17"/>
          <w:color w:val="auto"/>
        </w:rPr>
      </w:pPr>
    </w:p>
    <w:p>
      <w:pPr>
        <w:ind w:left="2620"/>
        <w:spacing w:after="0"/>
        <w:rPr>
          <w:sz w:val="20"/>
          <w:szCs w:val="20"/>
          <w:color w:val="auto"/>
        </w:rPr>
      </w:pPr>
      <w:r>
        <w:rPr>
          <w:rFonts w:ascii="Arial" w:cs="Arial" w:eastAsia="Arial" w:hAnsi="Arial"/>
          <w:sz w:val="20"/>
          <w:szCs w:val="20"/>
          <w:color w:val="auto"/>
        </w:rPr>
        <w:t>Asset Retirement Obligation</w:t>
      </w:r>
    </w:p>
    <w:p>
      <w:pPr>
        <w:spacing w:after="0" w:line="69" w:lineRule="exact"/>
        <w:rPr>
          <w:rFonts w:ascii="Arial" w:cs="Arial" w:eastAsia="Arial" w:hAnsi="Arial"/>
          <w:sz w:val="17"/>
          <w:szCs w:val="17"/>
          <w:color w:val="auto"/>
        </w:rPr>
      </w:pPr>
    </w:p>
    <w:p>
      <w:pPr>
        <w:jc w:val="both"/>
        <w:ind w:left="2620"/>
        <w:spacing w:after="0" w:line="239" w:lineRule="auto"/>
        <w:rPr>
          <w:sz w:val="20"/>
          <w:szCs w:val="20"/>
          <w:color w:val="auto"/>
        </w:rPr>
      </w:pPr>
      <w:r>
        <w:rPr>
          <w:rFonts w:ascii="Arial" w:cs="Arial" w:eastAsia="Arial" w:hAnsi="Arial"/>
          <w:sz w:val="20"/>
          <w:szCs w:val="20"/>
          <w:color w:val="auto"/>
        </w:rPr>
        <w:t>The FASB Accounting Standards Codification, which the FASB established as the source of authoritative GAAP</w:t>
      </w:r>
    </w:p>
    <w:p>
      <w:pPr>
        <w:spacing w:after="0" w:line="34" w:lineRule="exact"/>
        <w:rPr>
          <w:rFonts w:ascii="Arial" w:cs="Arial" w:eastAsia="Arial" w:hAnsi="Arial"/>
          <w:sz w:val="17"/>
          <w:szCs w:val="17"/>
          <w:color w:val="auto"/>
        </w:rPr>
      </w:pPr>
    </w:p>
    <w:p>
      <w:pPr>
        <w:ind w:left="2620" w:right="3300"/>
        <w:spacing w:after="0" w:line="327" w:lineRule="auto"/>
        <w:rPr>
          <w:sz w:val="20"/>
          <w:szCs w:val="20"/>
          <w:color w:val="auto"/>
        </w:rPr>
      </w:pPr>
      <w:r>
        <w:rPr>
          <w:rFonts w:ascii="Arial" w:cs="Arial" w:eastAsia="Arial" w:hAnsi="Arial"/>
          <w:sz w:val="19"/>
          <w:szCs w:val="19"/>
          <w:color w:val="auto"/>
        </w:rPr>
        <w:t>Accounting Standards Updates – updates to the ASC At-The-Market Equity Offering Program</w:t>
      </w:r>
    </w:p>
    <w:p>
      <w:pPr>
        <w:spacing w:after="0" w:line="2" w:lineRule="exact"/>
        <w:rPr>
          <w:rFonts w:ascii="Arial" w:cs="Arial" w:eastAsia="Arial" w:hAnsi="Arial"/>
          <w:sz w:val="17"/>
          <w:szCs w:val="17"/>
          <w:color w:val="auto"/>
        </w:rPr>
      </w:pPr>
    </w:p>
    <w:p>
      <w:pPr>
        <w:ind w:left="2620" w:right="5100"/>
        <w:spacing w:after="0" w:line="311" w:lineRule="auto"/>
        <w:rPr>
          <w:sz w:val="20"/>
          <w:szCs w:val="20"/>
          <w:color w:val="auto"/>
        </w:rPr>
      </w:pPr>
      <w:r>
        <w:rPr>
          <w:rFonts w:ascii="Arial" w:cs="Arial" w:eastAsia="Arial" w:hAnsi="Arial"/>
          <w:sz w:val="20"/>
          <w:szCs w:val="20"/>
          <w:color w:val="auto"/>
        </w:rPr>
        <w:t>Battery energy storage system BlackRock, Inc.</w:t>
      </w:r>
    </w:p>
    <w:p>
      <w:pPr>
        <w:spacing w:after="0" w:line="1" w:lineRule="exact"/>
        <w:rPr>
          <w:rFonts w:ascii="Arial" w:cs="Arial" w:eastAsia="Arial" w:hAnsi="Arial"/>
          <w:sz w:val="17"/>
          <w:szCs w:val="17"/>
          <w:color w:val="auto"/>
        </w:rPr>
      </w:pPr>
    </w:p>
    <w:p>
      <w:pPr>
        <w:jc w:val="both"/>
        <w:ind w:left="2620"/>
        <w:spacing w:after="0" w:line="239" w:lineRule="auto"/>
        <w:rPr>
          <w:sz w:val="20"/>
          <w:szCs w:val="20"/>
          <w:color w:val="auto"/>
        </w:rPr>
      </w:pPr>
      <w:r>
        <w:rPr>
          <w:rFonts w:ascii="Arial" w:cs="Arial" w:eastAsia="Arial" w:hAnsi="Arial"/>
          <w:sz w:val="20"/>
          <w:szCs w:val="20"/>
          <w:color w:val="auto"/>
        </w:rPr>
        <w:t>The capability of a generating asset to restore the grid in the event of a blackout without relying on the external electric power transmission network</w:t>
      </w:r>
    </w:p>
    <w:p>
      <w:pPr>
        <w:spacing w:after="0" w:line="34" w:lineRule="exact"/>
        <w:rPr>
          <w:rFonts w:ascii="Arial" w:cs="Arial" w:eastAsia="Arial" w:hAnsi="Arial"/>
          <w:sz w:val="17"/>
          <w:szCs w:val="17"/>
          <w:color w:val="auto"/>
        </w:rPr>
      </w:pPr>
    </w:p>
    <w:p>
      <w:pPr>
        <w:jc w:val="both"/>
        <w:ind w:left="2620"/>
        <w:spacing w:after="0" w:line="229" w:lineRule="auto"/>
        <w:rPr>
          <w:sz w:val="20"/>
          <w:szCs w:val="20"/>
          <w:color w:val="auto"/>
        </w:rPr>
      </w:pPr>
      <w:r>
        <w:rPr>
          <w:rFonts w:ascii="Arial" w:cs="Arial" w:eastAsia="Arial" w:hAnsi="Arial"/>
          <w:sz w:val="20"/>
          <w:szCs w:val="20"/>
          <w:color w:val="auto"/>
        </w:rPr>
        <w:t>Senior secured bridge credit agreement entered into by Clearway Energy Operating LLC that provides a term loan facility in an aggregate principal amount of $335 million that was repaid on May 3, 2022</w:t>
      </w:r>
    </w:p>
    <w:p>
      <w:pPr>
        <w:spacing w:after="0" w:line="43" w:lineRule="exact"/>
        <w:rPr>
          <w:rFonts w:ascii="Arial" w:cs="Arial" w:eastAsia="Arial" w:hAnsi="Arial"/>
          <w:sz w:val="17"/>
          <w:szCs w:val="17"/>
          <w:color w:val="auto"/>
        </w:rPr>
      </w:pPr>
    </w:p>
    <w:p>
      <w:pPr>
        <w:jc w:val="both"/>
        <w:ind w:left="2620"/>
        <w:spacing w:after="0" w:line="239" w:lineRule="auto"/>
        <w:rPr>
          <w:sz w:val="20"/>
          <w:szCs w:val="20"/>
          <w:color w:val="auto"/>
        </w:rPr>
      </w:pPr>
      <w:r>
        <w:rPr>
          <w:rFonts w:ascii="Arial" w:cs="Arial" w:eastAsia="Arial" w:hAnsi="Arial"/>
          <w:sz w:val="18"/>
          <w:szCs w:val="18"/>
          <w:color w:val="auto"/>
        </w:rPr>
        <w:t>A non-GAAP measure, Cash Available for Distribution is defined as of December 31, 2023 as Adjusted EBITDA plus cash distributions/return of investment from unconsolidated affiliates, cash receipts from notes receivable, cash contributions from noncontrolling interests, adjustments to reflect sales-type lease cash payments and payments for lease expenses, less cash distributions to noncontrolling interests, maintenance capital expenditures, pro-rata Adjusted EBITDA from unconsolidated affiliates, cash interest paid, income taxes paid, principal amortization of indebtedness, changes in prepaid and accrued capacity payments, and adjusted for development expenses</w:t>
      </w:r>
    </w:p>
    <w:p>
      <w:pPr>
        <w:spacing w:after="0" w:line="38" w:lineRule="exact"/>
        <w:rPr>
          <w:rFonts w:ascii="Arial" w:cs="Arial" w:eastAsia="Arial" w:hAnsi="Arial"/>
          <w:sz w:val="17"/>
          <w:szCs w:val="17"/>
          <w:color w:val="auto"/>
        </w:rPr>
      </w:pPr>
    </w:p>
    <w:p>
      <w:pPr>
        <w:jc w:val="both"/>
        <w:ind w:left="2620"/>
        <w:spacing w:after="0" w:line="229" w:lineRule="auto"/>
        <w:rPr>
          <w:sz w:val="20"/>
          <w:szCs w:val="20"/>
          <w:color w:val="auto"/>
        </w:rPr>
      </w:pPr>
      <w:r>
        <w:rPr>
          <w:rFonts w:ascii="Arial" w:cs="Arial" w:eastAsia="Arial" w:hAnsi="Arial"/>
          <w:sz w:val="20"/>
          <w:szCs w:val="20"/>
          <w:color w:val="auto"/>
        </w:rPr>
        <w:t>Five wind projects representing 413 MW of capacity, which includes Broken Bow and Crofton Bluffs located in Nebraska, Cedro Hill located in Texas and Mountain Wind 1 and 2 located in Wyoming</w:t>
      </w:r>
    </w:p>
    <w:p>
      <w:pPr>
        <w:spacing w:after="0" w:line="43" w:lineRule="exact"/>
        <w:rPr>
          <w:rFonts w:ascii="Arial" w:cs="Arial" w:eastAsia="Arial" w:hAnsi="Arial"/>
          <w:sz w:val="17"/>
          <w:szCs w:val="17"/>
          <w:color w:val="auto"/>
        </w:rPr>
      </w:pPr>
    </w:p>
    <w:p>
      <w:pPr>
        <w:ind w:left="2620"/>
        <w:spacing w:after="0"/>
        <w:rPr>
          <w:sz w:val="20"/>
          <w:szCs w:val="20"/>
          <w:color w:val="auto"/>
        </w:rPr>
      </w:pPr>
      <w:r>
        <w:rPr>
          <w:rFonts w:ascii="Arial" w:cs="Arial" w:eastAsia="Arial" w:hAnsi="Arial"/>
          <w:sz w:val="20"/>
          <w:szCs w:val="20"/>
          <w:color w:val="auto"/>
        </w:rPr>
        <w:t>Clearway Energy Group LLC (formerly Zephyr Renewables LLC)</w:t>
      </w:r>
    </w:p>
    <w:p>
      <w:pPr>
        <w:spacing w:after="0" w:line="69" w:lineRule="exact"/>
        <w:rPr>
          <w:rFonts w:ascii="Arial" w:cs="Arial" w:eastAsia="Arial" w:hAnsi="Arial"/>
          <w:sz w:val="17"/>
          <w:szCs w:val="17"/>
          <w:color w:val="auto"/>
        </w:rPr>
      </w:pPr>
    </w:p>
    <w:p>
      <w:pPr>
        <w:jc w:val="both"/>
        <w:ind w:left="2620"/>
        <w:spacing w:after="0" w:line="264" w:lineRule="auto"/>
        <w:rPr>
          <w:sz w:val="20"/>
          <w:szCs w:val="20"/>
          <w:color w:val="auto"/>
        </w:rPr>
      </w:pPr>
      <w:r>
        <w:rPr>
          <w:rFonts w:ascii="Arial" w:cs="Arial" w:eastAsia="Arial" w:hAnsi="Arial"/>
          <w:sz w:val="19"/>
          <w:szCs w:val="19"/>
          <w:color w:val="auto"/>
        </w:rPr>
        <w:t>Amended and Restated Master Services Agreements, dated as of February 2, 2023, among the Company, Clearway Energy LLC, Clearway Energy Operating LLC and CEG</w:t>
      </w:r>
    </w:p>
    <w:p>
      <w:pPr>
        <w:spacing w:after="0" w:line="12" w:lineRule="exact"/>
        <w:rPr>
          <w:rFonts w:ascii="Arial" w:cs="Arial" w:eastAsia="Arial" w:hAnsi="Arial"/>
          <w:sz w:val="17"/>
          <w:szCs w:val="17"/>
          <w:color w:val="auto"/>
        </w:rPr>
      </w:pPr>
    </w:p>
    <w:p>
      <w:pPr>
        <w:jc w:val="both"/>
        <w:ind w:left="2620"/>
        <w:spacing w:after="0" w:line="229" w:lineRule="auto"/>
        <w:rPr>
          <w:sz w:val="20"/>
          <w:szCs w:val="20"/>
          <w:color w:val="auto"/>
        </w:rPr>
      </w:pPr>
      <w:r>
        <w:rPr>
          <w:rFonts w:ascii="Arial" w:cs="Arial" w:eastAsia="Arial" w:hAnsi="Arial"/>
          <w:sz w:val="20"/>
          <w:szCs w:val="20"/>
          <w:color w:val="auto"/>
        </w:rPr>
        <w:t>The holding company through which the projects are owned by Clearway Energy Group LLC, the holder of Class B and Class D units, and Clearway Energy, Inc., the holder of the Class A and Class C units</w:t>
      </w:r>
    </w:p>
    <w:p>
      <w:pPr>
        <w:spacing w:after="0" w:line="43" w:lineRule="exact"/>
        <w:rPr>
          <w:rFonts w:ascii="Arial" w:cs="Arial" w:eastAsia="Arial" w:hAnsi="Arial"/>
          <w:sz w:val="17"/>
          <w:szCs w:val="17"/>
          <w:color w:val="auto"/>
        </w:rPr>
      </w:pPr>
    </w:p>
    <w:p>
      <w:pPr>
        <w:jc w:val="both"/>
        <w:ind w:left="2620"/>
        <w:spacing w:after="0" w:line="229" w:lineRule="auto"/>
        <w:rPr>
          <w:sz w:val="20"/>
          <w:szCs w:val="20"/>
          <w:color w:val="auto"/>
        </w:rPr>
      </w:pPr>
      <w:r>
        <w:rPr>
          <w:rFonts w:ascii="Arial" w:cs="Arial" w:eastAsia="Arial" w:hAnsi="Arial"/>
          <w:sz w:val="20"/>
          <w:szCs w:val="20"/>
          <w:color w:val="auto"/>
        </w:rPr>
        <w:t>The holder of all shares of the Company’s Class B and Class D common stock and Clearway Energy LLC’s Class B and Class D units, and from time to time, possibly shares of Clearway Energy, Inc.’s Class A and/or Class C common stock</w:t>
      </w:r>
    </w:p>
    <w:p>
      <w:pPr>
        <w:spacing w:after="0" w:line="43" w:lineRule="exact"/>
        <w:rPr>
          <w:rFonts w:ascii="Arial" w:cs="Arial" w:eastAsia="Arial" w:hAnsi="Arial"/>
          <w:sz w:val="17"/>
          <w:szCs w:val="17"/>
          <w:color w:val="auto"/>
        </w:rPr>
      </w:pPr>
    </w:p>
    <w:p>
      <w:pPr>
        <w:ind w:left="2620"/>
        <w:spacing w:after="0"/>
        <w:rPr>
          <w:sz w:val="20"/>
          <w:szCs w:val="20"/>
          <w:color w:val="auto"/>
        </w:rPr>
      </w:pPr>
      <w:r>
        <w:rPr>
          <w:rFonts w:ascii="Arial" w:cs="Arial" w:eastAsia="Arial" w:hAnsi="Arial"/>
          <w:sz w:val="20"/>
          <w:szCs w:val="20"/>
          <w:color w:val="auto"/>
        </w:rPr>
        <w:t>The holder of the project assets that are owned by Clearway Energy LLC</w:t>
      </w:r>
    </w:p>
    <w:p>
      <w:pPr>
        <w:spacing w:after="0" w:line="263" w:lineRule="exact"/>
        <w:rPr>
          <w:rFonts w:ascii="Arial" w:cs="Arial" w:eastAsia="Arial" w:hAnsi="Arial"/>
          <w:sz w:val="17"/>
          <w:szCs w:val="17"/>
          <w:color w:val="auto"/>
        </w:rPr>
      </w:pPr>
    </w:p>
    <w:p>
      <w:pPr>
        <w:ind w:left="2620" w:right="1180"/>
        <w:spacing w:after="0" w:line="311" w:lineRule="auto"/>
        <w:rPr>
          <w:sz w:val="20"/>
          <w:szCs w:val="20"/>
          <w:color w:val="auto"/>
        </w:rPr>
      </w:pPr>
      <w:r>
        <w:rPr>
          <w:rFonts w:ascii="Arial" w:cs="Arial" w:eastAsia="Arial" w:hAnsi="Arial"/>
          <w:sz w:val="20"/>
          <w:szCs w:val="20"/>
          <w:color w:val="auto"/>
        </w:rPr>
        <w:t>Clearway Renew LLC, a subsidiary of CEG, and its wholly-owned subsidiaries Commercial Operation Date</w:t>
      </w:r>
    </w:p>
    <w:p>
      <w:pPr>
        <w:spacing w:after="0" w:line="1" w:lineRule="exact"/>
        <w:rPr>
          <w:rFonts w:ascii="Arial" w:cs="Arial" w:eastAsia="Arial" w:hAnsi="Arial"/>
          <w:sz w:val="17"/>
          <w:szCs w:val="17"/>
          <w:color w:val="auto"/>
        </w:rPr>
      </w:pPr>
    </w:p>
    <w:p>
      <w:pPr>
        <w:ind w:left="2620"/>
        <w:spacing w:after="0"/>
        <w:rPr>
          <w:sz w:val="20"/>
          <w:szCs w:val="20"/>
          <w:color w:val="auto"/>
        </w:rPr>
      </w:pPr>
      <w:r>
        <w:rPr>
          <w:rFonts w:ascii="Arial" w:cs="Arial" w:eastAsia="Arial" w:hAnsi="Arial"/>
          <w:sz w:val="20"/>
          <w:szCs w:val="20"/>
          <w:color w:val="auto"/>
        </w:rPr>
        <w:t>Internal Revenue Code of 1986, as amended</w:t>
      </w:r>
    </w:p>
    <w:p>
      <w:pPr>
        <w:spacing w:after="0" w:line="69" w:lineRule="exact"/>
        <w:rPr>
          <w:rFonts w:ascii="Arial" w:cs="Arial" w:eastAsia="Arial" w:hAnsi="Arial"/>
          <w:sz w:val="17"/>
          <w:szCs w:val="17"/>
          <w:color w:val="auto"/>
        </w:rPr>
      </w:pPr>
    </w:p>
    <w:p>
      <w:pPr>
        <w:ind w:left="2620" w:right="2280"/>
        <w:spacing w:after="0" w:line="311" w:lineRule="auto"/>
        <w:rPr>
          <w:sz w:val="20"/>
          <w:szCs w:val="20"/>
          <w:color w:val="auto"/>
        </w:rPr>
      </w:pPr>
      <w:r>
        <w:rPr>
          <w:rFonts w:ascii="Arial" w:cs="Arial" w:eastAsia="Arial" w:hAnsi="Arial"/>
          <w:sz w:val="20"/>
          <w:szCs w:val="20"/>
          <w:color w:val="auto"/>
        </w:rPr>
        <w:t>Clearway Energy, Inc., together with its consolidated subsidiaries California Valley Solar Ranch</w:t>
      </w:r>
    </w:p>
    <w:p>
      <w:pPr>
        <w:spacing w:after="0" w:line="1" w:lineRule="exact"/>
        <w:rPr>
          <w:rFonts w:ascii="Arial" w:cs="Arial" w:eastAsia="Arial" w:hAnsi="Arial"/>
          <w:sz w:val="17"/>
          <w:szCs w:val="17"/>
          <w:color w:val="auto"/>
        </w:rPr>
      </w:pPr>
    </w:p>
    <w:p>
      <w:pPr>
        <w:ind w:left="2620"/>
        <w:spacing w:after="0"/>
        <w:rPr>
          <w:sz w:val="20"/>
          <w:szCs w:val="20"/>
          <w:color w:val="auto"/>
        </w:rPr>
      </w:pPr>
      <w:r>
        <w:rPr>
          <w:rFonts w:ascii="Arial" w:cs="Arial" w:eastAsia="Arial" w:hAnsi="Arial"/>
          <w:sz w:val="20"/>
          <w:szCs w:val="20"/>
          <w:color w:val="auto"/>
        </w:rPr>
        <w:t>CVSR Holdco LLC, the indirect owner of CVSR</w:t>
      </w:r>
    </w:p>
    <w:p>
      <w:pPr>
        <w:spacing w:after="0" w:line="69" w:lineRule="exact"/>
        <w:rPr>
          <w:rFonts w:ascii="Arial" w:cs="Arial" w:eastAsia="Arial" w:hAnsi="Arial"/>
          <w:sz w:val="17"/>
          <w:szCs w:val="17"/>
          <w:color w:val="auto"/>
        </w:rPr>
      </w:pPr>
    </w:p>
    <w:p>
      <w:pPr>
        <w:jc w:val="both"/>
        <w:ind w:left="2620"/>
        <w:spacing w:after="0" w:line="229" w:lineRule="auto"/>
        <w:rPr>
          <w:sz w:val="20"/>
          <w:szCs w:val="20"/>
          <w:color w:val="auto"/>
        </w:rPr>
      </w:pPr>
      <w:r>
        <w:rPr>
          <w:rFonts w:ascii="Arial" w:cs="Arial" w:eastAsia="Arial" w:hAnsi="Arial"/>
          <w:sz w:val="20"/>
          <w:szCs w:val="20"/>
          <w:color w:val="auto"/>
        </w:rPr>
        <w:t>Solar power projects, typically less than 20 MW in size (on an alternating current, or AC, basis), that primarily sell power produced to customers for usage on site, or are interconnected to sell power into the local distribution grid</w:t>
      </w:r>
    </w:p>
    <w:p>
      <w:pPr>
        <w:sectPr>
          <w:pgSz w:w="11880" w:h="15480" w:orient="portrait"/>
          <w:cols w:equalWidth="0" w:num="1">
            <w:col w:w="10120"/>
          </w:cols>
          <w:pgMar w:left="880" w:top="404" w:right="880" w:bottom="0" w:gutter="0" w:footer="0" w:header="0"/>
        </w:sect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3"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4"/>
          <w:szCs w:val="14"/>
          <w:color w:val="auto"/>
        </w:rPr>
        <w:t>3</w:t>
      </w:r>
    </w:p>
    <w:p>
      <w:pPr>
        <w:sectPr>
          <w:pgSz w:w="11880" w:h="15480" w:orient="portrait"/>
          <w:cols w:equalWidth="0" w:num="1">
            <w:col w:w="10120"/>
          </w:cols>
          <w:pgMar w:left="880" w:top="404" w:right="880" w:bottom="0" w:gutter="0" w:footer="0" w:header="0"/>
          <w:type w:val="continuous"/>
        </w:sectPr>
      </w:pPr>
    </w:p>
    <w:bookmarkStart w:id="5" w:name="page6"/>
    <w:bookmarkEnd w:id="5"/>
    <w:p>
      <w:pPr>
        <w:spacing w:after="0"/>
        <w:tabs>
          <w:tab w:leader="none" w:pos="2600" w:val="left"/>
        </w:tabs>
        <w:rPr>
          <w:sz w:val="20"/>
          <w:szCs w:val="20"/>
          <w:color w:val="auto"/>
        </w:rPr>
      </w:pPr>
      <w:r>
        <w:rPr>
          <w:rFonts w:ascii="Arial" w:cs="Arial" w:eastAsia="Arial" w:hAnsi="Arial"/>
          <w:sz w:val="20"/>
          <w:szCs w:val="20"/>
          <w:color w:val="auto"/>
        </w:rPr>
        <w:t>Drop Down Assets</w:t>
      </w:r>
      <w:r>
        <w:rPr>
          <w:sz w:val="20"/>
          <w:szCs w:val="20"/>
          <w:color w:val="auto"/>
        </w:rPr>
        <w:tab/>
      </w:r>
      <w:r>
        <w:rPr>
          <w:rFonts w:ascii="Arial" w:cs="Arial" w:eastAsia="Arial" w:hAnsi="Arial"/>
          <w:sz w:val="18"/>
          <w:szCs w:val="18"/>
          <w:color w:val="auto"/>
        </w:rPr>
        <w:t>Assets under common control acquired by the Company from CEG</w:t>
      </w:r>
    </w:p>
    <w:p>
      <w:pPr>
        <w:spacing w:after="0" w:line="69"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EPA</w:t>
      </w:r>
      <w:r>
        <w:rPr>
          <w:sz w:val="20"/>
          <w:szCs w:val="20"/>
          <w:color w:val="auto"/>
        </w:rPr>
        <w:tab/>
      </w:r>
      <w:r>
        <w:rPr>
          <w:rFonts w:ascii="Arial" w:cs="Arial" w:eastAsia="Arial" w:hAnsi="Arial"/>
          <w:sz w:val="20"/>
          <w:szCs w:val="20"/>
          <w:color w:val="auto"/>
        </w:rPr>
        <w:t>United States Environmental Protection Agency</w:t>
      </w:r>
    </w:p>
    <w:p>
      <w:pPr>
        <w:spacing w:after="0" w:line="49" w:lineRule="exact"/>
        <w:rPr>
          <w:sz w:val="20"/>
          <w:szCs w:val="20"/>
          <w:color w:val="auto"/>
        </w:rPr>
      </w:pPr>
    </w:p>
    <w:p>
      <w:pPr>
        <w:spacing w:after="0"/>
        <w:tabs>
          <w:tab w:leader="none" w:pos="2600" w:val="left"/>
        </w:tabs>
        <w:rPr>
          <w:sz w:val="20"/>
          <w:szCs w:val="20"/>
          <w:color w:val="auto"/>
        </w:rPr>
      </w:pPr>
      <w:r>
        <w:rPr>
          <w:rFonts w:ascii="Arial" w:cs="Arial" w:eastAsia="Arial" w:hAnsi="Arial"/>
          <w:sz w:val="19"/>
          <w:szCs w:val="19"/>
          <w:color w:val="auto"/>
        </w:rPr>
        <w:t>ERCOT</w:t>
      </w:r>
      <w:r>
        <w:rPr>
          <w:sz w:val="20"/>
          <w:szCs w:val="20"/>
          <w:color w:val="auto"/>
        </w:rPr>
        <w:tab/>
      </w:r>
      <w:r>
        <w:rPr>
          <w:rFonts w:ascii="Arial" w:cs="Arial" w:eastAsia="Arial" w:hAnsi="Arial"/>
          <w:sz w:val="19"/>
          <w:szCs w:val="19"/>
          <w:color w:val="auto"/>
        </w:rPr>
        <w:t>Electric Reliability Council of Texas, the ISO and the regional reliability coordinator of the</w:t>
      </w:r>
    </w:p>
    <w:p>
      <w:pPr>
        <w:ind w:left="2620"/>
        <w:spacing w:after="0"/>
        <w:rPr>
          <w:sz w:val="20"/>
          <w:szCs w:val="20"/>
          <w:color w:val="auto"/>
        </w:rPr>
      </w:pPr>
      <w:r>
        <w:rPr>
          <w:rFonts w:ascii="Arial" w:cs="Arial" w:eastAsia="Arial" w:hAnsi="Arial"/>
          <w:sz w:val="20"/>
          <w:szCs w:val="20"/>
          <w:color w:val="auto"/>
        </w:rPr>
        <w:t>various electricity systems within Texas</w:t>
      </w:r>
    </w:p>
    <w:p>
      <w:pPr>
        <w:spacing w:after="0" w:line="64"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EWG</w:t>
      </w:r>
      <w:r>
        <w:rPr>
          <w:sz w:val="20"/>
          <w:szCs w:val="20"/>
          <w:color w:val="auto"/>
        </w:rPr>
        <w:tab/>
      </w:r>
      <w:r>
        <w:rPr>
          <w:rFonts w:ascii="Arial" w:cs="Arial" w:eastAsia="Arial" w:hAnsi="Arial"/>
          <w:sz w:val="20"/>
          <w:szCs w:val="20"/>
          <w:color w:val="auto"/>
        </w:rPr>
        <w:t>Exempt Wholesale Generator</w:t>
      </w:r>
    </w:p>
    <w:p>
      <w:pPr>
        <w:spacing w:after="0" w:line="69"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Exchange Act</w:t>
      </w:r>
      <w:r>
        <w:rPr>
          <w:sz w:val="20"/>
          <w:szCs w:val="20"/>
          <w:color w:val="auto"/>
        </w:rPr>
        <w:tab/>
      </w:r>
      <w:r>
        <w:rPr>
          <w:rFonts w:ascii="Arial" w:cs="Arial" w:eastAsia="Arial" w:hAnsi="Arial"/>
          <w:sz w:val="17"/>
          <w:szCs w:val="17"/>
          <w:color w:val="auto"/>
        </w:rPr>
        <w:t>The Securities Exchange Act of 1934, as amended</w:t>
      </w:r>
    </w:p>
    <w:p>
      <w:pPr>
        <w:spacing w:after="0" w:line="69"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FASB</w:t>
      </w:r>
      <w:r>
        <w:rPr>
          <w:sz w:val="20"/>
          <w:szCs w:val="20"/>
          <w:color w:val="auto"/>
        </w:rPr>
        <w:tab/>
      </w:r>
      <w:r>
        <w:rPr>
          <w:rFonts w:ascii="Arial" w:cs="Arial" w:eastAsia="Arial" w:hAnsi="Arial"/>
          <w:sz w:val="20"/>
          <w:szCs w:val="20"/>
          <w:color w:val="auto"/>
        </w:rPr>
        <w:t>Financial Accounting Standards Board</w:t>
      </w:r>
    </w:p>
    <w:p>
      <w:pPr>
        <w:spacing w:after="0" w:line="69"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FERC</w:t>
      </w:r>
      <w:r>
        <w:rPr>
          <w:sz w:val="20"/>
          <w:szCs w:val="20"/>
          <w:color w:val="auto"/>
        </w:rPr>
        <w:tab/>
      </w:r>
      <w:r>
        <w:rPr>
          <w:rFonts w:ascii="Arial" w:cs="Arial" w:eastAsia="Arial" w:hAnsi="Arial"/>
          <w:sz w:val="20"/>
          <w:szCs w:val="20"/>
          <w:color w:val="auto"/>
        </w:rPr>
        <w:t>Federal Energy Regulatory Commission</w:t>
      </w:r>
    </w:p>
    <w:p>
      <w:pPr>
        <w:spacing w:after="0" w:line="69"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FPA</w:t>
      </w:r>
      <w:r>
        <w:rPr>
          <w:sz w:val="20"/>
          <w:szCs w:val="20"/>
          <w:color w:val="auto"/>
        </w:rPr>
        <w:tab/>
      </w:r>
      <w:r>
        <w:rPr>
          <w:rFonts w:ascii="Arial" w:cs="Arial" w:eastAsia="Arial" w:hAnsi="Arial"/>
          <w:sz w:val="20"/>
          <w:szCs w:val="20"/>
          <w:color w:val="auto"/>
        </w:rPr>
        <w:t>Federal Power Act</w:t>
      </w:r>
    </w:p>
    <w:p>
      <w:pPr>
        <w:spacing w:after="0" w:line="69"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FWS</w:t>
      </w:r>
      <w:r>
        <w:rPr>
          <w:sz w:val="20"/>
          <w:szCs w:val="20"/>
          <w:color w:val="auto"/>
        </w:rPr>
        <w:tab/>
      </w:r>
      <w:r>
        <w:rPr>
          <w:rFonts w:ascii="Arial" w:cs="Arial" w:eastAsia="Arial" w:hAnsi="Arial"/>
          <w:sz w:val="20"/>
          <w:szCs w:val="20"/>
          <w:color w:val="auto"/>
        </w:rPr>
        <w:t>U.S. Fish &amp; Wildlife Service</w:t>
      </w:r>
    </w:p>
    <w:p>
      <w:pPr>
        <w:spacing w:after="0" w:line="69"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GAAP</w:t>
      </w:r>
      <w:r>
        <w:rPr>
          <w:sz w:val="20"/>
          <w:szCs w:val="20"/>
          <w:color w:val="auto"/>
        </w:rPr>
        <w:tab/>
      </w:r>
      <w:r>
        <w:rPr>
          <w:rFonts w:ascii="Arial" w:cs="Arial" w:eastAsia="Arial" w:hAnsi="Arial"/>
          <w:sz w:val="20"/>
          <w:szCs w:val="20"/>
          <w:color w:val="auto"/>
        </w:rPr>
        <w:t>Accounting principles generally accepted in the U.S.</w:t>
      </w:r>
    </w:p>
    <w:p>
      <w:pPr>
        <w:spacing w:after="0" w:line="69"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GenConn</w:t>
      </w:r>
      <w:r>
        <w:rPr>
          <w:sz w:val="20"/>
          <w:szCs w:val="20"/>
          <w:color w:val="auto"/>
        </w:rPr>
        <w:tab/>
      </w:r>
      <w:r>
        <w:rPr>
          <w:rFonts w:ascii="Arial" w:cs="Arial" w:eastAsia="Arial" w:hAnsi="Arial"/>
          <w:sz w:val="20"/>
          <w:szCs w:val="20"/>
          <w:color w:val="auto"/>
        </w:rPr>
        <w:t>GenConn Energy LLC</w:t>
      </w:r>
    </w:p>
    <w:p>
      <w:pPr>
        <w:spacing w:after="0" w:line="69"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GHG</w:t>
      </w:r>
      <w:r>
        <w:rPr>
          <w:sz w:val="20"/>
          <w:szCs w:val="20"/>
          <w:color w:val="auto"/>
        </w:rPr>
        <w:tab/>
      </w:r>
      <w:r>
        <w:rPr>
          <w:rFonts w:ascii="Arial" w:cs="Arial" w:eastAsia="Arial" w:hAnsi="Arial"/>
          <w:sz w:val="20"/>
          <w:szCs w:val="20"/>
          <w:color w:val="auto"/>
        </w:rPr>
        <w:t>Greenhouse gas</w:t>
      </w:r>
    </w:p>
    <w:p>
      <w:pPr>
        <w:spacing w:after="0" w:line="69"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GIM</w:t>
      </w:r>
      <w:r>
        <w:rPr>
          <w:sz w:val="20"/>
          <w:szCs w:val="20"/>
          <w:color w:val="auto"/>
        </w:rPr>
        <w:tab/>
      </w:r>
      <w:r>
        <w:rPr>
          <w:rFonts w:ascii="Arial" w:cs="Arial" w:eastAsia="Arial" w:hAnsi="Arial"/>
          <w:sz w:val="20"/>
          <w:szCs w:val="20"/>
          <w:color w:val="auto"/>
        </w:rPr>
        <w:t>Global Infrastructure Management, LLC, the manager of GIP</w:t>
      </w:r>
    </w:p>
    <w:p>
      <w:pPr>
        <w:spacing w:after="0" w:line="69"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GIP</w:t>
      </w:r>
      <w:r>
        <w:rPr>
          <w:sz w:val="20"/>
          <w:szCs w:val="20"/>
          <w:color w:val="auto"/>
        </w:rPr>
        <w:tab/>
      </w:r>
      <w:r>
        <w:rPr>
          <w:rFonts w:ascii="Arial" w:cs="Arial" w:eastAsia="Arial" w:hAnsi="Arial"/>
          <w:sz w:val="20"/>
          <w:szCs w:val="20"/>
          <w:color w:val="auto"/>
        </w:rPr>
        <w:t>Global Infrastructure Partners</w:t>
      </w:r>
    </w:p>
    <w:p>
      <w:pPr>
        <w:spacing w:after="0" w:line="69"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HLBV</w:t>
      </w:r>
      <w:r>
        <w:rPr>
          <w:sz w:val="20"/>
          <w:szCs w:val="20"/>
          <w:color w:val="auto"/>
        </w:rPr>
        <w:tab/>
      </w:r>
      <w:r>
        <w:rPr>
          <w:rFonts w:ascii="Arial" w:cs="Arial" w:eastAsia="Arial" w:hAnsi="Arial"/>
          <w:sz w:val="20"/>
          <w:szCs w:val="20"/>
          <w:color w:val="auto"/>
        </w:rPr>
        <w:t>Hypothetical Liquidation at Book Value</w:t>
      </w:r>
    </w:p>
    <w:p>
      <w:pPr>
        <w:spacing w:after="0" w:line="69"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IRA</w:t>
      </w:r>
      <w:r>
        <w:rPr>
          <w:sz w:val="20"/>
          <w:szCs w:val="20"/>
          <w:color w:val="auto"/>
        </w:rPr>
        <w:tab/>
      </w:r>
      <w:r>
        <w:rPr>
          <w:rFonts w:ascii="Arial" w:cs="Arial" w:eastAsia="Arial" w:hAnsi="Arial"/>
          <w:sz w:val="20"/>
          <w:szCs w:val="20"/>
          <w:color w:val="auto"/>
        </w:rPr>
        <w:t>Inflation Reduction Act of 2022</w:t>
      </w:r>
    </w:p>
    <w:p>
      <w:pPr>
        <w:spacing w:after="0" w:line="69"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IRS</w:t>
      </w:r>
      <w:r>
        <w:rPr>
          <w:sz w:val="20"/>
          <w:szCs w:val="20"/>
          <w:color w:val="auto"/>
        </w:rPr>
        <w:tab/>
      </w:r>
      <w:r>
        <w:rPr>
          <w:rFonts w:ascii="Arial" w:cs="Arial" w:eastAsia="Arial" w:hAnsi="Arial"/>
          <w:sz w:val="20"/>
          <w:szCs w:val="20"/>
          <w:color w:val="auto"/>
        </w:rPr>
        <w:t>Internal Revenue Service</w:t>
      </w:r>
    </w:p>
    <w:p>
      <w:pPr>
        <w:spacing w:after="0" w:line="69"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ISO</w:t>
      </w:r>
      <w:r>
        <w:rPr>
          <w:sz w:val="20"/>
          <w:szCs w:val="20"/>
          <w:color w:val="auto"/>
        </w:rPr>
        <w:tab/>
      </w:r>
      <w:r>
        <w:rPr>
          <w:rFonts w:ascii="Arial" w:cs="Arial" w:eastAsia="Arial" w:hAnsi="Arial"/>
          <w:sz w:val="20"/>
          <w:szCs w:val="20"/>
          <w:color w:val="auto"/>
        </w:rPr>
        <w:t>Independent System Operator, also referred to as an RTO</w:t>
      </w:r>
    </w:p>
    <w:p>
      <w:pPr>
        <w:spacing w:after="0" w:line="69"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ITC</w:t>
      </w:r>
      <w:r>
        <w:rPr>
          <w:sz w:val="20"/>
          <w:szCs w:val="20"/>
          <w:color w:val="auto"/>
        </w:rPr>
        <w:tab/>
      </w:r>
      <w:r>
        <w:rPr>
          <w:rFonts w:ascii="Arial" w:cs="Arial" w:eastAsia="Arial" w:hAnsi="Arial"/>
          <w:sz w:val="20"/>
          <w:szCs w:val="20"/>
          <w:color w:val="auto"/>
        </w:rPr>
        <w:t>Investment Tax Credit</w:t>
      </w:r>
    </w:p>
    <w:p>
      <w:pPr>
        <w:spacing w:after="0" w:line="69"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KKR</w:t>
      </w:r>
      <w:r>
        <w:rPr>
          <w:sz w:val="20"/>
          <w:szCs w:val="20"/>
          <w:color w:val="auto"/>
        </w:rPr>
        <w:tab/>
      </w:r>
      <w:r>
        <w:rPr>
          <w:rFonts w:ascii="Arial" w:cs="Arial" w:eastAsia="Arial" w:hAnsi="Arial"/>
          <w:sz w:val="20"/>
          <w:szCs w:val="20"/>
          <w:color w:val="auto"/>
        </w:rPr>
        <w:t>KKR Thor Bidco, LLC, an affiliate of Kohlberg Kravis Roberts &amp; Co. L.P.</w:t>
      </w:r>
    </w:p>
    <w:p>
      <w:pPr>
        <w:spacing w:after="0" w:line="69"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kWh</w:t>
      </w:r>
      <w:r>
        <w:rPr>
          <w:sz w:val="20"/>
          <w:szCs w:val="20"/>
          <w:color w:val="auto"/>
        </w:rPr>
        <w:tab/>
      </w:r>
      <w:r>
        <w:rPr>
          <w:rFonts w:ascii="Arial" w:cs="Arial" w:eastAsia="Arial" w:hAnsi="Arial"/>
          <w:sz w:val="20"/>
          <w:szCs w:val="20"/>
          <w:color w:val="auto"/>
        </w:rPr>
        <w:t>Kilowatt Hour</w:t>
      </w:r>
    </w:p>
    <w:p>
      <w:pPr>
        <w:spacing w:after="0" w:line="69"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LIBOR</w:t>
      </w:r>
      <w:r>
        <w:rPr>
          <w:sz w:val="20"/>
          <w:szCs w:val="20"/>
          <w:color w:val="auto"/>
        </w:rPr>
        <w:tab/>
      </w:r>
      <w:r>
        <w:rPr>
          <w:rFonts w:ascii="Arial" w:cs="Arial" w:eastAsia="Arial" w:hAnsi="Arial"/>
          <w:sz w:val="20"/>
          <w:szCs w:val="20"/>
          <w:color w:val="auto"/>
        </w:rPr>
        <w:t>London Inter-Bank Offered Rate</w:t>
      </w:r>
    </w:p>
    <w:p>
      <w:pPr>
        <w:spacing w:after="0" w:line="69"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MBTA</w:t>
      </w:r>
      <w:r>
        <w:rPr>
          <w:sz w:val="20"/>
          <w:szCs w:val="20"/>
          <w:color w:val="auto"/>
        </w:rPr>
        <w:tab/>
      </w:r>
      <w:r>
        <w:rPr>
          <w:rFonts w:ascii="Arial" w:cs="Arial" w:eastAsia="Arial" w:hAnsi="Arial"/>
          <w:sz w:val="20"/>
          <w:szCs w:val="20"/>
          <w:color w:val="auto"/>
        </w:rPr>
        <w:t>Migratory Bird Treaty Act</w:t>
      </w:r>
    </w:p>
    <w:p>
      <w:pPr>
        <w:spacing w:after="0" w:line="69"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Mesquite Star</w:t>
      </w:r>
      <w:r>
        <w:rPr>
          <w:sz w:val="20"/>
          <w:szCs w:val="20"/>
          <w:color w:val="auto"/>
        </w:rPr>
        <w:tab/>
      </w:r>
      <w:r>
        <w:rPr>
          <w:rFonts w:ascii="Arial" w:cs="Arial" w:eastAsia="Arial" w:hAnsi="Arial"/>
          <w:sz w:val="18"/>
          <w:szCs w:val="18"/>
          <w:color w:val="auto"/>
        </w:rPr>
        <w:t>Mesquite Star Special, LLC</w:t>
      </w:r>
    </w:p>
    <w:p>
      <w:pPr>
        <w:spacing w:after="0" w:line="69"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MMBtu</w:t>
      </w:r>
      <w:r>
        <w:rPr>
          <w:sz w:val="20"/>
          <w:szCs w:val="20"/>
          <w:color w:val="auto"/>
        </w:rPr>
        <w:tab/>
      </w:r>
      <w:r>
        <w:rPr>
          <w:rFonts w:ascii="Arial" w:cs="Arial" w:eastAsia="Arial" w:hAnsi="Arial"/>
          <w:sz w:val="20"/>
          <w:szCs w:val="20"/>
          <w:color w:val="auto"/>
        </w:rPr>
        <w:t>Million British Thermal Units</w:t>
      </w:r>
    </w:p>
    <w:p>
      <w:pPr>
        <w:spacing w:after="0" w:line="69"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Mt. Storm</w:t>
      </w:r>
      <w:r>
        <w:rPr>
          <w:sz w:val="20"/>
          <w:szCs w:val="20"/>
          <w:color w:val="auto"/>
        </w:rPr>
        <w:tab/>
      </w:r>
      <w:r>
        <w:rPr>
          <w:rFonts w:ascii="Arial" w:cs="Arial" w:eastAsia="Arial" w:hAnsi="Arial"/>
          <w:sz w:val="18"/>
          <w:szCs w:val="18"/>
          <w:color w:val="auto"/>
        </w:rPr>
        <w:t>NedPower Mount Storm LLC</w:t>
      </w:r>
    </w:p>
    <w:p>
      <w:pPr>
        <w:spacing w:after="0" w:line="69"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MW</w:t>
      </w:r>
      <w:r>
        <w:rPr>
          <w:sz w:val="20"/>
          <w:szCs w:val="20"/>
          <w:color w:val="auto"/>
        </w:rPr>
        <w:tab/>
      </w:r>
      <w:r>
        <w:rPr>
          <w:rFonts w:ascii="Arial" w:cs="Arial" w:eastAsia="Arial" w:hAnsi="Arial"/>
          <w:sz w:val="20"/>
          <w:szCs w:val="20"/>
          <w:color w:val="auto"/>
        </w:rPr>
        <w:t>Megawatt</w:t>
      </w:r>
    </w:p>
    <w:p>
      <w:pPr>
        <w:spacing w:after="0" w:line="69"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MWh</w:t>
      </w:r>
      <w:r>
        <w:rPr>
          <w:sz w:val="20"/>
          <w:szCs w:val="20"/>
          <w:color w:val="auto"/>
        </w:rPr>
        <w:tab/>
      </w:r>
      <w:r>
        <w:rPr>
          <w:rFonts w:ascii="Arial" w:cs="Arial" w:eastAsia="Arial" w:hAnsi="Arial"/>
          <w:sz w:val="20"/>
          <w:szCs w:val="20"/>
          <w:color w:val="auto"/>
        </w:rPr>
        <w:t>Saleable megawatt hours, net of internal/parasitic load megawatt-hours</w:t>
      </w:r>
    </w:p>
    <w:p>
      <w:pPr>
        <w:spacing w:after="0" w:line="69"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MWt</w:t>
      </w:r>
      <w:r>
        <w:rPr>
          <w:sz w:val="20"/>
          <w:szCs w:val="20"/>
          <w:color w:val="auto"/>
        </w:rPr>
        <w:tab/>
      </w:r>
      <w:r>
        <w:rPr>
          <w:rFonts w:ascii="Arial" w:cs="Arial" w:eastAsia="Arial" w:hAnsi="Arial"/>
          <w:sz w:val="20"/>
          <w:szCs w:val="20"/>
          <w:color w:val="auto"/>
        </w:rPr>
        <w:t>Megawatts Thermal Equivalent</w:t>
      </w:r>
    </w:p>
    <w:p>
      <w:pPr>
        <w:spacing w:after="0" w:line="69"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NEPA</w:t>
      </w:r>
      <w:r>
        <w:rPr>
          <w:sz w:val="20"/>
          <w:szCs w:val="20"/>
          <w:color w:val="auto"/>
        </w:rPr>
        <w:tab/>
      </w:r>
      <w:r>
        <w:rPr>
          <w:rFonts w:ascii="Arial" w:cs="Arial" w:eastAsia="Arial" w:hAnsi="Arial"/>
          <w:sz w:val="20"/>
          <w:szCs w:val="20"/>
          <w:color w:val="auto"/>
        </w:rPr>
        <w:t>National Environmental Policy Act</w:t>
      </w:r>
    </w:p>
    <w:p>
      <w:pPr>
        <w:spacing w:after="0" w:line="69"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NERC</w:t>
      </w:r>
      <w:r>
        <w:rPr>
          <w:sz w:val="20"/>
          <w:szCs w:val="20"/>
          <w:color w:val="auto"/>
        </w:rPr>
        <w:tab/>
      </w:r>
      <w:r>
        <w:rPr>
          <w:rFonts w:ascii="Arial" w:cs="Arial" w:eastAsia="Arial" w:hAnsi="Arial"/>
          <w:sz w:val="20"/>
          <w:szCs w:val="20"/>
          <w:color w:val="auto"/>
        </w:rPr>
        <w:t>North American Electric Reliability Corporation</w:t>
      </w:r>
    </w:p>
    <w:p>
      <w:pPr>
        <w:spacing w:after="0" w:line="69"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Net Exposure</w:t>
      </w:r>
      <w:r>
        <w:rPr>
          <w:sz w:val="20"/>
          <w:szCs w:val="20"/>
          <w:color w:val="auto"/>
        </w:rPr>
        <w:tab/>
      </w:r>
      <w:r>
        <w:rPr>
          <w:rFonts w:ascii="Arial" w:cs="Arial" w:eastAsia="Arial" w:hAnsi="Arial"/>
          <w:sz w:val="18"/>
          <w:szCs w:val="18"/>
          <w:color w:val="auto"/>
        </w:rPr>
        <w:t>Counterparty credit exposure to Clearway Energy, Inc. net of collateral</w:t>
      </w:r>
    </w:p>
    <w:p>
      <w:pPr>
        <w:spacing w:after="0" w:line="69"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NOLs</w:t>
      </w:r>
      <w:r>
        <w:rPr>
          <w:sz w:val="20"/>
          <w:szCs w:val="20"/>
          <w:color w:val="auto"/>
        </w:rPr>
        <w:tab/>
      </w:r>
      <w:r>
        <w:rPr>
          <w:rFonts w:ascii="Arial" w:cs="Arial" w:eastAsia="Arial" w:hAnsi="Arial"/>
          <w:sz w:val="20"/>
          <w:szCs w:val="20"/>
          <w:color w:val="auto"/>
        </w:rPr>
        <w:t>Net Operating Losses</w:t>
      </w:r>
    </w:p>
    <w:p>
      <w:pPr>
        <w:spacing w:after="0" w:line="30"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NO</w:t>
      </w:r>
      <w:r>
        <w:rPr>
          <w:rFonts w:ascii="Arial" w:cs="Arial" w:eastAsia="Arial" w:hAnsi="Arial"/>
          <w:sz w:val="25"/>
          <w:szCs w:val="25"/>
          <w:color w:val="auto"/>
          <w:vertAlign w:val="subscript"/>
        </w:rPr>
        <w:t>x</w:t>
      </w:r>
      <w:r>
        <w:rPr>
          <w:sz w:val="20"/>
          <w:szCs w:val="20"/>
          <w:color w:val="auto"/>
        </w:rPr>
        <w:tab/>
      </w:r>
      <w:r>
        <w:rPr>
          <w:rFonts w:ascii="Arial" w:cs="Arial" w:eastAsia="Arial" w:hAnsi="Arial"/>
          <w:sz w:val="18"/>
          <w:szCs w:val="18"/>
          <w:color w:val="auto"/>
        </w:rPr>
        <w:t>Nitrogen Oxides</w:t>
      </w:r>
    </w:p>
    <w:p>
      <w:pPr>
        <w:spacing w:after="0" w:line="49"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NPNS</w:t>
      </w:r>
      <w:r>
        <w:rPr>
          <w:sz w:val="20"/>
          <w:szCs w:val="20"/>
          <w:color w:val="auto"/>
        </w:rPr>
        <w:tab/>
      </w:r>
      <w:r>
        <w:rPr>
          <w:rFonts w:ascii="Arial" w:cs="Arial" w:eastAsia="Arial" w:hAnsi="Arial"/>
          <w:sz w:val="20"/>
          <w:szCs w:val="20"/>
          <w:color w:val="auto"/>
        </w:rPr>
        <w:t>Normal Purchases and Normal Sales</w:t>
      </w:r>
    </w:p>
    <w:p>
      <w:pPr>
        <w:spacing w:after="0" w:line="69"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NRG</w:t>
      </w:r>
      <w:r>
        <w:rPr>
          <w:sz w:val="20"/>
          <w:szCs w:val="20"/>
          <w:color w:val="auto"/>
        </w:rPr>
        <w:tab/>
      </w:r>
      <w:r>
        <w:rPr>
          <w:rFonts w:ascii="Arial" w:cs="Arial" w:eastAsia="Arial" w:hAnsi="Arial"/>
          <w:sz w:val="20"/>
          <w:szCs w:val="20"/>
          <w:color w:val="auto"/>
        </w:rPr>
        <w:t>NRG Energy, Inc.</w:t>
      </w:r>
    </w:p>
    <w:p>
      <w:pPr>
        <w:spacing w:after="0" w:line="69"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OCI/OCL</w:t>
      </w:r>
      <w:r>
        <w:rPr>
          <w:sz w:val="20"/>
          <w:szCs w:val="20"/>
          <w:color w:val="auto"/>
        </w:rPr>
        <w:tab/>
      </w:r>
      <w:r>
        <w:rPr>
          <w:rFonts w:ascii="Arial" w:cs="Arial" w:eastAsia="Arial" w:hAnsi="Arial"/>
          <w:sz w:val="20"/>
          <w:szCs w:val="20"/>
          <w:color w:val="auto"/>
        </w:rPr>
        <w:t>Other comprehensive income/loss</w:t>
      </w:r>
    </w:p>
    <w:p>
      <w:pPr>
        <w:spacing w:after="0" w:line="69"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O&amp;M</w:t>
      </w:r>
      <w:r>
        <w:rPr>
          <w:sz w:val="20"/>
          <w:szCs w:val="20"/>
          <w:color w:val="auto"/>
        </w:rPr>
        <w:tab/>
      </w:r>
      <w:r>
        <w:rPr>
          <w:rFonts w:ascii="Arial" w:cs="Arial" w:eastAsia="Arial" w:hAnsi="Arial"/>
          <w:sz w:val="20"/>
          <w:szCs w:val="20"/>
          <w:color w:val="auto"/>
        </w:rPr>
        <w:t>Operations and Maintenance</w:t>
      </w:r>
    </w:p>
    <w:p>
      <w:pPr>
        <w:spacing w:after="0" w:line="69"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PG&amp;E</w:t>
      </w:r>
      <w:r>
        <w:rPr>
          <w:sz w:val="20"/>
          <w:szCs w:val="20"/>
          <w:color w:val="auto"/>
        </w:rPr>
        <w:tab/>
      </w:r>
      <w:r>
        <w:rPr>
          <w:rFonts w:ascii="Arial" w:cs="Arial" w:eastAsia="Arial" w:hAnsi="Arial"/>
          <w:sz w:val="20"/>
          <w:szCs w:val="20"/>
          <w:color w:val="auto"/>
        </w:rPr>
        <w:t>Pacific Gas and Electric Company</w:t>
      </w:r>
    </w:p>
    <w:p>
      <w:pPr>
        <w:spacing w:after="0" w:line="69"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PJM</w:t>
      </w:r>
      <w:r>
        <w:rPr>
          <w:sz w:val="20"/>
          <w:szCs w:val="20"/>
          <w:color w:val="auto"/>
        </w:rPr>
        <w:tab/>
      </w:r>
      <w:r>
        <w:rPr>
          <w:rFonts w:ascii="Arial" w:cs="Arial" w:eastAsia="Arial" w:hAnsi="Arial"/>
          <w:sz w:val="20"/>
          <w:szCs w:val="20"/>
          <w:color w:val="auto"/>
        </w:rPr>
        <w:t>PJM Interconnection, LLC</w:t>
      </w:r>
    </w:p>
    <w:p>
      <w:pPr>
        <w:spacing w:after="0" w:line="69"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PPA</w:t>
      </w:r>
      <w:r>
        <w:rPr>
          <w:sz w:val="20"/>
          <w:szCs w:val="20"/>
          <w:color w:val="auto"/>
        </w:rPr>
        <w:tab/>
      </w:r>
      <w:r>
        <w:rPr>
          <w:rFonts w:ascii="Arial" w:cs="Arial" w:eastAsia="Arial" w:hAnsi="Arial"/>
          <w:sz w:val="20"/>
          <w:szCs w:val="20"/>
          <w:color w:val="auto"/>
        </w:rPr>
        <w:t>Power Purchase Agreement</w:t>
      </w:r>
    </w:p>
    <w:p>
      <w:pPr>
        <w:spacing w:after="0" w:line="69"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PTC</w:t>
      </w:r>
      <w:r>
        <w:rPr>
          <w:sz w:val="20"/>
          <w:szCs w:val="20"/>
          <w:color w:val="auto"/>
        </w:rPr>
        <w:tab/>
      </w:r>
      <w:r>
        <w:rPr>
          <w:rFonts w:ascii="Arial" w:cs="Arial" w:eastAsia="Arial" w:hAnsi="Arial"/>
          <w:sz w:val="20"/>
          <w:szCs w:val="20"/>
          <w:color w:val="auto"/>
        </w:rPr>
        <w:t>Production Tax Credit</w:t>
      </w:r>
    </w:p>
    <w:p>
      <w:pPr>
        <w:spacing w:after="0" w:line="69"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PUCT</w:t>
      </w:r>
      <w:r>
        <w:rPr>
          <w:sz w:val="20"/>
          <w:szCs w:val="20"/>
          <w:color w:val="auto"/>
        </w:rPr>
        <w:tab/>
      </w:r>
      <w:r>
        <w:rPr>
          <w:rFonts w:ascii="Arial" w:cs="Arial" w:eastAsia="Arial" w:hAnsi="Arial"/>
          <w:sz w:val="20"/>
          <w:szCs w:val="20"/>
          <w:color w:val="auto"/>
        </w:rPr>
        <w:t>Public Utility Commission of Texas</w:t>
      </w:r>
    </w:p>
    <w:p>
      <w:pPr>
        <w:spacing w:after="0" w:line="69"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PUHCA</w:t>
      </w:r>
      <w:r>
        <w:rPr>
          <w:sz w:val="20"/>
          <w:szCs w:val="20"/>
          <w:color w:val="auto"/>
        </w:rPr>
        <w:tab/>
      </w:r>
      <w:r>
        <w:rPr>
          <w:rFonts w:ascii="Arial" w:cs="Arial" w:eastAsia="Arial" w:hAnsi="Arial"/>
          <w:sz w:val="20"/>
          <w:szCs w:val="20"/>
          <w:color w:val="auto"/>
        </w:rPr>
        <w:t>Public Utility Holding Company Act of 2005</w:t>
      </w:r>
    </w:p>
    <w:p>
      <w:pPr>
        <w:spacing w:after="0" w:line="69"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PURPA</w:t>
      </w:r>
      <w:r>
        <w:rPr>
          <w:sz w:val="20"/>
          <w:szCs w:val="20"/>
          <w:color w:val="auto"/>
        </w:rPr>
        <w:tab/>
      </w:r>
      <w:r>
        <w:rPr>
          <w:rFonts w:ascii="Arial" w:cs="Arial" w:eastAsia="Arial" w:hAnsi="Arial"/>
          <w:sz w:val="20"/>
          <w:szCs w:val="20"/>
          <w:color w:val="auto"/>
        </w:rPr>
        <w:t>Public Utility Regulatory Policies Act of 1978</w:t>
      </w:r>
    </w:p>
    <w:p>
      <w:pPr>
        <w:spacing w:after="0" w:line="69"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QF</w:t>
      </w:r>
      <w:r>
        <w:rPr>
          <w:sz w:val="20"/>
          <w:szCs w:val="20"/>
          <w:color w:val="auto"/>
        </w:rPr>
        <w:tab/>
      </w:r>
      <w:r>
        <w:rPr>
          <w:rFonts w:ascii="Arial" w:cs="Arial" w:eastAsia="Arial" w:hAnsi="Arial"/>
          <w:sz w:val="20"/>
          <w:szCs w:val="20"/>
          <w:color w:val="auto"/>
        </w:rPr>
        <w:t>Qualifying Facility under PURPA</w:t>
      </w:r>
    </w:p>
    <w:p>
      <w:pPr>
        <w:sectPr>
          <w:pgSz w:w="11880" w:h="15480" w:orient="portrait"/>
          <w:cols w:equalWidth="0" w:num="1">
            <w:col w:w="10120"/>
          </w:cols>
          <w:pgMar w:left="880" w:top="486" w:right="880" w:bottom="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880" w:h="15480" w:orient="portrait"/>
          <w:cols w:equalWidth="0" w:num="1">
            <w:col w:w="10120"/>
          </w:cols>
          <w:pgMar w:left="880" w:top="486" w:right="880" w:bottom="0" w:gutter="0" w:footer="0" w:header="0"/>
          <w:type w:val="continuous"/>
        </w:sectPr>
      </w:pPr>
    </w:p>
    <w:bookmarkStart w:id="6" w:name="page7"/>
    <w:bookmarkEnd w:id="6"/>
    <w:p>
      <w:pPr>
        <w:spacing w:after="0"/>
        <w:tabs>
          <w:tab w:leader="none" w:pos="2600" w:val="left"/>
        </w:tabs>
        <w:rPr>
          <w:sz w:val="20"/>
          <w:szCs w:val="20"/>
          <w:color w:val="auto"/>
        </w:rPr>
      </w:pPr>
      <w:r>
        <w:rPr>
          <w:rFonts w:ascii="Arial" w:cs="Arial" w:eastAsia="Arial" w:hAnsi="Arial"/>
          <w:sz w:val="20"/>
          <w:szCs w:val="20"/>
          <w:color w:val="auto"/>
        </w:rPr>
        <w:t>RA</w:t>
      </w:r>
      <w:r>
        <w:rPr>
          <w:sz w:val="20"/>
          <w:szCs w:val="20"/>
          <w:color w:val="auto"/>
        </w:rPr>
        <w:tab/>
      </w:r>
      <w:r>
        <w:rPr>
          <w:rFonts w:ascii="Arial" w:cs="Arial" w:eastAsia="Arial" w:hAnsi="Arial"/>
          <w:sz w:val="20"/>
          <w:szCs w:val="20"/>
          <w:color w:val="auto"/>
        </w:rPr>
        <w:t>Resource adequacy</w:t>
      </w:r>
    </w:p>
    <w:p>
      <w:pPr>
        <w:spacing w:after="0" w:line="69" w:lineRule="exact"/>
        <w:rPr>
          <w:sz w:val="20"/>
          <w:szCs w:val="20"/>
          <w:color w:val="auto"/>
        </w:rPr>
      </w:pPr>
    </w:p>
    <w:p>
      <w:pPr>
        <w:spacing w:after="0"/>
        <w:tabs>
          <w:tab w:leader="none" w:pos="2600" w:val="left"/>
        </w:tabs>
        <w:rPr>
          <w:sz w:val="20"/>
          <w:szCs w:val="20"/>
          <w:color w:val="auto"/>
        </w:rPr>
      </w:pPr>
      <w:r>
        <w:rPr>
          <w:rFonts w:ascii="Arial" w:cs="Arial" w:eastAsia="Arial" w:hAnsi="Arial"/>
          <w:sz w:val="19"/>
          <w:szCs w:val="19"/>
          <w:color w:val="auto"/>
        </w:rPr>
        <w:t>RENOM</w:t>
      </w:r>
      <w:r>
        <w:rPr>
          <w:sz w:val="20"/>
          <w:szCs w:val="20"/>
          <w:color w:val="auto"/>
        </w:rPr>
        <w:tab/>
      </w:r>
      <w:r>
        <w:rPr>
          <w:rFonts w:ascii="Arial" w:cs="Arial" w:eastAsia="Arial" w:hAnsi="Arial"/>
          <w:sz w:val="19"/>
          <w:szCs w:val="19"/>
          <w:color w:val="auto"/>
        </w:rPr>
        <w:t>Clearway Renewable Operation &amp; Maintenance LLC, a wholly-owned subsidiary of CEG</w:t>
      </w:r>
    </w:p>
    <w:p>
      <w:pPr>
        <w:spacing w:after="0" w:line="80"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Rosie Central BESS</w:t>
      </w:r>
      <w:r>
        <w:rPr>
          <w:sz w:val="20"/>
          <w:szCs w:val="20"/>
          <w:color w:val="auto"/>
        </w:rPr>
        <w:tab/>
      </w:r>
      <w:r>
        <w:rPr>
          <w:rFonts w:ascii="Arial" w:cs="Arial" w:eastAsia="Arial" w:hAnsi="Arial"/>
          <w:sz w:val="18"/>
          <w:szCs w:val="18"/>
          <w:color w:val="auto"/>
        </w:rPr>
        <w:t>Rosie BESS Devco LLC</w:t>
      </w:r>
    </w:p>
    <w:p>
      <w:pPr>
        <w:spacing w:after="0" w:line="69"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RPS</w:t>
      </w:r>
      <w:r>
        <w:rPr>
          <w:sz w:val="20"/>
          <w:szCs w:val="20"/>
          <w:color w:val="auto"/>
        </w:rPr>
        <w:tab/>
      </w:r>
      <w:r>
        <w:rPr>
          <w:rFonts w:ascii="Arial" w:cs="Arial" w:eastAsia="Arial" w:hAnsi="Arial"/>
          <w:sz w:val="20"/>
          <w:szCs w:val="20"/>
          <w:color w:val="auto"/>
        </w:rPr>
        <w:t>Renewable Portfolio Standards</w:t>
      </w:r>
    </w:p>
    <w:p>
      <w:pPr>
        <w:spacing w:after="0" w:line="69"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RTO</w:t>
      </w:r>
      <w:r>
        <w:rPr>
          <w:sz w:val="20"/>
          <w:szCs w:val="20"/>
          <w:color w:val="auto"/>
        </w:rPr>
        <w:tab/>
      </w:r>
      <w:r>
        <w:rPr>
          <w:rFonts w:ascii="Arial" w:cs="Arial" w:eastAsia="Arial" w:hAnsi="Arial"/>
          <w:sz w:val="20"/>
          <w:szCs w:val="20"/>
          <w:color w:val="auto"/>
        </w:rPr>
        <w:t>Regional Transmission Organization</w:t>
      </w:r>
    </w:p>
    <w:p>
      <w:pPr>
        <w:spacing w:after="0" w:line="69"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SCE</w:t>
      </w:r>
      <w:r>
        <w:rPr>
          <w:sz w:val="20"/>
          <w:szCs w:val="20"/>
          <w:color w:val="auto"/>
        </w:rPr>
        <w:tab/>
      </w:r>
      <w:r>
        <w:rPr>
          <w:rFonts w:ascii="Arial" w:cs="Arial" w:eastAsia="Arial" w:hAnsi="Arial"/>
          <w:sz w:val="20"/>
          <w:szCs w:val="20"/>
          <w:color w:val="auto"/>
        </w:rPr>
        <w:t>Southern California Edison</w:t>
      </w:r>
    </w:p>
    <w:p>
      <w:pPr>
        <w:spacing w:after="0" w:line="69"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SEC</w:t>
      </w:r>
      <w:r>
        <w:rPr>
          <w:sz w:val="20"/>
          <w:szCs w:val="20"/>
          <w:color w:val="auto"/>
        </w:rPr>
        <w:tab/>
      </w:r>
      <w:r>
        <w:rPr>
          <w:rFonts w:ascii="Arial" w:cs="Arial" w:eastAsia="Arial" w:hAnsi="Arial"/>
          <w:sz w:val="20"/>
          <w:szCs w:val="20"/>
          <w:color w:val="auto"/>
        </w:rPr>
        <w:t>U.S. Securities and Exchange Commission</w:t>
      </w:r>
    </w:p>
    <w:p>
      <w:pPr>
        <w:spacing w:after="0" w:line="69"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Senior Notes</w:t>
      </w:r>
      <w:r>
        <w:rPr>
          <w:sz w:val="20"/>
          <w:szCs w:val="20"/>
          <w:color w:val="auto"/>
        </w:rPr>
        <w:tab/>
      </w:r>
      <w:r>
        <w:rPr>
          <w:rFonts w:ascii="Arial" w:cs="Arial" w:eastAsia="Arial" w:hAnsi="Arial"/>
          <w:sz w:val="17"/>
          <w:szCs w:val="17"/>
          <w:color w:val="auto"/>
        </w:rPr>
        <w:t>Collectively, the 2028 Senior Notes, the 2031 Senior Notes and the 2032 Senior Notes</w:t>
      </w:r>
    </w:p>
    <w:p>
      <w:pPr>
        <w:spacing w:after="0" w:line="69"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SO</w:t>
      </w:r>
      <w:r>
        <w:rPr>
          <w:rFonts w:ascii="Arial" w:cs="Arial" w:eastAsia="Arial" w:hAnsi="Arial"/>
          <w:sz w:val="12"/>
          <w:szCs w:val="12"/>
          <w:color w:val="auto"/>
        </w:rPr>
        <w:t>2</w:t>
      </w:r>
      <w:r>
        <w:rPr>
          <w:sz w:val="20"/>
          <w:szCs w:val="20"/>
          <w:color w:val="auto"/>
        </w:rPr>
        <w:tab/>
      </w:r>
      <w:r>
        <w:rPr>
          <w:rFonts w:ascii="Arial" w:cs="Arial" w:eastAsia="Arial" w:hAnsi="Arial"/>
          <w:sz w:val="18"/>
          <w:szCs w:val="18"/>
          <w:color w:val="auto"/>
        </w:rPr>
        <w:t>Sulfur Dioxide</w:t>
      </w:r>
    </w:p>
    <w:p>
      <w:pPr>
        <w:spacing w:after="0" w:line="69"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SOFR</w:t>
      </w:r>
      <w:r>
        <w:rPr>
          <w:sz w:val="20"/>
          <w:szCs w:val="20"/>
          <w:color w:val="auto"/>
        </w:rPr>
        <w:tab/>
      </w:r>
      <w:r>
        <w:rPr>
          <w:rFonts w:ascii="Arial" w:cs="Arial" w:eastAsia="Arial" w:hAnsi="Arial"/>
          <w:sz w:val="20"/>
          <w:szCs w:val="20"/>
          <w:color w:val="auto"/>
        </w:rPr>
        <w:t>Secured Overnight Financing Rate</w:t>
      </w:r>
    </w:p>
    <w:p>
      <w:pPr>
        <w:spacing w:after="0" w:line="69"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SPP</w:t>
      </w:r>
      <w:r>
        <w:rPr>
          <w:sz w:val="20"/>
          <w:szCs w:val="20"/>
          <w:color w:val="auto"/>
        </w:rPr>
        <w:tab/>
      </w:r>
      <w:r>
        <w:rPr>
          <w:rFonts w:ascii="Arial" w:cs="Arial" w:eastAsia="Arial" w:hAnsi="Arial"/>
          <w:sz w:val="20"/>
          <w:szCs w:val="20"/>
          <w:color w:val="auto"/>
        </w:rPr>
        <w:t>Solar Power Partners</w:t>
      </w:r>
    </w:p>
    <w:p>
      <w:pPr>
        <w:spacing w:after="0" w:line="69"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SREC</w:t>
      </w:r>
      <w:r>
        <w:rPr>
          <w:sz w:val="20"/>
          <w:szCs w:val="20"/>
          <w:color w:val="auto"/>
        </w:rPr>
        <w:tab/>
      </w:r>
      <w:r>
        <w:rPr>
          <w:rFonts w:ascii="Arial" w:cs="Arial" w:eastAsia="Arial" w:hAnsi="Arial"/>
          <w:sz w:val="20"/>
          <w:szCs w:val="20"/>
          <w:color w:val="auto"/>
        </w:rPr>
        <w:t>Solar Renewable Energy Credit</w:t>
      </w:r>
    </w:p>
    <w:p>
      <w:pPr>
        <w:spacing w:after="0" w:line="38"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Thermal Business</w:t>
      </w:r>
      <w:r>
        <w:rPr>
          <w:sz w:val="20"/>
          <w:szCs w:val="20"/>
          <w:color w:val="auto"/>
        </w:rPr>
        <w:tab/>
      </w:r>
      <w:r>
        <w:rPr>
          <w:rFonts w:ascii="Arial" w:cs="Arial" w:eastAsia="Arial" w:hAnsi="Arial"/>
          <w:sz w:val="19"/>
          <w:szCs w:val="19"/>
          <w:color w:val="auto"/>
        </w:rPr>
        <w:t>The Company’s thermal business, which consisted of thermal infrastructure assets that</w:t>
      </w:r>
    </w:p>
    <w:p>
      <w:pPr>
        <w:ind w:left="2620"/>
        <w:spacing w:after="0" w:line="239" w:lineRule="auto"/>
        <w:rPr>
          <w:sz w:val="20"/>
          <w:szCs w:val="20"/>
          <w:color w:val="auto"/>
        </w:rPr>
      </w:pPr>
      <w:r>
        <w:rPr>
          <w:rFonts w:ascii="Arial" w:cs="Arial" w:eastAsia="Arial" w:hAnsi="Arial"/>
          <w:sz w:val="20"/>
          <w:szCs w:val="20"/>
          <w:color w:val="auto"/>
        </w:rPr>
        <w:t>provided steam, hot water and/or chilled water, and in some instances electricity, to commercial businesses, universities, hospitals and governmental units</w:t>
      </w:r>
    </w:p>
    <w:p>
      <w:pPr>
        <w:spacing w:after="0" w:line="13"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Thermal Disposition</w:t>
      </w:r>
      <w:r>
        <w:rPr>
          <w:sz w:val="20"/>
          <w:szCs w:val="20"/>
          <w:color w:val="auto"/>
        </w:rPr>
        <w:tab/>
      </w:r>
      <w:r>
        <w:rPr>
          <w:rFonts w:ascii="Arial" w:cs="Arial" w:eastAsia="Arial" w:hAnsi="Arial"/>
          <w:sz w:val="19"/>
          <w:szCs w:val="19"/>
          <w:color w:val="auto"/>
        </w:rPr>
        <w:t>The Company’s sale of 100% of its interests in the Thermal Business to KKR, which was</w:t>
      </w:r>
    </w:p>
    <w:p>
      <w:pPr>
        <w:ind w:left="2620"/>
        <w:spacing w:after="0"/>
        <w:rPr>
          <w:sz w:val="20"/>
          <w:szCs w:val="20"/>
          <w:color w:val="auto"/>
        </w:rPr>
      </w:pPr>
      <w:r>
        <w:rPr>
          <w:rFonts w:ascii="Arial" w:cs="Arial" w:eastAsia="Arial" w:hAnsi="Arial"/>
          <w:sz w:val="20"/>
          <w:szCs w:val="20"/>
          <w:color w:val="auto"/>
        </w:rPr>
        <w:t>completed on May 1, 2022</w:t>
      </w:r>
    </w:p>
    <w:p>
      <w:pPr>
        <w:spacing w:after="0" w:line="64"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TotalEnergies</w:t>
      </w:r>
      <w:r>
        <w:rPr>
          <w:sz w:val="20"/>
          <w:szCs w:val="20"/>
          <w:color w:val="auto"/>
        </w:rPr>
        <w:tab/>
      </w:r>
      <w:r>
        <w:rPr>
          <w:rFonts w:ascii="Arial" w:cs="Arial" w:eastAsia="Arial" w:hAnsi="Arial"/>
          <w:sz w:val="20"/>
          <w:szCs w:val="20"/>
          <w:color w:val="auto"/>
        </w:rPr>
        <w:t>TotalEnergies SE</w:t>
      </w:r>
    </w:p>
    <w:p>
      <w:pPr>
        <w:spacing w:after="0" w:line="69"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U.S.</w:t>
      </w:r>
      <w:r>
        <w:rPr>
          <w:sz w:val="20"/>
          <w:szCs w:val="20"/>
          <w:color w:val="auto"/>
        </w:rPr>
        <w:tab/>
      </w:r>
      <w:r>
        <w:rPr>
          <w:rFonts w:ascii="Arial" w:cs="Arial" w:eastAsia="Arial" w:hAnsi="Arial"/>
          <w:sz w:val="20"/>
          <w:szCs w:val="20"/>
          <w:color w:val="auto"/>
        </w:rPr>
        <w:t>United States of America</w:t>
      </w:r>
    </w:p>
    <w:p>
      <w:pPr>
        <w:spacing w:after="0" w:line="69"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Utah Solar Portfolio</w:t>
      </w:r>
      <w:r>
        <w:rPr>
          <w:sz w:val="20"/>
          <w:szCs w:val="20"/>
          <w:color w:val="auto"/>
        </w:rPr>
        <w:tab/>
      </w:r>
      <w:r>
        <w:rPr>
          <w:rFonts w:ascii="Arial" w:cs="Arial" w:eastAsia="Arial" w:hAnsi="Arial"/>
          <w:sz w:val="18"/>
          <w:szCs w:val="18"/>
          <w:color w:val="auto"/>
        </w:rPr>
        <w:t>Seven utility-scale solar farms located in Utah, representing 530 MW of capacity</w:t>
      </w:r>
    </w:p>
    <w:p>
      <w:pPr>
        <w:spacing w:after="0" w:line="49"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Utility Scale Solar</w:t>
      </w:r>
      <w:r>
        <w:rPr>
          <w:sz w:val="20"/>
          <w:szCs w:val="20"/>
          <w:color w:val="auto"/>
        </w:rPr>
        <w:tab/>
      </w:r>
      <w:r>
        <w:rPr>
          <w:rFonts w:ascii="Arial" w:cs="Arial" w:eastAsia="Arial" w:hAnsi="Arial"/>
          <w:sz w:val="19"/>
          <w:szCs w:val="19"/>
          <w:color w:val="auto"/>
        </w:rPr>
        <w:t>Solar power projects, typically 20 MW or greater in size (on an alternating current, or AC,</w:t>
      </w:r>
    </w:p>
    <w:p>
      <w:pPr>
        <w:ind w:left="2620"/>
        <w:spacing w:after="0" w:line="239" w:lineRule="auto"/>
        <w:rPr>
          <w:sz w:val="20"/>
          <w:szCs w:val="20"/>
          <w:color w:val="auto"/>
        </w:rPr>
      </w:pPr>
      <w:r>
        <w:rPr>
          <w:rFonts w:ascii="Arial" w:cs="Arial" w:eastAsia="Arial" w:hAnsi="Arial"/>
          <w:sz w:val="20"/>
          <w:szCs w:val="20"/>
          <w:color w:val="auto"/>
        </w:rPr>
        <w:t>basis), that are interconnected into the transmission or distribution grid to sell power at a wholesale level</w:t>
      </w:r>
    </w:p>
    <w:p>
      <w:pPr>
        <w:spacing w:after="0" w:line="26"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VIE</w:t>
      </w:r>
      <w:r>
        <w:rPr>
          <w:sz w:val="20"/>
          <w:szCs w:val="20"/>
          <w:color w:val="auto"/>
        </w:rPr>
        <w:tab/>
      </w:r>
      <w:r>
        <w:rPr>
          <w:rFonts w:ascii="Arial" w:cs="Arial" w:eastAsia="Arial" w:hAnsi="Arial"/>
          <w:sz w:val="20"/>
          <w:szCs w:val="20"/>
          <w:color w:val="auto"/>
        </w:rPr>
        <w:t>Variable Interest Entity</w:t>
      </w:r>
    </w:p>
    <w:p>
      <w:pPr>
        <w:sectPr>
          <w:pgSz w:w="11880" w:h="15480" w:orient="portrait"/>
          <w:cols w:equalWidth="0" w:num="1">
            <w:col w:w="10120"/>
          </w:cols>
          <w:pgMar w:left="880" w:top="486"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880" w:h="15480" w:orient="portrait"/>
          <w:cols w:equalWidth="0" w:num="1">
            <w:col w:w="10120"/>
          </w:cols>
          <w:pgMar w:left="880" w:top="486" w:right="880" w:bottom="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20"/>
          <w:szCs w:val="20"/>
          <w:b w:val="1"/>
          <w:bCs w:val="1"/>
          <w:color w:val="auto"/>
        </w:rPr>
        <w:t>PART I</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 Business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195" w:lineRule="exact"/>
        <w:rPr>
          <w:sz w:val="20"/>
          <w:szCs w:val="20"/>
          <w:color w:val="auto"/>
        </w:rPr>
      </w:pPr>
    </w:p>
    <w:p>
      <w:pPr>
        <w:jc w:val="both"/>
        <w:ind w:firstLine="448"/>
        <w:spacing w:after="0" w:line="283" w:lineRule="auto"/>
        <w:rPr>
          <w:sz w:val="20"/>
          <w:szCs w:val="20"/>
          <w:color w:val="auto"/>
        </w:rPr>
      </w:pPr>
      <w:r>
        <w:rPr>
          <w:rFonts w:ascii="Arial" w:cs="Arial" w:eastAsia="Arial" w:hAnsi="Arial"/>
          <w:sz w:val="18"/>
          <w:szCs w:val="18"/>
          <w:color w:val="auto"/>
        </w:rPr>
        <w:t>Clearway Energy, Inc., together with its consolidated subsidiaries, or the Company, is a publicly-traded energy infrastructure investor with a focus on investments in clean energy and owner of modern, sustainable and long-term contracted assets across North America. The Company was formed as a Delaware corporation on December 20, 2012. The Company is sponsored by GIP and TotalEnergies through the portfolio company, Clearway Energy Group LLC, or CEG, which is equally owned by GIP and TotalEnergies. GIP is an independent infrastructure fund manager that makes equity and debt investments in infrastructure assets and businesses. TotalEnergies is a global multi-energy company. CEG is a leading developer of renewable energy infrastructure in the U.S. On January 12, 2024, BlackRock entered into a definitive agreement to acquire 100% of the business and assets of GIM, which is the investment manager of the GIP funds that own an interest in CEG. BlackRock has indicated that the transaction is expected to close in the third quarter of 2024, subject to regulatory approvals and other customary closing conditions. BlackRock is a publicly-traded global investment management firm.</w:t>
      </w:r>
    </w:p>
    <w:p>
      <w:pPr>
        <w:spacing w:after="0" w:line="126" w:lineRule="exact"/>
        <w:rPr>
          <w:sz w:val="20"/>
          <w:szCs w:val="20"/>
          <w:color w:val="auto"/>
        </w:rPr>
      </w:pPr>
    </w:p>
    <w:p>
      <w:pPr>
        <w:jc w:val="both"/>
        <w:ind w:firstLine="448"/>
        <w:spacing w:after="0" w:line="285" w:lineRule="auto"/>
        <w:rPr>
          <w:sz w:val="20"/>
          <w:szCs w:val="20"/>
          <w:color w:val="auto"/>
        </w:rPr>
      </w:pPr>
      <w:r>
        <w:rPr>
          <w:rFonts w:ascii="Arial" w:cs="Arial" w:eastAsia="Arial" w:hAnsi="Arial"/>
          <w:sz w:val="18"/>
          <w:szCs w:val="18"/>
          <w:color w:val="auto"/>
        </w:rPr>
        <w:t xml:space="preserve">The Company is one of the largest renewable energy owners in the U.S. with approximately 6,000 net MW of installed wind, solar and energy storage projects. The Company’s approximately 8,500 net MW of assets also includes approximately 2,500 net MW of environmentally-sound, highly efficient natural gas-fired generation facilities. Through this environmentally-sound, diversified and primarily contracted portfolio, the Company endeavors to provide its investors with stable and growing dividend income. The majority of the Company’s revenues are derived from long-term contractual arrangements for the output or capacity from these assets. The weighted average remaining contract duration of these offtake agreements was approximately 10 years as of December 31, 2023 based on CAFD. A complete listing of the Company’s interests in facilities, operations and/or projects owned or leased as of December 31, 2023 can be found in Item 2 — </w:t>
      </w:r>
      <w:r>
        <w:rPr>
          <w:rFonts w:ascii="Arial" w:cs="Arial" w:eastAsia="Arial" w:hAnsi="Arial"/>
          <w:sz w:val="18"/>
          <w:szCs w:val="18"/>
          <w:b w:val="1"/>
          <w:bCs w:val="1"/>
          <w:i w:val="1"/>
          <w:iCs w:val="1"/>
          <w:color w:val="auto"/>
        </w:rPr>
        <w:t>Properties.</w:t>
      </w:r>
    </w:p>
    <w:p>
      <w:pPr>
        <w:spacing w:after="0" w:line="123" w:lineRule="exact"/>
        <w:rPr>
          <w:sz w:val="20"/>
          <w:szCs w:val="20"/>
          <w:color w:val="auto"/>
        </w:rPr>
      </w:pPr>
    </w:p>
    <w:p>
      <w:pPr>
        <w:jc w:val="both"/>
        <w:ind w:firstLine="448"/>
        <w:spacing w:after="0" w:line="268" w:lineRule="auto"/>
        <w:rPr>
          <w:sz w:val="20"/>
          <w:szCs w:val="20"/>
          <w:color w:val="auto"/>
        </w:rPr>
      </w:pPr>
      <w:r>
        <w:rPr>
          <w:rFonts w:ascii="Arial" w:cs="Arial" w:eastAsia="Arial" w:hAnsi="Arial"/>
          <w:sz w:val="19"/>
          <w:szCs w:val="19"/>
          <w:color w:val="auto"/>
        </w:rPr>
        <w:t>The Company is the sole managing member of Clearway Energy LLC and operates and controls all of its business and affairs and consolidates the financial results of Clearway Energy LLC and its subsidiaries. Clearway Energy LLC is a holding company for the companies that directly and indirectly own and operate the Company’s assets. The Company consolidates the results of Clearway Energy LLC through its controlling interest, with CEG’s interest shown as noncontrolling interest in the consolidated financial statements. The holders of the Company’s outstanding shares of Class A and Class C common stock are entitled to dividends as declared. CEG receives its distributions from Clearway Energy LLC through its ownership of Clearway Energy LLC Class B and Class D units. As a result of its current ownership of the Class B common stock and Class D common stock of the Company, CEG controls the Company. From time to time, CEG may also hold shares of the Company’s Class A and/or Class C common stock.</w:t>
      </w:r>
    </w:p>
    <w:p>
      <w:pPr>
        <w:spacing w:after="0" w:line="133" w:lineRule="exact"/>
        <w:rPr>
          <w:sz w:val="20"/>
          <w:szCs w:val="20"/>
          <w:color w:val="auto"/>
        </w:rPr>
      </w:pPr>
    </w:p>
    <w:p>
      <w:pPr>
        <w:jc w:val="both"/>
        <w:ind w:firstLine="448"/>
        <w:spacing w:after="0" w:line="280" w:lineRule="auto"/>
        <w:rPr>
          <w:sz w:val="20"/>
          <w:szCs w:val="20"/>
          <w:color w:val="auto"/>
        </w:rPr>
      </w:pPr>
      <w:r>
        <w:rPr>
          <w:rFonts w:ascii="Arial" w:cs="Arial" w:eastAsia="Arial" w:hAnsi="Arial"/>
          <w:sz w:val="20"/>
          <w:szCs w:val="20"/>
          <w:color w:val="auto"/>
        </w:rPr>
        <w:t>As of December 31, 2023, the Company owned 57.90% of the economic interests of Clearway Energy LLC, with CEG owning 42.10% of the economic interests of Clearway Energy LLC.</w:t>
      </w:r>
    </w:p>
    <w:p>
      <w:pPr>
        <w:sectPr>
          <w:pgSz w:w="11880" w:h="15480" w:orient="portrait"/>
          <w:cols w:equalWidth="0" w:num="1">
            <w:col w:w="10200"/>
          </w:cols>
          <w:pgMar w:left="840" w:top="404"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880" w:h="15480" w:orient="portrait"/>
          <w:cols w:equalWidth="0" w:num="1">
            <w:col w:w="10200"/>
          </w:cols>
          <w:pgMar w:left="840" w:top="404" w:right="840" w:bottom="0" w:gutter="0" w:footer="0" w:header="0"/>
          <w:type w:val="continuous"/>
        </w:sectPr>
      </w:pPr>
    </w:p>
    <w:bookmarkStart w:id="8" w:name="page9"/>
    <w:bookmarkEnd w:id="8"/>
    <w:p>
      <w:pPr>
        <w:ind w:left="440"/>
        <w:spacing w:after="0"/>
        <w:rPr>
          <w:sz w:val="20"/>
          <w:szCs w:val="20"/>
          <w:color w:val="auto"/>
        </w:rPr>
      </w:pPr>
      <w:r>
        <w:rPr>
          <w:rFonts w:ascii="Arial" w:cs="Arial" w:eastAsia="Arial" w:hAnsi="Arial"/>
          <w:sz w:val="20"/>
          <w:szCs w:val="20"/>
          <w:color w:val="auto"/>
        </w:rPr>
        <w:t>The diagram below represents a summarized structure of the Company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482715" cy="47726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extLst>
                    </a:blip>
                    <a:srcRect/>
                    <a:stretch>
                      <a:fillRect/>
                    </a:stretch>
                  </pic:blipFill>
                  <pic:spPr bwMode="auto">
                    <a:xfrm>
                      <a:off x="0" y="0"/>
                      <a:ext cx="6482715" cy="4772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Strategy</w:t>
      </w:r>
    </w:p>
    <w:p>
      <w:pPr>
        <w:spacing w:after="0" w:line="195" w:lineRule="exact"/>
        <w:rPr>
          <w:sz w:val="20"/>
          <w:szCs w:val="20"/>
          <w:color w:val="auto"/>
        </w:rPr>
      </w:pPr>
    </w:p>
    <w:p>
      <w:pPr>
        <w:jc w:val="both"/>
        <w:ind w:firstLine="448"/>
        <w:spacing w:after="0" w:line="285" w:lineRule="auto"/>
        <w:rPr>
          <w:sz w:val="20"/>
          <w:szCs w:val="20"/>
          <w:color w:val="auto"/>
        </w:rPr>
      </w:pPr>
      <w:r>
        <w:rPr>
          <w:rFonts w:ascii="Arial" w:cs="Arial" w:eastAsia="Arial" w:hAnsi="Arial"/>
          <w:sz w:val="19"/>
          <w:szCs w:val="19"/>
          <w:color w:val="auto"/>
        </w:rPr>
        <w:t>The Company’s primary business strategy is to focus on the acquisition and ownership of assets with predictable, long-term cash flows in order that it may be able to increase the dividends paid to holders of the Company’s Class A and Class C common stock over time without compromising the ongoing stability of the business.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Company’s plan for executing its business strategy includes the following key components:</w:t>
      </w:r>
    </w:p>
    <w:p>
      <w:pPr>
        <w:spacing w:after="0" w:line="183" w:lineRule="exact"/>
        <w:rPr>
          <w:sz w:val="20"/>
          <w:szCs w:val="20"/>
          <w:color w:val="auto"/>
        </w:rPr>
      </w:pPr>
    </w:p>
    <w:p>
      <w:pPr>
        <w:jc w:val="both"/>
        <w:ind w:firstLine="448"/>
        <w:spacing w:after="0" w:line="258" w:lineRule="auto"/>
        <w:rPr>
          <w:sz w:val="20"/>
          <w:szCs w:val="20"/>
          <w:color w:val="auto"/>
        </w:rPr>
      </w:pPr>
      <w:r>
        <w:rPr>
          <w:rFonts w:ascii="Arial" w:cs="Arial" w:eastAsia="Arial" w:hAnsi="Arial"/>
          <w:sz w:val="20"/>
          <w:szCs w:val="20"/>
          <w:b w:val="1"/>
          <w:bCs w:val="1"/>
          <w:i w:val="1"/>
          <w:iCs w:val="1"/>
          <w:color w:val="auto"/>
        </w:rPr>
        <w:t xml:space="preserve">Focus on contracted renewable energy and conventional generation. </w:t>
      </w:r>
      <w:r>
        <w:rPr>
          <w:rFonts w:ascii="Arial" w:cs="Arial" w:eastAsia="Arial" w:hAnsi="Arial"/>
          <w:sz w:val="20"/>
          <w:szCs w:val="20"/>
          <w:color w:val="auto"/>
        </w:rPr>
        <w:t>The Company owns and operates utility scale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distributed renewable energy and natural gas-fired generation assets, as well as energy storage assets, with proven technologies, generally low operating risks and stable cash flows. The Company believes by focusing on this core asset class and leveraging its industry knowledge, it will maximize its strategic opportunities, be a leader in operational efficiency and maximize its overall financial performance.</w:t>
      </w:r>
    </w:p>
    <w:p>
      <w:pPr>
        <w:sectPr>
          <w:pgSz w:w="11880" w:h="15480" w:orient="portrait"/>
          <w:cols w:equalWidth="0" w:num="1">
            <w:col w:w="10200"/>
          </w:cols>
          <w:pgMar w:left="840" w:top="411"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880" w:h="15480" w:orient="portrait"/>
          <w:cols w:equalWidth="0" w:num="1">
            <w:col w:w="10200"/>
          </w:cols>
          <w:pgMar w:left="840" w:top="411" w:right="840" w:bottom="0" w:gutter="0" w:footer="0" w:header="0"/>
          <w:type w:val="continuous"/>
        </w:sectPr>
      </w:pPr>
    </w:p>
    <w:bookmarkStart w:id="9" w:name="page10"/>
    <w:bookmarkEnd w:id="9"/>
    <w:p>
      <w:pPr>
        <w:jc w:val="both"/>
        <w:ind w:firstLine="448"/>
        <w:spacing w:after="0" w:line="286" w:lineRule="auto"/>
        <w:rPr>
          <w:sz w:val="20"/>
          <w:szCs w:val="20"/>
          <w:color w:val="auto"/>
        </w:rPr>
      </w:pPr>
      <w:r>
        <w:rPr>
          <w:rFonts w:ascii="Arial" w:cs="Arial" w:eastAsia="Arial" w:hAnsi="Arial"/>
          <w:sz w:val="18"/>
          <w:szCs w:val="18"/>
          <w:b w:val="1"/>
          <w:bCs w:val="1"/>
          <w:i w:val="1"/>
          <w:iCs w:val="1"/>
          <w:color w:val="auto"/>
        </w:rPr>
        <w:t xml:space="preserve">Growing the business through acquisitions of contracted operating assets. </w:t>
      </w:r>
      <w:r>
        <w:rPr>
          <w:rFonts w:ascii="Arial" w:cs="Arial" w:eastAsia="Arial" w:hAnsi="Arial"/>
          <w:sz w:val="18"/>
          <w:szCs w:val="18"/>
          <w:color w:val="auto"/>
        </w:rPr>
        <w:t>The Company believes that its base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provides a platform for strategic growth through cash accretive and tax advantaged acquisitions complementary to its existing portfolio. In addition to acquiring generation facilities from third parties where the Company believes its knowledge of the market and operating expertise provides it with a competitive advantage, the Company may consummate future acquisitions from CEG. The Company believes that CEG’s project development expertise provides the Company access to a development platform with an extensive pipeline of potential renewable energy and energy storage projects that are aligned to support the Company’s growth. The Company and CEG work collaboratively in considering new assets to be acquired by the Company. The assets listed below represent the Company’s currently committed investments in projects with CEG:</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Asset</w:t>
            </w:r>
          </w:p>
        </w:tc>
        <w:tc>
          <w:tcPr>
            <w:tcW w:w="80" w:type="dxa"/>
            <w:vAlign w:val="bottom"/>
            <w:tcBorders>
              <w:bottom w:val="single" w:sz="8" w:color="E6E6E6"/>
            </w:tcBorders>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Technology</w:t>
            </w:r>
          </w:p>
        </w:tc>
        <w:tc>
          <w:tcPr>
            <w:tcW w:w="80" w:type="dxa"/>
            <w:vAlign w:val="bottom"/>
            <w:tcBorders>
              <w:bottom w:val="single" w:sz="8" w:color="E6E6E6"/>
            </w:tcBorders>
          </w:tcPr>
          <w:p>
            <w:pPr>
              <w:spacing w:after="0"/>
              <w:rPr>
                <w:sz w:val="20"/>
                <w:szCs w:val="20"/>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Gross Capacity (MW)</w:t>
            </w:r>
          </w:p>
        </w:tc>
        <w:tc>
          <w:tcPr>
            <w:tcW w:w="80" w:type="dxa"/>
            <w:vAlign w:val="bottom"/>
            <w:tcBorders>
              <w:bottom w:val="single" w:sz="8" w:color="E6E6E6"/>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State</w:t>
            </w:r>
          </w:p>
        </w:tc>
        <w:tc>
          <w:tcPr>
            <w:tcW w:w="80" w:type="dxa"/>
            <w:vAlign w:val="bottom"/>
            <w:tcBorders>
              <w:bottom w:val="single" w:sz="8" w:color="E6E6E6"/>
            </w:tcBorders>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Estimated COD</w:t>
            </w:r>
          </w:p>
        </w:tc>
      </w:tr>
      <w:tr>
        <w:trPr>
          <w:trHeight w:val="274"/>
        </w:trPr>
        <w:tc>
          <w:tcPr>
            <w:tcW w:w="3760" w:type="dxa"/>
            <w:vAlign w:val="bottom"/>
            <w:shd w:val="clear" w:color="auto" w:fill="E6E6E6"/>
          </w:tcPr>
          <w:p>
            <w:pPr>
              <w:ind w:left="40"/>
              <w:spacing w:after="0"/>
              <w:rPr>
                <w:sz w:val="20"/>
                <w:szCs w:val="20"/>
                <w:color w:val="auto"/>
              </w:rPr>
            </w:pPr>
            <w:r>
              <w:rPr>
                <w:rFonts w:ascii="Arial" w:cs="Arial" w:eastAsia="Arial" w:hAnsi="Arial"/>
                <w:sz w:val="18"/>
                <w:szCs w:val="18"/>
                <w:color w:val="auto"/>
              </w:rPr>
              <w:t>Cedar Creek</w:t>
            </w:r>
          </w:p>
        </w:tc>
        <w:tc>
          <w:tcPr>
            <w:tcW w:w="80" w:type="dxa"/>
            <w:vAlign w:val="bottom"/>
            <w:shd w:val="clear" w:color="auto" w:fill="E6E6E6"/>
          </w:tcPr>
          <w:p>
            <w:pPr>
              <w:spacing w:after="0"/>
              <w:rPr>
                <w:sz w:val="23"/>
                <w:szCs w:val="23"/>
                <w:color w:val="auto"/>
              </w:rPr>
            </w:pPr>
          </w:p>
        </w:tc>
        <w:tc>
          <w:tcPr>
            <w:tcW w:w="164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7"/>
              </w:rPr>
              <w:t>Wind</w:t>
            </w:r>
          </w:p>
        </w:tc>
        <w:tc>
          <w:tcPr>
            <w:tcW w:w="2060" w:type="dxa"/>
            <w:vAlign w:val="bottom"/>
            <w:gridSpan w:val="2"/>
            <w:shd w:val="clear" w:color="auto" w:fill="E6E6E6"/>
          </w:tcPr>
          <w:p>
            <w:pPr>
              <w:jc w:val="center"/>
              <w:ind w:left="30"/>
              <w:spacing w:after="0"/>
              <w:rPr>
                <w:sz w:val="20"/>
                <w:szCs w:val="20"/>
                <w:color w:val="auto"/>
              </w:rPr>
            </w:pPr>
            <w:r>
              <w:rPr>
                <w:rFonts w:ascii="Arial" w:cs="Arial" w:eastAsia="Arial" w:hAnsi="Arial"/>
                <w:sz w:val="18"/>
                <w:szCs w:val="18"/>
                <w:color w:val="auto"/>
                <w:w w:val="86"/>
              </w:rPr>
              <w:t>160</w:t>
            </w:r>
          </w:p>
        </w:tc>
        <w:tc>
          <w:tcPr>
            <w:tcW w:w="80" w:type="dxa"/>
            <w:vAlign w:val="bottom"/>
            <w:shd w:val="clear" w:color="auto" w:fill="E6E6E6"/>
          </w:tcPr>
          <w:p>
            <w:pPr>
              <w:spacing w:after="0"/>
              <w:rPr>
                <w:sz w:val="23"/>
                <w:szCs w:val="23"/>
                <w:color w:val="auto"/>
              </w:rPr>
            </w:pPr>
          </w:p>
        </w:tc>
        <w:tc>
          <w:tcPr>
            <w:tcW w:w="960" w:type="dxa"/>
            <w:vAlign w:val="bottom"/>
            <w:shd w:val="clear" w:color="auto" w:fill="E6E6E6"/>
          </w:tcPr>
          <w:p>
            <w:pPr>
              <w:jc w:val="center"/>
              <w:spacing w:after="0"/>
              <w:rPr>
                <w:sz w:val="20"/>
                <w:szCs w:val="20"/>
                <w:color w:val="auto"/>
              </w:rPr>
            </w:pPr>
            <w:r>
              <w:rPr>
                <w:rFonts w:ascii="Arial" w:cs="Arial" w:eastAsia="Arial" w:hAnsi="Arial"/>
                <w:sz w:val="18"/>
                <w:szCs w:val="18"/>
                <w:color w:val="auto"/>
              </w:rPr>
              <w:t>ID</w:t>
            </w:r>
          </w:p>
        </w:tc>
        <w:tc>
          <w:tcPr>
            <w:tcW w:w="80" w:type="dxa"/>
            <w:vAlign w:val="bottom"/>
            <w:shd w:val="clear" w:color="auto" w:fill="E6E6E6"/>
          </w:tcPr>
          <w:p>
            <w:pPr>
              <w:spacing w:after="0"/>
              <w:rPr>
                <w:sz w:val="23"/>
                <w:szCs w:val="23"/>
                <w:color w:val="auto"/>
              </w:rPr>
            </w:pPr>
          </w:p>
        </w:tc>
        <w:tc>
          <w:tcPr>
            <w:tcW w:w="154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2"/>
              </w:rPr>
              <w:t>1H24</w:t>
            </w:r>
          </w:p>
        </w:tc>
      </w:tr>
      <w:tr>
        <w:trPr>
          <w:trHeight w:val="276"/>
        </w:trPr>
        <w:tc>
          <w:tcPr>
            <w:tcW w:w="3760" w:type="dxa"/>
            <w:vAlign w:val="bottom"/>
          </w:tcPr>
          <w:p>
            <w:pPr>
              <w:ind w:left="40"/>
              <w:spacing w:after="0"/>
              <w:rPr>
                <w:sz w:val="20"/>
                <w:szCs w:val="20"/>
                <w:color w:val="auto"/>
              </w:rPr>
            </w:pPr>
            <w:r>
              <w:rPr>
                <w:rFonts w:ascii="Arial" w:cs="Arial" w:eastAsia="Arial" w:hAnsi="Arial"/>
                <w:sz w:val="18"/>
                <w:szCs w:val="18"/>
                <w:color w:val="auto"/>
              </w:rPr>
              <w:t>Cedro Hill Repowering</w:t>
            </w:r>
          </w:p>
        </w:tc>
        <w:tc>
          <w:tcPr>
            <w:tcW w:w="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7"/>
              </w:rPr>
              <w:t>Wind</w:t>
            </w:r>
          </w:p>
        </w:tc>
        <w:tc>
          <w:tcPr>
            <w:tcW w:w="2060" w:type="dxa"/>
            <w:vAlign w:val="bottom"/>
            <w:gridSpan w:val="2"/>
          </w:tcPr>
          <w:p>
            <w:pPr>
              <w:jc w:val="center"/>
              <w:ind w:left="30"/>
              <w:spacing w:after="0"/>
              <w:rPr>
                <w:sz w:val="20"/>
                <w:szCs w:val="20"/>
                <w:color w:val="auto"/>
              </w:rPr>
            </w:pPr>
            <w:r>
              <w:rPr>
                <w:rFonts w:ascii="Arial" w:cs="Arial" w:eastAsia="Arial" w:hAnsi="Arial"/>
                <w:sz w:val="18"/>
                <w:szCs w:val="18"/>
                <w:color w:val="auto"/>
                <w:w w:val="86"/>
              </w:rPr>
              <w:t>160</w:t>
            </w:r>
          </w:p>
        </w:tc>
        <w:tc>
          <w:tcPr>
            <w:tcW w:w="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rPr>
              <w:t>TX</w:t>
            </w:r>
          </w:p>
        </w:tc>
        <w:tc>
          <w:tcPr>
            <w:tcW w:w="8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2H24</w:t>
            </w:r>
          </w:p>
        </w:tc>
      </w:tr>
      <w:tr>
        <w:trPr>
          <w:trHeight w:val="291"/>
        </w:trPr>
        <w:tc>
          <w:tcPr>
            <w:tcW w:w="3760" w:type="dxa"/>
            <w:vAlign w:val="bottom"/>
            <w:shd w:val="clear" w:color="auto" w:fill="E6E6E6"/>
          </w:tcPr>
          <w:p>
            <w:pPr>
              <w:ind w:left="40"/>
              <w:spacing w:after="0"/>
              <w:rPr>
                <w:sz w:val="20"/>
                <w:szCs w:val="20"/>
                <w:color w:val="auto"/>
              </w:rPr>
            </w:pPr>
            <w:r>
              <w:rPr>
                <w:rFonts w:ascii="Arial" w:cs="Arial" w:eastAsia="Arial" w:hAnsi="Arial"/>
                <w:sz w:val="18"/>
                <w:szCs w:val="18"/>
                <w:color w:val="auto"/>
              </w:rPr>
              <w:t xml:space="preserve">Texas Solar Nova 2 </w:t>
            </w:r>
            <w:r>
              <w:rPr>
                <w:rFonts w:ascii="Arial" w:cs="Arial" w:eastAsia="Arial" w:hAnsi="Arial"/>
                <w:sz w:val="23"/>
                <w:szCs w:val="23"/>
                <w:color w:val="auto"/>
                <w:vertAlign w:val="superscript"/>
              </w:rPr>
              <w:t>(a)</w:t>
            </w:r>
          </w:p>
        </w:tc>
        <w:tc>
          <w:tcPr>
            <w:tcW w:w="80" w:type="dxa"/>
            <w:vAlign w:val="bottom"/>
            <w:shd w:val="clear" w:color="auto" w:fill="E6E6E6"/>
          </w:tcPr>
          <w:p>
            <w:pPr>
              <w:spacing w:after="0"/>
              <w:rPr>
                <w:sz w:val="24"/>
                <w:szCs w:val="24"/>
                <w:color w:val="auto"/>
              </w:rPr>
            </w:pPr>
          </w:p>
        </w:tc>
        <w:tc>
          <w:tcPr>
            <w:tcW w:w="164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85"/>
              </w:rPr>
              <w:t>Solar</w:t>
            </w:r>
          </w:p>
        </w:tc>
        <w:tc>
          <w:tcPr>
            <w:tcW w:w="2060" w:type="dxa"/>
            <w:vAlign w:val="bottom"/>
            <w:gridSpan w:val="2"/>
            <w:shd w:val="clear" w:color="auto" w:fill="E6E6E6"/>
          </w:tcPr>
          <w:p>
            <w:pPr>
              <w:jc w:val="center"/>
              <w:ind w:left="30"/>
              <w:spacing w:after="0"/>
              <w:rPr>
                <w:sz w:val="20"/>
                <w:szCs w:val="20"/>
                <w:color w:val="auto"/>
              </w:rPr>
            </w:pPr>
            <w:r>
              <w:rPr>
                <w:rFonts w:ascii="Arial" w:cs="Arial" w:eastAsia="Arial" w:hAnsi="Arial"/>
                <w:sz w:val="18"/>
                <w:szCs w:val="18"/>
                <w:color w:val="auto"/>
                <w:w w:val="86"/>
              </w:rPr>
              <w:t>200</w:t>
            </w:r>
          </w:p>
        </w:tc>
        <w:tc>
          <w:tcPr>
            <w:tcW w:w="80" w:type="dxa"/>
            <w:vAlign w:val="bottom"/>
            <w:shd w:val="clear" w:color="auto" w:fill="E6E6E6"/>
          </w:tcPr>
          <w:p>
            <w:pPr>
              <w:spacing w:after="0"/>
              <w:rPr>
                <w:sz w:val="24"/>
                <w:szCs w:val="24"/>
                <w:color w:val="auto"/>
              </w:rPr>
            </w:pPr>
          </w:p>
        </w:tc>
        <w:tc>
          <w:tcPr>
            <w:tcW w:w="960" w:type="dxa"/>
            <w:vAlign w:val="bottom"/>
            <w:shd w:val="clear" w:color="auto" w:fill="E6E6E6"/>
          </w:tcPr>
          <w:p>
            <w:pPr>
              <w:jc w:val="center"/>
              <w:spacing w:after="0"/>
              <w:rPr>
                <w:sz w:val="20"/>
                <w:szCs w:val="20"/>
                <w:color w:val="auto"/>
              </w:rPr>
            </w:pPr>
            <w:r>
              <w:rPr>
                <w:rFonts w:ascii="Arial" w:cs="Arial" w:eastAsia="Arial" w:hAnsi="Arial"/>
                <w:sz w:val="18"/>
                <w:szCs w:val="18"/>
                <w:color w:val="auto"/>
              </w:rPr>
              <w:t>TX</w:t>
            </w:r>
          </w:p>
        </w:tc>
        <w:tc>
          <w:tcPr>
            <w:tcW w:w="80" w:type="dxa"/>
            <w:vAlign w:val="bottom"/>
            <w:shd w:val="clear" w:color="auto" w:fill="E6E6E6"/>
          </w:tcPr>
          <w:p>
            <w:pPr>
              <w:spacing w:after="0"/>
              <w:rPr>
                <w:sz w:val="24"/>
                <w:szCs w:val="24"/>
                <w:color w:val="auto"/>
              </w:rPr>
            </w:pPr>
          </w:p>
        </w:tc>
        <w:tc>
          <w:tcPr>
            <w:tcW w:w="154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2"/>
              </w:rPr>
              <w:t>1H24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-552450</wp:posOffset>
            </wp:positionV>
            <wp:extent cx="65081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extLst>
                    </a:blip>
                    <a:srcRect/>
                    <a:stretch>
                      <a:fillRect/>
                    </a:stretch>
                  </pic:blipFill>
                  <pic:spPr bwMode="auto">
                    <a:xfrm>
                      <a:off x="0" y="0"/>
                      <a:ext cx="6508115" cy="254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-2540</wp:posOffset>
                </wp:positionH>
                <wp:positionV relativeFrom="paragraph">
                  <wp:posOffset>100965</wp:posOffset>
                </wp:positionV>
                <wp:extent cx="125984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598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7.95pt" to="99pt,7.95pt" o:allowincell="f" strokecolor="#000000" strokeweight="1pt"/>
            </w:pict>
          </mc:Fallback>
        </mc:AlternateContent>
      </w:r>
    </w:p>
    <w:p>
      <w:pPr>
        <w:spacing w:after="0" w:line="132" w:lineRule="exact"/>
        <w:rPr>
          <w:sz w:val="20"/>
          <w:szCs w:val="20"/>
          <w:color w:val="auto"/>
        </w:rPr>
      </w:pPr>
    </w:p>
    <w:p>
      <w:pPr>
        <w:ind w:left="300" w:hanging="215"/>
        <w:spacing w:after="0"/>
        <w:tabs>
          <w:tab w:leader="none" w:pos="300" w:val="left"/>
        </w:tabs>
        <w:numPr>
          <w:ilvl w:val="0"/>
          <w:numId w:val="3"/>
        </w:numPr>
        <w:rPr>
          <w:rFonts w:ascii="Arial" w:cs="Arial" w:eastAsia="Arial" w:hAnsi="Arial"/>
          <w:sz w:val="26"/>
          <w:szCs w:val="26"/>
          <w:color w:val="auto"/>
          <w:vertAlign w:val="superscript"/>
        </w:rPr>
      </w:pPr>
      <w:r>
        <w:rPr>
          <w:rFonts w:ascii="Arial" w:cs="Arial" w:eastAsia="Arial" w:hAnsi="Arial"/>
          <w:sz w:val="18"/>
          <w:szCs w:val="18"/>
          <w:color w:val="auto"/>
        </w:rPr>
        <w:t>Included in a co-investment partnership.</w:t>
      </w:r>
    </w:p>
    <w:p>
      <w:pPr>
        <w:spacing w:after="0" w:line="159" w:lineRule="exact"/>
        <w:rPr>
          <w:sz w:val="20"/>
          <w:szCs w:val="20"/>
          <w:color w:val="auto"/>
        </w:rPr>
      </w:pPr>
    </w:p>
    <w:p>
      <w:pPr>
        <w:jc w:val="both"/>
        <w:ind w:firstLine="448"/>
        <w:spacing w:after="0" w:line="258" w:lineRule="auto"/>
        <w:rPr>
          <w:sz w:val="20"/>
          <w:szCs w:val="20"/>
          <w:color w:val="auto"/>
        </w:rPr>
      </w:pPr>
      <w:r>
        <w:rPr>
          <w:rFonts w:ascii="Arial" w:cs="Arial" w:eastAsia="Arial" w:hAnsi="Arial"/>
          <w:sz w:val="20"/>
          <w:szCs w:val="20"/>
          <w:b w:val="1"/>
          <w:bCs w:val="1"/>
          <w:i w:val="1"/>
          <w:iCs w:val="1"/>
          <w:color w:val="auto"/>
        </w:rPr>
        <w:t xml:space="preserve">Primary focus on North America. </w:t>
      </w:r>
      <w:r>
        <w:rPr>
          <w:rFonts w:ascii="Arial" w:cs="Arial" w:eastAsia="Arial" w:hAnsi="Arial"/>
          <w:sz w:val="20"/>
          <w:szCs w:val="20"/>
          <w:color w:val="auto"/>
        </w:rPr>
        <w:t>The Company intends to focus its investments in North America. The Company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believes that industry fundamentals in North America present it with significant opportunity to grow its portfolio without creating significant exposure to currency and sovereign risk. By focusing its efforts on North America, the Company believes it will best leverage its regional knowledge of power markets, industry relationships and skill sets to maximize the performance of the Company.</w:t>
      </w:r>
    </w:p>
    <w:p>
      <w:pPr>
        <w:spacing w:after="0" w:line="137" w:lineRule="exact"/>
        <w:rPr>
          <w:sz w:val="20"/>
          <w:szCs w:val="20"/>
          <w:color w:val="auto"/>
        </w:rPr>
      </w:pPr>
    </w:p>
    <w:p>
      <w:pPr>
        <w:jc w:val="both"/>
        <w:ind w:firstLine="448"/>
        <w:spacing w:after="0" w:line="269" w:lineRule="auto"/>
        <w:rPr>
          <w:sz w:val="20"/>
          <w:szCs w:val="20"/>
          <w:color w:val="auto"/>
        </w:rPr>
      </w:pPr>
      <w:r>
        <w:rPr>
          <w:rFonts w:ascii="Arial" w:cs="Arial" w:eastAsia="Arial" w:hAnsi="Arial"/>
          <w:sz w:val="19"/>
          <w:szCs w:val="19"/>
          <w:b w:val="1"/>
          <w:bCs w:val="1"/>
          <w:i w:val="1"/>
          <w:iCs w:val="1"/>
          <w:color w:val="auto"/>
        </w:rPr>
        <w:t xml:space="preserve">Maintain sound financial practices to grow the dividend. </w:t>
      </w:r>
      <w:r>
        <w:rPr>
          <w:rFonts w:ascii="Arial" w:cs="Arial" w:eastAsia="Arial" w:hAnsi="Arial"/>
          <w:sz w:val="19"/>
          <w:szCs w:val="19"/>
          <w:color w:val="auto"/>
        </w:rPr>
        <w:t>The Company intends to maintain a commitment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disciplined financial analysis and a balanced capital structure to enable it to increase its quarterly dividend over time and serve the long-term interests of its stockholders. The Company’s financial practices include a risk and credit policy focused on transacting with creditworthy counterparties; a financing policy, which focuses on seeking an optimal capital structure through various capital formation alternatives to minimize interest rate and refinancing risks, ensure stable long-term dividends and maximize value; and a dividend policy that is based on distributing a significant portion of CAFD each quarter that the Company receives from Clearway Energy LLC, subject to available capital, market conditions and compliance with associated laws, regulations and other contractual obligations.</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Competition</w:t>
      </w:r>
    </w:p>
    <w:p>
      <w:pPr>
        <w:spacing w:after="0" w:line="195" w:lineRule="exact"/>
        <w:rPr>
          <w:sz w:val="20"/>
          <w:szCs w:val="20"/>
          <w:color w:val="auto"/>
        </w:rPr>
      </w:pPr>
    </w:p>
    <w:p>
      <w:pPr>
        <w:jc w:val="both"/>
        <w:ind w:firstLine="448"/>
        <w:spacing w:after="0" w:line="283" w:lineRule="auto"/>
        <w:rPr>
          <w:sz w:val="20"/>
          <w:szCs w:val="20"/>
          <w:color w:val="auto"/>
        </w:rPr>
      </w:pPr>
      <w:r>
        <w:rPr>
          <w:rFonts w:ascii="Arial" w:cs="Arial" w:eastAsia="Arial" w:hAnsi="Arial"/>
          <w:sz w:val="18"/>
          <w:szCs w:val="18"/>
          <w:color w:val="auto"/>
        </w:rPr>
        <w:t>Power generation is a capital-intensive business with numerous and diverse industry participants. The Company competes on the basis of the location of its plants and on the basis of contract price and terms of individual projects. Within the power industry, there is a wide variation in terms of the capabilities, resources, nature and identity of the companies with whom the Company competes depending on the market. Competitors for energy supply are utilities, independent power producers and other providers of distributed generation. The Company also competes to acquire new projects with renewable developers who retain renewable power plant ownership, independent power producers, financial investors and other dividend, growth-oriented companies. Competitive conditions may be substantially affected by capital market conditions and by various forms of energy legislation and regulation considered by federal, state and local legislatures and administrative agencies, including tax policy. Such laws and regulations may substantially increase the costs of acquiring, constructing and operating projects, and it could be difficult for the Company to adapt to and operate under such laws and regulations.</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Competitive Strengths</w:t>
      </w:r>
    </w:p>
    <w:p>
      <w:pPr>
        <w:spacing w:after="0" w:line="190" w:lineRule="exact"/>
        <w:rPr>
          <w:sz w:val="20"/>
          <w:szCs w:val="20"/>
          <w:color w:val="auto"/>
        </w:rPr>
      </w:pPr>
    </w:p>
    <w:p>
      <w:pPr>
        <w:jc w:val="both"/>
        <w:ind w:firstLine="448"/>
        <w:spacing w:after="0" w:line="268" w:lineRule="auto"/>
        <w:rPr>
          <w:sz w:val="20"/>
          <w:szCs w:val="20"/>
          <w:color w:val="auto"/>
        </w:rPr>
      </w:pPr>
      <w:r>
        <w:rPr>
          <w:rFonts w:ascii="Arial" w:cs="Arial" w:eastAsia="Arial" w:hAnsi="Arial"/>
          <w:sz w:val="19"/>
          <w:szCs w:val="19"/>
          <w:b w:val="1"/>
          <w:bCs w:val="1"/>
          <w:i w:val="1"/>
          <w:iCs w:val="1"/>
          <w:color w:val="auto"/>
        </w:rPr>
        <w:t xml:space="preserve">Stable, high quality cash flows. </w:t>
      </w:r>
      <w:r>
        <w:rPr>
          <w:rFonts w:ascii="Arial" w:cs="Arial" w:eastAsia="Arial" w:hAnsi="Arial"/>
          <w:sz w:val="19"/>
          <w:szCs w:val="19"/>
          <w:color w:val="auto"/>
        </w:rPr>
        <w:t>The Company’s facilities have a stable, predictable cash flow profile consisting of long-life electric generation assets that primarily sell electricity under long-term fixed priced contracts or pursuant to regulated rates with investment-grade and certain other creditworthy counterparties. The majority of the Company’s facilities have minimal fuel risk, as the Renewables facilities have no fuel costs, however, the Company’s merchant conventional assets need to procure their own fuel. The offtake agreements for the Company’s conventional and renewable facilities have a weighted-average remaining duration, based on CAFD, of approximately 10 years as of December 31, 2023, providing long-term cash flow stability. The Company’s offtake agreements with counterparties for whom credit ratings are available have a weighted-average Moody’s rating of Ba1 based on rated capacity under contract. All of the Company’s assets are in the U.S. and accordingly have no currency or repatriation risks.</w:t>
      </w:r>
    </w:p>
    <w:p>
      <w:pPr>
        <w:sectPr>
          <w:pgSz w:w="11880" w:h="15480" w:orient="portrait"/>
          <w:cols w:equalWidth="0" w:num="1">
            <w:col w:w="10200"/>
          </w:cols>
          <w:pgMar w:left="840" w:top="406"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880" w:h="15480" w:orient="portrait"/>
          <w:cols w:equalWidth="0" w:num="1">
            <w:col w:w="10200"/>
          </w:cols>
          <w:pgMar w:left="840" w:top="406" w:right="840" w:bottom="0" w:gutter="0" w:footer="0" w:header="0"/>
          <w:type w:val="continuous"/>
        </w:sectPr>
      </w:pPr>
    </w:p>
    <w:bookmarkStart w:id="10" w:name="page11"/>
    <w:bookmarkEnd w:id="10"/>
    <w:p>
      <w:pPr>
        <w:jc w:val="both"/>
        <w:ind w:firstLine="448"/>
        <w:spacing w:after="0" w:line="269" w:lineRule="auto"/>
        <w:rPr>
          <w:sz w:val="20"/>
          <w:szCs w:val="20"/>
          <w:color w:val="auto"/>
        </w:rPr>
      </w:pPr>
      <w:r>
        <w:rPr>
          <w:rFonts w:ascii="Arial" w:cs="Arial" w:eastAsia="Arial" w:hAnsi="Arial"/>
          <w:sz w:val="19"/>
          <w:szCs w:val="19"/>
          <w:b w:val="1"/>
          <w:bCs w:val="1"/>
          <w:i w:val="1"/>
          <w:iCs w:val="1"/>
          <w:color w:val="auto"/>
        </w:rPr>
        <w:t xml:space="preserve">Environmentally well-positioned portfolio of assets. </w:t>
      </w:r>
      <w:r>
        <w:rPr>
          <w:rFonts w:ascii="Arial" w:cs="Arial" w:eastAsia="Arial" w:hAnsi="Arial"/>
          <w:sz w:val="19"/>
          <w:szCs w:val="19"/>
          <w:color w:val="auto"/>
        </w:rPr>
        <w:t>The Company’s portfolio consists of approximately 6,000 net MW</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 installed wind, solar and energy storage projects that are predominantly non-emitting sources of power generation. Additionally, the Company’s California conventional assets consist of efficient gas generation facilities that support electric system reliability. The Company does not anticipate having to expend any significant capital expenditures in the foreseeable future to comply with current environmental regulations applicable to its generation assets. Taken as a whole, the Company believes its strategy will be a net beneficiary of current and potential environmental legislation and regulatory requirements that may serve as a catalyst for capacity retirements and improve market opportunities for environmentally well-positioned assets like the Company’s assets once its current offtake agreements expire.</w:t>
      </w:r>
    </w:p>
    <w:p>
      <w:pPr>
        <w:spacing w:after="0" w:line="130" w:lineRule="exact"/>
        <w:rPr>
          <w:sz w:val="20"/>
          <w:szCs w:val="20"/>
          <w:color w:val="auto"/>
        </w:rPr>
      </w:pPr>
    </w:p>
    <w:p>
      <w:pPr>
        <w:jc w:val="both"/>
        <w:ind w:firstLine="448"/>
        <w:spacing w:after="0" w:line="272" w:lineRule="auto"/>
        <w:rPr>
          <w:sz w:val="20"/>
          <w:szCs w:val="20"/>
          <w:color w:val="auto"/>
        </w:rPr>
      </w:pPr>
      <w:r>
        <w:rPr>
          <w:rFonts w:ascii="Arial" w:cs="Arial" w:eastAsia="Arial" w:hAnsi="Arial"/>
          <w:sz w:val="19"/>
          <w:szCs w:val="19"/>
          <w:b w:val="1"/>
          <w:bCs w:val="1"/>
          <w:i w:val="1"/>
          <w:iCs w:val="1"/>
          <w:color w:val="auto"/>
        </w:rPr>
        <w:t xml:space="preserve">High quality, long-lived assets with low operating and capital requirements. </w:t>
      </w:r>
      <w:r>
        <w:rPr>
          <w:rFonts w:ascii="Arial" w:cs="Arial" w:eastAsia="Arial" w:hAnsi="Arial"/>
          <w:sz w:val="19"/>
          <w:szCs w:val="19"/>
          <w:color w:val="auto"/>
        </w:rPr>
        <w:t>The Company benefits from a portfolio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relatively newer assets. The Company’s assets are largely comprised of proven and reliable technologies, provided by leading original wind, solar and energy storage equipment manufacturers, including First Solar, General Electric, Siemens Energy AG, SunPower, Vestas and Wärtsilä. Given the nature of the portfolio, which includes a substantial number of relatively low operating and maintenance cost wind, solar and energy storage projects, the Company expects to achieve high fleet availability and expend modest maintenance-related capital expenditures.</w:t>
      </w:r>
    </w:p>
    <w:p>
      <w:pPr>
        <w:spacing w:after="0" w:line="126" w:lineRule="exact"/>
        <w:rPr>
          <w:sz w:val="20"/>
          <w:szCs w:val="20"/>
          <w:color w:val="auto"/>
        </w:rPr>
      </w:pPr>
    </w:p>
    <w:p>
      <w:pPr>
        <w:jc w:val="both"/>
        <w:ind w:firstLine="448"/>
        <w:spacing w:after="0" w:line="269" w:lineRule="auto"/>
        <w:rPr>
          <w:sz w:val="20"/>
          <w:szCs w:val="20"/>
          <w:color w:val="auto"/>
        </w:rPr>
      </w:pPr>
      <w:r>
        <w:rPr>
          <w:rFonts w:ascii="Arial" w:cs="Arial" w:eastAsia="Arial" w:hAnsi="Arial"/>
          <w:sz w:val="19"/>
          <w:szCs w:val="19"/>
          <w:b w:val="1"/>
          <w:bCs w:val="1"/>
          <w:i w:val="1"/>
          <w:iCs w:val="1"/>
          <w:color w:val="auto"/>
        </w:rPr>
        <w:t xml:space="preserve">Significant scale and diversity. </w:t>
      </w:r>
      <w:r>
        <w:rPr>
          <w:rFonts w:ascii="Arial" w:cs="Arial" w:eastAsia="Arial" w:hAnsi="Arial"/>
          <w:sz w:val="19"/>
          <w:szCs w:val="19"/>
          <w:color w:val="auto"/>
        </w:rPr>
        <w:t>The Company is one of the largest renewable energy owners in the U.S. with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approximately 6,000 net MW of installed wind, solar and energy storage projects. The Company’s approximately 8,500 net MW of assets also includes approximately 2,500 net MW of environmentally-sound, highly efficient natural gas-fired generation facilities. The Company’s contracted renewable and conventional generation assets benefit from significant diversification in terms of technology, fuel type, counterparty and geography. The Company believes its scale and access to best practices across the fleet improves its business development opportunities through enhanced industry relationships, reputation and understanding of regional power market dynamics. Furthermore, the Company’s diversification reduces its operating risk profile and reliance on any single market.</w:t>
      </w:r>
    </w:p>
    <w:p>
      <w:pPr>
        <w:spacing w:after="0" w:line="130" w:lineRule="exact"/>
        <w:rPr>
          <w:sz w:val="20"/>
          <w:szCs w:val="20"/>
          <w:color w:val="auto"/>
        </w:rPr>
      </w:pPr>
    </w:p>
    <w:p>
      <w:pPr>
        <w:jc w:val="both"/>
        <w:ind w:firstLine="448"/>
        <w:spacing w:after="0" w:line="268" w:lineRule="auto"/>
        <w:rPr>
          <w:sz w:val="20"/>
          <w:szCs w:val="20"/>
          <w:color w:val="auto"/>
        </w:rPr>
      </w:pPr>
      <w:r>
        <w:rPr>
          <w:rFonts w:ascii="Arial" w:cs="Arial" w:eastAsia="Arial" w:hAnsi="Arial"/>
          <w:sz w:val="19"/>
          <w:szCs w:val="19"/>
          <w:b w:val="1"/>
          <w:bCs w:val="1"/>
          <w:i w:val="1"/>
          <w:iCs w:val="1"/>
          <w:color w:val="auto"/>
        </w:rPr>
        <w:t xml:space="preserve">Relationship with GIP, TotalEnergies and CEG. </w:t>
      </w:r>
      <w:r>
        <w:rPr>
          <w:rFonts w:ascii="Arial" w:cs="Arial" w:eastAsia="Arial" w:hAnsi="Arial"/>
          <w:sz w:val="19"/>
          <w:szCs w:val="19"/>
          <w:color w:val="auto"/>
        </w:rPr>
        <w:t>The Company believes that its relationship with GIP, TotalEnergies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and CEG provides significant benefits. Global Infrastructure Management, LLC, or GIM, the manager of GIP, is an independent infrastructure fund manager that makes equity and debt investments in infrastructure assets and businesses in both the Organization for Economic Co-operation and Development (OECD) and select emerging market countries. GIM has a strong track record of investment and value creation in the renewable energy sector. GIM also has extensive experience with publicly traded yield vehicles and development platforms, ranging from Europe’s first application of a yield company/ development company model to the largest renewable platform in Asia-Pacific. TotalEnergies is a global multi-energy company that produces and markets energies in more than 130 countries. Additionally, the Company believes that CEG provides the Company access to a highly capable renewable development and operations platform that is aligned to support the Company’s growth.</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 Review</w:t>
      </w:r>
    </w:p>
    <w:p>
      <w:pPr>
        <w:spacing w:after="0" w:line="195" w:lineRule="exact"/>
        <w:rPr>
          <w:sz w:val="20"/>
          <w:szCs w:val="20"/>
          <w:color w:val="auto"/>
        </w:rPr>
      </w:pPr>
    </w:p>
    <w:p>
      <w:pPr>
        <w:jc w:val="both"/>
        <w:ind w:firstLine="448"/>
        <w:spacing w:after="0" w:line="281" w:lineRule="auto"/>
        <w:rPr>
          <w:sz w:val="20"/>
          <w:szCs w:val="20"/>
          <w:color w:val="auto"/>
        </w:rPr>
      </w:pPr>
      <w:r>
        <w:rPr>
          <w:rFonts w:ascii="Arial" w:cs="Arial" w:eastAsia="Arial" w:hAnsi="Arial"/>
          <w:sz w:val="20"/>
          <w:szCs w:val="20"/>
          <w:color w:val="auto"/>
        </w:rPr>
        <w:t xml:space="preserve">The following tables summarize the Company’s operating revenues, net income (loss) and assets by segment, as discussed in Item 15 — Note 13, </w:t>
      </w:r>
      <w:r>
        <w:rPr>
          <w:rFonts w:ascii="Arial" w:cs="Arial" w:eastAsia="Arial" w:hAnsi="Arial"/>
          <w:sz w:val="20"/>
          <w:szCs w:val="20"/>
          <w:b w:val="1"/>
          <w:bCs w:val="1"/>
          <w:i w:val="1"/>
          <w:iCs w:val="1"/>
          <w:color w:val="auto"/>
        </w:rPr>
        <w:t>Segment Reporting</w:t>
      </w:r>
      <w:r>
        <w:rPr>
          <w:rFonts w:ascii="Arial" w:cs="Arial" w:eastAsia="Arial" w:hAnsi="Arial"/>
          <w:sz w:val="20"/>
          <w:szCs w:val="20"/>
          <w:color w:val="auto"/>
        </w:rPr>
        <w: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7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6"/>
          </w:tcPr>
          <w:p>
            <w:pPr>
              <w:jc w:val="right"/>
              <w:ind w:right="550"/>
              <w:spacing w:after="0"/>
              <w:rPr>
                <w:sz w:val="20"/>
                <w:szCs w:val="20"/>
                <w:color w:val="auto"/>
              </w:rPr>
            </w:pPr>
            <w:r>
              <w:rPr>
                <w:rFonts w:ascii="Arial" w:cs="Arial" w:eastAsia="Arial" w:hAnsi="Arial"/>
                <w:sz w:val="16"/>
                <w:szCs w:val="16"/>
                <w:b w:val="1"/>
                <w:bCs w:val="1"/>
                <w:color w:val="auto"/>
                <w:w w:val="93"/>
              </w:rPr>
              <w:t>Year ended December 31, 2023</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760" w:type="dxa"/>
            <w:vAlign w:val="bottom"/>
            <w:vMerge w:val="restart"/>
          </w:tcPr>
          <w:p>
            <w:pPr>
              <w:jc w:val="right"/>
              <w:ind w:right="3793"/>
              <w:spacing w:after="0"/>
              <w:rPr>
                <w:sz w:val="20"/>
                <w:szCs w:val="20"/>
                <w:color w:val="auto"/>
              </w:rPr>
            </w:pPr>
            <w:r>
              <w:rPr>
                <w:rFonts w:ascii="Arial" w:cs="Arial" w:eastAsia="Arial" w:hAnsi="Arial"/>
                <w:sz w:val="16"/>
                <w:szCs w:val="16"/>
                <w:b w:val="1"/>
                <w:bCs w:val="1"/>
                <w:color w:val="auto"/>
                <w:w w:val="95"/>
              </w:rPr>
              <w:t>(In millions)</w:t>
            </w:r>
          </w:p>
        </w:tc>
        <w:tc>
          <w:tcPr>
            <w:tcW w:w="160" w:type="dxa"/>
            <w:vAlign w:val="bottom"/>
          </w:tcPr>
          <w:p>
            <w:pPr>
              <w:spacing w:after="0"/>
              <w:rPr>
                <w:sz w:val="16"/>
                <w:szCs w:val="16"/>
                <w:color w:val="auto"/>
              </w:rPr>
            </w:pPr>
          </w:p>
        </w:tc>
        <w:tc>
          <w:tcPr>
            <w:tcW w:w="1140" w:type="dxa"/>
            <w:vAlign w:val="bottom"/>
          </w:tcPr>
          <w:p>
            <w:pPr>
              <w:jc w:val="right"/>
              <w:ind w:right="114"/>
              <w:spacing w:after="0"/>
              <w:rPr>
                <w:sz w:val="20"/>
                <w:szCs w:val="20"/>
                <w:color w:val="auto"/>
              </w:rPr>
            </w:pPr>
            <w:r>
              <w:rPr>
                <w:rFonts w:ascii="Arial" w:cs="Arial" w:eastAsia="Arial" w:hAnsi="Arial"/>
                <w:sz w:val="16"/>
                <w:szCs w:val="16"/>
                <w:b w:val="1"/>
                <w:bCs w:val="1"/>
                <w:color w:val="auto"/>
                <w:w w:val="90"/>
              </w:rPr>
              <w:t>Conventional</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vMerge w:val="restart"/>
          </w:tcPr>
          <w:p>
            <w:pPr>
              <w:jc w:val="right"/>
              <w:ind w:right="154"/>
              <w:spacing w:after="0"/>
              <w:rPr>
                <w:sz w:val="20"/>
                <w:szCs w:val="20"/>
                <w:color w:val="auto"/>
              </w:rPr>
            </w:pPr>
            <w:r>
              <w:rPr>
                <w:rFonts w:ascii="Arial" w:cs="Arial" w:eastAsia="Arial" w:hAnsi="Arial"/>
                <w:sz w:val="16"/>
                <w:szCs w:val="16"/>
                <w:b w:val="1"/>
                <w:bCs w:val="1"/>
                <w:color w:val="auto"/>
                <w:w w:val="90"/>
              </w:rPr>
              <w:t>Renewables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3"/>
            <w:vMerge w:val="restart"/>
          </w:tcPr>
          <w:p>
            <w:pPr>
              <w:jc w:val="right"/>
              <w:ind w:right="590"/>
              <w:spacing w:after="0"/>
              <w:rPr>
                <w:sz w:val="20"/>
                <w:szCs w:val="20"/>
                <w:color w:val="auto"/>
              </w:rPr>
            </w:pPr>
            <w:r>
              <w:rPr>
                <w:rFonts w:ascii="Arial" w:cs="Arial" w:eastAsia="Arial" w:hAnsi="Arial"/>
                <w:sz w:val="16"/>
                <w:szCs w:val="16"/>
                <w:b w:val="1"/>
                <w:bCs w:val="1"/>
                <w:color w:val="auto"/>
                <w:w w:val="99"/>
              </w:rPr>
              <w:t>Corporate</w:t>
            </w:r>
          </w:p>
        </w:tc>
        <w:tc>
          <w:tcPr>
            <w:tcW w:w="1020" w:type="dxa"/>
            <w:vAlign w:val="bottom"/>
            <w:vMerge w:val="restart"/>
          </w:tcPr>
          <w:p>
            <w:pPr>
              <w:jc w:val="right"/>
              <w:ind w:right="39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7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174"/>
              <w:spacing w:after="0"/>
              <w:rPr>
                <w:sz w:val="20"/>
                <w:szCs w:val="20"/>
                <w:color w:val="auto"/>
              </w:rPr>
            </w:pPr>
            <w:r>
              <w:rPr>
                <w:rFonts w:ascii="Arial" w:cs="Arial" w:eastAsia="Arial" w:hAnsi="Arial"/>
                <w:sz w:val="16"/>
                <w:szCs w:val="16"/>
                <w:b w:val="1"/>
                <w:bCs w:val="1"/>
                <w:color w:val="auto"/>
              </w:rPr>
              <w:t>Generation</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3"/>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760" w:type="dxa"/>
            <w:vAlign w:val="bottom"/>
            <w:tcBorders>
              <w:top w:val="single" w:sz="8" w:color="E6E6E6"/>
            </w:tcBorders>
            <w:shd w:val="clear" w:color="auto" w:fill="E6E6E6"/>
          </w:tcPr>
          <w:p>
            <w:pPr>
              <w:jc w:val="right"/>
              <w:spacing w:after="0"/>
              <w:rPr>
                <w:sz w:val="20"/>
                <w:szCs w:val="20"/>
                <w:color w:val="auto"/>
              </w:rPr>
            </w:pPr>
            <w:r>
              <w:rPr>
                <w:rFonts w:ascii="Arial" w:cs="Arial" w:eastAsia="Arial" w:hAnsi="Arial"/>
                <w:sz w:val="18"/>
                <w:szCs w:val="18"/>
                <w:color w:val="BDBDBD"/>
                <w:w w:val="92"/>
              </w:rPr>
              <w:t>. . . . . . . . . . . . . . . . . . . . . . . . . . . . . . . . . . . .</w:t>
            </w:r>
            <w:r>
              <w:rPr>
                <w:rFonts w:ascii="Arial" w:cs="Arial" w:eastAsia="Arial" w:hAnsi="Arial"/>
                <w:sz w:val="18"/>
                <w:szCs w:val="18"/>
                <w:color w:val="000000"/>
                <w:w w:val="92"/>
              </w:rPr>
              <w:t>Operatingrevenues</w:t>
            </w:r>
          </w:p>
        </w:tc>
        <w:tc>
          <w:tcPr>
            <w:tcW w:w="16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420</w:t>
            </w:r>
          </w:p>
        </w:tc>
        <w:tc>
          <w:tcPr>
            <w:tcW w:w="60" w:type="dxa"/>
            <w:vAlign w:val="bottom"/>
            <w:tcBorders>
              <w:top w:val="single" w:sz="8" w:color="E6E6E6"/>
            </w:tcBorders>
            <w:shd w:val="clear" w:color="auto" w:fill="E6E6E6"/>
          </w:tcPr>
          <w:p>
            <w:pPr>
              <w:spacing w:after="0"/>
              <w:rPr>
                <w:sz w:val="21"/>
                <w:szCs w:val="21"/>
                <w:color w:val="auto"/>
              </w:rPr>
            </w:pPr>
          </w:p>
        </w:tc>
        <w:tc>
          <w:tcPr>
            <w:tcW w:w="20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894</w:t>
            </w:r>
          </w:p>
        </w:tc>
        <w:tc>
          <w:tcPr>
            <w:tcW w:w="80" w:type="dxa"/>
            <w:vAlign w:val="bottom"/>
            <w:tcBorders>
              <w:top w:val="single" w:sz="8" w:color="E6E6E6"/>
            </w:tcBorders>
            <w:shd w:val="clear" w:color="auto" w:fill="E6E6E6"/>
          </w:tcPr>
          <w:p>
            <w:pPr>
              <w:spacing w:after="0"/>
              <w:rPr>
                <w:sz w:val="21"/>
                <w:szCs w:val="21"/>
                <w:color w:val="auto"/>
              </w:rPr>
            </w:pPr>
          </w:p>
        </w:tc>
        <w:tc>
          <w:tcPr>
            <w:tcW w:w="22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E6E6E6"/>
            </w:tcBorders>
            <w:shd w:val="clear" w:color="auto" w:fill="E6E6E6"/>
          </w:tcPr>
          <w:p>
            <w:pPr>
              <w:spacing w:after="0"/>
              <w:rPr>
                <w:sz w:val="21"/>
                <w:szCs w:val="21"/>
                <w:color w:val="auto"/>
              </w:rPr>
            </w:pPr>
          </w:p>
        </w:tc>
        <w:tc>
          <w:tcPr>
            <w:tcW w:w="300" w:type="dxa"/>
            <w:vAlign w:val="bottom"/>
            <w:tcBorders>
              <w:top w:val="single" w:sz="8" w:color="auto"/>
            </w:tcBorders>
            <w:shd w:val="clear" w:color="auto" w:fill="E6E6E6"/>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76"/>
        </w:trPr>
        <w:tc>
          <w:tcPr>
            <w:tcW w:w="4760" w:type="dxa"/>
            <w:vAlign w:val="bottom"/>
          </w:tcPr>
          <w:p>
            <w:pPr>
              <w:jc w:val="right"/>
              <w:spacing w:after="0"/>
              <w:rPr>
                <w:sz w:val="20"/>
                <w:szCs w:val="20"/>
                <w:color w:val="auto"/>
              </w:rPr>
            </w:pPr>
            <w:r>
              <w:rPr>
                <w:rFonts w:ascii="Arial" w:cs="Arial" w:eastAsia="Arial" w:hAnsi="Arial"/>
                <w:sz w:val="18"/>
                <w:szCs w:val="18"/>
                <w:color w:val="auto"/>
                <w:w w:val="91"/>
              </w:rPr>
              <w:t xml:space="preserve">Net income (loss) </w:t>
            </w:r>
            <w:r>
              <w:rPr>
                <w:rFonts w:ascii="Arial" w:cs="Arial" w:eastAsia="Arial" w:hAnsi="Arial"/>
                <w:sz w:val="18"/>
                <w:szCs w:val="18"/>
                <w:color w:val="BDBDBD"/>
                <w:w w:val="91"/>
              </w:rPr>
              <w:t>. . . . . . . . . . . . . . . . . . . . . . . . . . . . . . . . . . . . .</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61"/>
        </w:trPr>
        <w:tc>
          <w:tcPr>
            <w:tcW w:w="476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0"/>
              </w:rPr>
              <w:t xml:space="preserve">Total assets </w:t>
            </w:r>
            <w:r>
              <w:rPr>
                <w:rFonts w:ascii="Arial" w:cs="Arial" w:eastAsia="Arial" w:hAnsi="Arial"/>
                <w:sz w:val="18"/>
                <w:szCs w:val="18"/>
                <w:color w:val="BDBDBD"/>
                <w:w w:val="90"/>
              </w:rPr>
              <w:t>. . . . . . . . . . . . . . . . . . . . . . . . . . . . . . . . . . . . . . . . . .</w:t>
            </w:r>
          </w:p>
        </w:tc>
        <w:tc>
          <w:tcPr>
            <w:tcW w:w="160" w:type="dxa"/>
            <w:vAlign w:val="bottom"/>
            <w:shd w:val="clear" w:color="auto" w:fill="E6E6E6"/>
          </w:tcPr>
          <w:p>
            <w:pPr>
              <w:spacing w:after="0"/>
              <w:rPr>
                <w:sz w:val="22"/>
                <w:szCs w:val="22"/>
                <w:color w:val="auto"/>
              </w:rPr>
            </w:pPr>
          </w:p>
        </w:tc>
        <w:tc>
          <w:tcPr>
            <w:tcW w:w="11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2,058</w:t>
            </w:r>
          </w:p>
        </w:tc>
        <w:tc>
          <w:tcPr>
            <w:tcW w:w="6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12,205</w:t>
            </w:r>
          </w:p>
        </w:tc>
        <w:tc>
          <w:tcPr>
            <w:tcW w:w="80" w:type="dxa"/>
            <w:vAlign w:val="bottom"/>
            <w:shd w:val="clear" w:color="auto" w:fill="E6E6E6"/>
          </w:tcPr>
          <w:p>
            <w:pPr>
              <w:spacing w:after="0"/>
              <w:rPr>
                <w:sz w:val="22"/>
                <w:szCs w:val="22"/>
                <w:color w:val="auto"/>
              </w:rPr>
            </w:pPr>
          </w:p>
        </w:tc>
        <w:tc>
          <w:tcPr>
            <w:tcW w:w="220" w:type="dxa"/>
            <w:vAlign w:val="bottom"/>
            <w:shd w:val="clear" w:color="auto" w:fill="E6E6E6"/>
          </w:tcPr>
          <w:p>
            <w:pPr>
              <w:spacing w:after="0"/>
              <w:rPr>
                <w:sz w:val="22"/>
                <w:szCs w:val="22"/>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438</w:t>
            </w:r>
          </w:p>
        </w:tc>
        <w:tc>
          <w:tcPr>
            <w:tcW w:w="80" w:type="dxa"/>
            <w:vAlign w:val="bottom"/>
            <w:shd w:val="clear" w:color="auto" w:fill="E6E6E6"/>
          </w:tcPr>
          <w:p>
            <w:pPr>
              <w:spacing w:after="0"/>
              <w:rPr>
                <w:sz w:val="22"/>
                <w:szCs w:val="22"/>
                <w:color w:val="auto"/>
              </w:rPr>
            </w:pPr>
          </w:p>
        </w:tc>
        <w:tc>
          <w:tcPr>
            <w:tcW w:w="300" w:type="dxa"/>
            <w:vAlign w:val="bottom"/>
            <w:shd w:val="clear" w:color="auto" w:fill="E6E6E6"/>
          </w:tcPr>
          <w:p>
            <w:pPr>
              <w:spacing w:after="0"/>
              <w:rPr>
                <w:sz w:val="22"/>
                <w:szCs w:val="22"/>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14,701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3007995</wp:posOffset>
            </wp:positionH>
            <wp:positionV relativeFrom="paragraph">
              <wp:posOffset>-514350</wp:posOffset>
            </wp:positionV>
            <wp:extent cx="348488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extLst>
                    </a:blip>
                    <a:srcRect/>
                    <a:stretch>
                      <a:fillRect/>
                    </a:stretch>
                  </pic:blipFill>
                  <pic:spPr bwMode="auto">
                    <a:xfrm>
                      <a:off x="0" y="0"/>
                      <a:ext cx="3484880" cy="25400"/>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7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9"/>
          </w:tcPr>
          <w:p>
            <w:pPr>
              <w:jc w:val="right"/>
              <w:ind w:right="750"/>
              <w:spacing w:after="0"/>
              <w:rPr>
                <w:sz w:val="20"/>
                <w:szCs w:val="20"/>
                <w:color w:val="auto"/>
              </w:rPr>
            </w:pPr>
            <w:r>
              <w:rPr>
                <w:rFonts w:ascii="Arial" w:cs="Arial" w:eastAsia="Arial" w:hAnsi="Arial"/>
                <w:sz w:val="16"/>
                <w:szCs w:val="16"/>
                <w:b w:val="1"/>
                <w:bCs w:val="1"/>
                <w:color w:val="auto"/>
                <w:w w:val="97"/>
              </w:rPr>
              <w:t>Year ended December 31, 2022</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760" w:type="dxa"/>
            <w:vAlign w:val="bottom"/>
            <w:vMerge w:val="restart"/>
          </w:tcPr>
          <w:p>
            <w:pPr>
              <w:jc w:val="right"/>
              <w:ind w:right="3793"/>
              <w:spacing w:after="0"/>
              <w:rPr>
                <w:sz w:val="20"/>
                <w:szCs w:val="20"/>
                <w:color w:val="auto"/>
              </w:rPr>
            </w:pPr>
            <w:r>
              <w:rPr>
                <w:rFonts w:ascii="Arial" w:cs="Arial" w:eastAsia="Arial" w:hAnsi="Arial"/>
                <w:sz w:val="16"/>
                <w:szCs w:val="16"/>
                <w:b w:val="1"/>
                <w:bCs w:val="1"/>
                <w:color w:val="auto"/>
                <w:w w:val="95"/>
              </w:rPr>
              <w:t>(In millions)</w:t>
            </w:r>
          </w:p>
        </w:tc>
        <w:tc>
          <w:tcPr>
            <w:tcW w:w="1020" w:type="dxa"/>
            <w:vAlign w:val="bottom"/>
            <w:gridSpan w:val="2"/>
          </w:tcPr>
          <w:p>
            <w:pPr>
              <w:ind w:left="60"/>
              <w:spacing w:after="0"/>
              <w:rPr>
                <w:sz w:val="20"/>
                <w:szCs w:val="20"/>
                <w:color w:val="auto"/>
              </w:rPr>
            </w:pPr>
            <w:r>
              <w:rPr>
                <w:rFonts w:ascii="Arial" w:cs="Arial" w:eastAsia="Arial" w:hAnsi="Arial"/>
                <w:sz w:val="16"/>
                <w:szCs w:val="16"/>
                <w:b w:val="1"/>
                <w:bCs w:val="1"/>
                <w:color w:val="auto"/>
                <w:w w:val="92"/>
              </w:rPr>
              <w:t>Conventional</w:t>
            </w:r>
          </w:p>
        </w:tc>
        <w:tc>
          <w:tcPr>
            <w:tcW w:w="80" w:type="dxa"/>
            <w:vAlign w:val="bottom"/>
          </w:tcPr>
          <w:p>
            <w:pPr>
              <w:spacing w:after="0"/>
              <w:rPr>
                <w:sz w:val="16"/>
                <w:szCs w:val="16"/>
                <w:color w:val="auto"/>
              </w:rPr>
            </w:pPr>
          </w:p>
        </w:tc>
        <w:tc>
          <w:tcPr>
            <w:tcW w:w="1020" w:type="dxa"/>
            <w:vAlign w:val="bottom"/>
            <w:gridSpan w:val="2"/>
            <w:vMerge w:val="restart"/>
          </w:tcPr>
          <w:p>
            <w:pPr>
              <w:jc w:val="right"/>
              <w:ind w:right="13"/>
              <w:spacing w:after="0"/>
              <w:rPr>
                <w:sz w:val="20"/>
                <w:szCs w:val="20"/>
                <w:color w:val="auto"/>
              </w:rPr>
            </w:pPr>
            <w:r>
              <w:rPr>
                <w:rFonts w:ascii="Arial" w:cs="Arial" w:eastAsia="Arial" w:hAnsi="Arial"/>
                <w:sz w:val="16"/>
                <w:szCs w:val="16"/>
                <w:b w:val="1"/>
                <w:bCs w:val="1"/>
                <w:color w:val="auto"/>
                <w:w w:val="97"/>
              </w:rPr>
              <w:t>Renewables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ind w:right="113"/>
              <w:spacing w:after="0"/>
              <w:rPr>
                <w:sz w:val="20"/>
                <w:szCs w:val="20"/>
                <w:color w:val="auto"/>
              </w:rPr>
            </w:pPr>
            <w:r>
              <w:rPr>
                <w:rFonts w:ascii="Arial" w:cs="Arial" w:eastAsia="Arial" w:hAnsi="Arial"/>
                <w:sz w:val="16"/>
                <w:szCs w:val="16"/>
                <w:b w:val="1"/>
                <w:bCs w:val="1"/>
                <w:color w:val="auto"/>
                <w:w w:val="99"/>
              </w:rPr>
              <w:t>Thermal</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3"/>
            <w:vMerge w:val="restart"/>
          </w:tcPr>
          <w:p>
            <w:pPr>
              <w:jc w:val="right"/>
              <w:ind w:right="370"/>
              <w:spacing w:after="0"/>
              <w:rPr>
                <w:sz w:val="20"/>
                <w:szCs w:val="20"/>
                <w:color w:val="auto"/>
              </w:rPr>
            </w:pPr>
            <w:r>
              <w:rPr>
                <w:rFonts w:ascii="Arial" w:cs="Arial" w:eastAsia="Arial" w:hAnsi="Arial"/>
                <w:sz w:val="16"/>
                <w:szCs w:val="16"/>
                <w:b w:val="1"/>
                <w:bCs w:val="1"/>
                <w:color w:val="auto"/>
                <w:w w:val="91"/>
              </w:rPr>
              <w:t>Corporate</w:t>
            </w:r>
          </w:p>
        </w:tc>
        <w:tc>
          <w:tcPr>
            <w:tcW w:w="800" w:type="dxa"/>
            <w:vAlign w:val="bottom"/>
            <w:vMerge w:val="restart"/>
          </w:tcPr>
          <w:p>
            <w:pPr>
              <w:jc w:val="right"/>
              <w:ind w:right="25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760" w:type="dxa"/>
            <w:vAlign w:val="bottom"/>
            <w:vMerge w:val="continue"/>
          </w:tcPr>
          <w:p>
            <w:pPr>
              <w:spacing w:after="0"/>
              <w:rPr>
                <w:sz w:val="18"/>
                <w:szCs w:val="18"/>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6"/>
                <w:szCs w:val="16"/>
                <w:b w:val="1"/>
                <w:bCs w:val="1"/>
                <w:color w:val="auto"/>
              </w:rPr>
              <w:t>Generation</w:t>
            </w:r>
          </w:p>
        </w:tc>
        <w:tc>
          <w:tcPr>
            <w:tcW w:w="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760" w:type="dxa"/>
            <w:vAlign w:val="bottom"/>
            <w:tcBorders>
              <w:top w:val="single" w:sz="8" w:color="E6E6E6"/>
            </w:tcBorders>
            <w:shd w:val="clear" w:color="auto" w:fill="E6E6E6"/>
          </w:tcPr>
          <w:p>
            <w:pPr>
              <w:jc w:val="right"/>
              <w:spacing w:after="0"/>
              <w:rPr>
                <w:sz w:val="20"/>
                <w:szCs w:val="20"/>
                <w:color w:val="auto"/>
              </w:rPr>
            </w:pPr>
            <w:r>
              <w:rPr>
                <w:rFonts w:ascii="Arial" w:cs="Arial" w:eastAsia="Arial" w:hAnsi="Arial"/>
                <w:sz w:val="18"/>
                <w:szCs w:val="18"/>
                <w:color w:val="BDBDBD"/>
                <w:w w:val="92"/>
              </w:rPr>
              <w:t>. . . . . . . . . . . . . . . . . . . . . . . . . . . . . . . . . . . .</w:t>
            </w:r>
            <w:r>
              <w:rPr>
                <w:rFonts w:ascii="Arial" w:cs="Arial" w:eastAsia="Arial" w:hAnsi="Arial"/>
                <w:sz w:val="18"/>
                <w:szCs w:val="18"/>
                <w:color w:val="000000"/>
                <w:w w:val="92"/>
              </w:rPr>
              <w:t>Operatingrevenues</w:t>
            </w:r>
          </w:p>
        </w:tc>
        <w:tc>
          <w:tcPr>
            <w:tcW w:w="340" w:type="dxa"/>
            <w:vAlign w:val="bottom"/>
            <w:tcBorders>
              <w:top w:val="single" w:sz="8" w:color="auto"/>
            </w:tcBorders>
            <w:shd w:val="clear" w:color="auto" w:fill="E6E6E6"/>
          </w:tcPr>
          <w:p>
            <w:pPr>
              <w:ind w:left="4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417</w:t>
            </w:r>
          </w:p>
        </w:tc>
        <w:tc>
          <w:tcPr>
            <w:tcW w:w="80" w:type="dxa"/>
            <w:vAlign w:val="bottom"/>
            <w:tcBorders>
              <w:top w:val="single" w:sz="8" w:color="E6E6E6"/>
            </w:tcBorders>
            <w:shd w:val="clear" w:color="auto" w:fill="E6E6E6"/>
          </w:tcPr>
          <w:p>
            <w:pPr>
              <w:spacing w:after="0"/>
              <w:rPr>
                <w:sz w:val="21"/>
                <w:szCs w:val="21"/>
                <w:color w:val="auto"/>
              </w:rPr>
            </w:pPr>
          </w:p>
        </w:tc>
        <w:tc>
          <w:tcPr>
            <w:tcW w:w="340" w:type="dxa"/>
            <w:vAlign w:val="bottom"/>
            <w:tcBorders>
              <w:top w:val="single" w:sz="8" w:color="auto"/>
            </w:tcBorders>
            <w:shd w:val="clear" w:color="auto" w:fill="E6E6E6"/>
          </w:tcPr>
          <w:p>
            <w:pPr>
              <w:jc w:val="right"/>
              <w:ind w:right="115"/>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696</w:t>
            </w:r>
          </w:p>
        </w:tc>
        <w:tc>
          <w:tcPr>
            <w:tcW w:w="80" w:type="dxa"/>
            <w:vAlign w:val="bottom"/>
            <w:tcBorders>
              <w:top w:val="single" w:sz="8" w:color="E6E6E6"/>
            </w:tcBorders>
            <w:shd w:val="clear" w:color="auto" w:fill="E6E6E6"/>
          </w:tcPr>
          <w:p>
            <w:pPr>
              <w:spacing w:after="0"/>
              <w:rPr>
                <w:sz w:val="21"/>
                <w:szCs w:val="21"/>
                <w:color w:val="auto"/>
              </w:rPr>
            </w:pPr>
          </w:p>
        </w:tc>
        <w:tc>
          <w:tcPr>
            <w:tcW w:w="16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77</w:t>
            </w:r>
          </w:p>
        </w:tc>
        <w:tc>
          <w:tcPr>
            <w:tcW w:w="80" w:type="dxa"/>
            <w:vAlign w:val="bottom"/>
            <w:tcBorders>
              <w:top w:val="single" w:sz="8" w:color="E6E6E6"/>
            </w:tcBorders>
            <w:shd w:val="clear" w:color="auto" w:fill="E6E6E6"/>
          </w:tcPr>
          <w:p>
            <w:pPr>
              <w:spacing w:after="0"/>
              <w:rPr>
                <w:sz w:val="21"/>
                <w:szCs w:val="21"/>
                <w:color w:val="auto"/>
              </w:rPr>
            </w:pPr>
          </w:p>
        </w:tc>
        <w:tc>
          <w:tcPr>
            <w:tcW w:w="14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E6E6E6"/>
            </w:tcBorders>
            <w:shd w:val="clear" w:color="auto" w:fill="E6E6E6"/>
          </w:tcPr>
          <w:p>
            <w:pPr>
              <w:spacing w:after="0"/>
              <w:rPr>
                <w:sz w:val="21"/>
                <w:szCs w:val="21"/>
                <w:color w:val="auto"/>
              </w:rPr>
            </w:pPr>
          </w:p>
        </w:tc>
        <w:tc>
          <w:tcPr>
            <w:tcW w:w="24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84"/>
        </w:trPr>
        <w:tc>
          <w:tcPr>
            <w:tcW w:w="4760" w:type="dxa"/>
            <w:vAlign w:val="bottom"/>
          </w:tcPr>
          <w:p>
            <w:pPr>
              <w:jc w:val="right"/>
              <w:spacing w:after="0"/>
              <w:rPr>
                <w:sz w:val="20"/>
                <w:szCs w:val="20"/>
                <w:color w:val="auto"/>
              </w:rPr>
            </w:pPr>
            <w:r>
              <w:rPr>
                <w:rFonts w:ascii="Arial" w:cs="Arial" w:eastAsia="Arial" w:hAnsi="Arial"/>
                <w:sz w:val="18"/>
                <w:szCs w:val="18"/>
                <w:color w:val="auto"/>
                <w:w w:val="90"/>
              </w:rPr>
              <w:t xml:space="preserve">Net income (loss) </w:t>
            </w:r>
            <w:r>
              <w:rPr>
                <w:rFonts w:ascii="Arial" w:cs="Arial" w:eastAsia="Arial" w:hAnsi="Arial"/>
                <w:sz w:val="23"/>
                <w:szCs w:val="23"/>
                <w:color w:val="auto"/>
                <w:w w:val="90"/>
                <w:vertAlign w:val="superscript"/>
              </w:rPr>
              <w:t>(a)</w:t>
            </w:r>
            <w:r>
              <w:rPr>
                <w:rFonts w:ascii="Arial" w:cs="Arial" w:eastAsia="Arial" w:hAnsi="Arial"/>
                <w:sz w:val="18"/>
                <w:szCs w:val="18"/>
                <w:color w:val="auto"/>
                <w:w w:val="90"/>
              </w:rPr>
              <w:t xml:space="preserve">  </w:t>
            </w:r>
            <w:r>
              <w:rPr>
                <w:rFonts w:ascii="Arial" w:cs="Arial" w:eastAsia="Arial" w:hAnsi="Arial"/>
                <w:sz w:val="18"/>
                <w:szCs w:val="18"/>
                <w:color w:val="BDBDBD"/>
                <w:w w:val="90"/>
              </w:rPr>
              <w:t>. . . . . . . . . . . . . . . . . . . . . . . . . . . . . . . . . . .</w:t>
            </w: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54"/>
        </w:trPr>
        <w:tc>
          <w:tcPr>
            <w:tcW w:w="476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0"/>
              </w:rPr>
              <w:t xml:space="preserve">Total assets </w:t>
            </w:r>
            <w:r>
              <w:rPr>
                <w:rFonts w:ascii="Arial" w:cs="Arial" w:eastAsia="Arial" w:hAnsi="Arial"/>
                <w:sz w:val="18"/>
                <w:szCs w:val="18"/>
                <w:color w:val="BDBDBD"/>
                <w:w w:val="90"/>
              </w:rPr>
              <w:t>. . . . . . . . . . . . . . . . . . . . . . . . . . . . . . . . . . . . . . . . . .</w:t>
            </w:r>
          </w:p>
        </w:tc>
        <w:tc>
          <w:tcPr>
            <w:tcW w:w="340" w:type="dxa"/>
            <w:vAlign w:val="bottom"/>
            <w:shd w:val="clear" w:color="auto" w:fill="E6E6E6"/>
          </w:tcPr>
          <w:p>
            <w:pPr>
              <w:spacing w:after="0"/>
              <w:rPr>
                <w:sz w:val="22"/>
                <w:szCs w:val="22"/>
                <w:color w:val="auto"/>
              </w:rPr>
            </w:pPr>
          </w:p>
        </w:tc>
        <w:tc>
          <w:tcPr>
            <w:tcW w:w="6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2,251</w:t>
            </w:r>
          </w:p>
        </w:tc>
        <w:tc>
          <w:tcPr>
            <w:tcW w:w="80" w:type="dxa"/>
            <w:vAlign w:val="bottom"/>
            <w:shd w:val="clear" w:color="auto" w:fill="E6E6E6"/>
          </w:tcPr>
          <w:p>
            <w:pPr>
              <w:spacing w:after="0"/>
              <w:rPr>
                <w:sz w:val="22"/>
                <w:szCs w:val="22"/>
                <w:color w:val="auto"/>
              </w:rPr>
            </w:pPr>
          </w:p>
        </w:tc>
        <w:tc>
          <w:tcPr>
            <w:tcW w:w="340" w:type="dxa"/>
            <w:vAlign w:val="bottom"/>
            <w:shd w:val="clear" w:color="auto" w:fill="E6E6E6"/>
          </w:tcPr>
          <w:p>
            <w:pPr>
              <w:spacing w:after="0"/>
              <w:rPr>
                <w:sz w:val="22"/>
                <w:szCs w:val="22"/>
                <w:color w:val="auto"/>
              </w:rPr>
            </w:pPr>
          </w:p>
        </w:tc>
        <w:tc>
          <w:tcPr>
            <w:tcW w:w="6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9,515</w:t>
            </w:r>
          </w:p>
        </w:tc>
        <w:tc>
          <w:tcPr>
            <w:tcW w:w="8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546</w:t>
            </w:r>
          </w:p>
        </w:tc>
        <w:tc>
          <w:tcPr>
            <w:tcW w:w="60" w:type="dxa"/>
            <w:vAlign w:val="bottom"/>
            <w:shd w:val="clear" w:color="auto" w:fill="E6E6E6"/>
          </w:tcPr>
          <w:p>
            <w:pPr>
              <w:spacing w:after="0"/>
              <w:rPr>
                <w:sz w:val="22"/>
                <w:szCs w:val="22"/>
                <w:color w:val="auto"/>
              </w:rPr>
            </w:pPr>
          </w:p>
        </w:tc>
        <w:tc>
          <w:tcPr>
            <w:tcW w:w="240" w:type="dxa"/>
            <w:vAlign w:val="bottom"/>
            <w:shd w:val="clear" w:color="auto" w:fill="E6E6E6"/>
          </w:tcPr>
          <w:p>
            <w:pPr>
              <w:spacing w:after="0"/>
              <w:rPr>
                <w:sz w:val="22"/>
                <w:szCs w:val="22"/>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12,312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3007995</wp:posOffset>
            </wp:positionH>
            <wp:positionV relativeFrom="paragraph">
              <wp:posOffset>-514350</wp:posOffset>
            </wp:positionV>
            <wp:extent cx="345630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extLst>
                    </a:blip>
                    <a:srcRect/>
                    <a:stretch>
                      <a:fillRect/>
                    </a:stretch>
                  </pic:blipFill>
                  <pic:spPr bwMode="auto">
                    <a:xfrm>
                      <a:off x="0" y="0"/>
                      <a:ext cx="3456305" cy="254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-2540</wp:posOffset>
                </wp:positionH>
                <wp:positionV relativeFrom="paragraph">
                  <wp:posOffset>100965</wp:posOffset>
                </wp:positionV>
                <wp:extent cx="125984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598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7.95pt" to="99pt,7.95pt" o:allowincell="f" strokecolor="#000000" strokeweight="1pt"/>
            </w:pict>
          </mc:Fallback>
        </mc:AlternateContent>
      </w:r>
    </w:p>
    <w:p>
      <w:pPr>
        <w:spacing w:after="0" w:line="175" w:lineRule="exact"/>
        <w:rPr>
          <w:sz w:val="20"/>
          <w:szCs w:val="20"/>
          <w:color w:val="auto"/>
        </w:rPr>
      </w:pPr>
    </w:p>
    <w:p>
      <w:pPr>
        <w:ind w:left="300" w:hanging="215"/>
        <w:spacing w:after="0"/>
        <w:tabs>
          <w:tab w:leader="none" w:pos="300"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Corporate net income includes the $1.29 billion gain on the sale of the Thermal Business to KKR, which was completed on May 1, 2022.</w:t>
      </w:r>
    </w:p>
    <w:p>
      <w:pPr>
        <w:sectPr>
          <w:pgSz w:w="11880" w:h="15480" w:orient="portrait"/>
          <w:cols w:equalWidth="0" w:num="1">
            <w:col w:w="10200"/>
          </w:cols>
          <w:pgMar w:left="840" w:top="406"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880" w:h="15480" w:orient="portrait"/>
          <w:cols w:equalWidth="0" w:num="1">
            <w:col w:w="10200"/>
          </w:cols>
          <w:pgMar w:left="840" w:top="406" w:right="840" w:bottom="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17"/>
        </w:trPr>
        <w:tc>
          <w:tcPr>
            <w:tcW w:w="47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9"/>
          </w:tcPr>
          <w:p>
            <w:pPr>
              <w:jc w:val="right"/>
              <w:ind w:right="750"/>
              <w:spacing w:after="0"/>
              <w:rPr>
                <w:sz w:val="20"/>
                <w:szCs w:val="20"/>
                <w:color w:val="auto"/>
              </w:rPr>
            </w:pPr>
            <w:r>
              <w:rPr>
                <w:rFonts w:ascii="Arial" w:cs="Arial" w:eastAsia="Arial" w:hAnsi="Arial"/>
                <w:sz w:val="16"/>
                <w:szCs w:val="16"/>
                <w:b w:val="1"/>
                <w:bCs w:val="1"/>
                <w:color w:val="auto"/>
                <w:w w:val="97"/>
              </w:rPr>
              <w:t>Year ended December 31, 2021</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760" w:type="dxa"/>
            <w:vAlign w:val="bottom"/>
            <w:vMerge w:val="restart"/>
          </w:tcPr>
          <w:p>
            <w:pPr>
              <w:jc w:val="right"/>
              <w:ind w:right="3794"/>
              <w:spacing w:after="0"/>
              <w:rPr>
                <w:sz w:val="20"/>
                <w:szCs w:val="20"/>
                <w:color w:val="auto"/>
              </w:rPr>
            </w:pPr>
            <w:r>
              <w:rPr>
                <w:rFonts w:ascii="Arial" w:cs="Arial" w:eastAsia="Arial" w:hAnsi="Arial"/>
                <w:sz w:val="16"/>
                <w:szCs w:val="16"/>
                <w:b w:val="1"/>
                <w:bCs w:val="1"/>
                <w:color w:val="auto"/>
                <w:w w:val="95"/>
              </w:rPr>
              <w:t>(In millions)</w:t>
            </w:r>
          </w:p>
        </w:tc>
        <w:tc>
          <w:tcPr>
            <w:tcW w:w="1020" w:type="dxa"/>
            <w:vAlign w:val="bottom"/>
            <w:gridSpan w:val="2"/>
          </w:tcPr>
          <w:p>
            <w:pPr>
              <w:ind w:left="60"/>
              <w:spacing w:after="0"/>
              <w:rPr>
                <w:sz w:val="20"/>
                <w:szCs w:val="20"/>
                <w:color w:val="auto"/>
              </w:rPr>
            </w:pPr>
            <w:r>
              <w:rPr>
                <w:rFonts w:ascii="Arial" w:cs="Arial" w:eastAsia="Arial" w:hAnsi="Arial"/>
                <w:sz w:val="16"/>
                <w:szCs w:val="16"/>
                <w:b w:val="1"/>
                <w:bCs w:val="1"/>
                <w:color w:val="auto"/>
                <w:w w:val="92"/>
              </w:rPr>
              <w:t>Conventional</w:t>
            </w:r>
          </w:p>
        </w:tc>
        <w:tc>
          <w:tcPr>
            <w:tcW w:w="80" w:type="dxa"/>
            <w:vAlign w:val="bottom"/>
          </w:tcPr>
          <w:p>
            <w:pPr>
              <w:spacing w:after="0"/>
              <w:rPr>
                <w:sz w:val="16"/>
                <w:szCs w:val="16"/>
                <w:color w:val="auto"/>
              </w:rPr>
            </w:pPr>
          </w:p>
        </w:tc>
        <w:tc>
          <w:tcPr>
            <w:tcW w:w="1020" w:type="dxa"/>
            <w:vAlign w:val="bottom"/>
            <w:gridSpan w:val="2"/>
            <w:vMerge w:val="restart"/>
          </w:tcPr>
          <w:p>
            <w:pPr>
              <w:jc w:val="right"/>
              <w:ind w:right="14"/>
              <w:spacing w:after="0"/>
              <w:rPr>
                <w:sz w:val="20"/>
                <w:szCs w:val="20"/>
                <w:color w:val="auto"/>
              </w:rPr>
            </w:pPr>
            <w:r>
              <w:rPr>
                <w:rFonts w:ascii="Arial" w:cs="Arial" w:eastAsia="Arial" w:hAnsi="Arial"/>
                <w:sz w:val="16"/>
                <w:szCs w:val="16"/>
                <w:b w:val="1"/>
                <w:bCs w:val="1"/>
                <w:color w:val="auto"/>
                <w:w w:val="97"/>
              </w:rPr>
              <w:t>Renewables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ind w:right="114"/>
              <w:spacing w:after="0"/>
              <w:rPr>
                <w:sz w:val="20"/>
                <w:szCs w:val="20"/>
                <w:color w:val="auto"/>
              </w:rPr>
            </w:pPr>
            <w:r>
              <w:rPr>
                <w:rFonts w:ascii="Arial" w:cs="Arial" w:eastAsia="Arial" w:hAnsi="Arial"/>
                <w:sz w:val="16"/>
                <w:szCs w:val="16"/>
                <w:b w:val="1"/>
                <w:bCs w:val="1"/>
                <w:color w:val="auto"/>
                <w:w w:val="99"/>
              </w:rPr>
              <w:t>Thermal</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3"/>
            <w:vMerge w:val="restart"/>
          </w:tcPr>
          <w:p>
            <w:pPr>
              <w:jc w:val="right"/>
              <w:ind w:right="370"/>
              <w:spacing w:after="0"/>
              <w:rPr>
                <w:sz w:val="20"/>
                <w:szCs w:val="20"/>
                <w:color w:val="auto"/>
              </w:rPr>
            </w:pPr>
            <w:r>
              <w:rPr>
                <w:rFonts w:ascii="Arial" w:cs="Arial" w:eastAsia="Arial" w:hAnsi="Arial"/>
                <w:sz w:val="16"/>
                <w:szCs w:val="16"/>
                <w:b w:val="1"/>
                <w:bCs w:val="1"/>
                <w:color w:val="auto"/>
                <w:w w:val="91"/>
              </w:rPr>
              <w:t>Corporate</w:t>
            </w:r>
          </w:p>
        </w:tc>
        <w:tc>
          <w:tcPr>
            <w:tcW w:w="800" w:type="dxa"/>
            <w:vAlign w:val="bottom"/>
            <w:vMerge w:val="restart"/>
          </w:tcPr>
          <w:p>
            <w:pPr>
              <w:jc w:val="right"/>
              <w:ind w:right="254"/>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760" w:type="dxa"/>
            <w:vAlign w:val="bottom"/>
            <w:vMerge w:val="continue"/>
          </w:tcPr>
          <w:p>
            <w:pPr>
              <w:spacing w:after="0"/>
              <w:rPr>
                <w:sz w:val="18"/>
                <w:szCs w:val="18"/>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6"/>
                <w:szCs w:val="16"/>
                <w:b w:val="1"/>
                <w:bCs w:val="1"/>
                <w:color w:val="auto"/>
              </w:rPr>
              <w:t>Generation</w:t>
            </w:r>
          </w:p>
        </w:tc>
        <w:tc>
          <w:tcPr>
            <w:tcW w:w="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760" w:type="dxa"/>
            <w:vAlign w:val="bottom"/>
            <w:tcBorders>
              <w:top w:val="single" w:sz="8" w:color="E6E6E6"/>
            </w:tcBorders>
            <w:shd w:val="clear" w:color="auto" w:fill="E6E6E6"/>
          </w:tcPr>
          <w:p>
            <w:pPr>
              <w:jc w:val="right"/>
              <w:spacing w:after="0"/>
              <w:rPr>
                <w:sz w:val="20"/>
                <w:szCs w:val="20"/>
                <w:color w:val="auto"/>
              </w:rPr>
            </w:pPr>
            <w:r>
              <w:rPr>
                <w:rFonts w:ascii="Arial" w:cs="Arial" w:eastAsia="Arial" w:hAnsi="Arial"/>
                <w:sz w:val="18"/>
                <w:szCs w:val="18"/>
                <w:color w:val="BDBDBD"/>
                <w:w w:val="92"/>
              </w:rPr>
              <w:t>. . . . . . . . . . . . . . . . . . . . . . . . . . . . . . . . . . . .</w:t>
            </w:r>
            <w:r>
              <w:rPr>
                <w:rFonts w:ascii="Arial" w:cs="Arial" w:eastAsia="Arial" w:hAnsi="Arial"/>
                <w:sz w:val="18"/>
                <w:szCs w:val="18"/>
                <w:color w:val="000000"/>
                <w:w w:val="92"/>
              </w:rPr>
              <w:t>Operatingrevenues</w:t>
            </w:r>
          </w:p>
        </w:tc>
        <w:tc>
          <w:tcPr>
            <w:tcW w:w="420" w:type="dxa"/>
            <w:vAlign w:val="bottom"/>
            <w:tcBorders>
              <w:top w:val="single" w:sz="8" w:color="auto"/>
            </w:tcBorders>
            <w:shd w:val="clear" w:color="auto" w:fill="E6E6E6"/>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441</w:t>
            </w:r>
          </w:p>
        </w:tc>
        <w:tc>
          <w:tcPr>
            <w:tcW w:w="80" w:type="dxa"/>
            <w:vAlign w:val="bottom"/>
            <w:tcBorders>
              <w:top w:val="single" w:sz="8" w:color="E6E6E6"/>
            </w:tcBorders>
            <w:shd w:val="clear" w:color="auto" w:fill="E6E6E6"/>
          </w:tcPr>
          <w:p>
            <w:pPr>
              <w:spacing w:after="0"/>
              <w:rPr>
                <w:sz w:val="21"/>
                <w:szCs w:val="21"/>
                <w:color w:val="auto"/>
              </w:rPr>
            </w:pPr>
          </w:p>
        </w:tc>
        <w:tc>
          <w:tcPr>
            <w:tcW w:w="340" w:type="dxa"/>
            <w:vAlign w:val="bottom"/>
            <w:tcBorders>
              <w:top w:val="single" w:sz="8" w:color="auto"/>
            </w:tcBorders>
            <w:shd w:val="clear" w:color="auto" w:fill="E6E6E6"/>
          </w:tcPr>
          <w:p>
            <w:pPr>
              <w:jc w:val="right"/>
              <w:ind w:right="115"/>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641</w:t>
            </w:r>
          </w:p>
        </w:tc>
        <w:tc>
          <w:tcPr>
            <w:tcW w:w="80" w:type="dxa"/>
            <w:vAlign w:val="bottom"/>
            <w:tcBorders>
              <w:top w:val="single" w:sz="8" w:color="E6E6E6"/>
            </w:tcBorders>
            <w:shd w:val="clear" w:color="auto" w:fill="E6E6E6"/>
          </w:tcPr>
          <w:p>
            <w:pPr>
              <w:spacing w:after="0"/>
              <w:rPr>
                <w:sz w:val="21"/>
                <w:szCs w:val="21"/>
                <w:color w:val="auto"/>
              </w:rPr>
            </w:pPr>
          </w:p>
        </w:tc>
        <w:tc>
          <w:tcPr>
            <w:tcW w:w="16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204</w:t>
            </w:r>
          </w:p>
        </w:tc>
        <w:tc>
          <w:tcPr>
            <w:tcW w:w="80" w:type="dxa"/>
            <w:vAlign w:val="bottom"/>
            <w:tcBorders>
              <w:top w:val="single" w:sz="8" w:color="E6E6E6"/>
            </w:tcBorders>
            <w:shd w:val="clear" w:color="auto" w:fill="E6E6E6"/>
          </w:tcPr>
          <w:p>
            <w:pPr>
              <w:spacing w:after="0"/>
              <w:rPr>
                <w:sz w:val="21"/>
                <w:szCs w:val="21"/>
                <w:color w:val="auto"/>
              </w:rPr>
            </w:pPr>
          </w:p>
        </w:tc>
        <w:tc>
          <w:tcPr>
            <w:tcW w:w="14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E6E6E6"/>
            </w:tcBorders>
            <w:shd w:val="clear" w:color="auto" w:fill="E6E6E6"/>
          </w:tcPr>
          <w:p>
            <w:pPr>
              <w:spacing w:after="0"/>
              <w:rPr>
                <w:sz w:val="21"/>
                <w:szCs w:val="21"/>
                <w:color w:val="auto"/>
              </w:rPr>
            </w:pPr>
          </w:p>
        </w:tc>
        <w:tc>
          <w:tcPr>
            <w:tcW w:w="24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69"/>
        </w:trPr>
        <w:tc>
          <w:tcPr>
            <w:tcW w:w="4760" w:type="dxa"/>
            <w:vAlign w:val="bottom"/>
          </w:tcPr>
          <w:p>
            <w:pPr>
              <w:jc w:val="right"/>
              <w:spacing w:after="0"/>
              <w:rPr>
                <w:sz w:val="20"/>
                <w:szCs w:val="20"/>
                <w:color w:val="auto"/>
              </w:rPr>
            </w:pPr>
            <w:r>
              <w:rPr>
                <w:rFonts w:ascii="Arial" w:cs="Arial" w:eastAsia="Arial" w:hAnsi="Arial"/>
                <w:sz w:val="18"/>
                <w:szCs w:val="18"/>
                <w:color w:val="auto"/>
                <w:w w:val="91"/>
              </w:rPr>
              <w:t xml:space="preserve">Net income (loss) </w:t>
            </w:r>
            <w:r>
              <w:rPr>
                <w:rFonts w:ascii="Arial" w:cs="Arial" w:eastAsia="Arial" w:hAnsi="Arial"/>
                <w:sz w:val="18"/>
                <w:szCs w:val="18"/>
                <w:color w:val="BDBDBD"/>
                <w:w w:val="91"/>
              </w:rPr>
              <w:t>. . . . . . . . . . . . . . . . . . . . . . . . . . . . . . . . . . . . .</w:t>
            </w:r>
          </w:p>
        </w:tc>
        <w:tc>
          <w:tcPr>
            <w:tcW w:w="4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172</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(204)</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3007995</wp:posOffset>
            </wp:positionH>
            <wp:positionV relativeFrom="paragraph">
              <wp:posOffset>-344170</wp:posOffset>
            </wp:positionV>
            <wp:extent cx="345630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extLst>
                        <a:ext uri="{28A0092B-C50C-407E-A947-70E740481C1C}"/>
                      </a:extLst>
                    </a:blip>
                    <a:srcRect/>
                    <a:stretch>
                      <a:fillRect/>
                    </a:stretch>
                  </pic:blipFill>
                  <pic:spPr bwMode="auto">
                    <a:xfrm>
                      <a:off x="0" y="0"/>
                      <a:ext cx="3456305" cy="2540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Policy Incentives</w:t>
      </w:r>
    </w:p>
    <w:p>
      <w:pPr>
        <w:spacing w:after="0" w:line="195" w:lineRule="exact"/>
        <w:rPr>
          <w:sz w:val="20"/>
          <w:szCs w:val="20"/>
          <w:color w:val="auto"/>
        </w:rPr>
      </w:pPr>
    </w:p>
    <w:p>
      <w:pPr>
        <w:jc w:val="both"/>
        <w:ind w:firstLine="448"/>
        <w:spacing w:after="0" w:line="277" w:lineRule="auto"/>
        <w:rPr>
          <w:sz w:val="20"/>
          <w:szCs w:val="20"/>
          <w:color w:val="auto"/>
        </w:rPr>
      </w:pPr>
      <w:r>
        <w:rPr>
          <w:rFonts w:ascii="Arial" w:cs="Arial" w:eastAsia="Arial" w:hAnsi="Arial"/>
          <w:sz w:val="19"/>
          <w:szCs w:val="19"/>
          <w:color w:val="auto"/>
        </w:rPr>
        <w:t>U.S. federal, state and local governments have established various policy incentives to support the development, financing, ownership and operation of renewable energy projects. These incentives include PTCs, ITCs, accelerated tax depreciation, cash grants, tax abatements and RPS programs which have the effect of decreasing the costs and risks associated with developing and operating such projects or creating demand for renewable energy assets. In particular,</w:t>
      </w:r>
    </w:p>
    <w:p>
      <w:pPr>
        <w:spacing w:after="0" w:line="66" w:lineRule="exact"/>
        <w:rPr>
          <w:sz w:val="20"/>
          <w:szCs w:val="20"/>
          <w:color w:val="auto"/>
        </w:rPr>
      </w:pPr>
    </w:p>
    <w:p>
      <w:pPr>
        <w:jc w:val="both"/>
        <w:ind w:left="720" w:hanging="366"/>
        <w:spacing w:after="0" w:line="281"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Owners of wind facilities are eligible to claim the PTC, or an ITC in lieu of the PTC, provided that certain requirements are met. Similarly, owners of solar facilities are eligible to claim the ITC or, for facilities placed in service after August 16, 2022, the PTC, or an ITC in lieu of the PTC, provided certain requirements are met. Additionally, owners of energy storage facilities are eligible to claim the ITC for facilities placed in service after December 31, 2022, provided certain requirements are met. The PTC is an annual credit that is based on the amount of electricity sold by the facility during the first ten years after the facility is first placed in service. The ITC is a one-time credit that is based on a percentage of the cost of the facility and is claimed for the tax year in which the facility is first placed in service. Depending on the type of taxpayer, the PTC or ITC may be sold to an unrelated third party for cash, or in certain cases, direct payment from the government may be received. In order to qualify for the full amount of these credits in the case of facilities whose construction began on or after January 30, 2023, certain prevailing wage and apprenticeship requirements generally must be satisfied. For facilities that begin construction after December 31, 2024, the PTC and ITC will no longer apply and such facilities may instead be eligible for the clean electricity production credit or clean electricity investment credit, respectively. In order to qualify for these new credits, the facility’s greenhouse gas emissions cannot be greater than zero.</w:t>
      </w:r>
    </w:p>
    <w:p>
      <w:pPr>
        <w:spacing w:after="0" w:line="10" w:lineRule="exact"/>
        <w:rPr>
          <w:rFonts w:ascii="Arial" w:cs="Arial" w:eastAsia="Arial" w:hAnsi="Arial"/>
          <w:sz w:val="18"/>
          <w:szCs w:val="18"/>
          <w:color w:val="auto"/>
        </w:rPr>
      </w:pPr>
    </w:p>
    <w:p>
      <w:pPr>
        <w:jc w:val="both"/>
        <w:ind w:left="720" w:hanging="366"/>
        <w:spacing w:after="0" w:line="288"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Pursuant to the U.S. federal Modified Accelerated Cost Recovery System, or MACRS, wind and solar projects are generally depreciable for tax purposes over a five-year period (before taking into account certain conventions) even though the useful life of such projects is generally much longer than five years. Federal income tax law also provides for immediate and 100% expensing and deductibility for eligible property acquired and placed in service after September 27, 2017, and before January 1, 2023, with phase downs permitting 80%, 60%, 40% and 20% expensing and deductibility for property acquired and placed in service during 2023, 2024, 2025 and 2026, respectively.</w:t>
      </w:r>
    </w:p>
    <w:p>
      <w:pPr>
        <w:spacing w:after="0" w:line="2" w:lineRule="exact"/>
        <w:rPr>
          <w:rFonts w:ascii="Arial" w:cs="Arial" w:eastAsia="Arial" w:hAnsi="Arial"/>
          <w:sz w:val="18"/>
          <w:szCs w:val="18"/>
          <w:color w:val="auto"/>
        </w:rPr>
      </w:pPr>
    </w:p>
    <w:p>
      <w:pPr>
        <w:jc w:val="both"/>
        <w:ind w:left="720" w:hanging="366"/>
        <w:spacing w:after="0" w:line="277" w:lineRule="auto"/>
        <w:tabs>
          <w:tab w:leader="none" w:pos="720" w:val="left"/>
        </w:tabs>
        <w:numPr>
          <w:ilvl w:val="0"/>
          <w:numId w:val="5"/>
        </w:numPr>
        <w:rPr>
          <w:rFonts w:ascii="Arial" w:cs="Arial" w:eastAsia="Arial" w:hAnsi="Arial"/>
          <w:sz w:val="19"/>
          <w:szCs w:val="19"/>
          <w:color w:val="auto"/>
        </w:rPr>
      </w:pPr>
      <w:r>
        <w:rPr>
          <w:rFonts w:ascii="Arial" w:cs="Arial" w:eastAsia="Arial" w:hAnsi="Arial"/>
          <w:sz w:val="19"/>
          <w:szCs w:val="19"/>
          <w:color w:val="auto"/>
        </w:rPr>
        <w:t>RPS programs, currently in place in certain states and territories, require electricity providers in the state or territory to meet a certain percentage of their retail sales with energy from renewable sources. Additionally, other states in the U.S. have set renewable energy goals to reduce GHG emissions from historic levels. The Company believes that these standards and goals will create incremental demand for renewable energy in the future.</w:t>
      </w:r>
    </w:p>
    <w:p>
      <w:pPr>
        <w:spacing w:after="0" w:line="126" w:lineRule="exact"/>
        <w:rPr>
          <w:sz w:val="20"/>
          <w:szCs w:val="20"/>
          <w:color w:val="auto"/>
        </w:rPr>
      </w:pPr>
    </w:p>
    <w:p>
      <w:pPr>
        <w:jc w:val="both"/>
        <w:ind w:firstLine="448"/>
        <w:spacing w:after="0" w:line="297" w:lineRule="auto"/>
        <w:rPr>
          <w:sz w:val="20"/>
          <w:szCs w:val="20"/>
          <w:color w:val="auto"/>
        </w:rPr>
      </w:pPr>
      <w:r>
        <w:rPr>
          <w:rFonts w:ascii="Arial" w:cs="Arial" w:eastAsia="Arial" w:hAnsi="Arial"/>
          <w:sz w:val="18"/>
          <w:szCs w:val="18"/>
          <w:color w:val="auto"/>
        </w:rPr>
        <w:t>The elimination of, loss of, or reduction in, the incentives discussed above could decrease the attractiveness of renewable energy projects to developers, including, but not limited to, CEG, which could reduce the Company’s acquisition or development opportunities. Such an elimination, loss or reduction could also reduce the Company’s willingness to pursue or develop certain renewable energy projects due to higher operating costs or decreased revenues under its PPAs.</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Regulatory Matters</w:t>
      </w:r>
    </w:p>
    <w:p>
      <w:pPr>
        <w:spacing w:after="0" w:line="195" w:lineRule="exact"/>
        <w:rPr>
          <w:sz w:val="20"/>
          <w:szCs w:val="20"/>
          <w:color w:val="auto"/>
        </w:rPr>
      </w:pPr>
    </w:p>
    <w:p>
      <w:pPr>
        <w:jc w:val="both"/>
        <w:ind w:firstLine="448"/>
        <w:spacing w:after="0" w:line="266" w:lineRule="auto"/>
        <w:rPr>
          <w:sz w:val="20"/>
          <w:szCs w:val="20"/>
          <w:color w:val="auto"/>
        </w:rPr>
      </w:pPr>
      <w:r>
        <w:rPr>
          <w:rFonts w:ascii="Arial" w:cs="Arial" w:eastAsia="Arial" w:hAnsi="Arial"/>
          <w:sz w:val="19"/>
          <w:szCs w:val="19"/>
          <w:color w:val="auto"/>
        </w:rPr>
        <w:t>As owners of power plants and participants in wholesale energy markets, certain of the Company’s subsidiaries are subject to regulation by various federal and state government agencies. These agencies include FERC and the PUCT, as well as other public utility commissions in certain states where the Company’s assets are located. Each of the Company’s U.S. generating facilities qualifies as an EWG or QF. In addition, the Company is subject to the market rules, procedures and protocols of the various ISO and RTO markets in which it participates. Likewise, certain of the Company’s subsidiaries must also comply with the mandatory reliability requirements imposed by NERC and the regional reliability entities in the regions where the Company has generating facilities subject to NERC’s reliability authority. The Company’s operations within the ERCOT footprint are not subject to rate regulation by FERC, as they are deemed to operate solely within the ERCOT market and not in interstate commerce. These operations are subject to regulation by PUCT. Similarly, the Company’s operations within Hawaii are not subject to rate regulation by FERC, as they are deemed to operate solely within the State of Hawaii and not in interstate commerce.</w:t>
      </w:r>
    </w:p>
    <w:p>
      <w:pPr>
        <w:sectPr>
          <w:pgSz w:w="11880" w:h="15480" w:orient="portrait"/>
          <w:cols w:equalWidth="0" w:num="1">
            <w:col w:w="10200"/>
          </w:cols>
          <w:pgMar w:left="840" w:top="50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880" w:h="15480" w:orient="portrait"/>
          <w:cols w:equalWidth="0" w:num="1">
            <w:col w:w="10200"/>
          </w:cols>
          <w:pgMar w:left="840" w:top="500" w:right="840" w:bottom="0" w:gutter="0" w:footer="0" w:header="0"/>
          <w:type w:val="continuous"/>
        </w:sectPr>
      </w:pPr>
    </w:p>
    <w:bookmarkStart w:id="12" w:name="page13"/>
    <w:bookmarkEnd w:id="12"/>
    <w:p>
      <w:pPr>
        <w:ind w:left="440"/>
        <w:spacing w:after="0"/>
        <w:rPr>
          <w:sz w:val="20"/>
          <w:szCs w:val="20"/>
          <w:color w:val="auto"/>
        </w:rPr>
      </w:pPr>
      <w:r>
        <w:rPr>
          <w:rFonts w:ascii="Arial" w:cs="Arial" w:eastAsia="Arial" w:hAnsi="Arial"/>
          <w:sz w:val="20"/>
          <w:szCs w:val="20"/>
          <w:b w:val="1"/>
          <w:bCs w:val="1"/>
          <w:i w:val="1"/>
          <w:iCs w:val="1"/>
          <w:color w:val="auto"/>
        </w:rPr>
        <w:t>FERC</w:t>
      </w:r>
    </w:p>
    <w:p>
      <w:pPr>
        <w:spacing w:after="0" w:line="196" w:lineRule="exact"/>
        <w:rPr>
          <w:sz w:val="20"/>
          <w:szCs w:val="20"/>
          <w:color w:val="auto"/>
        </w:rPr>
      </w:pPr>
    </w:p>
    <w:p>
      <w:pPr>
        <w:jc w:val="both"/>
        <w:ind w:firstLine="448"/>
        <w:spacing w:after="0" w:line="255" w:lineRule="auto"/>
        <w:rPr>
          <w:sz w:val="20"/>
          <w:szCs w:val="20"/>
          <w:color w:val="auto"/>
        </w:rPr>
      </w:pPr>
      <w:r>
        <w:rPr>
          <w:rFonts w:ascii="Arial" w:cs="Arial" w:eastAsia="Arial" w:hAnsi="Arial"/>
          <w:sz w:val="20"/>
          <w:szCs w:val="20"/>
          <w:color w:val="auto"/>
        </w:rPr>
        <w:t>FERC, among other things, regulates the transmission and the wholesale sale of electricity in interstate commerce under the authority of the FPA. The transmission and sale of electric energy occurring wholly within ERCOT and Hawaii is not subject to FERC’s jurisdiction. Under existing regulations, FERC has the authority to determine whether an entity owning a generation facility is an EWG, as defined in the PUHCA. FERC also has the authority to determine whether a generation facility meets the applicable criteria of a QF under the PURPA. Each of the Company’s U.S. generating facilities qualifies as either an EWG or QF.</w:t>
      </w:r>
    </w:p>
    <w:p>
      <w:pPr>
        <w:spacing w:after="0" w:line="146" w:lineRule="exact"/>
        <w:rPr>
          <w:sz w:val="20"/>
          <w:szCs w:val="20"/>
          <w:color w:val="auto"/>
        </w:rPr>
      </w:pPr>
    </w:p>
    <w:p>
      <w:pPr>
        <w:jc w:val="both"/>
        <w:ind w:firstLine="448"/>
        <w:spacing w:after="0" w:line="259" w:lineRule="auto"/>
        <w:rPr>
          <w:sz w:val="20"/>
          <w:szCs w:val="20"/>
          <w:color w:val="auto"/>
        </w:rPr>
      </w:pPr>
      <w:r>
        <w:rPr>
          <w:rFonts w:ascii="Arial" w:cs="Arial" w:eastAsia="Arial" w:hAnsi="Arial"/>
          <w:sz w:val="20"/>
          <w:szCs w:val="20"/>
          <w:color w:val="auto"/>
        </w:rPr>
        <w:t>The FPA gives FERC exclusive rate-making jurisdiction over the wholesale sale of electricity and transmission of electricity in interstate commerce of public utilities (as defined by the FPA). Under the FPA, FERC, with certain exceptions, regulates owners and operators of facilities used for the wholesale sale of electricity or transmission in interstate commerce as public utilities, and is charged with ensuring that market rules are just and reasonable.</w:t>
      </w:r>
    </w:p>
    <w:p>
      <w:pPr>
        <w:spacing w:after="0" w:line="142" w:lineRule="exact"/>
        <w:rPr>
          <w:sz w:val="20"/>
          <w:szCs w:val="20"/>
          <w:color w:val="auto"/>
        </w:rPr>
      </w:pPr>
    </w:p>
    <w:p>
      <w:pPr>
        <w:jc w:val="both"/>
        <w:ind w:firstLine="448"/>
        <w:spacing w:after="0" w:line="292" w:lineRule="auto"/>
        <w:rPr>
          <w:sz w:val="20"/>
          <w:szCs w:val="20"/>
          <w:color w:val="auto"/>
        </w:rPr>
      </w:pPr>
      <w:r>
        <w:rPr>
          <w:rFonts w:ascii="Arial" w:cs="Arial" w:eastAsia="Arial" w:hAnsi="Arial"/>
          <w:sz w:val="18"/>
          <w:szCs w:val="18"/>
          <w:color w:val="auto"/>
        </w:rPr>
        <w:t>Public utilities are required to obtain FERC’s acceptance, pursuant to Section 205 of the FPA, of their rate schedules for the wholesale sale of electricity. Several of the Company’s QF generating facilities and all of the Company’s non-QF generating facilities located in the U.S. outside of ERCOT and Hawaii make sales of electricity pursuant to market-based rates, as opposed to traditional cost-of-service regulated rates. FERC conducts a review of the market-based rates of Company public utilities and potential market power every three years according to a regional schedule established by FERC.</w:t>
      </w:r>
    </w:p>
    <w:p>
      <w:pPr>
        <w:spacing w:after="0" w:line="114" w:lineRule="exact"/>
        <w:rPr>
          <w:sz w:val="20"/>
          <w:szCs w:val="20"/>
          <w:color w:val="auto"/>
        </w:rPr>
      </w:pPr>
    </w:p>
    <w:p>
      <w:pPr>
        <w:jc w:val="both"/>
        <w:ind w:firstLine="448"/>
        <w:spacing w:after="0" w:line="277" w:lineRule="auto"/>
        <w:rPr>
          <w:sz w:val="20"/>
          <w:szCs w:val="20"/>
          <w:color w:val="auto"/>
        </w:rPr>
      </w:pPr>
      <w:r>
        <w:rPr>
          <w:rFonts w:ascii="Arial" w:cs="Arial" w:eastAsia="Arial" w:hAnsi="Arial"/>
          <w:sz w:val="19"/>
          <w:szCs w:val="19"/>
          <w:color w:val="auto"/>
        </w:rPr>
        <w:t>In accordance with the Energy Policy Act of 2005, FERC has approved the NERC as the national Energy Reliability Organization, or ERO. As the ERO, NERC is responsible for the development and enforcement of mandatory reliability standards for the wholesale electric power system, with such authority delegated in part to regional reliability entities charged with enforcement of mandatory reliability standards for the region which they are responsible for overseeing.</w:t>
      </w:r>
    </w:p>
    <w:p>
      <w:pPr>
        <w:spacing w:after="0" w:line="126"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20"/>
          <w:szCs w:val="20"/>
          <w:color w:val="auto"/>
        </w:rPr>
        <w:t>The PURPA was passed in 1978 in large part to promote increased energy efficiency and development of independent power producers. The PURPA created QFs to further both goals, and FERC is primarily charged with administering the PURPA as it applies to QFs. QFs are exempt from certain regulations under the FPA.</w:t>
      </w:r>
    </w:p>
    <w:p>
      <w:pPr>
        <w:spacing w:after="0" w:line="134"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20"/>
          <w:szCs w:val="20"/>
          <w:color w:val="auto"/>
        </w:rPr>
        <w:t>The PUHCA provides FERC with certain authority over and access to books and records of public utility holding companies not otherwise exempt by virtue of their ownership of EWGs and QFs. The Company is exempt from many of the accounting, record retention, and reporting requirements of the PUHCA.</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Environmental Matters</w:t>
      </w:r>
    </w:p>
    <w:p>
      <w:pPr>
        <w:spacing w:after="0" w:line="195" w:lineRule="exact"/>
        <w:rPr>
          <w:sz w:val="20"/>
          <w:szCs w:val="20"/>
          <w:color w:val="auto"/>
        </w:rPr>
      </w:pPr>
    </w:p>
    <w:p>
      <w:pPr>
        <w:jc w:val="both"/>
        <w:ind w:firstLine="448"/>
        <w:spacing w:after="0" w:line="254" w:lineRule="auto"/>
        <w:rPr>
          <w:sz w:val="20"/>
          <w:szCs w:val="20"/>
          <w:color w:val="auto"/>
        </w:rPr>
      </w:pPr>
      <w:r>
        <w:rPr>
          <w:rFonts w:ascii="Arial" w:cs="Arial" w:eastAsia="Arial" w:hAnsi="Arial"/>
          <w:sz w:val="20"/>
          <w:szCs w:val="20"/>
          <w:color w:val="auto"/>
        </w:rPr>
        <w:t>The Company is subject to a wide range of environmental laws during the development, construction, ownership and operation of facilities. These existing and future laws generally require that governmental permits and approvals be obtained before construction and maintained during operation of facilities. The Company is obligated to comply with all environmental laws and regulations applicable within each jurisdiction and required to implement environmental programs and procedures to monitor and control risks associated with the construction, operation and decommissioning of regulated or permitted energy assets. Federal and state environmental laws have historically become more stringent over time, although this trend could change in the future.</w:t>
      </w:r>
    </w:p>
    <w:p>
      <w:pPr>
        <w:spacing w:after="0" w:line="147" w:lineRule="exact"/>
        <w:rPr>
          <w:sz w:val="20"/>
          <w:szCs w:val="20"/>
          <w:color w:val="auto"/>
        </w:rPr>
      </w:pPr>
    </w:p>
    <w:p>
      <w:pPr>
        <w:jc w:val="both"/>
        <w:ind w:firstLine="448"/>
        <w:spacing w:after="0" w:line="257" w:lineRule="auto"/>
        <w:rPr>
          <w:sz w:val="20"/>
          <w:szCs w:val="20"/>
          <w:color w:val="auto"/>
        </w:rPr>
      </w:pPr>
      <w:r>
        <w:rPr>
          <w:rFonts w:ascii="Arial" w:cs="Arial" w:eastAsia="Arial" w:hAnsi="Arial"/>
          <w:sz w:val="20"/>
          <w:szCs w:val="20"/>
          <w:color w:val="auto"/>
        </w:rPr>
        <w:t>A number of regulations that may affect the Company are under review for potential revision or rescission in 2024. The Company will evaluate the impact of the legislation and regulations as they are revised but cannot fully predict the impact of each until anticipated revisions and legal challenges are resolved. To the extent that proposed legislation and new or revised regulations restrict or otherwise impact the Company’s operations, the proposed legislation and regulations could have a negative impact on the Company’s financial performance.</w:t>
      </w:r>
    </w:p>
    <w:p>
      <w:pPr>
        <w:spacing w:after="0" w:line="139" w:lineRule="exact"/>
        <w:rPr>
          <w:sz w:val="20"/>
          <w:szCs w:val="20"/>
          <w:color w:val="auto"/>
        </w:rPr>
      </w:pPr>
    </w:p>
    <w:p>
      <w:pPr>
        <w:jc w:val="both"/>
        <w:ind w:firstLine="448"/>
        <w:spacing w:after="0" w:line="269" w:lineRule="auto"/>
        <w:rPr>
          <w:sz w:val="20"/>
          <w:szCs w:val="20"/>
          <w:color w:val="auto"/>
        </w:rPr>
      </w:pPr>
      <w:r>
        <w:rPr>
          <w:rFonts w:ascii="Arial" w:cs="Arial" w:eastAsia="Arial" w:hAnsi="Arial"/>
          <w:sz w:val="19"/>
          <w:szCs w:val="19"/>
          <w:b w:val="1"/>
          <w:bCs w:val="1"/>
          <w:i w:val="1"/>
          <w:iCs w:val="1"/>
          <w:color w:val="auto"/>
        </w:rPr>
        <w:t xml:space="preserve">Proposed Federal MBTA Incidental Take Legislation and Regulations </w:t>
      </w:r>
      <w:r>
        <w:rPr>
          <w:rFonts w:ascii="Arial" w:cs="Arial" w:eastAsia="Arial" w:hAnsi="Arial"/>
          <w:sz w:val="19"/>
          <w:szCs w:val="19"/>
          <w:color w:val="auto"/>
        </w:rPr>
        <w:t>— On October 4, 2021, U.S. Fish and Wildlife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Service, or FWS, issued the final MBTA rule, effective December 3, 2021, restoring the MBTA to prohibit the incidental take of migratory birds. In 2021, FWS issued an advance notice of proposed rulemaking advising that it intends to gather information necessary to develop proposed regulations to authorize the incidental take of migratory birds under prescribed conditions and prepare a draft environmental review pursuant to the National Environmental Policy Act, or NEPA. Throughout 2022, FWS sought comments on the content of the proposed rule. In November 2023, FWS withdrew the draft MBTA permit program rule from the Office of Information and Regulatory Affairs to address technical comments received from agencies. FWS has indicated that the rule is likely to be published in the second half of 2024.</w:t>
      </w:r>
    </w:p>
    <w:p>
      <w:pPr>
        <w:sectPr>
          <w:pgSz w:w="11880" w:h="15480" w:orient="portrait"/>
          <w:cols w:equalWidth="0" w:num="1">
            <w:col w:w="10200"/>
          </w:cols>
          <w:pgMar w:left="840" w:top="403"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880" w:h="15480" w:orient="portrait"/>
          <w:cols w:equalWidth="0" w:num="1">
            <w:col w:w="10200"/>
          </w:cols>
          <w:pgMar w:left="840" w:top="403" w:right="840" w:bottom="0" w:gutter="0" w:footer="0" w:header="0"/>
          <w:type w:val="continuous"/>
        </w:sectPr>
      </w:pPr>
    </w:p>
    <w:bookmarkStart w:id="13" w:name="page14"/>
    <w:bookmarkEnd w:id="13"/>
    <w:p>
      <w:pPr>
        <w:jc w:val="both"/>
        <w:ind w:firstLine="448"/>
        <w:spacing w:after="0" w:line="257" w:lineRule="auto"/>
        <w:rPr>
          <w:sz w:val="20"/>
          <w:szCs w:val="20"/>
          <w:color w:val="auto"/>
        </w:rPr>
      </w:pPr>
      <w:r>
        <w:rPr>
          <w:rFonts w:ascii="Arial" w:cs="Arial" w:eastAsia="Arial" w:hAnsi="Arial"/>
          <w:sz w:val="20"/>
          <w:szCs w:val="20"/>
          <w:b w:val="1"/>
          <w:bCs w:val="1"/>
          <w:i w:val="1"/>
          <w:iCs w:val="1"/>
          <w:color w:val="auto"/>
        </w:rPr>
        <w:t xml:space="preserve">Federal Eagle Incidental Take Permit Rule </w:t>
      </w:r>
      <w:r>
        <w:rPr>
          <w:rFonts w:ascii="Arial" w:cs="Arial" w:eastAsia="Arial" w:hAnsi="Arial"/>
          <w:sz w:val="20"/>
          <w:szCs w:val="20"/>
          <w:color w:val="auto"/>
        </w:rPr>
        <w:t>— On September 30, 2022, FWS published in the Federal Register a draft rule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revising the eagle incidental take permit program. Comments on the revised rule continued to be accepted during 2023. The final eagle incidental take permit rule was published in the Federal Register on February 12, 2024 and will become effective on April 13, 2024. The final rule is anticipated to provide an expedited eagle take permitting and lower cost path for many wind facilities.</w:t>
      </w:r>
    </w:p>
    <w:p>
      <w:pPr>
        <w:spacing w:after="0" w:line="142" w:lineRule="exact"/>
        <w:rPr>
          <w:sz w:val="20"/>
          <w:szCs w:val="20"/>
          <w:color w:val="auto"/>
        </w:rPr>
      </w:pPr>
    </w:p>
    <w:p>
      <w:pPr>
        <w:jc w:val="both"/>
        <w:ind w:firstLine="448"/>
        <w:spacing w:after="0" w:line="268" w:lineRule="auto"/>
        <w:rPr>
          <w:sz w:val="20"/>
          <w:szCs w:val="20"/>
          <w:color w:val="auto"/>
        </w:rPr>
      </w:pPr>
      <w:r>
        <w:rPr>
          <w:rFonts w:ascii="Arial" w:cs="Arial" w:eastAsia="Arial" w:hAnsi="Arial"/>
          <w:sz w:val="19"/>
          <w:szCs w:val="19"/>
          <w:b w:val="1"/>
          <w:bCs w:val="1"/>
          <w:i w:val="1"/>
          <w:iCs w:val="1"/>
          <w:color w:val="auto"/>
        </w:rPr>
        <w:t xml:space="preserve">Local California Air District Rules </w:t>
      </w:r>
      <w:r>
        <w:rPr>
          <w:rFonts w:ascii="Arial" w:cs="Arial" w:eastAsia="Arial" w:hAnsi="Arial"/>
          <w:sz w:val="19"/>
          <w:szCs w:val="19"/>
          <w:color w:val="auto"/>
        </w:rPr>
        <w:t>— Air districts, including the Bay Area Air Quality Management District and the San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Diego Air Pollution Control District, have recently proposed and/or updated new source review permitting requirements, including to incorporate public notice requirements as well as updates to programs addressing toxic air contaminants. Rulemaking in the Los Angeles Air Basin, as regulated by South Coast Air Quality Management District, or SCAQMD, continues to update command-and-control regulations that limit NOx emissions for stationary sources in preparation for sunsetting SCAQMD’s Regional Clean Air Market, or RECLAIM, cap and trade program in the next few years. The Company’s conventional generation plants meet the district’s existing and proposed amendments to command-and-control regulations. Proposed updates to local California Air District Rules are not expected to affect the operations nor compliance of the Company’s conventional generation plants.</w:t>
      </w:r>
    </w:p>
    <w:p>
      <w:pPr>
        <w:spacing w:after="0" w:line="133" w:lineRule="exact"/>
        <w:rPr>
          <w:sz w:val="20"/>
          <w:szCs w:val="20"/>
          <w:color w:val="auto"/>
        </w:rPr>
      </w:pPr>
    </w:p>
    <w:p>
      <w:pPr>
        <w:jc w:val="both"/>
        <w:ind w:firstLine="448"/>
        <w:spacing w:after="0" w:line="255" w:lineRule="auto"/>
        <w:rPr>
          <w:sz w:val="20"/>
          <w:szCs w:val="20"/>
          <w:color w:val="auto"/>
        </w:rPr>
      </w:pPr>
      <w:r>
        <w:rPr>
          <w:rFonts w:ascii="Arial" w:cs="Arial" w:eastAsia="Arial" w:hAnsi="Arial"/>
          <w:sz w:val="20"/>
          <w:szCs w:val="20"/>
          <w:b w:val="1"/>
          <w:bCs w:val="1"/>
          <w:i w:val="1"/>
          <w:iCs w:val="1"/>
          <w:color w:val="auto"/>
        </w:rPr>
        <w:t xml:space="preserve">Amendments to NEPA </w:t>
      </w:r>
      <w:r>
        <w:rPr>
          <w:rFonts w:ascii="Arial" w:cs="Arial" w:eastAsia="Arial" w:hAnsi="Arial"/>
          <w:sz w:val="20"/>
          <w:szCs w:val="20"/>
          <w:color w:val="auto"/>
        </w:rPr>
        <w:t>— On June 3, 2023, President Biden signed the Fiscal Responsibility Act of 2023, or FRA, into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law, which includes amendments to the NEPA, aimed at streamlining the environmental review process. Following the FRA, on July 31, 2023, the White House Council on Environmental Quality, or CEQ, published a proposed rule, the Bipartisan Permitting Reform Implementation Rule, which seeks to revise, update and modernize the existing regulations under the NEPA and includes provisions regarding robust public involvement, environmental justice, and climate change, or the Phase 2 Proposed Rule. The public comment period on the Phase 2 Proposed Rule closed on September 29, 2023 and the final rule has not yet been published.</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Customers</w:t>
      </w:r>
    </w:p>
    <w:p>
      <w:pPr>
        <w:spacing w:after="0" w:line="195" w:lineRule="exact"/>
        <w:rPr>
          <w:sz w:val="20"/>
          <w:szCs w:val="20"/>
          <w:color w:val="auto"/>
        </w:rPr>
      </w:pPr>
    </w:p>
    <w:p>
      <w:pPr>
        <w:jc w:val="both"/>
        <w:ind w:firstLine="448"/>
        <w:spacing w:after="0" w:line="259" w:lineRule="auto"/>
        <w:rPr>
          <w:sz w:val="20"/>
          <w:szCs w:val="20"/>
          <w:color w:val="auto"/>
        </w:rPr>
      </w:pPr>
      <w:r>
        <w:rPr>
          <w:rFonts w:ascii="Arial" w:cs="Arial" w:eastAsia="Arial" w:hAnsi="Arial"/>
          <w:sz w:val="20"/>
          <w:szCs w:val="20"/>
          <w:color w:val="auto"/>
        </w:rPr>
        <w:t>The Company sells its electricity and environmental attributes, including RECs, primarily to local utilities under contractual arrangements. During the year ended December 31, 2023, the Company derived approximately 24% of its consolidated revenue from Southern California Edison, or SCE, and approximately 17% of its consolidated revenue from PG&amp;E.</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Human Capital</w:t>
      </w:r>
    </w:p>
    <w:p>
      <w:pPr>
        <w:spacing w:after="0" w:line="195" w:lineRule="exact"/>
        <w:rPr>
          <w:sz w:val="20"/>
          <w:szCs w:val="20"/>
          <w:color w:val="auto"/>
        </w:rPr>
      </w:pPr>
    </w:p>
    <w:p>
      <w:pPr>
        <w:jc w:val="both"/>
        <w:ind w:firstLine="448"/>
        <w:spacing w:after="0" w:line="280" w:lineRule="auto"/>
        <w:rPr>
          <w:sz w:val="20"/>
          <w:szCs w:val="20"/>
          <w:color w:val="auto"/>
        </w:rPr>
      </w:pPr>
      <w:r>
        <w:rPr>
          <w:rFonts w:ascii="Arial" w:cs="Arial" w:eastAsia="Arial" w:hAnsi="Arial"/>
          <w:sz w:val="20"/>
          <w:szCs w:val="20"/>
          <w:color w:val="auto"/>
        </w:rPr>
        <w:t>As of December 31, 2023, the Company had 61 employees. The Company also depends upon personnel of CEG for the provision of asset management, administration and O&amp;M services.</w:t>
      </w:r>
    </w:p>
    <w:p>
      <w:pPr>
        <w:spacing w:after="0" w:line="120" w:lineRule="exact"/>
        <w:rPr>
          <w:sz w:val="20"/>
          <w:szCs w:val="20"/>
          <w:color w:val="auto"/>
        </w:rPr>
      </w:pPr>
    </w:p>
    <w:p>
      <w:pPr>
        <w:jc w:val="both"/>
        <w:ind w:firstLine="448"/>
        <w:spacing w:after="0" w:line="289" w:lineRule="auto"/>
        <w:rPr>
          <w:sz w:val="20"/>
          <w:szCs w:val="20"/>
          <w:color w:val="auto"/>
        </w:rPr>
      </w:pPr>
      <w:r>
        <w:rPr>
          <w:rFonts w:ascii="Arial" w:cs="Arial" w:eastAsia="Arial" w:hAnsi="Arial"/>
          <w:sz w:val="18"/>
          <w:szCs w:val="18"/>
          <w:color w:val="auto"/>
        </w:rPr>
        <w:t>The Company focuses on attracting, developing and retaining a team of highly talented and motivated employees. The Company regularly conducts assessments of its compensation and benefit practices and pay levels to help ensure that staff members are compensated equitably and competitively. The Company devotes extensive resources to staff development and training, including tuition assistance for career-enhancing academic and professional programs. Employee performance is measured in part based on goals that are aligned with the Company’s annual objectives. The Company recognizes that its success is based on the talents and dedication of those it employs, and the Company is highly invested in their success.</w:t>
      </w:r>
    </w:p>
    <w:p>
      <w:pPr>
        <w:spacing w:after="0" w:line="116" w:lineRule="exact"/>
        <w:rPr>
          <w:sz w:val="20"/>
          <w:szCs w:val="20"/>
          <w:color w:val="auto"/>
        </w:rPr>
      </w:pPr>
    </w:p>
    <w:p>
      <w:pPr>
        <w:jc w:val="both"/>
        <w:ind w:firstLine="448"/>
        <w:spacing w:after="0" w:line="257" w:lineRule="auto"/>
        <w:rPr>
          <w:sz w:val="20"/>
          <w:szCs w:val="20"/>
          <w:color w:val="auto"/>
        </w:rPr>
      </w:pPr>
      <w:r>
        <w:rPr>
          <w:rFonts w:ascii="Arial" w:cs="Arial" w:eastAsia="Arial" w:hAnsi="Arial"/>
          <w:sz w:val="20"/>
          <w:szCs w:val="20"/>
          <w:color w:val="auto"/>
        </w:rPr>
        <w:t>The Company is committed to maintaining a workplace that acknowledges, encourages, and values diversity and inclusion and provides its employees with unconscious bias training. The Company believes that individual differences, experiences, and strengths enrich the culture and fabric of its organization. Having employees with backgrounds and orientations that reflect a variety of viewpoints and experiences also helps the Company to better understand the needs of its customers and the communities in which it operates.</w:t>
      </w:r>
    </w:p>
    <w:p>
      <w:pPr>
        <w:spacing w:after="0" w:line="142"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20"/>
          <w:szCs w:val="20"/>
          <w:color w:val="auto"/>
        </w:rPr>
        <w:t>By leveraging the multitude of backgrounds and perspectives of its team and developing ongoing relationships with diverse vendors, the Company achieves a collective strength that enhances the workplace and makes the Company a better business partner to its customers and others with a stake in the Company’s success.</w:t>
      </w:r>
    </w:p>
    <w:p>
      <w:pPr>
        <w:sectPr>
          <w:pgSz w:w="11880" w:h="15480" w:orient="portrait"/>
          <w:cols w:equalWidth="0" w:num="1">
            <w:col w:w="10200"/>
          </w:cols>
          <w:pgMar w:left="840" w:top="40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880" w:h="15480" w:orient="portrait"/>
          <w:cols w:equalWidth="0" w:num="1">
            <w:col w:w="10200"/>
          </w:cols>
          <w:pgMar w:left="840" w:top="408" w:right="840" w:bottom="0" w:gutter="0" w:footer="0" w:header="0"/>
          <w:type w:val="continuous"/>
        </w:sectPr>
      </w:pPr>
    </w:p>
    <w:bookmarkStart w:id="14" w:name="page15"/>
    <w:bookmarkEnd w:id="14"/>
    <w:p>
      <w:pPr>
        <w:jc w:val="both"/>
        <w:ind w:firstLine="448"/>
        <w:spacing w:after="0" w:line="257" w:lineRule="auto"/>
        <w:rPr>
          <w:sz w:val="20"/>
          <w:szCs w:val="20"/>
          <w:color w:val="auto"/>
        </w:rPr>
      </w:pPr>
      <w:r>
        <w:rPr>
          <w:rFonts w:ascii="Arial" w:cs="Arial" w:eastAsia="Arial" w:hAnsi="Arial"/>
          <w:sz w:val="20"/>
          <w:szCs w:val="20"/>
          <w:color w:val="auto"/>
        </w:rPr>
        <w:t>The Company also has an Equity, Partnership &amp; Inclusion Council, or EPIC. As part of its commitment, the Company provides education on topics related to diversity, inclusion and equity. The Company identified three areas of focus: Our People; Our Brand, Customers and Community; and Our Purchasing. With the involvement of its employees, EPIC is advancing efforts in each of these areas to identify and implement opportunities for the Company to address equity, partnership and inclusion issues in its business activities.</w:t>
      </w:r>
    </w:p>
    <w:p>
      <w:pPr>
        <w:spacing w:after="0" w:line="139" w:lineRule="exact"/>
        <w:rPr>
          <w:sz w:val="20"/>
          <w:szCs w:val="20"/>
          <w:color w:val="auto"/>
        </w:rPr>
      </w:pPr>
    </w:p>
    <w:p>
      <w:pPr>
        <w:jc w:val="both"/>
        <w:ind w:left="720"/>
        <w:spacing w:after="0" w:line="311" w:lineRule="auto"/>
        <w:rPr>
          <w:sz w:val="20"/>
          <w:szCs w:val="20"/>
          <w:color w:val="auto"/>
        </w:rPr>
      </w:pPr>
      <w:r>
        <w:rPr>
          <w:rFonts w:ascii="Arial" w:cs="Arial" w:eastAsia="Arial" w:hAnsi="Arial"/>
          <w:sz w:val="19"/>
          <w:szCs w:val="19"/>
          <w:b w:val="1"/>
          <w:bCs w:val="1"/>
          <w:i w:val="1"/>
          <w:iCs w:val="1"/>
          <w:color w:val="auto"/>
        </w:rPr>
        <w:t xml:space="preserve">Our People </w:t>
      </w:r>
      <w:r>
        <w:rPr>
          <w:rFonts w:ascii="Arial" w:cs="Arial" w:eastAsia="Arial" w:hAnsi="Arial"/>
          <w:sz w:val="19"/>
          <w:szCs w:val="19"/>
          <w:color w:val="auto"/>
        </w:rPr>
        <w:t>focuses on education and training; diversity, equity and inclusion policies and recruitment strategies;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community and industry partnerships; and maintaining high employee engagement and retention.</w:t>
      </w:r>
    </w:p>
    <w:p>
      <w:pPr>
        <w:spacing w:after="0" w:line="90" w:lineRule="exact"/>
        <w:rPr>
          <w:sz w:val="20"/>
          <w:szCs w:val="20"/>
          <w:color w:val="auto"/>
        </w:rPr>
      </w:pPr>
    </w:p>
    <w:p>
      <w:pPr>
        <w:jc w:val="both"/>
        <w:ind w:left="720"/>
        <w:spacing w:after="0" w:line="260" w:lineRule="auto"/>
        <w:rPr>
          <w:sz w:val="20"/>
          <w:szCs w:val="20"/>
          <w:color w:val="auto"/>
        </w:rPr>
      </w:pPr>
      <w:r>
        <w:rPr>
          <w:rFonts w:ascii="Arial" w:cs="Arial" w:eastAsia="Arial" w:hAnsi="Arial"/>
          <w:sz w:val="20"/>
          <w:szCs w:val="20"/>
          <w:b w:val="1"/>
          <w:bCs w:val="1"/>
          <w:i w:val="1"/>
          <w:iCs w:val="1"/>
          <w:color w:val="auto"/>
        </w:rPr>
        <w:t xml:space="preserve">Our Brand, Customers &amp; Community </w:t>
      </w:r>
      <w:r>
        <w:rPr>
          <w:rFonts w:ascii="Arial" w:cs="Arial" w:eastAsia="Arial" w:hAnsi="Arial"/>
          <w:sz w:val="20"/>
          <w:szCs w:val="20"/>
          <w:color w:val="auto"/>
        </w:rPr>
        <w:t>focuses on pursuing opportunities that provide more equitable access to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renewable energy; broadening participation for small to medium enterprises; supporting the diversity, equity and inclusion goals of the Company’s offtakers; building robust community engagement relationships; and meaningfully representing that work in the external market.</w:t>
      </w:r>
    </w:p>
    <w:p>
      <w:pPr>
        <w:spacing w:after="0" w:line="138" w:lineRule="exact"/>
        <w:rPr>
          <w:sz w:val="20"/>
          <w:szCs w:val="20"/>
          <w:color w:val="auto"/>
        </w:rPr>
      </w:pPr>
    </w:p>
    <w:p>
      <w:pPr>
        <w:jc w:val="both"/>
        <w:ind w:left="720"/>
        <w:spacing w:after="0" w:line="284" w:lineRule="auto"/>
        <w:rPr>
          <w:sz w:val="20"/>
          <w:szCs w:val="20"/>
          <w:color w:val="auto"/>
        </w:rPr>
      </w:pPr>
      <w:r>
        <w:rPr>
          <w:rFonts w:ascii="Arial" w:cs="Arial" w:eastAsia="Arial" w:hAnsi="Arial"/>
          <w:sz w:val="20"/>
          <w:szCs w:val="20"/>
          <w:b w:val="1"/>
          <w:bCs w:val="1"/>
          <w:i w:val="1"/>
          <w:iCs w:val="1"/>
          <w:color w:val="auto"/>
        </w:rPr>
        <w:t xml:space="preserve">Our Purchasing </w:t>
      </w:r>
      <w:r>
        <w:rPr>
          <w:rFonts w:ascii="Arial" w:cs="Arial" w:eastAsia="Arial" w:hAnsi="Arial"/>
          <w:sz w:val="20"/>
          <w:szCs w:val="20"/>
          <w:color w:val="auto"/>
        </w:rPr>
        <w:t>focuses on establishing a non-discriminatory practices standard for the Company’s suppliers, diverse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vendor sourcing and benchmarking.</w:t>
      </w:r>
    </w:p>
    <w:p>
      <w:pPr>
        <w:spacing w:after="0" w:line="115" w:lineRule="exact"/>
        <w:rPr>
          <w:sz w:val="20"/>
          <w:szCs w:val="20"/>
          <w:color w:val="auto"/>
        </w:rPr>
      </w:pPr>
    </w:p>
    <w:p>
      <w:pPr>
        <w:jc w:val="both"/>
        <w:ind w:firstLine="448"/>
        <w:spacing w:after="0" w:line="280" w:lineRule="auto"/>
        <w:rPr>
          <w:sz w:val="20"/>
          <w:szCs w:val="20"/>
          <w:color w:val="auto"/>
        </w:rPr>
      </w:pPr>
      <w:r>
        <w:rPr>
          <w:rFonts w:ascii="Arial" w:cs="Arial" w:eastAsia="Arial" w:hAnsi="Arial"/>
          <w:sz w:val="20"/>
          <w:szCs w:val="20"/>
          <w:color w:val="auto"/>
        </w:rPr>
        <w:t>In addition to the personnel of CEG, the Company relies on other third-party service providers in the daily operations of its conventional facilities and certain renewable facilities.</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Environmental, Social and Governance (ESG)</w:t>
      </w:r>
    </w:p>
    <w:p>
      <w:pPr>
        <w:spacing w:after="0" w:line="195" w:lineRule="exact"/>
        <w:rPr>
          <w:sz w:val="20"/>
          <w:szCs w:val="20"/>
          <w:color w:val="auto"/>
        </w:rPr>
      </w:pPr>
    </w:p>
    <w:p>
      <w:pPr>
        <w:jc w:val="both"/>
        <w:ind w:firstLine="448"/>
        <w:spacing w:after="0" w:line="292" w:lineRule="auto"/>
        <w:rPr>
          <w:sz w:val="20"/>
          <w:szCs w:val="20"/>
          <w:color w:val="auto"/>
        </w:rPr>
      </w:pPr>
      <w:r>
        <w:rPr>
          <w:rFonts w:ascii="Arial" w:cs="Arial" w:eastAsia="Arial" w:hAnsi="Arial"/>
          <w:sz w:val="18"/>
          <w:szCs w:val="18"/>
          <w:color w:val="auto"/>
        </w:rPr>
        <w:t>The Company is committed to engaging with its stakeholders on environmental, social and governance, or ESG, matters in a proactive, holistic and integrated manner. The Company strives to provide recent, credible and comparable data to investors around ESG issues and to comply with ESG disclosure requirements. The Company’s Board of Directors reviews developing trends and emerging ESG matters as well as the Company’s strategies, activities, policies and communications regarding ESG matters, and reviews and considers potential actions the Company could take regarding ESG matters.</w:t>
      </w:r>
    </w:p>
    <w:p>
      <w:pPr>
        <w:spacing w:after="0" w:line="114" w:lineRule="exact"/>
        <w:rPr>
          <w:sz w:val="20"/>
          <w:szCs w:val="20"/>
          <w:color w:val="auto"/>
        </w:rPr>
      </w:pPr>
    </w:p>
    <w:p>
      <w:pPr>
        <w:jc w:val="both"/>
        <w:ind w:firstLine="448"/>
        <w:spacing w:after="0" w:line="277" w:lineRule="auto"/>
        <w:rPr>
          <w:sz w:val="20"/>
          <w:szCs w:val="20"/>
          <w:color w:val="auto"/>
        </w:rPr>
      </w:pPr>
      <w:r>
        <w:rPr>
          <w:rFonts w:ascii="Arial" w:cs="Arial" w:eastAsia="Arial" w:hAnsi="Arial"/>
          <w:sz w:val="19"/>
          <w:szCs w:val="19"/>
          <w:color w:val="auto"/>
        </w:rPr>
        <w:t>Aligned with the Company’s strategy of owning and acquiring environmentally-sound power generation and energy storage assets, the Company has issued $2.1 billion of corporate green bonds under a green bond framework that applies the net proceeds to finance or refinance, in part or in full, new and existing projects and assets meeting certain criteria focused on the supply of energy from renewable resources, including solar energy and wind energy.</w:t>
      </w:r>
    </w:p>
    <w:p>
      <w:pPr>
        <w:spacing w:after="0" w:line="126" w:lineRule="exact"/>
        <w:rPr>
          <w:sz w:val="20"/>
          <w:szCs w:val="20"/>
          <w:color w:val="auto"/>
        </w:rPr>
      </w:pPr>
    </w:p>
    <w:p>
      <w:pPr>
        <w:jc w:val="both"/>
        <w:ind w:firstLine="448"/>
        <w:spacing w:after="0" w:line="277" w:lineRule="auto"/>
        <w:rPr>
          <w:sz w:val="20"/>
          <w:szCs w:val="20"/>
          <w:color w:val="auto"/>
        </w:rPr>
      </w:pPr>
      <w:r>
        <w:rPr>
          <w:rFonts w:ascii="Arial" w:cs="Arial" w:eastAsia="Arial" w:hAnsi="Arial"/>
          <w:sz w:val="19"/>
          <w:szCs w:val="19"/>
          <w:color w:val="auto"/>
        </w:rPr>
        <w:t>As discussed in greater detail above, the Company, through EPIC, has focused its diversity, equity and inclusion efforts in three areas: Our People; Our Brand, Customers and Community; and Our Purchasing. With the involvement of the Company’s employees, EPIC is advancing efforts in each of these areas to identify and implement opportunities for the Company to address equity, partnership and inclusion issues in its business activities.</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Available Information</w:t>
      </w:r>
    </w:p>
    <w:p>
      <w:pPr>
        <w:spacing w:after="0" w:line="195" w:lineRule="exact"/>
        <w:rPr>
          <w:sz w:val="20"/>
          <w:szCs w:val="20"/>
          <w:color w:val="auto"/>
        </w:rPr>
      </w:pPr>
    </w:p>
    <w:p>
      <w:pPr>
        <w:jc w:val="both"/>
        <w:ind w:firstLine="448"/>
        <w:spacing w:after="0" w:line="271" w:lineRule="auto"/>
        <w:rPr>
          <w:sz w:val="20"/>
          <w:szCs w:val="20"/>
          <w:color w:val="auto"/>
        </w:rPr>
      </w:pPr>
      <w:r>
        <w:rPr>
          <w:rFonts w:ascii="Arial" w:cs="Arial" w:eastAsia="Arial" w:hAnsi="Arial"/>
          <w:sz w:val="19"/>
          <w:szCs w:val="19"/>
          <w:color w:val="auto"/>
        </w:rPr>
        <w:t xml:space="preserve">The Company’s annual reports on Form 10-K, quarterly reports on Form 10-Q, current reports on Form 8-K, and amendments to those reports filed or furnished pursuant to section 13(a) or 15(d) of the Exchange Act are available free of charge through the SEC’s website, www.sec.gov, and through the “Investor Relations” section of the Company’s website, </w:t>
      </w:r>
      <w:r>
        <w:rPr>
          <w:rFonts w:ascii="Arial" w:cs="Arial" w:eastAsia="Arial" w:hAnsi="Arial"/>
          <w:sz w:val="19"/>
          <w:szCs w:val="19"/>
          <w:b w:val="1"/>
          <w:bCs w:val="1"/>
          <w:i w:val="1"/>
          <w:iCs w:val="1"/>
          <w:color w:val="auto"/>
        </w:rPr>
        <w:t>www.clearwayenergy.com</w:t>
      </w:r>
      <w:r>
        <w:rPr>
          <w:rFonts w:ascii="Arial" w:cs="Arial" w:eastAsia="Arial" w:hAnsi="Arial"/>
          <w:sz w:val="19"/>
          <w:szCs w:val="19"/>
          <w:color w:val="auto"/>
        </w:rPr>
        <w:t>, as soon as reasonably practicable after they are electronically filed with, or furnished to, the SEC.</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Company also routinely posts press releases, presentations, webcasts, and other information regarding the Company on its website. The information posted on the Company’s website is not a part of this report.</w:t>
      </w:r>
    </w:p>
    <w:p>
      <w:pPr>
        <w:sectPr>
          <w:pgSz w:w="11880" w:h="15480" w:orient="portrait"/>
          <w:cols w:equalWidth="0" w:num="1">
            <w:col w:w="10200"/>
          </w:cols>
          <w:pgMar w:left="840" w:top="411"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880" w:h="15480" w:orient="portrait"/>
          <w:cols w:equalWidth="0" w:num="1">
            <w:col w:w="10200"/>
          </w:cols>
          <w:pgMar w:left="840" w:top="411" w:right="840" w:bottom="0" w:gutter="0" w:footer="0" w:header="0"/>
          <w:type w:val="continuous"/>
        </w:sectPr>
      </w:pPr>
    </w:p>
    <w:bookmarkStart w:id="15" w:name="page16"/>
    <w:bookmarkEnd w:id="15"/>
    <w:p>
      <w:pPr>
        <w:spacing w:after="0"/>
        <w:rPr>
          <w:sz w:val="20"/>
          <w:szCs w:val="20"/>
          <w:color w:val="auto"/>
        </w:rPr>
      </w:pPr>
      <w:r>
        <w:rPr>
          <w:rFonts w:ascii="Arial" w:cs="Arial" w:eastAsia="Arial" w:hAnsi="Arial"/>
          <w:sz w:val="20"/>
          <w:szCs w:val="20"/>
          <w:b w:val="1"/>
          <w:bCs w:val="1"/>
          <w:color w:val="auto"/>
        </w:rPr>
        <w:t>Item 1A — Risk Factors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Summary of Risk Factors</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business is subject to numerous risks and uncertainties, discussed in more detail in the following section.</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These risks include, among others, the following key risks: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the Company’s Business</w:t>
      </w:r>
    </w:p>
    <w:p>
      <w:pPr>
        <w:spacing w:after="0" w:line="135" w:lineRule="exact"/>
        <w:rPr>
          <w:sz w:val="20"/>
          <w:szCs w:val="20"/>
          <w:color w:val="auto"/>
        </w:rPr>
      </w:pPr>
    </w:p>
    <w:p>
      <w:pPr>
        <w:ind w:left="720" w:hanging="366"/>
        <w:spacing w:after="0"/>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Company’s ability to grow and make acquisitions through cash on hand is limited.</w:t>
      </w:r>
    </w:p>
    <w:p>
      <w:pPr>
        <w:spacing w:after="0" w:line="48" w:lineRule="exact"/>
        <w:rPr>
          <w:rFonts w:ascii="Arial" w:cs="Arial" w:eastAsia="Arial" w:hAnsi="Arial"/>
          <w:sz w:val="20"/>
          <w:szCs w:val="20"/>
          <w:color w:val="auto"/>
        </w:rPr>
      </w:pPr>
    </w:p>
    <w:p>
      <w:pPr>
        <w:jc w:val="both"/>
        <w:ind w:left="720" w:hanging="366"/>
        <w:spacing w:after="0" w:line="292"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may not be able to effectively identify or consummate any future acquisitions on favorable terms, or at all, and future acquisitions may not be accretive as a result of incorrect assumptions in the Company’s evaluation of such acquisitions, unforeseen consequences or other external events beyond the Company’s control.</w:t>
      </w:r>
    </w:p>
    <w:p>
      <w:pPr>
        <w:jc w:val="both"/>
        <w:ind w:left="720" w:hanging="366"/>
        <w:spacing w:after="0" w:line="263" w:lineRule="auto"/>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Counterparties to the Company’s offtake agreements may not fulfill their obligations and, as the contracts expire, the Company may not be able to replace them with agreements on similar terms in light of increasing competition in the markets in which the Company operates.</w:t>
      </w:r>
    </w:p>
    <w:p>
      <w:pPr>
        <w:ind w:left="720" w:hanging="366"/>
        <w:spacing w:after="0" w:line="269" w:lineRule="auto"/>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Company’s ability to effectively consummate future acquisitions will also depend on the Company’s ability to arrange the required or desired financing for acquisitions.</w:t>
      </w:r>
    </w:p>
    <w:p>
      <w:pPr>
        <w:spacing w:after="0" w:line="1" w:lineRule="exact"/>
        <w:rPr>
          <w:rFonts w:ascii="Arial" w:cs="Arial" w:eastAsia="Arial" w:hAnsi="Arial"/>
          <w:sz w:val="20"/>
          <w:szCs w:val="20"/>
          <w:color w:val="auto"/>
        </w:rPr>
      </w:pPr>
    </w:p>
    <w:p>
      <w:pPr>
        <w:ind w:left="720" w:hanging="366"/>
        <w:spacing w:after="0" w:line="269" w:lineRule="auto"/>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Company’s indebtedness could adversely affect its ability to raise additional capital to fund the Company’s operations or pay dividends.</w:t>
      </w:r>
    </w:p>
    <w:p>
      <w:pPr>
        <w:spacing w:after="0" w:line="1" w:lineRule="exact"/>
        <w:rPr>
          <w:rFonts w:ascii="Arial" w:cs="Arial" w:eastAsia="Arial" w:hAnsi="Arial"/>
          <w:sz w:val="20"/>
          <w:szCs w:val="20"/>
          <w:color w:val="auto"/>
        </w:rPr>
      </w:pPr>
    </w:p>
    <w:p>
      <w:pPr>
        <w:jc w:val="both"/>
        <w:ind w:left="720" w:hanging="366"/>
        <w:spacing w:after="0" w:line="259" w:lineRule="auto"/>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operation of electric generation facilities depends on suitable meteorological conditions and involves significant risks and hazards customary to the power industry that could have a material adverse effect on the Company’s business, financial condition, results of operations and cash flows. These facilities may operate without long-term power sales agreements.</w:t>
      </w:r>
    </w:p>
    <w:p>
      <w:pPr>
        <w:spacing w:after="0" w:line="2" w:lineRule="exact"/>
        <w:rPr>
          <w:rFonts w:ascii="Arial" w:cs="Arial" w:eastAsia="Arial" w:hAnsi="Arial"/>
          <w:sz w:val="20"/>
          <w:szCs w:val="20"/>
          <w:color w:val="auto"/>
        </w:rPr>
      </w:pPr>
    </w:p>
    <w:p>
      <w:pPr>
        <w:ind w:left="720" w:hanging="366"/>
        <w:spacing w:after="0" w:line="269" w:lineRule="auto"/>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Maintenance, expansion and refurbishment of electric generation facilities involve significant risks that could result in unplanned power outages or reduced output.</w:t>
      </w:r>
    </w:p>
    <w:p>
      <w:pPr>
        <w:spacing w:after="0" w:line="1" w:lineRule="exact"/>
        <w:rPr>
          <w:rFonts w:ascii="Arial" w:cs="Arial" w:eastAsia="Arial" w:hAnsi="Arial"/>
          <w:sz w:val="20"/>
          <w:szCs w:val="20"/>
          <w:color w:val="auto"/>
        </w:rPr>
      </w:pPr>
    </w:p>
    <w:p>
      <w:pPr>
        <w:ind w:left="720" w:hanging="366"/>
        <w:spacing w:after="0" w:line="269" w:lineRule="auto"/>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Supplier and/or customer concentration at certain of the Company’s facilities may expose the Company to significant financial credit or performance risks.</w:t>
      </w:r>
    </w:p>
    <w:p>
      <w:pPr>
        <w:spacing w:after="0" w:line="1" w:lineRule="exact"/>
        <w:rPr>
          <w:rFonts w:ascii="Arial" w:cs="Arial" w:eastAsia="Arial" w:hAnsi="Arial"/>
          <w:sz w:val="20"/>
          <w:szCs w:val="20"/>
          <w:color w:val="auto"/>
        </w:rPr>
      </w:pPr>
    </w:p>
    <w:p>
      <w:pPr>
        <w:ind w:left="720" w:hanging="366"/>
        <w:spacing w:after="0" w:line="299"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currently owns, and in the future may acquire, certain assets in which the Company has limited control over management decisions and its interests in such assets may be subject to transfer or other related restrictions.</w:t>
      </w:r>
    </w:p>
    <w:p>
      <w:pPr>
        <w:spacing w:after="0" w:line="1" w:lineRule="exact"/>
        <w:rPr>
          <w:rFonts w:ascii="Arial" w:cs="Arial" w:eastAsia="Arial" w:hAnsi="Arial"/>
          <w:sz w:val="18"/>
          <w:szCs w:val="18"/>
          <w:color w:val="auto"/>
        </w:rPr>
      </w:pPr>
    </w:p>
    <w:p>
      <w:pPr>
        <w:ind w:left="720" w:hanging="366"/>
        <w:spacing w:after="0" w:line="299"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is exposed to risks inherent in the use of interest rate swaps and energy-related financial instruments. The Company may be exposed to additional risks in the future if it utilizes other derivative instruments.</w:t>
      </w:r>
    </w:p>
    <w:p>
      <w:pPr>
        <w:spacing w:after="0" w:line="1" w:lineRule="exact"/>
        <w:rPr>
          <w:rFonts w:ascii="Arial" w:cs="Arial" w:eastAsia="Arial" w:hAnsi="Arial"/>
          <w:sz w:val="18"/>
          <w:szCs w:val="18"/>
          <w:color w:val="auto"/>
        </w:rPr>
      </w:pPr>
    </w:p>
    <w:p>
      <w:pPr>
        <w:jc w:val="both"/>
        <w:ind w:left="720" w:hanging="366"/>
        <w:spacing w:after="0" w:line="259" w:lineRule="auto"/>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Company does not own all of the land on which its power generation and energy storage assets are located, which could result in disruption to its operations. The Company’s use and enjoyment of real property rights for its projects may be adversely affected by the rights of lienholders and leaseholders that are superior to those of the grantors of those real property rights to the Company.</w:t>
      </w:r>
    </w:p>
    <w:p>
      <w:pPr>
        <w:spacing w:after="0" w:line="2" w:lineRule="exact"/>
        <w:rPr>
          <w:rFonts w:ascii="Arial" w:cs="Arial" w:eastAsia="Arial" w:hAnsi="Arial"/>
          <w:sz w:val="20"/>
          <w:szCs w:val="20"/>
          <w:color w:val="auto"/>
        </w:rPr>
      </w:pPr>
    </w:p>
    <w:p>
      <w:pPr>
        <w:ind w:left="720" w:hanging="366"/>
        <w:spacing w:after="0" w:line="269" w:lineRule="auto"/>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Company’s businesses are subject to physical, market and economic risks relating to potential effects of climate change and public and governmental initiatives to address climate change.</w:t>
      </w:r>
    </w:p>
    <w:p>
      <w:pPr>
        <w:spacing w:after="0" w:line="1" w:lineRule="exact"/>
        <w:rPr>
          <w:rFonts w:ascii="Arial" w:cs="Arial" w:eastAsia="Arial" w:hAnsi="Arial"/>
          <w:sz w:val="20"/>
          <w:szCs w:val="20"/>
          <w:color w:val="auto"/>
        </w:rPr>
      </w:pPr>
    </w:p>
    <w:p>
      <w:pPr>
        <w:jc w:val="both"/>
        <w:ind w:left="720" w:hanging="366"/>
        <w:spacing w:after="0" w:line="273" w:lineRule="auto"/>
        <w:tabs>
          <w:tab w:leader="none" w:pos="720" w:val="left"/>
        </w:tabs>
        <w:numPr>
          <w:ilvl w:val="0"/>
          <w:numId w:val="6"/>
        </w:numPr>
        <w:rPr>
          <w:rFonts w:ascii="Arial" w:cs="Arial" w:eastAsia="Arial" w:hAnsi="Arial"/>
          <w:sz w:val="19"/>
          <w:szCs w:val="19"/>
          <w:color w:val="auto"/>
        </w:rPr>
      </w:pPr>
      <w:r>
        <w:rPr>
          <w:rFonts w:ascii="Arial" w:cs="Arial" w:eastAsia="Arial" w:hAnsi="Arial"/>
          <w:sz w:val="19"/>
          <w:szCs w:val="19"/>
          <w:color w:val="auto"/>
        </w:rPr>
        <w:t>Risks that are beyond the Company’s control, including but not limited to acts of terrorism or related acts of war, natural disasters, severe weather, changes in weather patterns, flooding, pandemics (such as the COVID-19 pandemic), inflation, supply chain disruptions, hostile cyber intrusions or other catastrophic events, could have a material adverse effect on the business, financial condition, results of operations and cash flows.</w:t>
      </w:r>
    </w:p>
    <w:p>
      <w:pPr>
        <w:ind w:left="720" w:hanging="366"/>
        <w:spacing w:after="0"/>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operation of the Company’s businesses is subject to cyber-based security and integrity risk.</w:t>
      </w:r>
    </w:p>
    <w:p>
      <w:pPr>
        <w:spacing w:after="0" w:line="48" w:lineRule="exact"/>
        <w:rPr>
          <w:rFonts w:ascii="Arial" w:cs="Arial" w:eastAsia="Arial" w:hAnsi="Arial"/>
          <w:sz w:val="20"/>
          <w:szCs w:val="20"/>
          <w:color w:val="auto"/>
        </w:rPr>
      </w:pPr>
    </w:p>
    <w:p>
      <w:pPr>
        <w:jc w:val="both"/>
        <w:ind w:left="720" w:hanging="366"/>
        <w:spacing w:after="0" w:line="259" w:lineRule="auto"/>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Company relies on electric distribution and transmission facilities that it does not own or control and that are subject to transmission constraints within a number of the Company’s regions. If these facilities fail to provide the Company with adequate transmission capacity, it may be restricted in its ability to deliver electric power to its customers and may either incur additional costs or forego revenues.</w:t>
      </w:r>
    </w:p>
    <w:p>
      <w:pPr>
        <w:spacing w:after="0" w:line="2" w:lineRule="exact"/>
        <w:rPr>
          <w:rFonts w:ascii="Arial" w:cs="Arial" w:eastAsia="Arial" w:hAnsi="Arial"/>
          <w:sz w:val="20"/>
          <w:szCs w:val="20"/>
          <w:color w:val="auto"/>
        </w:rPr>
      </w:pPr>
    </w:p>
    <w:p>
      <w:pPr>
        <w:ind w:left="720" w:hanging="366"/>
        <w:spacing w:after="0" w:line="284" w:lineRule="auto"/>
        <w:tabs>
          <w:tab w:leader="none" w:pos="720" w:val="left"/>
        </w:tabs>
        <w:numPr>
          <w:ilvl w:val="0"/>
          <w:numId w:val="6"/>
        </w:numPr>
        <w:rPr>
          <w:rFonts w:ascii="Arial" w:cs="Arial" w:eastAsia="Arial" w:hAnsi="Arial"/>
          <w:sz w:val="19"/>
          <w:szCs w:val="19"/>
          <w:color w:val="auto"/>
        </w:rPr>
      </w:pPr>
      <w:r>
        <w:rPr>
          <w:rFonts w:ascii="Arial" w:cs="Arial" w:eastAsia="Arial" w:hAnsi="Arial"/>
          <w:sz w:val="19"/>
          <w:szCs w:val="19"/>
          <w:color w:val="auto"/>
        </w:rPr>
        <w:t>The Company’s costs, results of operations, financial condition and cash flows could be adversely impacted by the disruption of the fuel supplies necessary to generate power at its conventional generation facilities.</w:t>
      </w:r>
    </w:p>
    <w:p>
      <w:pPr>
        <w:jc w:val="both"/>
        <w:ind w:left="720" w:hanging="366"/>
        <w:spacing w:after="0" w:line="263" w:lineRule="auto"/>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Company depends on key personnel and its ability to attract and retain additional skilled management and other personnel, the loss of any of which could have a material adverse effect on the Company’s financial condition and results of operations.</w:t>
      </w:r>
    </w:p>
    <w:p>
      <w:pPr>
        <w:ind w:left="720" w:hanging="366"/>
        <w:spacing w:after="0" w:line="280" w:lineRule="auto"/>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Company may potentially be adversely affected by emerging technologies that may over time impact capacity markets and the energy industry overall.</w:t>
      </w:r>
    </w:p>
    <w:p>
      <w:pPr>
        <w:sectPr>
          <w:pgSz w:w="11880" w:h="15480" w:orient="portrait"/>
          <w:cols w:equalWidth="0" w:num="1">
            <w:col w:w="10200"/>
          </w:cols>
          <w:pgMar w:left="840" w:top="404"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880" w:h="15480" w:orient="portrait"/>
          <w:cols w:equalWidth="0" w:num="1">
            <w:col w:w="10200"/>
          </w:cols>
          <w:pgMar w:left="840" w:top="404" w:right="840" w:bottom="0" w:gutter="0" w:footer="0" w:header="0"/>
          <w:type w:val="continuous"/>
        </w:sectPr>
      </w:pPr>
    </w:p>
    <w:bookmarkStart w:id="16" w:name="page17"/>
    <w:bookmarkEnd w:id="16"/>
    <w:p>
      <w:pPr>
        <w:spacing w:after="0"/>
        <w:rPr>
          <w:sz w:val="20"/>
          <w:szCs w:val="20"/>
          <w:color w:val="auto"/>
        </w:rPr>
      </w:pPr>
      <w:r>
        <w:rPr>
          <w:rFonts w:ascii="Arial" w:cs="Arial" w:eastAsia="Arial" w:hAnsi="Arial"/>
          <w:sz w:val="20"/>
          <w:szCs w:val="20"/>
          <w:b w:val="1"/>
          <w:bCs w:val="1"/>
          <w:color w:val="auto"/>
        </w:rPr>
        <w:t>Risks Related to the Company’s Relationship with GIP, TotalEnergies and CEG</w:t>
      </w:r>
    </w:p>
    <w:p>
      <w:pPr>
        <w:spacing w:after="0" w:line="135" w:lineRule="exact"/>
        <w:rPr>
          <w:sz w:val="20"/>
          <w:szCs w:val="20"/>
          <w:color w:val="auto"/>
        </w:rPr>
      </w:pPr>
    </w:p>
    <w:p>
      <w:pPr>
        <w:ind w:left="720" w:hanging="366"/>
        <w:spacing w:after="0" w:line="284" w:lineRule="auto"/>
        <w:tabs>
          <w:tab w:leader="none" w:pos="720" w:val="left"/>
        </w:tabs>
        <w:numPr>
          <w:ilvl w:val="0"/>
          <w:numId w:val="7"/>
        </w:numPr>
        <w:rPr>
          <w:rFonts w:ascii="Arial" w:cs="Arial" w:eastAsia="Arial" w:hAnsi="Arial"/>
          <w:sz w:val="19"/>
          <w:szCs w:val="19"/>
          <w:color w:val="auto"/>
        </w:rPr>
      </w:pPr>
      <w:r>
        <w:rPr>
          <w:rFonts w:ascii="Arial" w:cs="Arial" w:eastAsia="Arial" w:hAnsi="Arial"/>
          <w:sz w:val="19"/>
          <w:szCs w:val="19"/>
          <w:color w:val="auto"/>
        </w:rPr>
        <w:t>GIP and TotalEnergies, through their equal ownership of CEG, the Company’s controlling stockholder, exercise substantial influence over the Company. The Company is highly dependent on GIP, TotalEnergies and CEG.</w:t>
      </w:r>
    </w:p>
    <w:p>
      <w:pPr>
        <w:ind w:left="720" w:hanging="366"/>
        <w:spacing w:after="0"/>
        <w:tabs>
          <w:tab w:leader="none" w:pos="720" w:val="left"/>
        </w:tabs>
        <w:numPr>
          <w:ilvl w:val="0"/>
          <w:numId w:val="7"/>
        </w:numPr>
        <w:rPr>
          <w:rFonts w:ascii="Arial" w:cs="Arial" w:eastAsia="Arial" w:hAnsi="Arial"/>
          <w:sz w:val="19"/>
          <w:szCs w:val="19"/>
          <w:color w:val="auto"/>
        </w:rPr>
      </w:pPr>
      <w:r>
        <w:rPr>
          <w:rFonts w:ascii="Arial" w:cs="Arial" w:eastAsia="Arial" w:hAnsi="Arial"/>
          <w:sz w:val="19"/>
          <w:szCs w:val="19"/>
          <w:color w:val="auto"/>
        </w:rPr>
        <w:t>CEG controls the Company and has the ability to designate a majority of the members of the Company’s Board.</w:t>
      </w:r>
    </w:p>
    <w:p>
      <w:pPr>
        <w:spacing w:after="0" w:line="44" w:lineRule="exact"/>
        <w:rPr>
          <w:rFonts w:ascii="Arial" w:cs="Arial" w:eastAsia="Arial" w:hAnsi="Arial"/>
          <w:sz w:val="19"/>
          <w:szCs w:val="19"/>
          <w:color w:val="auto"/>
        </w:rPr>
      </w:pPr>
    </w:p>
    <w:p>
      <w:pPr>
        <w:ind w:left="720" w:hanging="366"/>
        <w:spacing w:after="0"/>
        <w:tabs>
          <w:tab w:leader="none" w:pos="72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Company may not be able to consummate future acquisitions from CEG.</w:t>
      </w:r>
    </w:p>
    <w:p>
      <w:pPr>
        <w:spacing w:after="0" w:line="48" w:lineRule="exact"/>
        <w:rPr>
          <w:rFonts w:ascii="Arial" w:cs="Arial" w:eastAsia="Arial" w:hAnsi="Arial"/>
          <w:sz w:val="20"/>
          <w:szCs w:val="20"/>
          <w:color w:val="auto"/>
        </w:rPr>
      </w:pPr>
    </w:p>
    <w:p>
      <w:pPr>
        <w:ind w:left="720" w:hanging="366"/>
        <w:spacing w:after="0"/>
        <w:tabs>
          <w:tab w:leader="none" w:pos="72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Company may be unable to terminate the CEG Master Services Agreement, in certain circumstances.</w:t>
      </w:r>
    </w:p>
    <w:p>
      <w:pPr>
        <w:spacing w:after="0" w:line="48" w:lineRule="exact"/>
        <w:rPr>
          <w:rFonts w:ascii="Arial" w:cs="Arial" w:eastAsia="Arial" w:hAnsi="Arial"/>
          <w:sz w:val="20"/>
          <w:szCs w:val="20"/>
          <w:color w:val="auto"/>
        </w:rPr>
      </w:pPr>
    </w:p>
    <w:p>
      <w:pPr>
        <w:ind w:left="720" w:hanging="366"/>
        <w:spacing w:after="0" w:line="299"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CEG terminates the CEG Master Services Agreement or defaults in the performance of its obligations under the agreement, the Company may be unable to contract with a substitute service provider on similar terms, or at all.</w:t>
      </w:r>
    </w:p>
    <w:p>
      <w:pPr>
        <w:spacing w:after="0" w:line="1" w:lineRule="exact"/>
        <w:rPr>
          <w:rFonts w:ascii="Arial" w:cs="Arial" w:eastAsia="Arial" w:hAnsi="Arial"/>
          <w:sz w:val="18"/>
          <w:szCs w:val="18"/>
          <w:color w:val="auto"/>
        </w:rPr>
      </w:pPr>
    </w:p>
    <w:p>
      <w:pPr>
        <w:jc w:val="both"/>
        <w:ind w:left="720" w:hanging="366"/>
        <w:spacing w:after="0" w:line="265" w:lineRule="auto"/>
        <w:tabs>
          <w:tab w:leader="none" w:pos="72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Company is a “controlled company”, controlled by CEG, and as a result, is exempt from certain corporate governance requirements that are designed to provide protection to stockholders of companies that are not controlled companies.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Regulation</w:t>
      </w:r>
    </w:p>
    <w:p>
      <w:pPr>
        <w:spacing w:after="0" w:line="135" w:lineRule="exact"/>
        <w:rPr>
          <w:sz w:val="20"/>
          <w:szCs w:val="20"/>
          <w:color w:val="auto"/>
        </w:rPr>
      </w:pPr>
    </w:p>
    <w:p>
      <w:pPr>
        <w:ind w:left="720" w:hanging="366"/>
        <w:spacing w:after="0"/>
        <w:tabs>
          <w:tab w:leader="none" w:pos="7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Company’s business is subject to restrictions resulting from environmental, health and safety laws and regulations.</w:t>
      </w:r>
    </w:p>
    <w:p>
      <w:pPr>
        <w:spacing w:after="0" w:line="71" w:lineRule="exact"/>
        <w:rPr>
          <w:rFonts w:ascii="Arial" w:cs="Arial" w:eastAsia="Arial" w:hAnsi="Arial"/>
          <w:sz w:val="18"/>
          <w:szCs w:val="18"/>
          <w:b w:val="1"/>
          <w:bCs w:val="1"/>
          <w:color w:val="auto"/>
        </w:rPr>
      </w:pPr>
    </w:p>
    <w:p>
      <w:pPr>
        <w:jc w:val="both"/>
        <w:ind w:left="720" w:hanging="366"/>
        <w:spacing w:after="0" w:line="263" w:lineRule="auto"/>
        <w:tabs>
          <w:tab w:leader="none" w:pos="72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electric generation business is subject to substantial governmental regulation, including environmental laws, and may be adversely affected by changes in laws or regulations, as well as liability under, or any future inability to comply with, existing or future regulations or other legal requirements.</w:t>
      </w:r>
    </w:p>
    <w:p>
      <w:pPr>
        <w:ind w:left="720" w:hanging="366"/>
        <w:spacing w:after="0" w:line="269" w:lineRule="auto"/>
        <w:tabs>
          <w:tab w:leader="none" w:pos="72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Company’s business is subject to complex and evolving U.S. laws and regulations regarding privacy and data protection.</w:t>
      </w:r>
    </w:p>
    <w:p>
      <w:pPr>
        <w:spacing w:after="0" w:line="1" w:lineRule="exact"/>
        <w:rPr>
          <w:rFonts w:ascii="Arial" w:cs="Arial" w:eastAsia="Arial" w:hAnsi="Arial"/>
          <w:sz w:val="20"/>
          <w:szCs w:val="20"/>
          <w:color w:val="auto"/>
        </w:rPr>
      </w:pPr>
    </w:p>
    <w:p>
      <w:pPr>
        <w:ind w:left="720" w:hanging="366"/>
        <w:spacing w:after="0" w:line="280" w:lineRule="auto"/>
        <w:tabs>
          <w:tab w:leader="none" w:pos="720" w:val="left"/>
        </w:tabs>
        <w:numPr>
          <w:ilvl w:val="0"/>
          <w:numId w:val="8"/>
        </w:numPr>
        <w:rPr>
          <w:rFonts w:ascii="Arial" w:cs="Arial" w:eastAsia="Arial" w:hAnsi="Arial"/>
          <w:sz w:val="20"/>
          <w:szCs w:val="20"/>
          <w:color w:val="auto"/>
        </w:rPr>
      </w:pPr>
      <w:r>
        <w:rPr>
          <w:rFonts w:ascii="Arial" w:cs="Arial" w:eastAsia="Arial" w:hAnsi="Arial"/>
          <w:sz w:val="20"/>
          <w:szCs w:val="20"/>
          <w:color w:val="auto"/>
        </w:rPr>
        <w:t>Government regulations providing incentives for renewable power generation could change at any time and such changes may negatively impact the Company’s growth strategy.</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the Company’s Common Stock</w:t>
      </w:r>
    </w:p>
    <w:p>
      <w:pPr>
        <w:spacing w:after="0" w:line="135" w:lineRule="exact"/>
        <w:rPr>
          <w:sz w:val="20"/>
          <w:szCs w:val="20"/>
          <w:color w:val="auto"/>
        </w:rPr>
      </w:pPr>
    </w:p>
    <w:p>
      <w:pPr>
        <w:jc w:val="both"/>
        <w:ind w:left="720" w:hanging="366"/>
        <w:spacing w:after="0" w:line="259" w:lineRule="auto"/>
        <w:tabs>
          <w:tab w:leader="none" w:pos="720"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Company may not be able to continue paying comparable or growing cash dividends to holders of its common stock in the future. The Company is a holding company and its only material asset is its interest in Clearway Energy LLC, and the Company is accordingly dependent upon distributions from Clearway Energy LLC and its subsidiaries to pay dividends and taxes and other expenses.</w:t>
      </w:r>
    </w:p>
    <w:p>
      <w:pPr>
        <w:spacing w:after="0" w:line="2" w:lineRule="exact"/>
        <w:rPr>
          <w:rFonts w:ascii="Arial" w:cs="Arial" w:eastAsia="Arial" w:hAnsi="Arial"/>
          <w:sz w:val="20"/>
          <w:szCs w:val="20"/>
          <w:color w:val="auto"/>
        </w:rPr>
      </w:pPr>
    </w:p>
    <w:p>
      <w:pPr>
        <w:ind w:left="720" w:hanging="366"/>
        <w:spacing w:after="0"/>
        <w:tabs>
          <w:tab w:leader="none" w:pos="720" w:val="left"/>
        </w:tabs>
        <w:numPr>
          <w:ilvl w:val="0"/>
          <w:numId w:val="9"/>
        </w:numPr>
        <w:rPr>
          <w:rFonts w:ascii="Arial" w:cs="Arial" w:eastAsia="Arial" w:hAnsi="Arial"/>
          <w:sz w:val="19"/>
          <w:szCs w:val="19"/>
          <w:color w:val="auto"/>
        </w:rPr>
      </w:pPr>
      <w:r>
        <w:rPr>
          <w:rFonts w:ascii="Arial" w:cs="Arial" w:eastAsia="Arial" w:hAnsi="Arial"/>
          <w:sz w:val="19"/>
          <w:szCs w:val="19"/>
          <w:color w:val="auto"/>
        </w:rPr>
        <w:t>Market interest rates may have an effect on the value of the Company’s Class A and Class C common stock.</w:t>
      </w:r>
    </w:p>
    <w:p>
      <w:pPr>
        <w:spacing w:after="0" w:line="60" w:lineRule="exact"/>
        <w:rPr>
          <w:rFonts w:ascii="Arial" w:cs="Arial" w:eastAsia="Arial" w:hAnsi="Arial"/>
          <w:sz w:val="19"/>
          <w:szCs w:val="19"/>
          <w:color w:val="auto"/>
        </w:rPr>
      </w:pPr>
    </w:p>
    <w:p>
      <w:pPr>
        <w:jc w:val="both"/>
        <w:ind w:left="720" w:hanging="366"/>
        <w:spacing w:after="0" w:line="259" w:lineRule="auto"/>
        <w:tabs>
          <w:tab w:leader="none" w:pos="720" w:val="left"/>
        </w:tabs>
        <w:numPr>
          <w:ilvl w:val="0"/>
          <w:numId w:val="9"/>
        </w:numPr>
        <w:rPr>
          <w:rFonts w:ascii="Arial" w:cs="Arial" w:eastAsia="Arial" w:hAnsi="Arial"/>
          <w:sz w:val="20"/>
          <w:szCs w:val="20"/>
          <w:color w:val="auto"/>
        </w:rPr>
      </w:pPr>
      <w:r>
        <w:rPr>
          <w:rFonts w:ascii="Arial" w:cs="Arial" w:eastAsia="Arial" w:hAnsi="Arial"/>
          <w:sz w:val="20"/>
          <w:szCs w:val="20"/>
          <w:color w:val="auto"/>
        </w:rPr>
        <w:t>Market volatility and reports by securities and industry analysts may affect the price of the Company’s Class A and Class C common stock, and the future issuance of additional shares of common stock or sales of common stock by CEG may cause dilution of investors’ ownership interest or cause the price of the Company’s Class A or Class C common stock to fall.</w:t>
      </w:r>
    </w:p>
    <w:p>
      <w:pPr>
        <w:spacing w:after="0" w:line="2" w:lineRule="exact"/>
        <w:rPr>
          <w:rFonts w:ascii="Arial" w:cs="Arial" w:eastAsia="Arial" w:hAnsi="Arial"/>
          <w:sz w:val="20"/>
          <w:szCs w:val="20"/>
          <w:color w:val="auto"/>
        </w:rPr>
      </w:pPr>
    </w:p>
    <w:p>
      <w:pPr>
        <w:jc w:val="both"/>
        <w:ind w:left="720" w:hanging="366"/>
        <w:spacing w:after="0" w:line="265" w:lineRule="auto"/>
        <w:tabs>
          <w:tab w:leader="none" w:pos="720" w:val="left"/>
        </w:tabs>
        <w:numPr>
          <w:ilvl w:val="0"/>
          <w:numId w:val="9"/>
        </w:numPr>
        <w:rPr>
          <w:rFonts w:ascii="Arial" w:cs="Arial" w:eastAsia="Arial" w:hAnsi="Arial"/>
          <w:sz w:val="20"/>
          <w:szCs w:val="20"/>
          <w:color w:val="auto"/>
        </w:rPr>
      </w:pPr>
      <w:r>
        <w:rPr>
          <w:rFonts w:ascii="Arial" w:cs="Arial" w:eastAsia="Arial" w:hAnsi="Arial"/>
          <w:sz w:val="20"/>
          <w:szCs w:val="20"/>
          <w:color w:val="auto"/>
        </w:rPr>
        <w:t>Provisions of the Company’s charter documents or Delaware law could delay or prevent an acquisition of the Company, even if the acquisition would be beneficial to holders of the Company’s Class A and Class C common stock, and could make it more difficult to change management.</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Taxation</w:t>
      </w:r>
    </w:p>
    <w:p>
      <w:pPr>
        <w:spacing w:after="0" w:line="135" w:lineRule="exact"/>
        <w:rPr>
          <w:sz w:val="20"/>
          <w:szCs w:val="20"/>
          <w:color w:val="auto"/>
        </w:rPr>
      </w:pPr>
    </w:p>
    <w:p>
      <w:pPr>
        <w:jc w:val="both"/>
        <w:ind w:left="720" w:hanging="366"/>
        <w:spacing w:after="0" w:line="263" w:lineRule="auto"/>
        <w:tabs>
          <w:tab w:leader="none" w:pos="7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Company’s future tax liability may be greater than expected if the Company does not generate NOLs sufficient to offset taxable income, if federal, state and local tax authorities challenge certain of the Company’s tax positions and exemptions or if changes in federal, state and local tax laws occur.</w:t>
      </w:r>
    </w:p>
    <w:p>
      <w:pPr>
        <w:ind w:left="720" w:hanging="366"/>
        <w:spacing w:after="0"/>
        <w:tabs>
          <w:tab w:leader="none" w:pos="7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Company’s ability to use NOLs to offset future income may be limited.</w:t>
      </w:r>
    </w:p>
    <w:p>
      <w:pPr>
        <w:spacing w:after="0" w:line="48" w:lineRule="exact"/>
        <w:rPr>
          <w:rFonts w:ascii="Arial" w:cs="Arial" w:eastAsia="Arial" w:hAnsi="Arial"/>
          <w:sz w:val="20"/>
          <w:szCs w:val="20"/>
          <w:color w:val="auto"/>
        </w:rPr>
      </w:pPr>
    </w:p>
    <w:p>
      <w:pPr>
        <w:ind w:left="720" w:hanging="366"/>
        <w:spacing w:after="0"/>
        <w:tabs>
          <w:tab w:leader="none" w:pos="7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A valuation allowance may be required for the Company’s deferred tax assets.</w:t>
      </w:r>
    </w:p>
    <w:p>
      <w:pPr>
        <w:spacing w:after="0" w:line="48" w:lineRule="exact"/>
        <w:rPr>
          <w:rFonts w:ascii="Arial" w:cs="Arial" w:eastAsia="Arial" w:hAnsi="Arial"/>
          <w:sz w:val="20"/>
          <w:szCs w:val="20"/>
          <w:color w:val="auto"/>
        </w:rPr>
      </w:pPr>
    </w:p>
    <w:p>
      <w:pPr>
        <w:ind w:left="720" w:hanging="366"/>
        <w:spacing w:after="0"/>
        <w:tabs>
          <w:tab w:leader="none" w:pos="7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Distributions to holders of the Company’s Class A and Class C common stock may be taxable.</w:t>
      </w:r>
    </w:p>
    <w:p>
      <w:pPr>
        <w:spacing w:after="0" w:line="48" w:lineRule="exact"/>
        <w:rPr>
          <w:rFonts w:ascii="Arial" w:cs="Arial" w:eastAsia="Arial" w:hAnsi="Arial"/>
          <w:sz w:val="20"/>
          <w:szCs w:val="20"/>
          <w:color w:val="auto"/>
        </w:rPr>
      </w:pPr>
    </w:p>
    <w:p>
      <w:pPr>
        <w:jc w:val="both"/>
        <w:ind w:left="720" w:hanging="366"/>
        <w:spacing w:after="0" w:line="276" w:lineRule="auto"/>
        <w:tabs>
          <w:tab w:leader="none" w:pos="720" w:val="left"/>
        </w:tabs>
        <w:numPr>
          <w:ilvl w:val="0"/>
          <w:numId w:val="10"/>
        </w:numPr>
        <w:rPr>
          <w:rFonts w:ascii="Arial" w:cs="Arial" w:eastAsia="Arial" w:hAnsi="Arial"/>
          <w:sz w:val="19"/>
          <w:szCs w:val="19"/>
          <w:color w:val="auto"/>
        </w:rPr>
      </w:pPr>
      <w:r>
        <w:rPr>
          <w:rFonts w:ascii="Arial" w:cs="Arial" w:eastAsia="Arial" w:hAnsi="Arial"/>
          <w:sz w:val="19"/>
          <w:szCs w:val="19"/>
          <w:color w:val="auto"/>
        </w:rPr>
        <w:t>Changes in tax laws or policies, including but not limited to changes in corporate income tax rates, as well as judgments and estimates used in the determination of tax-related asset and liability amounts, could materially adversely affect the Company’s business, financial condition, results of operations and prospects.</w:t>
      </w:r>
    </w:p>
    <w:p>
      <w:pPr>
        <w:spacing w:after="0" w:line="2" w:lineRule="exact"/>
        <w:rPr>
          <w:rFonts w:ascii="Arial" w:cs="Arial" w:eastAsia="Arial" w:hAnsi="Arial"/>
          <w:sz w:val="19"/>
          <w:szCs w:val="19"/>
          <w:color w:val="auto"/>
        </w:rPr>
      </w:pPr>
    </w:p>
    <w:p>
      <w:pPr>
        <w:ind w:left="720" w:hanging="366"/>
        <w:spacing w:after="0" w:line="280" w:lineRule="auto"/>
        <w:tabs>
          <w:tab w:leader="none" w:pos="7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Company’s ability to comply with tax laws and policies may depend on its contractual arrangements and information provided by third parties and may require significant resources.</w:t>
      </w:r>
    </w:p>
    <w:p>
      <w:pPr>
        <w:sectPr>
          <w:pgSz w:w="11880" w:h="15480" w:orient="portrait"/>
          <w:cols w:equalWidth="0" w:num="1">
            <w:col w:w="10200"/>
          </w:cols>
          <w:pgMar w:left="840" w:top="404"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880" w:h="15480" w:orient="portrait"/>
          <w:cols w:equalWidth="0" w:num="1">
            <w:col w:w="10200"/>
          </w:cols>
          <w:pgMar w:left="840" w:top="404" w:right="840" w:bottom="0" w:gutter="0" w:footer="0" w:header="0"/>
          <w:type w:val="continuous"/>
        </w:sectPr>
      </w:pPr>
    </w:p>
    <w:bookmarkStart w:id="17" w:name="page18"/>
    <w:bookmarkEnd w:id="17"/>
    <w:p>
      <w:pPr>
        <w:spacing w:after="0"/>
        <w:rPr>
          <w:sz w:val="20"/>
          <w:szCs w:val="20"/>
          <w:color w:val="auto"/>
        </w:rPr>
      </w:pPr>
      <w:r>
        <w:rPr>
          <w:rFonts w:ascii="Arial" w:cs="Arial" w:eastAsia="Arial" w:hAnsi="Arial"/>
          <w:sz w:val="20"/>
          <w:szCs w:val="20"/>
          <w:b w:val="1"/>
          <w:bCs w:val="1"/>
          <w:color w:val="auto"/>
        </w:rPr>
        <w:t>Risks Related to the Company’s Business</w:t>
      </w:r>
    </w:p>
    <w:p>
      <w:pPr>
        <w:spacing w:after="0" w:line="187"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i w:val="1"/>
          <w:iCs w:val="1"/>
          <w:color w:val="auto"/>
        </w:rPr>
        <w:t>Pursuant to the Company’s cash dividend policy, the Company intends to distribute a significant amount of the CAFD through regular quarterly distributions and dividends, and the Company’s ability to grow and make acquisitions through cash on hand is limited.</w:t>
      </w:r>
    </w:p>
    <w:p>
      <w:pPr>
        <w:spacing w:after="0" w:line="136" w:lineRule="exact"/>
        <w:rPr>
          <w:sz w:val="20"/>
          <w:szCs w:val="20"/>
          <w:color w:val="auto"/>
        </w:rPr>
      </w:pPr>
    </w:p>
    <w:p>
      <w:pPr>
        <w:jc w:val="both"/>
        <w:ind w:firstLine="448"/>
        <w:spacing w:after="0" w:line="283" w:lineRule="auto"/>
        <w:rPr>
          <w:sz w:val="20"/>
          <w:szCs w:val="20"/>
          <w:color w:val="auto"/>
        </w:rPr>
      </w:pPr>
      <w:r>
        <w:rPr>
          <w:rFonts w:ascii="Arial" w:cs="Arial" w:eastAsia="Arial" w:hAnsi="Arial"/>
          <w:sz w:val="18"/>
          <w:szCs w:val="18"/>
          <w:color w:val="auto"/>
        </w:rPr>
        <w:t>The Company expects to distribute a significant amount of the CAFD each quarter and to rely primarily upon external financing sources, including the issuance of debt and equity securities and, if applicable, borrowings under the Company’s revolving credit facility to fund acquisitions and growth capital expenditures. The Company may be precluded from pursuing otherwise attractive acquisitions if the projected short-term cash flow from the acquisition or investment is not adequate to service the capital raised to fund the acquisition or investment, after giving effect to the Company’s available cash reserves. To the extent the Company issues additional equity securities in connection with any acquisitions or growth capital expenditures, the payment of dividends on these additional equity securities may increase the risk that the Company will be unable to maintain or increase its per share dividend. The incurrence of bank borrowings or other debt by Clearway Energy Operating LLC or by the Company’s project-level subsidiaries to finance the Company’s growth strategy will result in increased interest expense and the imposition of additional or more restrictive covenants, which, in turn, may impact the cash distributions the Company receives to distribute to holders of the Company’s common stock.</w:t>
      </w:r>
    </w:p>
    <w:p>
      <w:pPr>
        <w:spacing w:after="0" w:line="113" w:lineRule="exact"/>
        <w:rPr>
          <w:sz w:val="20"/>
          <w:szCs w:val="20"/>
          <w:color w:val="auto"/>
        </w:rPr>
      </w:pPr>
    </w:p>
    <w:p>
      <w:pPr>
        <w:jc w:val="both"/>
        <w:spacing w:after="0" w:line="310" w:lineRule="auto"/>
        <w:rPr>
          <w:sz w:val="20"/>
          <w:szCs w:val="20"/>
          <w:color w:val="auto"/>
        </w:rPr>
      </w:pPr>
      <w:r>
        <w:rPr>
          <w:rFonts w:ascii="Arial" w:cs="Arial" w:eastAsia="Arial" w:hAnsi="Arial"/>
          <w:sz w:val="18"/>
          <w:szCs w:val="18"/>
          <w:b w:val="1"/>
          <w:bCs w:val="1"/>
          <w:i w:val="1"/>
          <w:iCs w:val="1"/>
          <w:color w:val="auto"/>
        </w:rPr>
        <w:t>The Company may not be able to effectively identify or consummate any future acquisitions on favorable terms, or at all, and future acquisitions may not be accretive as a result of incorrect assumptions in the Company’s evaluation of such acquisitions, unforeseen consequences or other external events beyond the Company’s control.</w:t>
      </w:r>
    </w:p>
    <w:p>
      <w:pPr>
        <w:spacing w:after="0" w:line="102" w:lineRule="exact"/>
        <w:rPr>
          <w:sz w:val="20"/>
          <w:szCs w:val="20"/>
          <w:color w:val="auto"/>
        </w:rPr>
      </w:pPr>
    </w:p>
    <w:p>
      <w:pPr>
        <w:jc w:val="both"/>
        <w:ind w:firstLine="448"/>
        <w:spacing w:after="0" w:line="283" w:lineRule="auto"/>
        <w:rPr>
          <w:sz w:val="20"/>
          <w:szCs w:val="20"/>
          <w:color w:val="auto"/>
        </w:rPr>
      </w:pPr>
      <w:r>
        <w:rPr>
          <w:rFonts w:ascii="Arial" w:cs="Arial" w:eastAsia="Arial" w:hAnsi="Arial"/>
          <w:sz w:val="18"/>
          <w:szCs w:val="18"/>
          <w:color w:val="auto"/>
        </w:rPr>
        <w:t>The Company’s business strategy includes growth through the acquisitions of additional generation assets (including through corporate acquisitions). This strategy depends on the Company’s ability to successfully identify and evaluate acquisition opportunities and consummate acquisitions on favorable terms. However, the number of acquisition opportunities is limited. In addition, the Company will compete with other companies for these limited acquisition opportunities, which may increase the Company’s cost of making acquisitions or cause the Company to refrain from making acquisitions at all. Some of the Company’s competitors for acquisitions are much larger than the Company with substantially greater resources. These companies may be able to pay more for acquisitions and may be able to identify, evaluate, bid for and purchase a greater number of assets than the Company’s financial or human resources permit. If the Company is unable to identify and consummate future acquisitions, it will impede the Company’s ability to execute its growth strategy and limit the Company’s ability to increase the amount of dividends paid to holders of the Company’s common stock.</w:t>
      </w:r>
    </w:p>
    <w:p>
      <w:pPr>
        <w:spacing w:after="0" w:line="126" w:lineRule="exact"/>
        <w:rPr>
          <w:sz w:val="20"/>
          <w:szCs w:val="20"/>
          <w:color w:val="auto"/>
        </w:rPr>
      </w:pPr>
    </w:p>
    <w:p>
      <w:pPr>
        <w:jc w:val="both"/>
        <w:ind w:firstLine="448"/>
        <w:spacing w:after="0" w:line="289" w:lineRule="auto"/>
        <w:rPr>
          <w:sz w:val="20"/>
          <w:szCs w:val="20"/>
          <w:color w:val="auto"/>
        </w:rPr>
      </w:pPr>
      <w:r>
        <w:rPr>
          <w:rFonts w:ascii="Arial" w:cs="Arial" w:eastAsia="Arial" w:hAnsi="Arial"/>
          <w:sz w:val="18"/>
          <w:szCs w:val="18"/>
          <w:color w:val="auto"/>
        </w:rPr>
        <w:t>The Company’s ability to acquire future renewable facilities may depend on the viability of renewable assets generally. These assets currently are largely contingent on public policy mechanisms including ITCs, cash grants, loan guarantees, accelerated depreciation, RPS and carbon trading plans. These mechanisms have been implemented at the state and federal levels to support the development of renewable generation, demand-side and smart grid and other clean infrastructure technologies. The availability and continuation of public policy support mechanisms will drive a significant part of the economics and viability of the Company’s growth strategy and expansion into clean energy investments.</w:t>
      </w:r>
    </w:p>
    <w:p>
      <w:pPr>
        <w:spacing w:after="0" w:line="116" w:lineRule="exact"/>
        <w:rPr>
          <w:sz w:val="20"/>
          <w:szCs w:val="20"/>
          <w:color w:val="auto"/>
        </w:rPr>
      </w:pPr>
    </w:p>
    <w:p>
      <w:pPr>
        <w:jc w:val="both"/>
        <w:ind w:firstLine="448"/>
        <w:spacing w:after="0" w:line="282" w:lineRule="auto"/>
        <w:rPr>
          <w:sz w:val="20"/>
          <w:szCs w:val="20"/>
          <w:color w:val="auto"/>
        </w:rPr>
      </w:pPr>
      <w:r>
        <w:rPr>
          <w:rFonts w:ascii="Arial" w:cs="Arial" w:eastAsia="Arial" w:hAnsi="Arial"/>
          <w:sz w:val="18"/>
          <w:szCs w:val="18"/>
          <w:color w:val="auto"/>
        </w:rPr>
        <w:t>The acquisition of companies and assets are subject to substantial risks, including the failure to identify material problems during due diligence (for which the Company may not be indemnified post-closing) and the risk of overpaying for assets (or not making acquisitions on an accretive basis). The integration and consolidation of acquisitions requires substantial human, financial and other resources and, ultimately, the Company’s acquisitions may divert management’s attention from the Company’s existing business concerns, disrupt the Company’s ongoing business or not be successfully integrated. There can be no assurances that any future acquisitions will perform as expected or that the returns from such acquisitions will support the financing utilized to acquire them or maintain them. A failure to achieve the financial returns the Company expects when it acquires generation assets could have a material adverse effect on the Company’s ability to grow its business and make cash distributions to its stockholders. Any failure of the Company’s acquired generation assets to be accretive or difficulty in integrating such acquisition into the Company’s business could have a material adverse effect on the Company’s ability to grow its business and make cash distributions to its stockholders. As a result, the consummation of acquisitions could have a material adverse effect on the Company’s business, financial condition, results of operations, cash flows and ability to pay dividends to holders of the Company’s common stock.</w:t>
      </w:r>
    </w:p>
    <w:p>
      <w:pPr>
        <w:sectPr>
          <w:pgSz w:w="11880" w:h="15480" w:orient="portrait"/>
          <w:cols w:equalWidth="0" w:num="1">
            <w:col w:w="10200"/>
          </w:cols>
          <w:pgMar w:left="840" w:top="404"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880" w:h="15480" w:orient="portrait"/>
          <w:cols w:equalWidth="0" w:num="1">
            <w:col w:w="10200"/>
          </w:cols>
          <w:pgMar w:left="840" w:top="404" w:right="840" w:bottom="0" w:gutter="0" w:footer="0" w:header="0"/>
          <w:type w:val="continuous"/>
        </w:sectPr>
      </w:pPr>
    </w:p>
    <w:bookmarkStart w:id="18" w:name="page19"/>
    <w:bookmarkEnd w:id="18"/>
    <w:p>
      <w:pPr>
        <w:jc w:val="both"/>
        <w:spacing w:after="0" w:line="267" w:lineRule="auto"/>
        <w:rPr>
          <w:sz w:val="20"/>
          <w:szCs w:val="20"/>
          <w:color w:val="auto"/>
        </w:rPr>
      </w:pPr>
      <w:r>
        <w:rPr>
          <w:rFonts w:ascii="Arial" w:cs="Arial" w:eastAsia="Arial" w:hAnsi="Arial"/>
          <w:sz w:val="20"/>
          <w:szCs w:val="20"/>
          <w:b w:val="1"/>
          <w:bCs w:val="1"/>
          <w:i w:val="1"/>
          <w:iCs w:val="1"/>
          <w:color w:val="auto"/>
        </w:rPr>
        <w:t>Counterparties to the Company’s offtake agreements may not fulfill their obligations and, as the contracts expire, the Company may not be able to replace them with agreements on similar terms in light of increasing competition in the markets in which the Company operates.</w:t>
      </w:r>
    </w:p>
    <w:p>
      <w:pPr>
        <w:spacing w:after="0" w:line="136" w:lineRule="exact"/>
        <w:rPr>
          <w:sz w:val="20"/>
          <w:szCs w:val="20"/>
          <w:color w:val="auto"/>
        </w:rPr>
      </w:pPr>
    </w:p>
    <w:p>
      <w:pPr>
        <w:jc w:val="both"/>
        <w:ind w:firstLine="448"/>
        <w:spacing w:after="0" w:line="292" w:lineRule="auto"/>
        <w:rPr>
          <w:sz w:val="20"/>
          <w:szCs w:val="20"/>
          <w:color w:val="auto"/>
        </w:rPr>
      </w:pPr>
      <w:r>
        <w:rPr>
          <w:rFonts w:ascii="Arial" w:cs="Arial" w:eastAsia="Arial" w:hAnsi="Arial"/>
          <w:sz w:val="18"/>
          <w:szCs w:val="18"/>
          <w:color w:val="auto"/>
        </w:rPr>
        <w:t>The majority of the electric power the Company generates is sold under long-term offtake agreements with public utilities or industrial or commercial end-users, with a weighted average remaining duration, based on CAFD, of approximately 10 years. As of December 31, 2023, the largest customers of the Company’s power generation and energy storage assets, including assets in which the Company has less than a 100% membership interest, were SCE and PG&amp;E, which represented 24% and 17%, respectively, of total consolidated revenues generated by the Company during the year ended December 31, 2023.</w:t>
      </w:r>
    </w:p>
    <w:p>
      <w:pPr>
        <w:spacing w:after="0" w:line="114" w:lineRule="exact"/>
        <w:rPr>
          <w:sz w:val="20"/>
          <w:szCs w:val="20"/>
          <w:color w:val="auto"/>
        </w:rPr>
      </w:pPr>
    </w:p>
    <w:p>
      <w:pPr>
        <w:jc w:val="both"/>
        <w:ind w:firstLine="448"/>
        <w:spacing w:after="0" w:line="255" w:lineRule="auto"/>
        <w:rPr>
          <w:sz w:val="20"/>
          <w:szCs w:val="20"/>
          <w:color w:val="auto"/>
        </w:rPr>
      </w:pPr>
      <w:r>
        <w:rPr>
          <w:rFonts w:ascii="Arial" w:cs="Arial" w:eastAsia="Arial" w:hAnsi="Arial"/>
          <w:sz w:val="20"/>
          <w:szCs w:val="20"/>
          <w:color w:val="auto"/>
        </w:rPr>
        <w:t>If, for any reason, any of the purchasers of power under these agreements are unable or unwilling to fulfill their related contractual obligations or if they refuse to accept delivery of power delivered thereunder or if they otherwise terminate such agreements prior to the expiration thereof, the Company’s assets, liabilities, business, financial condition, results of operations and cash flows could be materially and adversely affected. Furthermore, to the extent any of the Company’s power purchasers are, or are controlled by, governmental entities, the Company’s facilities may be subject to legislative or other political action that may impair their contractual performance.</w:t>
      </w:r>
    </w:p>
    <w:p>
      <w:pPr>
        <w:spacing w:after="0" w:line="146" w:lineRule="exact"/>
        <w:rPr>
          <w:sz w:val="20"/>
          <w:szCs w:val="20"/>
          <w:color w:val="auto"/>
        </w:rPr>
      </w:pPr>
    </w:p>
    <w:p>
      <w:pPr>
        <w:jc w:val="both"/>
        <w:ind w:firstLine="448"/>
        <w:spacing w:after="0" w:line="281" w:lineRule="auto"/>
        <w:rPr>
          <w:sz w:val="20"/>
          <w:szCs w:val="20"/>
          <w:color w:val="auto"/>
        </w:rPr>
      </w:pPr>
      <w:r>
        <w:rPr>
          <w:rFonts w:ascii="Arial" w:cs="Arial" w:eastAsia="Arial" w:hAnsi="Arial"/>
          <w:sz w:val="18"/>
          <w:szCs w:val="18"/>
          <w:color w:val="auto"/>
        </w:rPr>
        <w:t>The power generation industry is characterized by intense competition and the Company’s electric generation assets encounter competition from utilities, industrial companies and independent power producers, in particular with respect to uncontracted output. In recent years, there has been increasing competition among generators for offtake agreements and this has contributed to a reduction in electricity prices in certain markets characterized by excess supply above designated reserve margins. In light of these market conditions, the Company may not be able to replace an expiring or terminated agreement with an agreement on equivalent terms and conditions, including at prices that permit operation of the related facility on a profitable basis. In addition, the Company believes many of its competitors have well-established relationships with the Company’s current and potential suppliers, lenders and customers, and have extensive knowledge of its target markets. As a result, these competitors may be able to respond more quickly than the Company to evolving industry standards and changing customer requirements. The adoption of more advanced technology could reduce its competitors’ power production costs resulting in their having a lower cost structure than is achievable with the technologies currently employed by the Company and adversely affect its ability to compete for offtake agreement renewals. If the Company is unable to replace an expiring or terminated offtake agreement, the affected facility may temporarily or permanently cease operations. External events, such as a severe economic downturn or force majeure events, could also impair the ability of some counterparties to the Company’s offtake agreements and other customer agreements to pay for energy and/or other products and services received.</w:t>
      </w:r>
    </w:p>
    <w:p>
      <w:pPr>
        <w:spacing w:after="0" w:line="126"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20"/>
          <w:szCs w:val="20"/>
          <w:color w:val="auto"/>
        </w:rPr>
        <w:t>The Company’s inability to enter into new or replacement offtake agreements or to compete successfully against current and future competitors in the markets in which the Company operates could have a material adverse effect on the Company’s business, financial condition, results of operations and cash flows.</w:t>
      </w:r>
    </w:p>
    <w:p>
      <w:pPr>
        <w:spacing w:after="0" w:line="126" w:lineRule="exact"/>
        <w:rPr>
          <w:sz w:val="20"/>
          <w:szCs w:val="20"/>
          <w:color w:val="auto"/>
        </w:rPr>
      </w:pPr>
    </w:p>
    <w:p>
      <w:pPr>
        <w:jc w:val="both"/>
        <w:spacing w:after="0" w:line="286" w:lineRule="auto"/>
        <w:rPr>
          <w:sz w:val="20"/>
          <w:szCs w:val="20"/>
          <w:color w:val="auto"/>
        </w:rPr>
      </w:pPr>
      <w:r>
        <w:rPr>
          <w:rFonts w:ascii="Arial" w:cs="Arial" w:eastAsia="Arial" w:hAnsi="Arial"/>
          <w:sz w:val="20"/>
          <w:szCs w:val="20"/>
          <w:b w:val="1"/>
          <w:bCs w:val="1"/>
          <w:i w:val="1"/>
          <w:iCs w:val="1"/>
          <w:color w:val="auto"/>
        </w:rPr>
        <w:t>The Company’s ability to effectively consummate future acquisitions will also depend on the Company’s ability to arrange the required or desired financing for acquisitions.</w:t>
      </w:r>
    </w:p>
    <w:p>
      <w:pPr>
        <w:spacing w:after="0" w:line="117" w:lineRule="exact"/>
        <w:rPr>
          <w:sz w:val="20"/>
          <w:szCs w:val="20"/>
          <w:color w:val="auto"/>
        </w:rPr>
      </w:pPr>
    </w:p>
    <w:p>
      <w:pPr>
        <w:jc w:val="both"/>
        <w:ind w:firstLine="448"/>
        <w:spacing w:after="0" w:line="268" w:lineRule="auto"/>
        <w:rPr>
          <w:sz w:val="20"/>
          <w:szCs w:val="20"/>
          <w:color w:val="auto"/>
        </w:rPr>
      </w:pPr>
      <w:r>
        <w:rPr>
          <w:rFonts w:ascii="Arial" w:cs="Arial" w:eastAsia="Arial" w:hAnsi="Arial"/>
          <w:sz w:val="19"/>
          <w:szCs w:val="19"/>
          <w:color w:val="auto"/>
        </w:rPr>
        <w:t>The Company may not have sufficient availability under the Company’s credit facilities or have access to project-level financing on commercially reasonable terms when acquisition opportunities arise. An inability to obtain the required or desired financing could significantly limit the Company’s ability to consummate future acquisitions and effectuate the Company’s growth strategy. If financing is available, utilization of the Company’s credit facilities or project-level financing for all or a portion of the purchase price of an acquisition could significantly increase the Company’s interest expense, impose additional or more restrictive covenants and reduce CAFD. Similarly, the issuance of additional equity securities as consideration for acquisitions could cause significant stockholder dilution and reduce the Company’s dividends if the acquisitions are not sufficiently accretive. The Company’s ability to consummate future acquisitions may also depend on the Company’s ability to obtain any required regulatory approvals for such acquisitions.</w:t>
      </w:r>
    </w:p>
    <w:p>
      <w:pPr>
        <w:spacing w:after="0" w:line="124" w:lineRule="exact"/>
        <w:rPr>
          <w:sz w:val="20"/>
          <w:szCs w:val="20"/>
          <w:color w:val="auto"/>
        </w:rPr>
      </w:pPr>
    </w:p>
    <w:p>
      <w:pPr>
        <w:jc w:val="both"/>
        <w:spacing w:after="0" w:line="261" w:lineRule="auto"/>
        <w:rPr>
          <w:sz w:val="20"/>
          <w:szCs w:val="20"/>
          <w:color w:val="auto"/>
        </w:rPr>
      </w:pPr>
      <w:r>
        <w:rPr>
          <w:rFonts w:ascii="Arial" w:cs="Arial" w:eastAsia="Arial" w:hAnsi="Arial"/>
          <w:sz w:val="20"/>
          <w:szCs w:val="20"/>
          <w:b w:val="1"/>
          <w:bCs w:val="1"/>
          <w:i w:val="1"/>
          <w:iCs w:val="1"/>
          <w:color w:val="auto"/>
        </w:rPr>
        <w:t>The Company’s indebtedness could adversely affect its ability to raise additional capital to fund the Company’s operations or pay dividends. It could also expose the Company to the risk of increased interest rates and limit the Company’s ability to react to changes in the economy or the Company’s industry as well as impact the Company’s results of operations, financial condition and cash flows.</w:t>
      </w:r>
    </w:p>
    <w:p>
      <w:pPr>
        <w:spacing w:after="0" w:line="142" w:lineRule="exact"/>
        <w:rPr>
          <w:sz w:val="20"/>
          <w:szCs w:val="20"/>
          <w:color w:val="auto"/>
        </w:rPr>
      </w:pPr>
    </w:p>
    <w:p>
      <w:pPr>
        <w:jc w:val="both"/>
        <w:ind w:firstLine="448"/>
        <w:spacing w:after="0" w:line="257" w:lineRule="auto"/>
        <w:rPr>
          <w:sz w:val="20"/>
          <w:szCs w:val="20"/>
          <w:color w:val="auto"/>
        </w:rPr>
      </w:pPr>
      <w:r>
        <w:rPr>
          <w:rFonts w:ascii="Arial" w:cs="Arial" w:eastAsia="Arial" w:hAnsi="Arial"/>
          <w:sz w:val="20"/>
          <w:szCs w:val="20"/>
          <w:color w:val="auto"/>
        </w:rPr>
        <w:t>As of December 31, 2023, the Company had approximately $8.10 billion of total consolidated indebtedness, $5.97 billion of which was incurred by the Company’s non-guarantor subsidiaries. In addition, the Company’s share of its unconsolidated affiliates’ total indebtedness and letters of credit outstanding as of December 31, 2023, totaled approximately $303 million and $37 million, respectively (calculated as the Company’s unconsolidated affiliates’ total indebtedness as of such date multiplied by the Company’s percentage membership interest in such assets).</w:t>
      </w:r>
    </w:p>
    <w:p>
      <w:pPr>
        <w:sectPr>
          <w:pgSz w:w="11880" w:h="15480" w:orient="portrait"/>
          <w:cols w:equalWidth="0" w:num="1">
            <w:col w:w="10200"/>
          </w:cols>
          <w:pgMar w:left="840" w:top="403" w:right="840" w:bottom="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880" w:h="15480" w:orient="portrait"/>
          <w:cols w:equalWidth="0" w:num="1">
            <w:col w:w="10200"/>
          </w:cols>
          <w:pgMar w:left="840" w:top="403" w:right="840" w:bottom="0" w:gutter="0" w:footer="0" w:header="0"/>
          <w:type w:val="continuous"/>
        </w:sectPr>
      </w:pPr>
    </w:p>
    <w:bookmarkStart w:id="19" w:name="page20"/>
    <w:bookmarkEnd w:id="19"/>
    <w:p>
      <w:pPr>
        <w:ind w:firstLine="448"/>
        <w:spacing w:after="0" w:line="280" w:lineRule="auto"/>
        <w:rPr>
          <w:sz w:val="20"/>
          <w:szCs w:val="20"/>
          <w:color w:val="auto"/>
        </w:rPr>
      </w:pPr>
      <w:r>
        <w:rPr>
          <w:rFonts w:ascii="Arial" w:cs="Arial" w:eastAsia="Arial" w:hAnsi="Arial"/>
          <w:sz w:val="20"/>
          <w:szCs w:val="20"/>
          <w:color w:val="auto"/>
        </w:rPr>
        <w:t>The Company’s substantial debt could have important negative consequences on the Company’s financial condition, including:</w:t>
      </w:r>
    </w:p>
    <w:p>
      <w:pPr>
        <w:spacing w:after="0" w:line="60" w:lineRule="exact"/>
        <w:rPr>
          <w:sz w:val="20"/>
          <w:szCs w:val="20"/>
          <w:color w:val="auto"/>
        </w:rPr>
      </w:pPr>
    </w:p>
    <w:p>
      <w:pPr>
        <w:ind w:left="720" w:hanging="366"/>
        <w:spacing w:after="0"/>
        <w:tabs>
          <w:tab w:leader="none" w:pos="7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increasing the Company’s vulnerability to general economic and industry conditions;</w:t>
      </w:r>
    </w:p>
    <w:p>
      <w:pPr>
        <w:spacing w:after="0" w:line="68" w:lineRule="exact"/>
        <w:rPr>
          <w:rFonts w:ascii="Arial" w:cs="Arial" w:eastAsia="Arial" w:hAnsi="Arial"/>
          <w:sz w:val="20"/>
          <w:szCs w:val="20"/>
          <w:color w:val="auto"/>
        </w:rPr>
      </w:pPr>
    </w:p>
    <w:p>
      <w:pPr>
        <w:jc w:val="both"/>
        <w:ind w:left="720" w:hanging="366"/>
        <w:spacing w:after="0" w:line="277" w:lineRule="auto"/>
        <w:tabs>
          <w:tab w:leader="none" w:pos="720" w:val="left"/>
        </w:tabs>
        <w:numPr>
          <w:ilvl w:val="0"/>
          <w:numId w:val="11"/>
        </w:numPr>
        <w:rPr>
          <w:rFonts w:ascii="Arial" w:cs="Arial" w:eastAsia="Arial" w:hAnsi="Arial"/>
          <w:sz w:val="19"/>
          <w:szCs w:val="19"/>
          <w:color w:val="auto"/>
        </w:rPr>
      </w:pPr>
      <w:r>
        <w:rPr>
          <w:rFonts w:ascii="Arial" w:cs="Arial" w:eastAsia="Arial" w:hAnsi="Arial"/>
          <w:sz w:val="19"/>
          <w:szCs w:val="19"/>
          <w:color w:val="auto"/>
        </w:rPr>
        <w:t>requiring a substantial portion of the Company’s cash flow from operations to be dedicated to the payment of principal and interest on the Company’s indebtedness, therefore reducing the Company’s ability to pay dividends to holders of the Company’s capital stock (including the Class A and Class C common stock) or to use the Company’s cash flow to fund its operations, capital expenditures and future business opportunities;</w:t>
      </w:r>
    </w:p>
    <w:p>
      <w:pPr>
        <w:spacing w:after="0" w:line="6" w:lineRule="exact"/>
        <w:rPr>
          <w:rFonts w:ascii="Arial" w:cs="Arial" w:eastAsia="Arial" w:hAnsi="Arial"/>
          <w:sz w:val="19"/>
          <w:szCs w:val="19"/>
          <w:color w:val="auto"/>
        </w:rPr>
      </w:pPr>
    </w:p>
    <w:p>
      <w:pPr>
        <w:ind w:left="720" w:hanging="366"/>
        <w:spacing w:after="0"/>
        <w:tabs>
          <w:tab w:leader="none" w:pos="720" w:val="left"/>
        </w:tabs>
        <w:numPr>
          <w:ilvl w:val="0"/>
          <w:numId w:val="11"/>
        </w:numPr>
        <w:rPr>
          <w:rFonts w:ascii="Arial" w:cs="Arial" w:eastAsia="Arial" w:hAnsi="Arial"/>
          <w:sz w:val="19"/>
          <w:szCs w:val="19"/>
          <w:color w:val="auto"/>
        </w:rPr>
      </w:pPr>
      <w:r>
        <w:rPr>
          <w:rFonts w:ascii="Arial" w:cs="Arial" w:eastAsia="Arial" w:hAnsi="Arial"/>
          <w:sz w:val="19"/>
          <w:szCs w:val="19"/>
          <w:color w:val="auto"/>
        </w:rPr>
        <w:t>limiting the Company’s ability to enter into long-term power sales or fuel purchases which require credit support;</w:t>
      </w:r>
    </w:p>
    <w:p>
      <w:pPr>
        <w:spacing w:after="0" w:line="80" w:lineRule="exact"/>
        <w:rPr>
          <w:rFonts w:ascii="Arial" w:cs="Arial" w:eastAsia="Arial" w:hAnsi="Arial"/>
          <w:sz w:val="19"/>
          <w:szCs w:val="19"/>
          <w:color w:val="auto"/>
        </w:rPr>
      </w:pPr>
    </w:p>
    <w:p>
      <w:pPr>
        <w:ind w:left="720" w:hanging="366"/>
        <w:spacing w:after="0"/>
        <w:tabs>
          <w:tab w:leader="none" w:pos="7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limiting the Company’s ability to fund operations or future acquisitions;</w:t>
      </w:r>
    </w:p>
    <w:p>
      <w:pPr>
        <w:spacing w:after="0" w:line="68" w:lineRule="exact"/>
        <w:rPr>
          <w:rFonts w:ascii="Arial" w:cs="Arial" w:eastAsia="Arial" w:hAnsi="Arial"/>
          <w:sz w:val="20"/>
          <w:szCs w:val="20"/>
          <w:color w:val="auto"/>
        </w:rPr>
      </w:pPr>
    </w:p>
    <w:p>
      <w:pPr>
        <w:jc w:val="both"/>
        <w:ind w:left="720" w:hanging="366"/>
        <w:spacing w:after="0" w:line="259" w:lineRule="auto"/>
        <w:tabs>
          <w:tab w:leader="none" w:pos="7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restricting the Company’s ability to make certain distributions with respect to the Company’s capital stock (including the Class A and Class C common stock) and the ability of the Company’s subsidiaries to make certain distributions to it, in light of restricted payment and other financial covenants in the Company’s credit facilities and other financing agreements;</w:t>
      </w:r>
    </w:p>
    <w:p>
      <w:pPr>
        <w:spacing w:after="0" w:line="22" w:lineRule="exact"/>
        <w:rPr>
          <w:rFonts w:ascii="Arial" w:cs="Arial" w:eastAsia="Arial" w:hAnsi="Arial"/>
          <w:sz w:val="20"/>
          <w:szCs w:val="20"/>
          <w:color w:val="auto"/>
        </w:rPr>
      </w:pPr>
    </w:p>
    <w:p>
      <w:pPr>
        <w:ind w:left="720" w:hanging="366"/>
        <w:spacing w:after="0" w:line="295" w:lineRule="auto"/>
        <w:tabs>
          <w:tab w:leader="none" w:pos="720" w:val="left"/>
        </w:tabs>
        <w:numPr>
          <w:ilvl w:val="0"/>
          <w:numId w:val="11"/>
        </w:numPr>
        <w:rPr>
          <w:rFonts w:ascii="Arial" w:cs="Arial" w:eastAsia="Arial" w:hAnsi="Arial"/>
          <w:sz w:val="19"/>
          <w:szCs w:val="19"/>
          <w:color w:val="auto"/>
        </w:rPr>
      </w:pPr>
      <w:r>
        <w:rPr>
          <w:rFonts w:ascii="Arial" w:cs="Arial" w:eastAsia="Arial" w:hAnsi="Arial"/>
          <w:sz w:val="19"/>
          <w:szCs w:val="19"/>
          <w:color w:val="auto"/>
        </w:rPr>
        <w:t>exposing the Company to the risk of increased interest rates because certain of the Company’s borrowings, which may include borrowings under the Company’s revolving credit facility, are at variable rates of interest;</w:t>
      </w:r>
    </w:p>
    <w:p>
      <w:pPr>
        <w:ind w:left="720" w:hanging="366"/>
        <w:spacing w:after="0" w:line="280" w:lineRule="auto"/>
        <w:tabs>
          <w:tab w:leader="none" w:pos="7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limiting the Company’s ability to obtain additional financing for working capital including collateral postings, capital expenditures, debt service requirements, acquisitions and general corporate or other purposes; and</w:t>
      </w:r>
    </w:p>
    <w:p>
      <w:pPr>
        <w:ind w:left="720" w:hanging="366"/>
        <w:spacing w:after="0" w:line="280" w:lineRule="auto"/>
        <w:tabs>
          <w:tab w:leader="none" w:pos="7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limiting the Company’s ability to adjust to changing market conditions and placing it at a competitive disadvantage compared to the Company’s competitors who have less debt.</w:t>
      </w:r>
    </w:p>
    <w:p>
      <w:pPr>
        <w:spacing w:after="0" w:line="120" w:lineRule="exact"/>
        <w:rPr>
          <w:sz w:val="20"/>
          <w:szCs w:val="20"/>
          <w:color w:val="auto"/>
        </w:rPr>
      </w:pPr>
    </w:p>
    <w:p>
      <w:pPr>
        <w:jc w:val="both"/>
        <w:ind w:firstLine="448"/>
        <w:spacing w:after="0" w:line="287" w:lineRule="auto"/>
        <w:rPr>
          <w:sz w:val="20"/>
          <w:szCs w:val="20"/>
          <w:color w:val="auto"/>
        </w:rPr>
      </w:pPr>
      <w:r>
        <w:rPr>
          <w:rFonts w:ascii="Arial" w:cs="Arial" w:eastAsia="Arial" w:hAnsi="Arial"/>
          <w:sz w:val="18"/>
          <w:szCs w:val="18"/>
          <w:color w:val="auto"/>
        </w:rPr>
        <w:t>The Company’s revolving credit facility contains financial and other restrictive covenants that limit the Company’s ability to return capital to stockholders or otherwise engage in activities that may be in the Company’s long-term best interests. The Company’s inability to satisfy certain financial covenants could prevent the Company from paying cash dividends, and the Company’s failure to comply with those and other covenants could result in an event of default which, if not cured or waived, may entitle the related lenders to demand repayment or enforce their security interests, which could have a material adverse effect on the Company’s business, financial condition, results of operations and cash flows. In addition, failure to comply with such covenants may entitle the related lenders to demand repayment and accelerate all such indebtedness.</w:t>
      </w:r>
    </w:p>
    <w:p>
      <w:pPr>
        <w:spacing w:after="0" w:line="118" w:lineRule="exact"/>
        <w:rPr>
          <w:sz w:val="20"/>
          <w:szCs w:val="20"/>
          <w:color w:val="auto"/>
        </w:rPr>
      </w:pPr>
    </w:p>
    <w:p>
      <w:pPr>
        <w:jc w:val="both"/>
        <w:ind w:firstLine="448"/>
        <w:spacing w:after="0" w:line="283" w:lineRule="auto"/>
        <w:rPr>
          <w:sz w:val="20"/>
          <w:szCs w:val="20"/>
          <w:color w:val="auto"/>
        </w:rPr>
      </w:pPr>
      <w:r>
        <w:rPr>
          <w:rFonts w:ascii="Arial" w:cs="Arial" w:eastAsia="Arial" w:hAnsi="Arial"/>
          <w:sz w:val="18"/>
          <w:szCs w:val="18"/>
          <w:color w:val="auto"/>
        </w:rPr>
        <w:t>The agreements governing the Company’s project-level financing contain financial and other restrictive covenants that limit the Company’s project subsidiaries’ ability to make distributions to the Company or otherwise engage in activities that may be in the Company’s long-term best interests. The project-level financing agreements generally prohibit distributions from the project entities to the Company unless certain specific conditions are met, including the satisfaction of certain financial ratios. The Company’s inability to satisfy certain financial covenants may prevent cash distributions by the particular project(s) to it and, the Company’s failure to comply with those and other covenants could result in an event of default which, if not cured or waived may entitle the related lenders to demand repayment or enforce their security interests, which could have a material adverse effect on the Company’s business, results of operations and financial condition. In addition, failure to comply with such covenants may entitle the related lenders to demand repayment and accelerate all such indebtedness. If the Company is unable to make distributions from the Company’s project-level subsidiaries, it would likely have a material adverse effect on the Company’s ability to pay dividends to holders of the Company’s common stock.</w:t>
      </w:r>
    </w:p>
    <w:p>
      <w:pPr>
        <w:spacing w:after="0" w:line="121" w:lineRule="exact"/>
        <w:rPr>
          <w:sz w:val="20"/>
          <w:szCs w:val="20"/>
          <w:color w:val="auto"/>
        </w:rPr>
      </w:pPr>
    </w:p>
    <w:p>
      <w:pPr>
        <w:jc w:val="both"/>
        <w:ind w:firstLine="448"/>
        <w:spacing w:after="0" w:line="287" w:lineRule="auto"/>
        <w:rPr>
          <w:sz w:val="20"/>
          <w:szCs w:val="20"/>
          <w:color w:val="auto"/>
        </w:rPr>
      </w:pPr>
      <w:r>
        <w:rPr>
          <w:rFonts w:ascii="Arial" w:cs="Arial" w:eastAsia="Arial" w:hAnsi="Arial"/>
          <w:sz w:val="18"/>
          <w:szCs w:val="18"/>
          <w:color w:val="auto"/>
        </w:rPr>
        <w:t>Letter of credit facilities to support project-level contractual obligations generally have a limited term that may require future renewal, at which time the Company or relevant project-level subsidiary will need to satisfy applicable financial ratios and covenants. If the Company is unable to renew the Company’s letters of credit as expected or replace them with letters of credit under different facilities on favorable terms or at all, the Company may experience a material adverse effect on its business, financial condition, results of operations and cash flows. Furthermore, such inability may constitute a default under certain project-level financing arrangements, restrict the ability of the project-level subsidiary to make distributions to it and/or reduce the amount of cash available at such subsidiary to make distributions to the Company.</w:t>
      </w:r>
    </w:p>
    <w:p>
      <w:pPr>
        <w:sectPr>
          <w:pgSz w:w="11880" w:h="15480" w:orient="portrait"/>
          <w:cols w:equalWidth="0" w:num="1">
            <w:col w:w="10200"/>
          </w:cols>
          <w:pgMar w:left="840" w:top="411"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880" w:h="15480" w:orient="portrait"/>
          <w:cols w:equalWidth="0" w:num="1">
            <w:col w:w="10200"/>
          </w:cols>
          <w:pgMar w:left="840" w:top="411" w:right="840" w:bottom="0" w:gutter="0" w:footer="0" w:header="0"/>
          <w:type w:val="continuous"/>
        </w:sectPr>
      </w:pPr>
    </w:p>
    <w:bookmarkStart w:id="20" w:name="page21"/>
    <w:bookmarkEnd w:id="20"/>
    <w:p>
      <w:pPr>
        <w:ind w:firstLine="448"/>
        <w:spacing w:after="0" w:line="280" w:lineRule="auto"/>
        <w:rPr>
          <w:sz w:val="20"/>
          <w:szCs w:val="20"/>
          <w:color w:val="auto"/>
        </w:rPr>
      </w:pPr>
      <w:r>
        <w:rPr>
          <w:rFonts w:ascii="Arial" w:cs="Arial" w:eastAsia="Arial" w:hAnsi="Arial"/>
          <w:sz w:val="20"/>
          <w:szCs w:val="20"/>
          <w:color w:val="auto"/>
        </w:rPr>
        <w:t>In addition, the Company’s ability to arrange financing, either at the corporate level or at a non-recourse project-level subsidiary, and the costs of such capital, are dependent on numerous factors, including:</w:t>
      </w:r>
    </w:p>
    <w:p>
      <w:pPr>
        <w:spacing w:after="0" w:line="60" w:lineRule="exact"/>
        <w:rPr>
          <w:sz w:val="20"/>
          <w:szCs w:val="20"/>
          <w:color w:val="auto"/>
        </w:rPr>
      </w:pPr>
    </w:p>
    <w:p>
      <w:pPr>
        <w:ind w:left="720" w:hanging="366"/>
        <w:spacing w:after="0"/>
        <w:tabs>
          <w:tab w:leader="none" w:pos="7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general economic and capital market conditions;</w:t>
      </w:r>
    </w:p>
    <w:p>
      <w:pPr>
        <w:spacing w:after="0" w:line="68" w:lineRule="exact"/>
        <w:rPr>
          <w:rFonts w:ascii="Arial" w:cs="Arial" w:eastAsia="Arial" w:hAnsi="Arial"/>
          <w:sz w:val="20"/>
          <w:szCs w:val="20"/>
          <w:color w:val="auto"/>
        </w:rPr>
      </w:pPr>
    </w:p>
    <w:p>
      <w:pPr>
        <w:ind w:left="720" w:hanging="366"/>
        <w:spacing w:after="0"/>
        <w:tabs>
          <w:tab w:leader="none" w:pos="7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credit availability from banks and other financial institutions;</w:t>
      </w:r>
    </w:p>
    <w:p>
      <w:pPr>
        <w:spacing w:after="0" w:line="68" w:lineRule="exact"/>
        <w:rPr>
          <w:rFonts w:ascii="Arial" w:cs="Arial" w:eastAsia="Arial" w:hAnsi="Arial"/>
          <w:sz w:val="20"/>
          <w:szCs w:val="20"/>
          <w:color w:val="auto"/>
        </w:rPr>
      </w:pPr>
    </w:p>
    <w:p>
      <w:pPr>
        <w:ind w:left="720" w:hanging="366"/>
        <w:spacing w:after="0" w:line="280" w:lineRule="auto"/>
        <w:tabs>
          <w:tab w:leader="none" w:pos="7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investor confidence in the Company, its partners, GIP and TotalEnergies, through CEG, the Company’s principal stockholder (on a combined voting basis), and the regional wholesale power markets;</w:t>
      </w:r>
    </w:p>
    <w:p>
      <w:pPr>
        <w:ind w:left="720" w:hanging="366"/>
        <w:spacing w:after="0"/>
        <w:tabs>
          <w:tab w:leader="none" w:pos="7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Company’s financial performance and the financial performance of the Company subsidiaries;</w:t>
      </w:r>
    </w:p>
    <w:p>
      <w:pPr>
        <w:spacing w:after="0" w:line="68" w:lineRule="exact"/>
        <w:rPr>
          <w:rFonts w:ascii="Arial" w:cs="Arial" w:eastAsia="Arial" w:hAnsi="Arial"/>
          <w:sz w:val="20"/>
          <w:szCs w:val="20"/>
          <w:color w:val="auto"/>
        </w:rPr>
      </w:pPr>
    </w:p>
    <w:p>
      <w:pPr>
        <w:ind w:left="720" w:hanging="366"/>
        <w:spacing w:after="0"/>
        <w:tabs>
          <w:tab w:leader="none" w:pos="7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Company’s level of indebtedness and compliance with covenants in debt agreements;</w:t>
      </w:r>
    </w:p>
    <w:p>
      <w:pPr>
        <w:spacing w:after="0" w:line="68" w:lineRule="exact"/>
        <w:rPr>
          <w:rFonts w:ascii="Arial" w:cs="Arial" w:eastAsia="Arial" w:hAnsi="Arial"/>
          <w:sz w:val="20"/>
          <w:szCs w:val="20"/>
          <w:color w:val="auto"/>
        </w:rPr>
      </w:pPr>
    </w:p>
    <w:p>
      <w:pPr>
        <w:ind w:left="720" w:hanging="366"/>
        <w:spacing w:after="0"/>
        <w:tabs>
          <w:tab w:leader="none" w:pos="7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maintenance of acceptable project credit ratings or credit quality;</w:t>
      </w:r>
    </w:p>
    <w:p>
      <w:pPr>
        <w:spacing w:after="0" w:line="68" w:lineRule="exact"/>
        <w:rPr>
          <w:rFonts w:ascii="Arial" w:cs="Arial" w:eastAsia="Arial" w:hAnsi="Arial"/>
          <w:sz w:val="20"/>
          <w:szCs w:val="20"/>
          <w:color w:val="auto"/>
        </w:rPr>
      </w:pPr>
    </w:p>
    <w:p>
      <w:pPr>
        <w:ind w:left="720" w:hanging="366"/>
        <w:spacing w:after="0"/>
        <w:tabs>
          <w:tab w:leader="none" w:pos="7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cash flow; and</w:t>
      </w:r>
    </w:p>
    <w:p>
      <w:pPr>
        <w:spacing w:after="0" w:line="68" w:lineRule="exact"/>
        <w:rPr>
          <w:rFonts w:ascii="Arial" w:cs="Arial" w:eastAsia="Arial" w:hAnsi="Arial"/>
          <w:sz w:val="20"/>
          <w:szCs w:val="20"/>
          <w:color w:val="auto"/>
        </w:rPr>
      </w:pPr>
    </w:p>
    <w:p>
      <w:pPr>
        <w:ind w:left="720" w:hanging="366"/>
        <w:spacing w:after="0"/>
        <w:tabs>
          <w:tab w:leader="none" w:pos="7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provisions of tax and securities laws that may impact raising capital.</w:t>
      </w:r>
    </w:p>
    <w:p>
      <w:pPr>
        <w:spacing w:after="0" w:line="188" w:lineRule="exact"/>
        <w:rPr>
          <w:sz w:val="20"/>
          <w:szCs w:val="20"/>
          <w:color w:val="auto"/>
        </w:rPr>
      </w:pPr>
    </w:p>
    <w:p>
      <w:pPr>
        <w:jc w:val="both"/>
        <w:ind w:firstLine="448"/>
        <w:spacing w:after="0" w:line="255" w:lineRule="auto"/>
        <w:rPr>
          <w:sz w:val="20"/>
          <w:szCs w:val="20"/>
          <w:color w:val="auto"/>
        </w:rPr>
      </w:pPr>
      <w:r>
        <w:rPr>
          <w:rFonts w:ascii="Arial" w:cs="Arial" w:eastAsia="Arial" w:hAnsi="Arial"/>
          <w:sz w:val="20"/>
          <w:szCs w:val="20"/>
          <w:color w:val="auto"/>
        </w:rPr>
        <w:t>The Company may not be successful in obtaining additional capital for these or other reasons. Furthermore, the Company may be unable to refinance or replace project-level financing arrangements or other credit facilities on favorable terms or at all upon the expiration or termination thereof. The Company’s failure, or the failure of any of the Company’s projects, to obtain additional capital or enter into new or replacement financing arrangements when due may constitute a default under such existing indebtedness and may have a material adverse effect on the Company’s business, financial condition, results of operations and cash flows.</w:t>
      </w:r>
    </w:p>
    <w:p>
      <w:pPr>
        <w:spacing w:after="0" w:line="138" w:lineRule="exact"/>
        <w:rPr>
          <w:sz w:val="20"/>
          <w:szCs w:val="20"/>
          <w:color w:val="auto"/>
        </w:rPr>
      </w:pPr>
    </w:p>
    <w:p>
      <w:pPr>
        <w:jc w:val="both"/>
        <w:spacing w:after="0" w:line="286" w:lineRule="auto"/>
        <w:rPr>
          <w:sz w:val="20"/>
          <w:szCs w:val="20"/>
          <w:color w:val="auto"/>
        </w:rPr>
      </w:pPr>
      <w:r>
        <w:rPr>
          <w:rFonts w:ascii="Arial" w:cs="Arial" w:eastAsia="Arial" w:hAnsi="Arial"/>
          <w:sz w:val="20"/>
          <w:szCs w:val="20"/>
          <w:b w:val="1"/>
          <w:bCs w:val="1"/>
          <w:i w:val="1"/>
          <w:iCs w:val="1"/>
          <w:color w:val="auto"/>
        </w:rPr>
        <w:t>Certain of the Company’s long-term bilateral contracts result from state-mandated procurements and could be declared invalid by a court of competent jurisdiction.</w:t>
      </w:r>
    </w:p>
    <w:p>
      <w:pPr>
        <w:spacing w:after="0" w:line="117" w:lineRule="exact"/>
        <w:rPr>
          <w:sz w:val="20"/>
          <w:szCs w:val="20"/>
          <w:color w:val="auto"/>
        </w:rPr>
      </w:pPr>
    </w:p>
    <w:p>
      <w:pPr>
        <w:jc w:val="both"/>
        <w:ind w:firstLine="448"/>
        <w:spacing w:after="0" w:line="268" w:lineRule="auto"/>
        <w:rPr>
          <w:sz w:val="20"/>
          <w:szCs w:val="20"/>
          <w:color w:val="auto"/>
        </w:rPr>
      </w:pPr>
      <w:r>
        <w:rPr>
          <w:rFonts w:ascii="Arial" w:cs="Arial" w:eastAsia="Arial" w:hAnsi="Arial"/>
          <w:sz w:val="19"/>
          <w:szCs w:val="19"/>
          <w:color w:val="auto"/>
        </w:rPr>
        <w:t>A portion of the Company’s revenues are derived from long-term bilateral contracts with utilities that are regulated by their respective states and have been entered into pursuant to certain state programs. Certain long-term contracts that other companies have with state-regulated utilities have been challenged in federal court and have been declared unconstitutional on the grounds that the rate for energy and capacity established by the contracts impermissibly conflicts with the rate for energy and capacity established by FERC pursuant to the FPA. If certain of the Company’s state-mandated agreements with utilities are ever held to be invalid or unenforceable due to the financial conditions or other conditions of such utility, the Company may be unable to replace such contracts, which could have a material adverse effect on the Company’s business, financial condition, results of operations and cash flows.</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20"/>
          <w:szCs w:val="20"/>
          <w:b w:val="1"/>
          <w:bCs w:val="1"/>
          <w:i w:val="1"/>
          <w:iCs w:val="1"/>
          <w:color w:val="auto"/>
        </w:rPr>
        <w:t>The generation of electric energy from solar and wind energy sources depends heavily on suitable meteorological conditions.</w:t>
      </w:r>
    </w:p>
    <w:p>
      <w:pPr>
        <w:spacing w:after="0" w:line="117" w:lineRule="exact"/>
        <w:rPr>
          <w:sz w:val="20"/>
          <w:szCs w:val="20"/>
          <w:color w:val="auto"/>
        </w:rPr>
      </w:pPr>
    </w:p>
    <w:p>
      <w:pPr>
        <w:jc w:val="both"/>
        <w:ind w:firstLine="448"/>
        <w:spacing w:after="0" w:line="280" w:lineRule="auto"/>
        <w:rPr>
          <w:sz w:val="20"/>
          <w:szCs w:val="20"/>
          <w:color w:val="auto"/>
        </w:rPr>
      </w:pPr>
      <w:r>
        <w:rPr>
          <w:rFonts w:ascii="Arial" w:cs="Arial" w:eastAsia="Arial" w:hAnsi="Arial"/>
          <w:sz w:val="18"/>
          <w:szCs w:val="18"/>
          <w:color w:val="auto"/>
        </w:rPr>
        <w:t>If solar or wind conditions are unfavorable, the Company’s electricity generation and revenue from renewable generation facilities may be substantially below the Company’s expectations. The electricity produced and revenues generated by a solar or wind energy generation facility is highly dependent on suitable solar or wind conditions, as applicable, and associated weather conditions, which are beyond the Company’s control. Disruption in the generation of solar or wind energy could limit a facility’s ability to generate electricity at its desired level. Should a generation facility fail to perform at the required levels, or other unplanned disruptions occur, the facility may be forced to fulfill an underlying contractual obligation by purchasing electricity at higher prices. In addition, the Company’s facilities may be exposed, based on specific contractual terms, to a locational basis risk resulting from a difference in the price received for generation sold at the location where the power is generated and the price paid for generation purchased at the contracted delivery point, which could lead to potential lower revenues in circumstances where the price received is lower than the price that is paid. Furthermore, components of the Company’s systems, such as solar panels and inverters, could be damaged by severe weather, such as wildfires, hailstorms, lightning, tornadoes or freezing temperatures and other winter weather conditions. Unfavorable weather and atmospheric conditions could impair the effectiveness of the Company’s assets or reduce their output beneath their rated capacity or require shutdown of key equipment, impeding operation of the Company’s renewable assets. For example, in February 2021, the Company’s wind projects in Texas were unable to operate and experienced outages for a few days as a result of the extreme winter weather conditions. In addition, climate change may have the long-term effect of changing wind patterns at the Company’s projects. Changing wind patterns could cause changes in expected electricity generation. These events could also degrade equipment or components and the interconnection and transmission facilities’ lives or maintenance costs.</w:t>
      </w:r>
    </w:p>
    <w:p>
      <w:pPr>
        <w:sectPr>
          <w:pgSz w:w="11880" w:h="15480" w:orient="portrait"/>
          <w:cols w:equalWidth="0" w:num="1">
            <w:col w:w="10200"/>
          </w:cols>
          <w:pgMar w:left="840" w:top="411"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880" w:h="15480" w:orient="portrait"/>
          <w:cols w:equalWidth="0" w:num="1">
            <w:col w:w="10200"/>
          </w:cols>
          <w:pgMar w:left="840" w:top="411" w:right="840" w:bottom="0" w:gutter="0" w:footer="0" w:header="0"/>
          <w:type w:val="continuous"/>
        </w:sectPr>
      </w:pPr>
    </w:p>
    <w:bookmarkStart w:id="21" w:name="page22"/>
    <w:bookmarkEnd w:id="21"/>
    <w:p>
      <w:pPr>
        <w:jc w:val="both"/>
        <w:ind w:firstLine="448"/>
        <w:spacing w:after="0" w:line="289" w:lineRule="auto"/>
        <w:rPr>
          <w:sz w:val="20"/>
          <w:szCs w:val="20"/>
          <w:color w:val="auto"/>
        </w:rPr>
      </w:pPr>
      <w:r>
        <w:rPr>
          <w:rFonts w:ascii="Arial" w:cs="Arial" w:eastAsia="Arial" w:hAnsi="Arial"/>
          <w:sz w:val="18"/>
          <w:szCs w:val="18"/>
          <w:color w:val="auto"/>
        </w:rPr>
        <w:t>Although the Company bases its investment decisions with respect to each renewable generation facility on the findings of related wind and solar studies conducted on-site prior to construction or based on historical conditions at existing facilities, actual climatic conditions at a facility site, particularly wind conditions, may not conform to the findings of these studies and may be affected by variations in weather patterns, including any potential impact of climate change. Therefore, the Company’s solar and wind energy facilities may not meet anticipated production levels or the rated capacity of the Company’s generation assets, which could adversely affect the Company’s business, financial condition, results of operations and cash flows.</w:t>
      </w:r>
    </w:p>
    <w:p>
      <w:pPr>
        <w:spacing w:after="0" w:line="108" w:lineRule="exact"/>
        <w:rPr>
          <w:sz w:val="20"/>
          <w:szCs w:val="20"/>
          <w:color w:val="auto"/>
        </w:rPr>
      </w:pPr>
    </w:p>
    <w:p>
      <w:pPr>
        <w:jc w:val="both"/>
        <w:spacing w:after="0" w:line="379" w:lineRule="auto"/>
        <w:rPr>
          <w:sz w:val="20"/>
          <w:szCs w:val="20"/>
          <w:color w:val="auto"/>
        </w:rPr>
      </w:pPr>
      <w:r>
        <w:rPr>
          <w:rFonts w:ascii="Arial" w:cs="Arial" w:eastAsia="Arial" w:hAnsi="Arial"/>
          <w:sz w:val="17"/>
          <w:szCs w:val="17"/>
          <w:b w:val="1"/>
          <w:bCs w:val="1"/>
          <w:i w:val="1"/>
          <w:iCs w:val="1"/>
          <w:color w:val="auto"/>
        </w:rPr>
        <w:t>Operation of electric generation facilities involves significant risks and hazards customary to the power industry that could have a material adverse effect on the Company’s business, financial condition, results of operations and cash flows.</w:t>
      </w:r>
    </w:p>
    <w:p>
      <w:pPr>
        <w:spacing w:after="0" w:line="47" w:lineRule="exact"/>
        <w:rPr>
          <w:sz w:val="20"/>
          <w:szCs w:val="20"/>
          <w:color w:val="auto"/>
        </w:rPr>
      </w:pPr>
    </w:p>
    <w:p>
      <w:pPr>
        <w:jc w:val="both"/>
        <w:ind w:firstLine="448"/>
        <w:spacing w:after="0" w:line="279" w:lineRule="auto"/>
        <w:rPr>
          <w:sz w:val="20"/>
          <w:szCs w:val="20"/>
          <w:color w:val="auto"/>
        </w:rPr>
      </w:pPr>
      <w:r>
        <w:rPr>
          <w:rFonts w:ascii="Arial" w:cs="Arial" w:eastAsia="Arial" w:hAnsi="Arial"/>
          <w:sz w:val="18"/>
          <w:szCs w:val="18"/>
          <w:color w:val="auto"/>
        </w:rPr>
        <w:t>The ongoing operation of the Company’s facilities involves risks that include the breakdown or failure of equipment or processes or performance below expected levels of output or efficiency due to wear and tear, latent defect, design error, operator error or force majeure events, among other things. The Company’s facilities are subject to the risks inherent with power generation facilities, including, but not limited to, degradation of equipment in excess of the Company’s expectations, system failures and outages, which could impair the ability of the facilities to meet the Company’s performance expectations. In addition, replacement and spare parts for key components may be difficult or costly to acquire or may be unavailable. Operation of the Company’s facilities also involves risks that the Company will be unable to transport its products to its customers in an efficient manner due to a lack of transmission capacity. Unplanned outages of generating units, including extensions of scheduled outages due to mechanical failures or other problems, occur from time to time and are an inherent risk of the business. Unplanned outages typically increase operation and maintenance expenses, capital expenditures and may reduce revenues as a result of selling fewer MWh or require the Company to incur significant costs as a result of obtaining substitute RA or replacement power from third parties in the open market to satisfy forward power sales obligations. The Company’s inability to operate its electric generation assets efficiently, manage capital expenditures and costs and generate earnings and cash flow from the Company’s asset-based businesses could have a material adverse effect on the Company’s business, financial condition, results of operations and cash flows. While the Company maintains insurance, obtains warranties from vendors and obligates contractors to meet certain performance levels, the proceeds of such insurance, warranties or performance guarantees may not cover the Company’s lost revenues, increased expenses or liquidated damages payments should it experience equipment breakdown or non-performance by contractors or vendors. The Company maintains an amount of insurance protection that it considers adequate but cannot provide any assurance that the Company’s insurance will be sufficient or effective under all circumstances and against all hazards or liabilities to which the Company may be subject. Furthermore, the Company’s insurance coverage is subject to deductibles, caps, exclusions and other limitations. A loss for which the Company is not fully insured (which may include a significant judgment against any facility or facility operator) could have a material adverse effect on the Company’s business, financial condition, results of operations or cash flows. Further, due to rising insurance costs and changes in the insurance markets, the Company cannot provide any assurance that its insurance coverage will continue to be available at all or at rates or on terms similar to those presently available. Any losses not covered by insurance could have a material adverse effect on the Company’s business, financial condition, results of operations and cash flows.</w:t>
      </w:r>
    </w:p>
    <w:p>
      <w:pPr>
        <w:spacing w:after="0" w:line="130" w:lineRule="exact"/>
        <w:rPr>
          <w:sz w:val="20"/>
          <w:szCs w:val="20"/>
          <w:color w:val="auto"/>
        </w:rPr>
      </w:pPr>
    </w:p>
    <w:p>
      <w:pPr>
        <w:jc w:val="both"/>
        <w:ind w:firstLine="448"/>
        <w:spacing w:after="0" w:line="284" w:lineRule="auto"/>
        <w:rPr>
          <w:sz w:val="20"/>
          <w:szCs w:val="20"/>
          <w:color w:val="auto"/>
        </w:rPr>
      </w:pPr>
      <w:r>
        <w:rPr>
          <w:rFonts w:ascii="Arial" w:cs="Arial" w:eastAsia="Arial" w:hAnsi="Arial"/>
          <w:sz w:val="18"/>
          <w:szCs w:val="18"/>
          <w:color w:val="auto"/>
        </w:rPr>
        <w:t>Power generation involves hazardous activities, including acquiring, transporting and unloading fuel, operating large pieces of rotating equipment and delivering electricity to transmission and distribution systems. In addition to natural risks such as earthquakes, floods, lightning, hurricanes and strong wind, other hazards, such as fire, explosion, structural collapse and machinery failure are inherent risks in the Company’s operations. These and other hazards can cause significant personal injury or loss of life, severe damage to and destruction of property, plant and equipment and contamination of, or damage to, the environment and suspension of operations. To the extent an event was not covered by insurance policies, such incidents could subject the Company to substantial liabilities arising from emergency response, environmental cleanup and restoration costs, claims made by neighboring landowners and other third parties for personal injury and property damage, and fines or penalties for any related violations of environmental laws or regulations.</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Company’s facilities may operate, wholly or partially, without long-term power sales agreements.</w:t>
      </w:r>
    </w:p>
    <w:p>
      <w:pPr>
        <w:spacing w:after="0" w:line="196" w:lineRule="exact"/>
        <w:rPr>
          <w:sz w:val="20"/>
          <w:szCs w:val="20"/>
          <w:color w:val="auto"/>
        </w:rPr>
      </w:pPr>
    </w:p>
    <w:p>
      <w:pPr>
        <w:jc w:val="both"/>
        <w:ind w:firstLine="448"/>
        <w:spacing w:after="0" w:line="254" w:lineRule="auto"/>
        <w:rPr>
          <w:sz w:val="20"/>
          <w:szCs w:val="20"/>
          <w:color w:val="auto"/>
        </w:rPr>
      </w:pPr>
      <w:r>
        <w:rPr>
          <w:rFonts w:ascii="Arial" w:cs="Arial" w:eastAsia="Arial" w:hAnsi="Arial"/>
          <w:sz w:val="20"/>
          <w:szCs w:val="20"/>
          <w:color w:val="auto"/>
        </w:rPr>
        <w:t>The Company’s facilities may operate without long-term power sales agreements for some or all of their generating capacity and output and therefore be exposed to market fluctuations. Without the benefit of long-term power sales agreements for the facilities, the Company cannot be sure that it will be able to sell any or all of the power generated by the facilities at economic rates or that the facilities will be able to operate profitably. This could lead to less predictable revenues, future impairments of the Company’s property, plant and equipment or to the closing of certain of its facilities, resulting in economic losses and liabilities, which could have a material adverse effect on the Company’s results of operations, financial condition or cash flows.</w:t>
      </w:r>
    </w:p>
    <w:p>
      <w:pPr>
        <w:sectPr>
          <w:pgSz w:w="11880" w:h="15480" w:orient="portrait"/>
          <w:cols w:equalWidth="0" w:num="1">
            <w:col w:w="10200"/>
          </w:cols>
          <w:pgMar w:left="840" w:top="411"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880" w:h="15480" w:orient="portrait"/>
          <w:cols w:equalWidth="0" w:num="1">
            <w:col w:w="10200"/>
          </w:cols>
          <w:pgMar w:left="840" w:top="411" w:right="840" w:bottom="0" w:gutter="0" w:footer="0" w:header="0"/>
          <w:type w:val="continuous"/>
        </w:sectPr>
      </w:pPr>
    </w:p>
    <w:bookmarkStart w:id="22" w:name="page23"/>
    <w:bookmarkEnd w:id="22"/>
    <w:p>
      <w:pPr>
        <w:jc w:val="both"/>
        <w:spacing w:after="0" w:line="286" w:lineRule="auto"/>
        <w:rPr>
          <w:sz w:val="20"/>
          <w:szCs w:val="20"/>
          <w:color w:val="auto"/>
        </w:rPr>
      </w:pPr>
      <w:r>
        <w:rPr>
          <w:rFonts w:ascii="Arial" w:cs="Arial" w:eastAsia="Arial" w:hAnsi="Arial"/>
          <w:sz w:val="20"/>
          <w:szCs w:val="20"/>
          <w:b w:val="1"/>
          <w:bCs w:val="1"/>
          <w:i w:val="1"/>
          <w:iCs w:val="1"/>
          <w:color w:val="auto"/>
        </w:rPr>
        <w:t>Maintenance, expansion and refurbishment of electric generation facilities involve significant risks that could result in unplanned power outages or reduced output.</w:t>
      </w:r>
    </w:p>
    <w:p>
      <w:pPr>
        <w:spacing w:after="0" w:line="117" w:lineRule="exact"/>
        <w:rPr>
          <w:sz w:val="20"/>
          <w:szCs w:val="20"/>
          <w:color w:val="auto"/>
        </w:rPr>
      </w:pPr>
    </w:p>
    <w:p>
      <w:pPr>
        <w:jc w:val="both"/>
        <w:ind w:firstLine="448"/>
        <w:spacing w:after="0" w:line="289" w:lineRule="auto"/>
        <w:rPr>
          <w:sz w:val="20"/>
          <w:szCs w:val="20"/>
          <w:color w:val="auto"/>
        </w:rPr>
      </w:pPr>
      <w:r>
        <w:rPr>
          <w:rFonts w:ascii="Arial" w:cs="Arial" w:eastAsia="Arial" w:hAnsi="Arial"/>
          <w:sz w:val="18"/>
          <w:szCs w:val="18"/>
          <w:color w:val="auto"/>
        </w:rPr>
        <w:t>The Company’s facilities may require periodic upgrading and improvement. Any unexpected operational or mechanical failure, including failure associated with breakdowns and forced outages, could reduce the Company’s facilities’ generating capacity below expected levels, reducing the Company’s revenues and jeopardizing the Company’s ability to pay dividends to holders of its common stock at expected levels or at all. Degradation of the performance of the Company’s solar facilities above levels provided for in the related offtake agreements may also reduce the Company’s revenues. Unanticipated capital expenditures associated with maintaining, upgrading or repairing the Company’s facilities may also reduce profitability.</w:t>
      </w:r>
    </w:p>
    <w:p>
      <w:pPr>
        <w:spacing w:after="0" w:line="116" w:lineRule="exact"/>
        <w:rPr>
          <w:sz w:val="20"/>
          <w:szCs w:val="20"/>
          <w:color w:val="auto"/>
        </w:rPr>
      </w:pPr>
    </w:p>
    <w:p>
      <w:pPr>
        <w:jc w:val="both"/>
        <w:ind w:firstLine="448"/>
        <w:spacing w:after="0" w:line="268" w:lineRule="auto"/>
        <w:rPr>
          <w:sz w:val="20"/>
          <w:szCs w:val="20"/>
          <w:color w:val="auto"/>
        </w:rPr>
      </w:pPr>
      <w:r>
        <w:rPr>
          <w:rFonts w:ascii="Arial" w:cs="Arial" w:eastAsia="Arial" w:hAnsi="Arial"/>
          <w:sz w:val="19"/>
          <w:szCs w:val="19"/>
          <w:color w:val="auto"/>
        </w:rPr>
        <w:t>If the Company makes any major modifications to its conventional power generation facilities, it may be required to install the best available control technology or to achieve the lowest achievable emission rates as such terms are defined under the new source review provisions of the Clean Air Act in the future. Any such modifications could likely result in substantial additional capital expenditures. The Company may also choose to repower, refurbish or upgrade its facilities based on its assessment that such activity will provide adequate financial returns. Such facilities require time for development and capital expenditures before commencement of commercial operations, and key assumptions underpinning a decision to make such an investment may prove incorrect, including assumptions regarding construction costs, timing, available financing and future fuel and power prices. These events could have a material adverse effect on the Company’s business, financial condition, results of operations and cash flows.</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20"/>
          <w:szCs w:val="20"/>
          <w:b w:val="1"/>
          <w:bCs w:val="1"/>
          <w:i w:val="1"/>
          <w:iCs w:val="1"/>
          <w:color w:val="auto"/>
        </w:rPr>
        <w:t>Supplier and/or customer concentration at certain of the Company’s facilities may expose the Company to significant financial credit or performance risks.</w:t>
      </w:r>
    </w:p>
    <w:p>
      <w:pPr>
        <w:spacing w:after="0" w:line="117" w:lineRule="exact"/>
        <w:rPr>
          <w:sz w:val="20"/>
          <w:szCs w:val="20"/>
          <w:color w:val="auto"/>
        </w:rPr>
      </w:pPr>
    </w:p>
    <w:p>
      <w:pPr>
        <w:jc w:val="both"/>
        <w:ind w:firstLine="448"/>
        <w:spacing w:after="0" w:line="282" w:lineRule="auto"/>
        <w:rPr>
          <w:sz w:val="20"/>
          <w:szCs w:val="20"/>
          <w:color w:val="auto"/>
        </w:rPr>
      </w:pPr>
      <w:r>
        <w:rPr>
          <w:rFonts w:ascii="Arial" w:cs="Arial" w:eastAsia="Arial" w:hAnsi="Arial"/>
          <w:sz w:val="18"/>
          <w:szCs w:val="18"/>
          <w:color w:val="auto"/>
        </w:rPr>
        <w:t>The Company often relies on a single contracted supplier or a small number of suppliers for the provision of fuel, transportation of fuel, equipment, technology and/or other services required for the operation of certain facilities. In addition, certain of the Company’s suppliers provide long-term warranties with respect to the performance of their products or services. If any of these suppliers cannot perform under their agreements with the Company, or satisfy their related warranty obligations, the Company will need to utilize the marketplace to provide or repair these products and services. There can be no assurance that the marketplace can provide these products and services as, when and where required. The Company may not be able to enter into replacement agreements on favorable terms or at all. If the Company is unable to enter into replacement agreements to provide for fuel, equipment, technology and other required services, it would seek to purchase the related goods or services at market prices, exposing the Company to market price volatility and the risk that fuel and transportation may not be available during certain periods at any price. The Company may also be required to make significant capital contributions to remove, replace or redesign equipment that cannot be supported or maintained by replacement suppliers, which could have a material adverse effect on the business, financial condition, results of operations, credit support terms and cash flows.</w:t>
      </w:r>
    </w:p>
    <w:p>
      <w:pPr>
        <w:spacing w:after="0" w:line="126" w:lineRule="exact"/>
        <w:rPr>
          <w:sz w:val="20"/>
          <w:szCs w:val="20"/>
          <w:color w:val="auto"/>
        </w:rPr>
      </w:pPr>
    </w:p>
    <w:p>
      <w:pPr>
        <w:jc w:val="both"/>
        <w:ind w:firstLine="448"/>
        <w:spacing w:after="0" w:line="259" w:lineRule="auto"/>
        <w:rPr>
          <w:sz w:val="20"/>
          <w:szCs w:val="20"/>
          <w:color w:val="auto"/>
        </w:rPr>
      </w:pPr>
      <w:r>
        <w:rPr>
          <w:rFonts w:ascii="Arial" w:cs="Arial" w:eastAsia="Arial" w:hAnsi="Arial"/>
          <w:sz w:val="20"/>
          <w:szCs w:val="20"/>
          <w:color w:val="auto"/>
        </w:rPr>
        <w:t>The failure of any supplier to fulfill its contractual obligations to the Company or the Company’s loss of potential or existing customers could have a material adverse effect on its financial results. Consequently, the financial performance of the Company’s facilities is dependent on the credit quality of, and continued performance by, the Company’s suppliers and vendors and the Company’s ability to solicit and retain customers.</w:t>
      </w:r>
    </w:p>
    <w:p>
      <w:pPr>
        <w:spacing w:after="0" w:line="133" w:lineRule="exact"/>
        <w:rPr>
          <w:sz w:val="20"/>
          <w:szCs w:val="20"/>
          <w:color w:val="auto"/>
        </w:rPr>
      </w:pPr>
    </w:p>
    <w:p>
      <w:pPr>
        <w:jc w:val="both"/>
        <w:spacing w:after="0" w:line="344" w:lineRule="auto"/>
        <w:rPr>
          <w:sz w:val="20"/>
          <w:szCs w:val="20"/>
          <w:color w:val="auto"/>
        </w:rPr>
      </w:pPr>
      <w:r>
        <w:rPr>
          <w:rFonts w:ascii="Arial" w:cs="Arial" w:eastAsia="Arial" w:hAnsi="Arial"/>
          <w:sz w:val="18"/>
          <w:szCs w:val="18"/>
          <w:b w:val="1"/>
          <w:bCs w:val="1"/>
          <w:i w:val="1"/>
          <w:iCs w:val="1"/>
          <w:color w:val="auto"/>
        </w:rPr>
        <w:t>The Company currently owns, and in the future may acquire, certain assets in which the Company has limited control over management decisions and its interests in such assets may be subject to transfer or other related restrictions.</w:t>
      </w:r>
    </w:p>
    <w:p>
      <w:pPr>
        <w:spacing w:after="0" w:line="69" w:lineRule="exact"/>
        <w:rPr>
          <w:sz w:val="20"/>
          <w:szCs w:val="20"/>
          <w:color w:val="auto"/>
        </w:rPr>
      </w:pPr>
    </w:p>
    <w:p>
      <w:pPr>
        <w:jc w:val="both"/>
        <w:ind w:firstLine="448"/>
        <w:spacing w:after="0" w:line="281" w:lineRule="auto"/>
        <w:rPr>
          <w:sz w:val="20"/>
          <w:szCs w:val="20"/>
          <w:color w:val="auto"/>
        </w:rPr>
      </w:pPr>
      <w:r>
        <w:rPr>
          <w:rFonts w:ascii="Arial" w:cs="Arial" w:eastAsia="Arial" w:hAnsi="Arial"/>
          <w:sz w:val="18"/>
          <w:szCs w:val="18"/>
          <w:color w:val="auto"/>
        </w:rPr>
        <w:t xml:space="preserve">As described in Item 15 — Note 5, </w:t>
      </w:r>
      <w:r>
        <w:rPr>
          <w:rFonts w:ascii="Arial" w:cs="Arial" w:eastAsia="Arial" w:hAnsi="Arial"/>
          <w:sz w:val="18"/>
          <w:szCs w:val="18"/>
          <w:b w:val="1"/>
          <w:bCs w:val="1"/>
          <w:i w:val="1"/>
          <w:iCs w:val="1"/>
          <w:color w:val="auto"/>
        </w:rPr>
        <w:t>Investments Accounted for by the Equity Method and Variable Interest Entities</w:t>
      </w:r>
      <w:r>
        <w:rPr>
          <w:rFonts w:ascii="Arial" w:cs="Arial" w:eastAsia="Arial" w:hAnsi="Arial"/>
          <w:sz w:val="18"/>
          <w:szCs w:val="18"/>
          <w:color w:val="auto"/>
        </w:rPr>
        <w:t>, the Company has limited control over the operation of certain of its assets, because the Company beneficially owns less than a majority of the membership interests in such assets. The Company may seek to acquire additional assets in which it owns less than a majority of the related membership interests in the future. In these investments, the Company will seek to exert a degree of influence with respect to the management and operation of assets in which it owns less than a majority of the membership interests by negotiating to obtain positions on management committees or to receive certain limited governance rights, such as rights to veto significant actions. However, the Company may not always succeed in such negotiations. The Company may be dependent on its co-venturers to operate such assets. The Company’s co-venturers may not have the level of experience, technical expertise, human resources management and other attributes necessary to operate these assets optimally. In addition, conflicts of interest may arise in the future between the Company and its stockholders, on the one hand, and the Company’s co-venturers, on the other hand, where the Company’s co-venturers’ business interests are inconsistent with the interests of the Company and its stockholders. Further, disagreements or disputes between the Company and its co-venturers could result in litigation, which could increase expenses and potentially limit the time and effort the Company’s officers and directors are able to devote to the business.</w:t>
      </w:r>
    </w:p>
    <w:p>
      <w:pPr>
        <w:sectPr>
          <w:pgSz w:w="11880" w:h="15480" w:orient="portrait"/>
          <w:cols w:equalWidth="0" w:num="1">
            <w:col w:w="10200"/>
          </w:cols>
          <w:pgMar w:left="840" w:top="403"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880" w:h="15480" w:orient="portrait"/>
          <w:cols w:equalWidth="0" w:num="1">
            <w:col w:w="10200"/>
          </w:cols>
          <w:pgMar w:left="840" w:top="403" w:right="840" w:bottom="0" w:gutter="0" w:footer="0" w:header="0"/>
          <w:type w:val="continuous"/>
        </w:sectPr>
      </w:pPr>
    </w:p>
    <w:bookmarkStart w:id="23" w:name="page24"/>
    <w:bookmarkEnd w:id="23"/>
    <w:p>
      <w:pPr>
        <w:jc w:val="both"/>
        <w:ind w:firstLine="448"/>
        <w:spacing w:after="0" w:line="292" w:lineRule="auto"/>
        <w:rPr>
          <w:sz w:val="20"/>
          <w:szCs w:val="20"/>
          <w:color w:val="auto"/>
        </w:rPr>
      </w:pPr>
      <w:r>
        <w:rPr>
          <w:rFonts w:ascii="Arial" w:cs="Arial" w:eastAsia="Arial" w:hAnsi="Arial"/>
          <w:sz w:val="18"/>
          <w:szCs w:val="18"/>
          <w:color w:val="auto"/>
        </w:rPr>
        <w:t>The approval of co-venturers may also be required for the Company to receive distributions of funds from assets or to sell, pledge, transfer, assign or otherwise convey its interest in such assets, or for the Company to acquire CEG’s interests in such co-ventures as an initial matter. Alternatively, the Company’s co-venturers may have rights of first refusal or rights of first offer in the event of a proposed sale or transfer of the Company’s interests in such assets. These restrictions may limit the price or interest level for interests in such assets, in the event the Company wants to sell such interests.</w:t>
      </w:r>
    </w:p>
    <w:p>
      <w:pPr>
        <w:spacing w:after="0" w:line="114"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20"/>
          <w:szCs w:val="20"/>
          <w:color w:val="auto"/>
        </w:rPr>
        <w:t>Furthermore, certain of the Company’s facilities are operated by third-party operators. To the extent that third-party operators do not fulfill their obligations to manage operations of the facilities or are not effective in doing so, the amount of CAFD may be adversely affected.</w:t>
      </w:r>
    </w:p>
    <w:p>
      <w:pPr>
        <w:spacing w:after="0" w:line="126" w:lineRule="exact"/>
        <w:rPr>
          <w:sz w:val="20"/>
          <w:szCs w:val="20"/>
          <w:color w:val="auto"/>
        </w:rPr>
      </w:pPr>
    </w:p>
    <w:p>
      <w:pPr>
        <w:jc w:val="both"/>
        <w:spacing w:after="0" w:line="344" w:lineRule="auto"/>
        <w:rPr>
          <w:sz w:val="20"/>
          <w:szCs w:val="20"/>
          <w:color w:val="auto"/>
        </w:rPr>
      </w:pPr>
      <w:r>
        <w:rPr>
          <w:rFonts w:ascii="Arial" w:cs="Arial" w:eastAsia="Arial" w:hAnsi="Arial"/>
          <w:sz w:val="18"/>
          <w:szCs w:val="18"/>
          <w:b w:val="1"/>
          <w:bCs w:val="1"/>
          <w:i w:val="1"/>
          <w:iCs w:val="1"/>
          <w:color w:val="auto"/>
        </w:rPr>
        <w:t>The Company is exposed to risks inherent in the use of interest rate swaps and energy-related financial instruments. The Company may be exposed to additional risks in the future if it utilizes other derivative instruments.</w:t>
      </w:r>
    </w:p>
    <w:p>
      <w:pPr>
        <w:spacing w:after="0" w:line="72" w:lineRule="exact"/>
        <w:rPr>
          <w:sz w:val="20"/>
          <w:szCs w:val="20"/>
          <w:color w:val="auto"/>
        </w:rPr>
      </w:pPr>
    </w:p>
    <w:p>
      <w:pPr>
        <w:jc w:val="both"/>
        <w:ind w:firstLine="448"/>
        <w:spacing w:after="0" w:line="273" w:lineRule="auto"/>
        <w:rPr>
          <w:sz w:val="20"/>
          <w:szCs w:val="20"/>
          <w:color w:val="auto"/>
        </w:rPr>
      </w:pPr>
      <w:r>
        <w:rPr>
          <w:rFonts w:ascii="Arial" w:cs="Arial" w:eastAsia="Arial" w:hAnsi="Arial"/>
          <w:sz w:val="19"/>
          <w:szCs w:val="19"/>
          <w:color w:val="auto"/>
        </w:rPr>
        <w:t>The Company uses interest rate swaps to manage interest rate risk and uses energy-related financial instruments to manage variability in earnings due to fluctuations in market prices. As a result, changes in the underlying assumptions or use of alternative valuation methods could affect the reported fair value of these contracts. If the values of these financial contracts change in a manner that the Company does not anticipate, or if a counterparty fails to perform under a contract, it could harm the business, financial condition, results of operations and cash flows.</w:t>
      </w:r>
    </w:p>
    <w:p>
      <w:pPr>
        <w:spacing w:after="0" w:line="122" w:lineRule="exact"/>
        <w:rPr>
          <w:sz w:val="20"/>
          <w:szCs w:val="20"/>
          <w:color w:val="auto"/>
        </w:rPr>
      </w:pPr>
    </w:p>
    <w:p>
      <w:pPr>
        <w:jc w:val="both"/>
        <w:spacing w:after="0" w:line="286" w:lineRule="auto"/>
        <w:rPr>
          <w:sz w:val="20"/>
          <w:szCs w:val="20"/>
          <w:color w:val="auto"/>
        </w:rPr>
      </w:pPr>
      <w:r>
        <w:rPr>
          <w:rFonts w:ascii="Arial" w:cs="Arial" w:eastAsia="Arial" w:hAnsi="Arial"/>
          <w:sz w:val="20"/>
          <w:szCs w:val="20"/>
          <w:b w:val="1"/>
          <w:bCs w:val="1"/>
          <w:i w:val="1"/>
          <w:iCs w:val="1"/>
          <w:color w:val="auto"/>
        </w:rPr>
        <w:t>The Company does not own all of the land on which its power generation and energy storage assets are located, which could result in disruption to its operations.</w:t>
      </w:r>
    </w:p>
    <w:p>
      <w:pPr>
        <w:spacing w:after="0" w:line="117" w:lineRule="exact"/>
        <w:rPr>
          <w:sz w:val="20"/>
          <w:szCs w:val="20"/>
          <w:color w:val="auto"/>
        </w:rPr>
      </w:pPr>
    </w:p>
    <w:p>
      <w:pPr>
        <w:jc w:val="both"/>
        <w:ind w:firstLine="448"/>
        <w:spacing w:after="0" w:line="269" w:lineRule="auto"/>
        <w:rPr>
          <w:sz w:val="20"/>
          <w:szCs w:val="20"/>
          <w:color w:val="auto"/>
        </w:rPr>
      </w:pPr>
      <w:r>
        <w:rPr>
          <w:rFonts w:ascii="Arial" w:cs="Arial" w:eastAsia="Arial" w:hAnsi="Arial"/>
          <w:sz w:val="19"/>
          <w:szCs w:val="19"/>
          <w:color w:val="auto"/>
        </w:rPr>
        <w:t>The Company does not own all of the land on which its power generation and energy storage assets are located, and the Company is, therefore, subject to the possibility of less desirable terms and increased costs to retain necessary land use if it does not have valid leases or rights-of-way or if such rights-of-way lapse or terminate. Although the Company has obtained rights to construct and operate these assets pursuant to related lease arrangements, the rights to conduct those activities are subject to certain exceptions, including the term of the lease arrangement. The Company is also at risk of condemnation on land it owns. The loss of these rights, through the Company’s inability to renew right-of-way contracts, condemnation or otherwise, may adversely affect the Company’s ability to operate its assets.</w:t>
      </w:r>
    </w:p>
    <w:p>
      <w:pPr>
        <w:spacing w:after="0" w:line="128" w:lineRule="exact"/>
        <w:rPr>
          <w:sz w:val="20"/>
          <w:szCs w:val="20"/>
          <w:color w:val="auto"/>
        </w:rPr>
      </w:pPr>
    </w:p>
    <w:p>
      <w:pPr>
        <w:jc w:val="both"/>
        <w:spacing w:after="0" w:line="344" w:lineRule="auto"/>
        <w:rPr>
          <w:sz w:val="20"/>
          <w:szCs w:val="20"/>
          <w:color w:val="auto"/>
        </w:rPr>
      </w:pPr>
      <w:r>
        <w:rPr>
          <w:rFonts w:ascii="Arial" w:cs="Arial" w:eastAsia="Arial" w:hAnsi="Arial"/>
          <w:sz w:val="18"/>
          <w:szCs w:val="18"/>
          <w:b w:val="1"/>
          <w:bCs w:val="1"/>
          <w:i w:val="1"/>
          <w:iCs w:val="1"/>
          <w:color w:val="auto"/>
        </w:rPr>
        <w:t>The Company’s use and enjoyment of real property rights for its projects may be adversely affected by the rights of lienholders and leaseholders that are superior to those of the grantors of those real property rights to the Company.</w:t>
      </w:r>
    </w:p>
    <w:p>
      <w:pPr>
        <w:spacing w:after="0" w:line="72" w:lineRule="exact"/>
        <w:rPr>
          <w:sz w:val="20"/>
          <w:szCs w:val="20"/>
          <w:color w:val="auto"/>
        </w:rPr>
      </w:pPr>
    </w:p>
    <w:p>
      <w:pPr>
        <w:jc w:val="both"/>
        <w:ind w:firstLine="448"/>
        <w:spacing w:after="0" w:line="285" w:lineRule="auto"/>
        <w:rPr>
          <w:sz w:val="20"/>
          <w:szCs w:val="20"/>
          <w:color w:val="auto"/>
        </w:rPr>
      </w:pPr>
      <w:r>
        <w:rPr>
          <w:rFonts w:ascii="Arial" w:cs="Arial" w:eastAsia="Arial" w:hAnsi="Arial"/>
          <w:sz w:val="18"/>
          <w:szCs w:val="18"/>
          <w:color w:val="auto"/>
        </w:rPr>
        <w:t>Wind, solar and energy storage projects generally are, and are likely to be, located on land occupied by the project pursuant to long-term easements and leases. The ownership interests in the land subject to these easements and leases may be subject to mortgages securing loans or other liens (such as tax liens) and other easement and lease rights of third parties (such as leases of oil or mineral rights) that were created prior to the project’s easements and leases. As a result, the project’s rights under these easements or leases may be subject, and subordinate, to the rights of those third parties. The Company performs title searches and obtains title insurance to protect itself against these risks. Such measures may, however, be inadequate to protect the Company against all risk of loss of its rights to use the land on which the wind projects are located, which could have a material adverse effect on the Company’s business, financial condition and results of operations.</w:t>
      </w:r>
    </w:p>
    <w:p>
      <w:pPr>
        <w:spacing w:after="0" w:line="115" w:lineRule="exact"/>
        <w:rPr>
          <w:sz w:val="20"/>
          <w:szCs w:val="20"/>
          <w:color w:val="auto"/>
        </w:rPr>
      </w:pPr>
    </w:p>
    <w:p>
      <w:pPr>
        <w:jc w:val="both"/>
        <w:spacing w:after="0" w:line="286" w:lineRule="auto"/>
        <w:rPr>
          <w:sz w:val="20"/>
          <w:szCs w:val="20"/>
          <w:color w:val="auto"/>
        </w:rPr>
      </w:pPr>
      <w:r>
        <w:rPr>
          <w:rFonts w:ascii="Arial" w:cs="Arial" w:eastAsia="Arial" w:hAnsi="Arial"/>
          <w:sz w:val="20"/>
          <w:szCs w:val="20"/>
          <w:b w:val="1"/>
          <w:bCs w:val="1"/>
          <w:i w:val="1"/>
          <w:iCs w:val="1"/>
          <w:color w:val="auto"/>
        </w:rPr>
        <w:t>The Company’s businesses are subject to physical, market and economic risks relating to potential effects of climate change and public and governmental initiatives to address climate change.</w:t>
      </w:r>
    </w:p>
    <w:p>
      <w:pPr>
        <w:spacing w:after="0" w:line="117" w:lineRule="exact"/>
        <w:rPr>
          <w:sz w:val="20"/>
          <w:szCs w:val="20"/>
          <w:color w:val="auto"/>
        </w:rPr>
      </w:pPr>
    </w:p>
    <w:p>
      <w:pPr>
        <w:jc w:val="both"/>
        <w:ind w:firstLine="448"/>
        <w:spacing w:after="0" w:line="254" w:lineRule="auto"/>
        <w:rPr>
          <w:sz w:val="20"/>
          <w:szCs w:val="20"/>
          <w:color w:val="auto"/>
        </w:rPr>
      </w:pPr>
      <w:r>
        <w:rPr>
          <w:rFonts w:ascii="Arial" w:cs="Arial" w:eastAsia="Arial" w:hAnsi="Arial"/>
          <w:sz w:val="20"/>
          <w:szCs w:val="20"/>
          <w:color w:val="auto"/>
        </w:rPr>
        <w:t>Climate change creates uncertainty in weather and other environmental conditions, including temperature and precipitation levels, and thus may affect consumer demand for electricity. For example, deviations from normal weather may reduce demand or availability of electricity and gas distribution services. In addition, the potential physical effects of climate change, such as increased frequency and severity of storms, cloud coverage, precipitation, floods and other climatic events, could disrupt the Company’s operations and supply chain, and cause them to incur significant costs in preparing for or responding to these effects. These or other meteorological changes could lead to increased operating costs, capital expenses or power purchase costs.</w:t>
      </w:r>
    </w:p>
    <w:p>
      <w:pPr>
        <w:sectPr>
          <w:pgSz w:w="11880" w:h="15480" w:orient="portrait"/>
          <w:cols w:equalWidth="0" w:num="1">
            <w:col w:w="10200"/>
          </w:cols>
          <w:pgMar w:left="840" w:top="411"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880" w:h="15480" w:orient="portrait"/>
          <w:cols w:equalWidth="0" w:num="1">
            <w:col w:w="10200"/>
          </w:cols>
          <w:pgMar w:left="840" w:top="411" w:right="840" w:bottom="0" w:gutter="0" w:footer="0" w:header="0"/>
          <w:type w:val="continuous"/>
        </w:sectPr>
      </w:pPr>
    </w:p>
    <w:bookmarkStart w:id="24" w:name="page25"/>
    <w:bookmarkEnd w:id="24"/>
    <w:p>
      <w:pPr>
        <w:jc w:val="both"/>
        <w:ind w:firstLine="448"/>
        <w:spacing w:after="0" w:line="266" w:lineRule="auto"/>
        <w:rPr>
          <w:sz w:val="20"/>
          <w:szCs w:val="20"/>
          <w:color w:val="auto"/>
        </w:rPr>
      </w:pPr>
      <w:r>
        <w:rPr>
          <w:rFonts w:ascii="Arial" w:cs="Arial" w:eastAsia="Arial" w:hAnsi="Arial"/>
          <w:sz w:val="19"/>
          <w:szCs w:val="19"/>
          <w:color w:val="auto"/>
        </w:rPr>
        <w:t>Furthermore, governmental, scientific and public concern over the threat of climate change arising from GHG emissions may limit the Company’s access to natural gas or decrease demand for energy generated by the Company’s conventional assets. State, national and foreign governments and agencies continue to evaluate, and in some instances adopt, climate-related legislation and other regulatory initiatives that would restrict GHG emissions. Changes in environmental requirements related to GHG, climate change and alternative energy sources may impact demand for the Company’s services. For example, the Inflation Reduction Act of 2022, or IRA, includes incentives to promote the construction of wind and solar electric generation, as well as energy storage, and encourages consumers to use these alternative energy sources. While this could benefit the Company by increasing the demand for the Company’s solar or wind energy, the clean energy incentives included in the IRA or similar state or federal initiatives to incentivize a shift away from fossil fuels could reduce demand for energy generated by fossil fuels, and therefore have an adverse effect on the Company’s natural gas generation business, financial condition and results of operations.</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9"/>
          <w:szCs w:val="19"/>
          <w:b w:val="1"/>
          <w:bCs w:val="1"/>
          <w:i w:val="1"/>
          <w:iCs w:val="1"/>
          <w:color w:val="auto"/>
        </w:rPr>
        <w:t>Risks that are beyond the Company’s control, including but not limited to acts of terrorism or related acts of war, natural disasters, severe weather, changes in weather patterns, flooding, pandemics (such as the COVID-19 pandemic), inflation, supply chain disruptions, hostile cyber intrusions or other catastrophic events, could have a material adverse effect on the business, financial condition, results of operations and cash flows.</w:t>
      </w:r>
    </w:p>
    <w:p>
      <w:pPr>
        <w:spacing w:after="0" w:line="126" w:lineRule="exact"/>
        <w:rPr>
          <w:sz w:val="20"/>
          <w:szCs w:val="20"/>
          <w:color w:val="auto"/>
        </w:rPr>
      </w:pPr>
    </w:p>
    <w:p>
      <w:pPr>
        <w:jc w:val="both"/>
        <w:ind w:firstLine="448"/>
        <w:spacing w:after="0" w:line="267" w:lineRule="auto"/>
        <w:rPr>
          <w:sz w:val="20"/>
          <w:szCs w:val="20"/>
          <w:color w:val="auto"/>
        </w:rPr>
      </w:pPr>
      <w:r>
        <w:rPr>
          <w:rFonts w:ascii="Arial" w:cs="Arial" w:eastAsia="Arial" w:hAnsi="Arial"/>
          <w:sz w:val="19"/>
          <w:szCs w:val="19"/>
          <w:color w:val="auto"/>
        </w:rPr>
        <w:t>The Company’s generation facilities that were acquired or those that the Company otherwise acquires or constructs and the facilities of third parties on which they rely may be targets of terrorist activities, as well as events occurring in response to or in connection with them, that could cause environmental repercussions and/or result in full or partial disruption of the facilities ability to generate, transmit, transport or distribute electricity or natural gas. Strategic targets, such as energy-related facilities, may be at greater risk of future terrorist activities than other domestic targets. Inflation, disruption in global and domestic supply chains, and other economic conditions could negatively impact the Company’s business in a manner that could adversely affect the Company’s results of operations and financial condition. Hostile cyber intrusions, including those targeting information systems as well as electronic control systems used at the generating plants and for the related distribution systems, could severely disrupt business operations and result in loss of service to customers, as well as create significant expense to repair security breaches or system damage.</w:t>
      </w:r>
    </w:p>
    <w:p>
      <w:pPr>
        <w:spacing w:after="0" w:line="136" w:lineRule="exact"/>
        <w:rPr>
          <w:sz w:val="20"/>
          <w:szCs w:val="20"/>
          <w:color w:val="auto"/>
        </w:rPr>
      </w:pPr>
    </w:p>
    <w:p>
      <w:pPr>
        <w:jc w:val="both"/>
        <w:ind w:firstLine="448"/>
        <w:spacing w:after="0" w:line="280" w:lineRule="auto"/>
        <w:rPr>
          <w:sz w:val="20"/>
          <w:szCs w:val="20"/>
          <w:color w:val="auto"/>
        </w:rPr>
      </w:pPr>
      <w:r>
        <w:rPr>
          <w:rFonts w:ascii="Arial" w:cs="Arial" w:eastAsia="Arial" w:hAnsi="Arial"/>
          <w:sz w:val="18"/>
          <w:szCs w:val="18"/>
          <w:color w:val="auto"/>
        </w:rPr>
        <w:t>Furthermore, certain of the Company’s power generation and energy storage assets are located in active earthquake zones in California and Arizona, and certain project companies and suppliers conduct their operations in the same region or in other locations that are susceptible to natural disasters. In addition, California and some of the locations where certain suppliers are located, from time to time, have experienced shortages of water, electric power and natural gas. Catastrophic events, such as an earthquake, wildfire, drought, flood, pandemics (such as the COVID-19 pandemic) or localized extended outages of critical utilities or transportation systems, or any critical resource shortages, affecting the Company or its suppliers, could cause a significant interruption in the business, damage or destroy the Company’s facilities or those of its suppliers or the manufacturing equipment or inventory of the Company’s suppliers. The Company has a limited number of highly skilled employees for some of its operations and relies on certain independent contractors and other service providers. If a large proportion of the Company’s employees in those critical positions, or independent contractors or other service providers to the Company or its customers were to be negatively impacted by a catastrophic event at the same time, the Company would rely upon its business continuity plans in an effort to continue operations at its facilities, but there is no certainty that such measures will be sufficient to mitigate the adverse impact to its operations that could result from shortages of highly skilled employees, independent contractors or service providers. Any such terrorist acts, environmental repercussions or disruptions or natural disasters could result in a significant decrease in revenues or significant reconstruction or remediation costs, beyond what could be recovered through insurance policies, which could have a material adverse effect on the business, financial condition, results of operations and cash flows.</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operation of the Company’s businesses is subject to cyber-based security and integrity risk.</w:t>
      </w:r>
    </w:p>
    <w:p>
      <w:pPr>
        <w:spacing w:after="0" w:line="196" w:lineRule="exact"/>
        <w:rPr>
          <w:sz w:val="20"/>
          <w:szCs w:val="20"/>
          <w:color w:val="auto"/>
        </w:rPr>
      </w:pPr>
    </w:p>
    <w:p>
      <w:pPr>
        <w:jc w:val="both"/>
        <w:ind w:firstLine="448"/>
        <w:spacing w:after="0" w:line="255" w:lineRule="auto"/>
        <w:rPr>
          <w:sz w:val="20"/>
          <w:szCs w:val="20"/>
          <w:color w:val="auto"/>
        </w:rPr>
      </w:pPr>
      <w:r>
        <w:rPr>
          <w:rFonts w:ascii="Arial" w:cs="Arial" w:eastAsia="Arial" w:hAnsi="Arial"/>
          <w:sz w:val="20"/>
          <w:szCs w:val="20"/>
          <w:color w:val="auto"/>
        </w:rPr>
        <w:t>Numerous functions affecting the efficient operation of the Company’s businesses depend on the secure and reliable storage, processing and communication of electronic data and the use of sophisticated computer hardware and software systems. The operation of the Company’s generating assets relies on cyber-based technologies and has been the target of disruptive actions. In addition, our business is dependent upon the computer systems of third-party providers to process certain data necessary to conduct our business, including sensitive employee information, credit card transaction information and other sensitive data.</w:t>
      </w:r>
    </w:p>
    <w:p>
      <w:pPr>
        <w:sectPr>
          <w:pgSz w:w="11880" w:h="15480" w:orient="portrait"/>
          <w:cols w:equalWidth="0" w:num="1">
            <w:col w:w="10200"/>
          </w:cols>
          <w:pgMar w:left="840" w:top="411"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880" w:h="15480" w:orient="portrait"/>
          <w:cols w:equalWidth="0" w:num="1">
            <w:col w:w="10200"/>
          </w:cols>
          <w:pgMar w:left="840" w:top="411" w:right="840" w:bottom="0" w:gutter="0" w:footer="0" w:header="0"/>
          <w:type w:val="continuous"/>
        </w:sectPr>
      </w:pPr>
    </w:p>
    <w:bookmarkStart w:id="25" w:name="page26"/>
    <w:bookmarkEnd w:id="25"/>
    <w:p>
      <w:pPr>
        <w:jc w:val="both"/>
        <w:ind w:firstLine="448"/>
        <w:spacing w:after="0" w:line="287" w:lineRule="auto"/>
        <w:rPr>
          <w:sz w:val="20"/>
          <w:szCs w:val="20"/>
          <w:color w:val="auto"/>
        </w:rPr>
      </w:pPr>
      <w:r>
        <w:rPr>
          <w:rFonts w:ascii="Arial" w:cs="Arial" w:eastAsia="Arial" w:hAnsi="Arial"/>
          <w:sz w:val="18"/>
          <w:szCs w:val="18"/>
          <w:color w:val="auto"/>
        </w:rPr>
        <w:t>Potential disruptive actions could result from cyber-attack or cyber intrusion, including by computer hackers, foreign governments and cyber terrorists, or otherwise be compromised by unintentional events with respect to the Company or any of its contractors or customers. As a result, operations could be interrupted, property could be damaged and sensitive employee, customer or supplier information could be lost or stolen, causing the Company to incur significant losses of revenues, other substantial liabilities and damages, costs to replace or repair damaged equipment and damage to the Company’s reputation. Our insurance may not fully protect us against such losses. In addition, the Company may experience increased capital and operating costs to implement increased security for its cyber systems and generating assets.</w:t>
      </w:r>
    </w:p>
    <w:p>
      <w:pPr>
        <w:spacing w:after="0" w:line="118" w:lineRule="exact"/>
        <w:rPr>
          <w:sz w:val="20"/>
          <w:szCs w:val="20"/>
          <w:color w:val="auto"/>
        </w:rPr>
      </w:pPr>
    </w:p>
    <w:p>
      <w:pPr>
        <w:jc w:val="both"/>
        <w:ind w:firstLine="448"/>
        <w:spacing w:after="0" w:line="259" w:lineRule="auto"/>
        <w:rPr>
          <w:sz w:val="20"/>
          <w:szCs w:val="20"/>
          <w:color w:val="auto"/>
        </w:rPr>
      </w:pPr>
      <w:r>
        <w:rPr>
          <w:rFonts w:ascii="Arial" w:cs="Arial" w:eastAsia="Arial" w:hAnsi="Arial"/>
          <w:sz w:val="20"/>
          <w:szCs w:val="20"/>
          <w:color w:val="auto"/>
        </w:rPr>
        <w:t>In addition, cyberattacks against us or others in our industry could result in additional regulations, which could lead to increased regulatory compliance costs, insurance coverage cost or capital expenditures. Any failure by us to comply with these additional regulations could result in significant penalties and liability to us. We cannot predict the potential impact to our business or the energy industry resulting from such additional regulations.</w:t>
      </w:r>
    </w:p>
    <w:p>
      <w:pPr>
        <w:spacing w:after="0" w:line="133" w:lineRule="exact"/>
        <w:rPr>
          <w:sz w:val="20"/>
          <w:szCs w:val="20"/>
          <w:color w:val="auto"/>
        </w:rPr>
      </w:pPr>
    </w:p>
    <w:p>
      <w:pPr>
        <w:jc w:val="both"/>
        <w:spacing w:after="0" w:line="261" w:lineRule="auto"/>
        <w:rPr>
          <w:sz w:val="20"/>
          <w:szCs w:val="20"/>
          <w:color w:val="auto"/>
        </w:rPr>
      </w:pPr>
      <w:r>
        <w:rPr>
          <w:rFonts w:ascii="Arial" w:cs="Arial" w:eastAsia="Arial" w:hAnsi="Arial"/>
          <w:sz w:val="20"/>
          <w:szCs w:val="20"/>
          <w:b w:val="1"/>
          <w:bCs w:val="1"/>
          <w:i w:val="1"/>
          <w:iCs w:val="1"/>
          <w:color w:val="auto"/>
        </w:rPr>
        <w:t>The Company relies on electric distribution and transmission facilities that it does not own or control and that are subject to transmission constraints within a number of the Company’s regions. If these facilities fail to provide the Company with adequate transmission capacity, it may be restricted in its ability to deliver electric power to its customers and may either incur additional costs or forego revenues.</w:t>
      </w:r>
    </w:p>
    <w:p>
      <w:pPr>
        <w:spacing w:after="0" w:line="142"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19"/>
          <w:szCs w:val="19"/>
          <w:color w:val="auto"/>
        </w:rPr>
        <w:t>The Company depends on electric distribution and transmission facilities owned and operated by others to deliver the wholesale power it will sell from its electric generation assets to its customers. A failure or delay in the operation or development of these facilities or a significant increase in the cost of the development of such facilities could result in lost revenues. Such failures or delays could limit the amount of power the Company’s operating facilities deliver or delay the completion of the Company’s construction projects. Additionally, such failures, delays or increased costs could have a material adverse effect on the business, financial condition and results of operations. If a region’s power transmission infrastructure is inadequate, the Company’s recovery of wholesale costs and profits may be limited. If restrictive transmission price regulation is imposed, the transmission companies may not have a sufficient incentive to invest in expansion of transmission infrastructure. The Company also cannot predict whether distribution or transmission facilities will be expanded in specific markets to accommodate competitive access to those markets. In addition, certain of the Company’s operating facilities’ generation of electricity may be curtailed without compensation due to transmission limitations or limitations on the electricity grid’s ability to accommodate intermittent and other electricity generating sources, reducing the Company’s revenues and impairing its ability to capitalize fully on a particular facility’s generating potential. Such curtailments could have a material adverse effect on the business, financial condition, results of operations and cash flows. Furthermore, economic congestion on transmission networks in certain of the markets in which the Company operates may occur and the Company may be deemed responsible for congestion costs. If the Company were liable for such congestion costs, its financial results could be adversely affected.</w:t>
      </w:r>
    </w:p>
    <w:p>
      <w:pPr>
        <w:spacing w:after="0" w:line="129" w:lineRule="exact"/>
        <w:rPr>
          <w:sz w:val="20"/>
          <w:szCs w:val="20"/>
          <w:color w:val="auto"/>
        </w:rPr>
      </w:pPr>
    </w:p>
    <w:p>
      <w:pPr>
        <w:jc w:val="both"/>
        <w:spacing w:after="0" w:line="313" w:lineRule="auto"/>
        <w:rPr>
          <w:sz w:val="20"/>
          <w:szCs w:val="20"/>
          <w:color w:val="auto"/>
        </w:rPr>
      </w:pPr>
      <w:r>
        <w:rPr>
          <w:rFonts w:ascii="Arial" w:cs="Arial" w:eastAsia="Arial" w:hAnsi="Arial"/>
          <w:sz w:val="19"/>
          <w:szCs w:val="19"/>
          <w:b w:val="1"/>
          <w:bCs w:val="1"/>
          <w:i w:val="1"/>
          <w:iCs w:val="1"/>
          <w:color w:val="auto"/>
        </w:rPr>
        <w:t>The Company’s costs, results of operations, financial condition and cash flows could be adversely impacted by the disruption of the fuel supplies necessary to generate power at its conventional power generation facilities.</w:t>
      </w:r>
    </w:p>
    <w:p>
      <w:pPr>
        <w:spacing w:after="0" w:line="95" w:lineRule="exact"/>
        <w:rPr>
          <w:sz w:val="20"/>
          <w:szCs w:val="20"/>
          <w:color w:val="auto"/>
        </w:rPr>
      </w:pPr>
    </w:p>
    <w:p>
      <w:pPr>
        <w:jc w:val="both"/>
        <w:ind w:firstLine="448"/>
        <w:spacing w:after="0" w:line="257" w:lineRule="auto"/>
        <w:rPr>
          <w:sz w:val="20"/>
          <w:szCs w:val="20"/>
          <w:color w:val="auto"/>
        </w:rPr>
      </w:pPr>
      <w:r>
        <w:rPr>
          <w:rFonts w:ascii="Arial" w:cs="Arial" w:eastAsia="Arial" w:hAnsi="Arial"/>
          <w:sz w:val="20"/>
          <w:szCs w:val="20"/>
          <w:color w:val="auto"/>
        </w:rPr>
        <w:t>Delivery of fossil fuels to fuel the Company’s conventional generation facilities is dependent upon the infrastructure (including natural gas pipelines) available to serve each such generation facility as well as upon the continuing financial viability of contractual counterparties. As a result, the Company is subject to the risks of disruptions or curtailments in the production of power at these generation facilities if a counterparty fails to perform or if there is a disruption in the fuel delivery infrastructure.</w:t>
      </w:r>
    </w:p>
    <w:p>
      <w:pPr>
        <w:spacing w:after="0" w:line="134"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i w:val="1"/>
          <w:iCs w:val="1"/>
          <w:color w:val="auto"/>
        </w:rPr>
        <w:t>The Company depends on key personnel and its ability to attract and retain additional skilled management and other personnel, the loss of any of which could have a material adverse effect on the Company’s financial condition and results of operations.</w:t>
      </w:r>
    </w:p>
    <w:p>
      <w:pPr>
        <w:spacing w:after="0" w:line="136" w:lineRule="exact"/>
        <w:rPr>
          <w:sz w:val="20"/>
          <w:szCs w:val="20"/>
          <w:color w:val="auto"/>
        </w:rPr>
      </w:pPr>
    </w:p>
    <w:p>
      <w:pPr>
        <w:jc w:val="both"/>
        <w:ind w:firstLine="448"/>
        <w:spacing w:after="0" w:line="333" w:lineRule="auto"/>
        <w:rPr>
          <w:sz w:val="20"/>
          <w:szCs w:val="20"/>
          <w:color w:val="auto"/>
        </w:rPr>
      </w:pPr>
      <w:r>
        <w:rPr>
          <w:rFonts w:ascii="Arial" w:cs="Arial" w:eastAsia="Arial" w:hAnsi="Arial"/>
          <w:sz w:val="17"/>
          <w:szCs w:val="17"/>
          <w:color w:val="auto"/>
        </w:rPr>
        <w:t>The Company believes its current operations and future success depend largely on the continued services of key personnel that it employs. Although the Company currently has access to the resources of CEG, the loss of key personnel employed by the Company or CEG could have a material adverse effect on the Company’s financial condition and results of operations.</w:t>
      </w:r>
    </w:p>
    <w:p>
      <w:pPr>
        <w:spacing w:after="0" w:line="74" w:lineRule="exact"/>
        <w:rPr>
          <w:sz w:val="20"/>
          <w:szCs w:val="20"/>
          <w:color w:val="auto"/>
        </w:rPr>
      </w:pPr>
    </w:p>
    <w:p>
      <w:pPr>
        <w:jc w:val="both"/>
        <w:spacing w:after="0" w:line="286" w:lineRule="auto"/>
        <w:rPr>
          <w:sz w:val="20"/>
          <w:szCs w:val="20"/>
          <w:color w:val="auto"/>
        </w:rPr>
      </w:pPr>
      <w:r>
        <w:rPr>
          <w:rFonts w:ascii="Arial" w:cs="Arial" w:eastAsia="Arial" w:hAnsi="Arial"/>
          <w:sz w:val="20"/>
          <w:szCs w:val="20"/>
          <w:b w:val="1"/>
          <w:bCs w:val="1"/>
          <w:i w:val="1"/>
          <w:iCs w:val="1"/>
          <w:color w:val="auto"/>
        </w:rPr>
        <w:t>The Company may potentially be adversely affected by emerging technologies that may over time impact capacity markets and the energy industry overall.</w:t>
      </w:r>
    </w:p>
    <w:p>
      <w:pPr>
        <w:spacing w:after="0" w:line="117" w:lineRule="exact"/>
        <w:rPr>
          <w:sz w:val="20"/>
          <w:szCs w:val="20"/>
          <w:color w:val="auto"/>
        </w:rPr>
      </w:pPr>
    </w:p>
    <w:p>
      <w:pPr>
        <w:jc w:val="both"/>
        <w:ind w:firstLine="448"/>
        <w:spacing w:after="0" w:line="257" w:lineRule="auto"/>
        <w:rPr>
          <w:sz w:val="20"/>
          <w:szCs w:val="20"/>
          <w:color w:val="auto"/>
        </w:rPr>
      </w:pPr>
      <w:r>
        <w:rPr>
          <w:rFonts w:ascii="Arial" w:cs="Arial" w:eastAsia="Arial" w:hAnsi="Arial"/>
          <w:sz w:val="20"/>
          <w:szCs w:val="20"/>
          <w:color w:val="auto"/>
        </w:rPr>
        <w:t>Research and development activities are ongoing in the Company’s industry to provide alternative and more efficient technologies to produce power, including wind, photovoltaic (solar) cells, hydrogen, energy storage, and improvements in traditional technologies and equipment, such as more efficient gas turbines. Advances in these or other technologies could reduce the costs of power production to a level below what the Company has currently forecasted, which could adversely affect its cash flows, results of operations or competitive position.</w:t>
      </w:r>
    </w:p>
    <w:p>
      <w:pPr>
        <w:sectPr>
          <w:pgSz w:w="11880" w:h="15480" w:orient="portrait"/>
          <w:cols w:equalWidth="0" w:num="1">
            <w:col w:w="10200"/>
          </w:cols>
          <w:pgMar w:left="840" w:top="411" w:right="840" w:bottom="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880" w:h="15480" w:orient="portrait"/>
          <w:cols w:equalWidth="0" w:num="1">
            <w:col w:w="10200"/>
          </w:cols>
          <w:pgMar w:left="840" w:top="411" w:right="840" w:bottom="0" w:gutter="0" w:footer="0" w:header="0"/>
          <w:type w:val="continuous"/>
        </w:sectPr>
      </w:pPr>
    </w:p>
    <w:bookmarkStart w:id="26" w:name="page27"/>
    <w:bookmarkEnd w:id="26"/>
    <w:p>
      <w:pPr>
        <w:jc w:val="both"/>
        <w:ind w:firstLine="448"/>
        <w:spacing w:after="0" w:line="277" w:lineRule="auto"/>
        <w:rPr>
          <w:sz w:val="20"/>
          <w:szCs w:val="20"/>
          <w:color w:val="auto"/>
        </w:rPr>
      </w:pPr>
      <w:r>
        <w:rPr>
          <w:rFonts w:ascii="Arial" w:cs="Arial" w:eastAsia="Arial" w:hAnsi="Arial"/>
          <w:sz w:val="19"/>
          <w:szCs w:val="19"/>
          <w:color w:val="auto"/>
        </w:rPr>
        <w:t>Some emerging technologies, such as distributed renewable energy technologies, broad consumer adoption of electric vehicles and energy storage devices, could affect the price of energy. These emerging technologies may affect the financial viability of utility counterparties and could have significant impacts on market prices, which could ultimately have a material adverse effect on the Company’s financial condition, results of operations and cash flows.</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the Company’s Relationships with GIP, TotalEnergies and CEG</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20"/>
          <w:szCs w:val="20"/>
          <w:b w:val="1"/>
          <w:bCs w:val="1"/>
          <w:i w:val="1"/>
          <w:iCs w:val="1"/>
          <w:color w:val="auto"/>
        </w:rPr>
        <w:t>GIP and TotalEnergies, through their equal ownership of CEG, the Company’s controlling stockholder, exercise substantial influence over the Company. The Company is highly dependent on CEG.</w:t>
      </w:r>
    </w:p>
    <w:p>
      <w:pPr>
        <w:spacing w:after="0" w:line="117" w:lineRule="exact"/>
        <w:rPr>
          <w:sz w:val="20"/>
          <w:szCs w:val="20"/>
          <w:color w:val="auto"/>
        </w:rPr>
      </w:pPr>
    </w:p>
    <w:p>
      <w:pPr>
        <w:jc w:val="both"/>
        <w:ind w:firstLine="448"/>
        <w:spacing w:after="0" w:line="269" w:lineRule="auto"/>
        <w:rPr>
          <w:sz w:val="20"/>
          <w:szCs w:val="20"/>
          <w:color w:val="auto"/>
        </w:rPr>
      </w:pPr>
      <w:r>
        <w:rPr>
          <w:rFonts w:ascii="Arial" w:cs="Arial" w:eastAsia="Arial" w:hAnsi="Arial"/>
          <w:sz w:val="19"/>
          <w:szCs w:val="19"/>
          <w:color w:val="auto"/>
        </w:rPr>
        <w:t>CEG owns all of the Company’s outstanding Class B and Class D common stock. The Company’s outstanding Class B and Class D common stock is entitled to one vote per share and 1/100th of a vote per share, respectively. As a result of its ownership of the Class B and Class D common stock, CEG owns 54.91% of the combined voting power of the Company’s common stock as of December 31, 2023. CEG is equally owned by GIP and TotalEnergies. On January 12, 2024, BlackRock entered into a definitive agreement to acquire 100% of the business and assets of GIM, which is the investment manager of the GIP funds that own an interest in CEG. BlackRock has indicated that the transaction is expected to close in the third quarter of 2024, subject to regulatory approvals and other customary closing conditions.</w:t>
      </w:r>
    </w:p>
    <w:p>
      <w:pPr>
        <w:spacing w:after="0" w:line="136" w:lineRule="exact"/>
        <w:rPr>
          <w:sz w:val="20"/>
          <w:szCs w:val="20"/>
          <w:color w:val="auto"/>
        </w:rPr>
      </w:pPr>
    </w:p>
    <w:p>
      <w:pPr>
        <w:jc w:val="both"/>
        <w:ind w:firstLine="448"/>
        <w:spacing w:after="0" w:line="285" w:lineRule="auto"/>
        <w:rPr>
          <w:sz w:val="20"/>
          <w:szCs w:val="20"/>
          <w:color w:val="auto"/>
        </w:rPr>
      </w:pPr>
      <w:r>
        <w:rPr>
          <w:rFonts w:ascii="Arial" w:cs="Arial" w:eastAsia="Arial" w:hAnsi="Arial"/>
          <w:sz w:val="18"/>
          <w:szCs w:val="18"/>
          <w:color w:val="auto"/>
        </w:rPr>
        <w:t>As a result of this ownership, CEG has substantial influence on the Company’s affairs and CEG’s voting power will constitute a large percentage of any quorum of the Company’s stockholders voting on any matter requiring the approval of the Company’s stockholders. Such matters include the election of directors, the adoption of amendments to the Company’s amended and restated certificate of incorporation and fourth amended and restated bylaws and approval of mergers or sale of all or substantially all of its assets. This concentration of ownership may also have the effect of delaying or preventing a change in control of the Company or discouraging others from making tender offers for the Company’s shares. In addition, CEG has the right to elect all of the Company’s directors. CEG may cause corporate actions to be taken that do not fully align with the interests of the Company’s other stockholders (including holders of the Company’s Class A and Class C common stock).</w:t>
      </w:r>
    </w:p>
    <w:p>
      <w:pPr>
        <w:spacing w:after="0" w:line="123" w:lineRule="exact"/>
        <w:rPr>
          <w:sz w:val="20"/>
          <w:szCs w:val="20"/>
          <w:color w:val="auto"/>
        </w:rPr>
      </w:pPr>
    </w:p>
    <w:p>
      <w:pPr>
        <w:jc w:val="both"/>
        <w:ind w:firstLine="448"/>
        <w:spacing w:after="0" w:line="283" w:lineRule="auto"/>
        <w:rPr>
          <w:sz w:val="20"/>
          <w:szCs w:val="20"/>
          <w:color w:val="auto"/>
        </w:rPr>
      </w:pPr>
      <w:r>
        <w:rPr>
          <w:rFonts w:ascii="Arial" w:cs="Arial" w:eastAsia="Arial" w:hAnsi="Arial"/>
          <w:sz w:val="18"/>
          <w:szCs w:val="18"/>
          <w:color w:val="auto"/>
        </w:rPr>
        <w:t>Furthermore, the Company depends on certain services provided by or under the direction of CEG under the CEG Master Services Agreement, including numerous processes related to the Company’s internal control over financial reporting. CEG personnel and support staff that provide services to the Company under the CEG Master Services Agreement are not required to, and the Company does not expect that they will, have as their primary responsibility the management and administration of the Company or to act exclusively for the Company and the CEG Master Services Agreement does not require any specific individuals to be provided by CEG. Under the CEG Master Services Agreement, CEG has the discretion to determine which of its employees perform assignments required to be provided to the Company. Any failure to effectively manage the Company’s processes related to internal controls over financial reporting, operations or to implement its strategy could have a material adverse effect on the business, financial condition, results of operations and cash flows. The CEG Master Services Agreement will continue in perpetuity, until terminated in accordance with its terms.</w:t>
      </w:r>
    </w:p>
    <w:p>
      <w:pPr>
        <w:spacing w:after="0" w:line="126" w:lineRule="exact"/>
        <w:rPr>
          <w:sz w:val="20"/>
          <w:szCs w:val="20"/>
          <w:color w:val="auto"/>
        </w:rPr>
      </w:pPr>
    </w:p>
    <w:p>
      <w:pPr>
        <w:jc w:val="both"/>
        <w:ind w:firstLine="448"/>
        <w:spacing w:after="0" w:line="257" w:lineRule="auto"/>
        <w:rPr>
          <w:sz w:val="20"/>
          <w:szCs w:val="20"/>
          <w:color w:val="auto"/>
        </w:rPr>
      </w:pPr>
      <w:r>
        <w:rPr>
          <w:rFonts w:ascii="Arial" w:cs="Arial" w:eastAsia="Arial" w:hAnsi="Arial"/>
          <w:sz w:val="20"/>
          <w:szCs w:val="20"/>
          <w:color w:val="auto"/>
        </w:rPr>
        <w:t>The Company also depends upon CEG and third parties for the provision of management, administration, O&amp;M and certain other services at certain of the Company’s facilities. Any failure by CEG or third parties to perform its requirements under these arrangements or the failure by the Company to identify and contract with replacement service providers, if required, could adversely affect the operation of the Company’s facilities and have a material adverse effect on the business, financial condition, results of operations and cash flows.</w:t>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CEG controls the Company and has the ability to designate a majority of the members of the Company’s Board.</w:t>
      </w:r>
    </w:p>
    <w:p>
      <w:pPr>
        <w:spacing w:after="0" w:line="208" w:lineRule="exact"/>
        <w:rPr>
          <w:sz w:val="20"/>
          <w:szCs w:val="20"/>
          <w:color w:val="auto"/>
        </w:rPr>
      </w:pPr>
    </w:p>
    <w:p>
      <w:pPr>
        <w:jc w:val="both"/>
        <w:ind w:firstLine="448"/>
        <w:spacing w:after="0" w:line="255" w:lineRule="auto"/>
        <w:rPr>
          <w:sz w:val="20"/>
          <w:szCs w:val="20"/>
          <w:color w:val="auto"/>
        </w:rPr>
      </w:pPr>
      <w:r>
        <w:rPr>
          <w:rFonts w:ascii="Arial" w:cs="Arial" w:eastAsia="Arial" w:hAnsi="Arial"/>
          <w:sz w:val="20"/>
          <w:szCs w:val="20"/>
          <w:color w:val="auto"/>
        </w:rPr>
        <w:t>Due to CEG’s approximate 54.91% combined voting power in the Company, the ability of other holders of the Company’s Class A and Class C common stock to exercise control over the corporate governance of the Company is limited. CEG has a substantial influence on the Company’s affairs and CEG’s voting power constitutes a large percentage of any quorum of the Company’s stockholders voting on any matter requiring the approval of the Company’s stockholders. It is possible that the interests of CEG and its affiliates may in certain circumstances differ from the interests of the Company or other holders of the Company’s Class A and Class C common stock.</w:t>
      </w:r>
    </w:p>
    <w:p>
      <w:pPr>
        <w:sectPr>
          <w:pgSz w:w="11880" w:h="15480" w:orient="portrait"/>
          <w:cols w:equalWidth="0" w:num="1">
            <w:col w:w="10200"/>
          </w:cols>
          <w:pgMar w:left="840" w:top="411"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880" w:h="15480" w:orient="portrait"/>
          <w:cols w:equalWidth="0" w:num="1">
            <w:col w:w="10200"/>
          </w:cols>
          <w:pgMar w:left="840" w:top="411" w:right="840" w:bottom="0" w:gutter="0" w:footer="0" w:header="0"/>
          <w:type w:val="continuous"/>
        </w:sectPr>
      </w:pPr>
    </w:p>
    <w:bookmarkStart w:id="27" w:name="page28"/>
    <w:bookmarkEnd w:id="27"/>
    <w:p>
      <w:pPr>
        <w:spacing w:after="0"/>
        <w:rPr>
          <w:sz w:val="20"/>
          <w:szCs w:val="20"/>
          <w:color w:val="auto"/>
        </w:rPr>
      </w:pPr>
      <w:r>
        <w:rPr>
          <w:rFonts w:ascii="Arial" w:cs="Arial" w:eastAsia="Arial" w:hAnsi="Arial"/>
          <w:sz w:val="20"/>
          <w:szCs w:val="20"/>
          <w:b w:val="1"/>
          <w:bCs w:val="1"/>
          <w:i w:val="1"/>
          <w:iCs w:val="1"/>
          <w:color w:val="auto"/>
        </w:rPr>
        <w:t>The Company may not be able to consummate future acquisitions from CEG.</w:t>
      </w:r>
    </w:p>
    <w:p>
      <w:pPr>
        <w:spacing w:after="0" w:line="196" w:lineRule="exact"/>
        <w:rPr>
          <w:sz w:val="20"/>
          <w:szCs w:val="20"/>
          <w:color w:val="auto"/>
        </w:rPr>
      </w:pPr>
    </w:p>
    <w:p>
      <w:pPr>
        <w:jc w:val="both"/>
        <w:ind w:firstLine="448"/>
        <w:spacing w:after="0" w:line="253" w:lineRule="auto"/>
        <w:rPr>
          <w:sz w:val="20"/>
          <w:szCs w:val="20"/>
          <w:color w:val="auto"/>
        </w:rPr>
      </w:pPr>
      <w:r>
        <w:rPr>
          <w:rFonts w:ascii="Arial" w:cs="Arial" w:eastAsia="Arial" w:hAnsi="Arial"/>
          <w:sz w:val="20"/>
          <w:szCs w:val="20"/>
          <w:color w:val="auto"/>
        </w:rPr>
        <w:t>The Company’s ability to grow through acquisitions depends, in part, on CEG’s ability to identify and present the Company with acquisition opportunities. CEG has not agreed to commit a specific level of dedicated resources for the pursuit of renewable power-related acquisitions. There are a number of factors which could materially and adversely impact the extent to which suitable acquisition opportunities are made available from CEG, including that the same professionals within CEG’s organization that are involved in acquisitions that are suitable for the Company have responsibilities within CEG’s broader asset management business, which may include sourcing acquisition opportunities for CEG. Limits on the availability of such individuals will likewise result in a limitation on the availability of acquisition opportunities for the Company. In making these determinations, CEG may be influenced by factors that result in a misalignment with the Company’s interests or conflict of interest.</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Company may be unable to terminate the CEG Master Services Agreement, in certain circumstances.</w:t>
      </w:r>
    </w:p>
    <w:p>
      <w:pPr>
        <w:spacing w:after="0" w:line="196"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19"/>
          <w:szCs w:val="19"/>
          <w:color w:val="auto"/>
        </w:rPr>
        <w:t>The CEG Master Services Agreement provides that the Company may terminate the agreement upon 30 days prior written notice to CEG upon the occurrence of any of the following: (i) CEG defaults in the performance or observance of any material term, condition or covenant contained therein in a manner that results in material harm to the Company and the default continues unremedied for a period of 30 days after written notice thereof is given to CEG; (ii) CEG engages in any act of fraud, misappropriation of funds or embezzlement that results in material harm to the Company; (iii) CEG is grossly negligent in the performance of its duties under the agreement and such negligence results in material harm to the Company; or (iv) upon the happening of certain events relating to the bankruptcy or insolvency of CEG. Furthermore, if the Company requests an amendment to the scope of services provided by CEG under the CEG Master Services Agreement and is not able to agree with CEG as to a change to the service fee resulting from a change in the scope of services within 180 days of the request, the Company will be able to terminate the agreement upon 30 days prior notice to CEG. The Company will not be able to terminate the agreement for any other reason, including if CEG experiences a change of control, and the agreement continues in perpetuity, until terminated in accordance with its terms. If CEG’s performance does not meet the expectations of investors, and the Company is unable to terminate the CEG Master Services Agreement, the market price of the Class A and Class C common stock could suffer.</w:t>
      </w:r>
    </w:p>
    <w:p>
      <w:pPr>
        <w:spacing w:after="0" w:line="137" w:lineRule="exact"/>
        <w:rPr>
          <w:sz w:val="20"/>
          <w:szCs w:val="20"/>
          <w:color w:val="auto"/>
        </w:rPr>
      </w:pPr>
    </w:p>
    <w:p>
      <w:pPr>
        <w:jc w:val="both"/>
        <w:spacing w:after="0" w:line="344" w:lineRule="auto"/>
        <w:rPr>
          <w:sz w:val="20"/>
          <w:szCs w:val="20"/>
          <w:color w:val="auto"/>
        </w:rPr>
      </w:pPr>
      <w:r>
        <w:rPr>
          <w:rFonts w:ascii="Arial" w:cs="Arial" w:eastAsia="Arial" w:hAnsi="Arial"/>
          <w:sz w:val="18"/>
          <w:szCs w:val="18"/>
          <w:b w:val="1"/>
          <w:bCs w:val="1"/>
          <w:i w:val="1"/>
          <w:iCs w:val="1"/>
          <w:color w:val="auto"/>
        </w:rPr>
        <w:t>If CEG terminates the CEG Master Services Agreement or defaults in the performance of its obligations under the agreement, the Company may be unable to contract with a substitute service provider on similar terms, or at all.</w:t>
      </w:r>
    </w:p>
    <w:p>
      <w:pPr>
        <w:spacing w:after="0" w:line="72" w:lineRule="exact"/>
        <w:rPr>
          <w:sz w:val="20"/>
          <w:szCs w:val="20"/>
          <w:color w:val="auto"/>
        </w:rPr>
      </w:pPr>
    </w:p>
    <w:p>
      <w:pPr>
        <w:jc w:val="both"/>
        <w:ind w:firstLine="448"/>
        <w:spacing w:after="0" w:line="268" w:lineRule="auto"/>
        <w:rPr>
          <w:sz w:val="20"/>
          <w:szCs w:val="20"/>
          <w:color w:val="auto"/>
        </w:rPr>
      </w:pPr>
      <w:r>
        <w:rPr>
          <w:rFonts w:ascii="Arial" w:cs="Arial" w:eastAsia="Arial" w:hAnsi="Arial"/>
          <w:sz w:val="19"/>
          <w:szCs w:val="19"/>
          <w:color w:val="auto"/>
        </w:rPr>
        <w:t>The Company relies on CEG to provide certain services under the CEG Master Services Agreement. The CEG Master Services Agreement provides that CEG may terminate the agreement upon 180 days prior written notice of termination to the Company if the Company defaults in the performance or observance of any material term, condition or covenant contained in the agreement in a manner that results in material harm and the default continues unremedied for a period of 30 days after written notice of the breach is given. If CEG terminates the Management Services Agreement or defaults in the performance of its obligations under the agreement, the Company may be unable to contract with CEG or a substitute service provider on similar terms or at all, and the costs of substituting service providers may be substantial. In addition, in light of CEG’s familiarity with the Company’s assets, a substitute service provider may not be able to provide the same level of service due to lack of pre-existing synergies.</w:t>
      </w:r>
    </w:p>
    <w:p>
      <w:pPr>
        <w:spacing w:after="0" w:line="124" w:lineRule="exact"/>
        <w:rPr>
          <w:sz w:val="20"/>
          <w:szCs w:val="20"/>
          <w:color w:val="auto"/>
        </w:rPr>
      </w:pPr>
    </w:p>
    <w:p>
      <w:pPr>
        <w:jc w:val="both"/>
        <w:spacing w:after="0" w:line="310" w:lineRule="auto"/>
        <w:rPr>
          <w:sz w:val="20"/>
          <w:szCs w:val="20"/>
          <w:color w:val="auto"/>
        </w:rPr>
      </w:pPr>
      <w:r>
        <w:rPr>
          <w:rFonts w:ascii="Arial" w:cs="Arial" w:eastAsia="Arial" w:hAnsi="Arial"/>
          <w:sz w:val="18"/>
          <w:szCs w:val="18"/>
          <w:b w:val="1"/>
          <w:bCs w:val="1"/>
          <w:i w:val="1"/>
          <w:iCs w:val="1"/>
          <w:color w:val="auto"/>
        </w:rPr>
        <w:t>The liability of CEG is limited under the Company’s arrangements with it and the Company has agreed to indemnify CEG against claims that it may face in connection with such arrangements, which may lead CEG to assume greater risks when making decisions relating to the Company than it otherwise might if acting solely for its own account.</w:t>
      </w:r>
    </w:p>
    <w:p>
      <w:pPr>
        <w:spacing w:after="0" w:line="102" w:lineRule="exact"/>
        <w:rPr>
          <w:sz w:val="20"/>
          <w:szCs w:val="20"/>
          <w:color w:val="auto"/>
        </w:rPr>
      </w:pPr>
    </w:p>
    <w:p>
      <w:pPr>
        <w:jc w:val="both"/>
        <w:ind w:firstLine="448"/>
        <w:spacing w:after="0" w:line="282" w:lineRule="auto"/>
        <w:rPr>
          <w:sz w:val="20"/>
          <w:szCs w:val="20"/>
          <w:color w:val="auto"/>
        </w:rPr>
      </w:pPr>
      <w:r>
        <w:rPr>
          <w:rFonts w:ascii="Arial" w:cs="Arial" w:eastAsia="Arial" w:hAnsi="Arial"/>
          <w:sz w:val="18"/>
          <w:szCs w:val="18"/>
          <w:color w:val="auto"/>
        </w:rPr>
        <w:t>Under the CEG Master Services Agreement, CEG does not assume any responsibility other than to provide or arrange for the provision of the services described in the CEG Master Services Agreement in good faith. In addition, under the CEG Master Services Agreement, the liability of CEG and its affiliates is limited to the fullest extent permitted by law to conduct involving bad faith, fraud, willful misconduct or gross negligence or, in the case of a criminal matter, action that was known to have been unlawful. In addition, the Company has agreed to indemnify CEG to the fullest extent permitted by law from and against any claims, liabilities, losses, damages, costs or expenses incurred by an indemnified person or threatened in connection with the Company’s operations, investments and activities or in respect of or arising from the CEG Master Services Agreement or the services provided by CEG, except to the extent that the claims, liabilities, losses, damages, costs or expenses are determined to have resulted from the conduct in respect of which such persons have liability as described above. These protections may result in CEG tolerating greater risks when making decisions than otherwise might be the case, including when determining whether to use leverage in connection with acquisitions. The indemnification arrangements to which CEG is a party may also give rise to legal claims for indemnification that are adverse to the Company and holders of its common stock.</w:t>
      </w:r>
    </w:p>
    <w:p>
      <w:pPr>
        <w:sectPr>
          <w:pgSz w:w="11880" w:h="15480" w:orient="portrait"/>
          <w:cols w:equalWidth="0" w:num="1">
            <w:col w:w="10200"/>
          </w:cols>
          <w:pgMar w:left="840" w:top="403"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880" w:h="15480" w:orient="portrait"/>
          <w:cols w:equalWidth="0" w:num="1">
            <w:col w:w="10200"/>
          </w:cols>
          <w:pgMar w:left="840" w:top="403" w:right="840" w:bottom="0" w:gutter="0" w:footer="0" w:header="0"/>
          <w:type w:val="continuous"/>
        </w:sectPr>
      </w:pPr>
    </w:p>
    <w:bookmarkStart w:id="28" w:name="page29"/>
    <w:bookmarkEnd w:id="28"/>
    <w:p>
      <w:pPr>
        <w:jc w:val="both"/>
        <w:ind w:left="4"/>
        <w:spacing w:after="0" w:line="267" w:lineRule="auto"/>
        <w:rPr>
          <w:sz w:val="20"/>
          <w:szCs w:val="20"/>
          <w:color w:val="auto"/>
        </w:rPr>
      </w:pPr>
      <w:r>
        <w:rPr>
          <w:rFonts w:ascii="Arial" w:cs="Arial" w:eastAsia="Arial" w:hAnsi="Arial"/>
          <w:sz w:val="20"/>
          <w:szCs w:val="20"/>
          <w:b w:val="1"/>
          <w:bCs w:val="1"/>
          <w:i w:val="1"/>
          <w:iCs w:val="1"/>
          <w:color w:val="auto"/>
        </w:rPr>
        <w:t>Certain of the Company’s PPAs and project-level financing arrangements include provisions that would permit the counterparty to terminate the contract or accelerate maturity in the event CEG ceases to control or own, directly or indirectly, a majority of the voting power of the Company.</w:t>
      </w:r>
    </w:p>
    <w:p>
      <w:pPr>
        <w:spacing w:after="0" w:line="136" w:lineRule="exact"/>
        <w:rPr>
          <w:sz w:val="20"/>
          <w:szCs w:val="20"/>
          <w:color w:val="auto"/>
        </w:rPr>
      </w:pPr>
    </w:p>
    <w:p>
      <w:pPr>
        <w:jc w:val="both"/>
        <w:ind w:left="4" w:firstLine="448"/>
        <w:spacing w:after="0" w:line="284" w:lineRule="auto"/>
        <w:rPr>
          <w:sz w:val="20"/>
          <w:szCs w:val="20"/>
          <w:color w:val="auto"/>
        </w:rPr>
      </w:pPr>
      <w:r>
        <w:rPr>
          <w:rFonts w:ascii="Arial" w:cs="Arial" w:eastAsia="Arial" w:hAnsi="Arial"/>
          <w:sz w:val="18"/>
          <w:szCs w:val="18"/>
          <w:color w:val="auto"/>
        </w:rPr>
        <w:t>Certain of the Company’s PPAs and project-level financing arrangements contain change in control provisions that provide the counterparty with a termination right or the ability to accelerate maturity in the event of a change of control of the Company without the counterparty’s consent. These provisions are triggered in the event CEG ceases to own, directly or indirectly, capital stock representing more than 50% of the voting power of the Company’s capital stock outstanding on such date, or, in some cases, if CEG ceases to be the majority owner, directly or indirectly, of the applicable project subsidiary. As a result, if CEG ceases to control, or in some cases, own a majority of the voting power of the Company, the counterparties could terminate such contracts or accelerate the maturity of such financing arrangements. The termination of any of the Company’s PPAs or the acceleration of the maturity of any of the Company’s project-level financing could have a material adverse effect on the Company’s business, financial condition, results of operations and cash flow.</w:t>
      </w:r>
    </w:p>
    <w:p>
      <w:pPr>
        <w:spacing w:after="0" w:line="116" w:lineRule="exact"/>
        <w:rPr>
          <w:sz w:val="20"/>
          <w:szCs w:val="20"/>
          <w:color w:val="auto"/>
        </w:rPr>
      </w:pPr>
    </w:p>
    <w:p>
      <w:pPr>
        <w:jc w:val="both"/>
        <w:ind w:left="4"/>
        <w:spacing w:after="0" w:line="379" w:lineRule="auto"/>
        <w:rPr>
          <w:sz w:val="20"/>
          <w:szCs w:val="20"/>
          <w:color w:val="auto"/>
        </w:rPr>
      </w:pPr>
      <w:r>
        <w:rPr>
          <w:rFonts w:ascii="Arial" w:cs="Arial" w:eastAsia="Arial" w:hAnsi="Arial"/>
          <w:sz w:val="17"/>
          <w:szCs w:val="17"/>
          <w:b w:val="1"/>
          <w:bCs w:val="1"/>
          <w:i w:val="1"/>
          <w:iCs w:val="1"/>
          <w:color w:val="auto"/>
        </w:rPr>
        <w:t>The Company is a “controlled company”, controlled by CEG, and as a result, is exempt from certain corporate governance requirements that are designed to provide protection to stockholders of companies that are not controlled companies.</w:t>
      </w:r>
    </w:p>
    <w:p>
      <w:pPr>
        <w:spacing w:after="0" w:line="47" w:lineRule="exact"/>
        <w:rPr>
          <w:sz w:val="20"/>
          <w:szCs w:val="20"/>
          <w:color w:val="auto"/>
        </w:rPr>
      </w:pPr>
    </w:p>
    <w:p>
      <w:pPr>
        <w:jc w:val="both"/>
        <w:ind w:left="4" w:firstLine="448"/>
        <w:spacing w:after="0" w:line="276" w:lineRule="auto"/>
        <w:rPr>
          <w:sz w:val="20"/>
          <w:szCs w:val="20"/>
          <w:color w:val="auto"/>
        </w:rPr>
      </w:pPr>
      <w:r>
        <w:rPr>
          <w:rFonts w:ascii="Arial" w:cs="Arial" w:eastAsia="Arial" w:hAnsi="Arial"/>
          <w:sz w:val="18"/>
          <w:szCs w:val="18"/>
          <w:color w:val="auto"/>
        </w:rPr>
        <w:t>As of December 31, 2023, CEG controls 54.91% of the Company’s combined voting power and is able to elect all of the Company’s board of directors. As a result, the Company is considered a “controlled company” for the purposes of the NYSE listing requirements. As a “controlled company,” the Company is permitted to, and the Company may, opt out of the NYSE listing requirements that would require (i) a majority of the members of the Company’s board of directors to be independent,</w:t>
      </w:r>
    </w:p>
    <w:p>
      <w:pPr>
        <w:spacing w:after="0" w:line="3" w:lineRule="exact"/>
        <w:rPr>
          <w:sz w:val="20"/>
          <w:szCs w:val="20"/>
          <w:color w:val="auto"/>
        </w:rPr>
      </w:pPr>
    </w:p>
    <w:p>
      <w:pPr>
        <w:jc w:val="both"/>
        <w:ind w:left="4" w:hanging="4"/>
        <w:spacing w:after="0" w:line="268" w:lineRule="auto"/>
        <w:tabs>
          <w:tab w:leader="none" w:pos="338"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that the Company establish a compensation committee and a nominating and governance committee, each comprised entirely of independent directors, or (iii) an annual performance evaluation of the nominating and governance and compensation committees. The NYSE listing requirements are intended to ensure that directors who meet the independence standards are free of any conflicting interest that could influence their actions as directors. While the Company has elected to have a Corporate Governance, Conflicts and Nominating Committee consisting entirely of independent directors and to conduct an annual performance evaluation of this committee, the majority of the members of the Company’s board of directors are not considered independent and the Company’s compensation committee is not comprised entirely of independent directors. Therefore, the Company’s stockholders may not have the same protections afforded to stockholders of companies that are subject to all of the applicable NYSE listing requirements.</w:t>
      </w:r>
    </w:p>
    <w:p>
      <w:pPr>
        <w:spacing w:after="0" w:line="126" w:lineRule="exact"/>
        <w:rPr>
          <w:sz w:val="20"/>
          <w:szCs w:val="20"/>
          <w:color w:val="auto"/>
        </w:rPr>
      </w:pPr>
    </w:p>
    <w:p>
      <w:pPr>
        <w:ind w:left="4"/>
        <w:spacing w:after="0"/>
        <w:rPr>
          <w:sz w:val="20"/>
          <w:szCs w:val="20"/>
          <w:color w:val="auto"/>
        </w:rPr>
      </w:pPr>
      <w:r>
        <w:rPr>
          <w:rFonts w:ascii="Arial" w:cs="Arial" w:eastAsia="Arial" w:hAnsi="Arial"/>
          <w:sz w:val="20"/>
          <w:szCs w:val="20"/>
          <w:b w:val="1"/>
          <w:bCs w:val="1"/>
          <w:color w:val="auto"/>
        </w:rPr>
        <w:t>Risks Related to Regulation</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The Company’s business is subject to restrictions resulting from environmental, health and safety laws and regulations.</w:t>
      </w:r>
    </w:p>
    <w:p>
      <w:pPr>
        <w:spacing w:after="0" w:line="231" w:lineRule="exact"/>
        <w:rPr>
          <w:sz w:val="20"/>
          <w:szCs w:val="20"/>
          <w:color w:val="auto"/>
        </w:rPr>
      </w:pPr>
    </w:p>
    <w:p>
      <w:pPr>
        <w:jc w:val="both"/>
        <w:ind w:left="4" w:firstLine="448"/>
        <w:spacing w:after="0" w:line="283" w:lineRule="auto"/>
        <w:rPr>
          <w:sz w:val="20"/>
          <w:szCs w:val="20"/>
          <w:color w:val="auto"/>
        </w:rPr>
      </w:pPr>
      <w:r>
        <w:rPr>
          <w:rFonts w:ascii="Arial" w:cs="Arial" w:eastAsia="Arial" w:hAnsi="Arial"/>
          <w:sz w:val="18"/>
          <w:szCs w:val="18"/>
          <w:color w:val="auto"/>
        </w:rPr>
        <w:t>The Company is subject to various federal, state and local environmental and health and safety laws and regulations. In addition, the Company may be held primarily or jointly and severally liable for costs relating to the investigation and clean-up of any property where there has been a release or threatened release of a hazardous regulated material as well as other affected properties, regardless of whether the Company knew of or caused the release. In addition to these costs, which are typically not limited by law or regulation and could exceed an affected property’s value, the Company could be liable for certain other costs, including governmental fines and injuries to persons, property or natural resources. Further, some environmental laws provide for the creation of a lien on a contaminated site in favor of the government as security for damages and any costs the government incurs in connection with such contamination and associated clean-up. Although the Company generally requires its operators to indemnify it for environmental liabilities the operators cause, the amount of such liabilities could exceed the financial ability of the operator to indemnify the Company. The presence of contamination or the failure to remediate contamination may adversely affect the Company’s ability to operate the business.</w:t>
      </w:r>
    </w:p>
    <w:p>
      <w:pPr>
        <w:spacing w:after="0" w:line="121" w:lineRule="exact"/>
        <w:rPr>
          <w:sz w:val="20"/>
          <w:szCs w:val="20"/>
          <w:color w:val="auto"/>
        </w:rPr>
      </w:pPr>
    </w:p>
    <w:p>
      <w:pPr>
        <w:jc w:val="both"/>
        <w:ind w:left="4" w:firstLine="448"/>
        <w:spacing w:after="0" w:line="282" w:lineRule="auto"/>
        <w:rPr>
          <w:sz w:val="20"/>
          <w:szCs w:val="20"/>
          <w:color w:val="auto"/>
        </w:rPr>
      </w:pPr>
      <w:r>
        <w:rPr>
          <w:rFonts w:ascii="Arial" w:cs="Arial" w:eastAsia="Arial" w:hAnsi="Arial"/>
          <w:sz w:val="18"/>
          <w:szCs w:val="18"/>
          <w:color w:val="auto"/>
        </w:rPr>
        <w:t>Local, state, federal and international regulatory bodies have increasingly focused on greenhouse gas (GHG) regulation, which could increase the cost of electricity generated by fossil fuels and reduce demand for the power the Company’s conventional assets generate and market. The EPA regulates GHG emissions from new and modified facilities that are potential major sources of criteria pollutants under the Clean Air Act and has adopted regulations that require, among other things, preconstruction and operating permits for certain large stationary sources and the monitoring and reporting of GHGs from certain oil and natural gas facilities. Further, the EPA recently announced strict new methane emissions regulations for oil and natural gas facilities, and the IRA established a charge on excess methane emissions from the same facilities. On the international level, under the Paris Agreement, the U.S. established an economy-wide target of reducing its net GHG emissions by 50-52 percent below 2005 levels by 2030 and achieving net zero GHG emissions economy-wide by no later than 2050. In December 2023, the United Nations Climate Change Conference issued a call on parties to the Paris Agreement, including the U.S., to contribute to the transitioning away from fossil fuels, reduction of methane emissions, and increase in renewable energy capacity to achieve net zero emissions by 2050. Many state and local officials have stated their intent to intensify efforts to uphold the commitments set forth in the international accord.</w:t>
      </w:r>
    </w:p>
    <w:p>
      <w:pPr>
        <w:sectPr>
          <w:pgSz w:w="11880" w:h="15480" w:orient="portrait"/>
          <w:cols w:equalWidth="0" w:num="1">
            <w:col w:w="10204"/>
          </w:cols>
          <w:pgMar w:left="836" w:top="403" w:right="840" w:bottom="0" w:gutter="0" w:footer="0" w:header="0"/>
        </w:sectPr>
      </w:pPr>
    </w:p>
    <w:p>
      <w:pPr>
        <w:spacing w:after="0" w:line="200" w:lineRule="exact"/>
        <w:rPr>
          <w:sz w:val="20"/>
          <w:szCs w:val="20"/>
          <w:color w:val="auto"/>
        </w:rPr>
      </w:pPr>
    </w:p>
    <w:p>
      <w:pPr>
        <w:spacing w:after="0" w:line="293" w:lineRule="exact"/>
        <w:rPr>
          <w:sz w:val="20"/>
          <w:szCs w:val="20"/>
          <w:color w:val="auto"/>
        </w:rPr>
      </w:pPr>
    </w:p>
    <w:p>
      <w:pPr>
        <w:jc w:val="center"/>
        <w:ind w:right="-3"/>
        <w:spacing w:after="0"/>
        <w:rPr>
          <w:sz w:val="20"/>
          <w:szCs w:val="20"/>
          <w:color w:val="auto"/>
        </w:rPr>
      </w:pPr>
      <w:r>
        <w:rPr>
          <w:rFonts w:ascii="Arial" w:cs="Arial" w:eastAsia="Arial" w:hAnsi="Arial"/>
          <w:sz w:val="17"/>
          <w:szCs w:val="17"/>
          <w:color w:val="auto"/>
        </w:rPr>
        <w:t>27</w:t>
      </w:r>
    </w:p>
    <w:p>
      <w:pPr>
        <w:sectPr>
          <w:pgSz w:w="11880" w:h="15480" w:orient="portrait"/>
          <w:cols w:equalWidth="0" w:num="1">
            <w:col w:w="10204"/>
          </w:cols>
          <w:pgMar w:left="836" w:top="403" w:right="840" w:bottom="0" w:gutter="0" w:footer="0" w:header="0"/>
          <w:type w:val="continuous"/>
        </w:sectPr>
      </w:pPr>
    </w:p>
    <w:bookmarkStart w:id="29" w:name="page30"/>
    <w:bookmarkEnd w:id="29"/>
    <w:p>
      <w:pPr>
        <w:jc w:val="both"/>
        <w:ind w:firstLine="448"/>
        <w:spacing w:after="0" w:line="269" w:lineRule="auto"/>
        <w:rPr>
          <w:sz w:val="20"/>
          <w:szCs w:val="20"/>
          <w:color w:val="auto"/>
        </w:rPr>
      </w:pPr>
      <w:r>
        <w:rPr>
          <w:rFonts w:ascii="Arial" w:cs="Arial" w:eastAsia="Arial" w:hAnsi="Arial"/>
          <w:sz w:val="19"/>
          <w:szCs w:val="19"/>
          <w:color w:val="auto"/>
        </w:rPr>
        <w:t>Legislation or regulation that restricts carbon emissions could increase the cost of environmental compliance for the Company’s conventional assets by requiring the Company to install new equipment to reduce emissions from larger facilities and/or purchase emission allowances. Climate change and GHG legislation or regulation could also delay or otherwise negatively affect efforts to obtain and maintain permits and other regulatory approvals for the Company’s conventional assets’ existing and new facilities, impose additional monitoring and reporting requirements or adversely affect demand for the natural gas the Company gathers, transports and stores. The effect on the Company of any new legislative or regulatory measures will depend on the particular provisions that are ultimately adopted.</w:t>
      </w:r>
    </w:p>
    <w:p>
      <w:pPr>
        <w:spacing w:after="0" w:line="136"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19"/>
          <w:szCs w:val="19"/>
          <w:color w:val="auto"/>
        </w:rPr>
        <w:t>Governmental, scientific and public concern over the threat of climate change arising from GHG emissions has resulted in increasing political risks in the United States. Companies across all industries are facing increased scrutiny from the public, stakeholders and government agencies related to their environmental, social, and governance, or ESG, practices and commitments to address climate change. For example, the SEC proposed enhanced climate-related disclosures in March 2022, which are expected to be finalized in the first half of 2024, and in September 2023, California passed climate-related disclosure mandates, which are broader than the SEC’s proposed rules. In recent years, investor advocacy groups, institutional investors, investment funds, and other influential investors have placed increasing importance on ESG practices. Increased focus and activism related to ESG and similar matters may hinder access to capital, as investors may decide to reallocate capital or to not commit capital as a result of their assessment of a company’s ESG practices. While the Company is committed to engaging with its stakeholders on ESG practices in a proactive, holistic and integrated manner, changes in the public or stakeholder sentiment could impact the Company’s ability to fund its conventional assets or decrease the demand for the energy generated by these assets. In addition, the additional disclosure requirements involve a significant recordkeeping requirement, which could result in the need for additional resources to support compliance. The Company will also be reliant upon its vendors in providing the necessary information for compliance, which may provide additional challenges in meeting compliance requirements.</w:t>
      </w:r>
    </w:p>
    <w:p>
      <w:pPr>
        <w:spacing w:after="0" w:line="134"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i w:val="1"/>
          <w:iCs w:val="1"/>
          <w:color w:val="auto"/>
        </w:rPr>
        <w:t>The electric generation business is subject to substantial governmental regulation and may be adversely affected by changes in laws or regulations, as well as liability under, or any future inability to comply with, existing or future regulations or other legal requirements.</w:t>
      </w:r>
    </w:p>
    <w:p>
      <w:pPr>
        <w:spacing w:after="0" w:line="136" w:lineRule="exact"/>
        <w:rPr>
          <w:sz w:val="20"/>
          <w:szCs w:val="20"/>
          <w:color w:val="auto"/>
        </w:rPr>
      </w:pPr>
    </w:p>
    <w:p>
      <w:pPr>
        <w:jc w:val="both"/>
        <w:ind w:firstLine="448"/>
        <w:spacing w:after="0" w:line="283" w:lineRule="auto"/>
        <w:rPr>
          <w:sz w:val="20"/>
          <w:szCs w:val="20"/>
          <w:color w:val="auto"/>
        </w:rPr>
      </w:pPr>
      <w:r>
        <w:rPr>
          <w:rFonts w:ascii="Arial" w:cs="Arial" w:eastAsia="Arial" w:hAnsi="Arial"/>
          <w:sz w:val="18"/>
          <w:szCs w:val="18"/>
          <w:color w:val="auto"/>
        </w:rPr>
        <w:t>The Company’s electric generation business is subject to extensive U.S. federal, state and local laws and regulations. Compliance with the requirements under these various regulatory regimes may cause the Company to incur significant additional costs, and failure to comply with such requirements could result in the shutdown of the non-complying facility, the imposition of liens, fines, and/or civil or criminal liability. Public utilities under the FPA are required to obtain FERC acceptance of their rate schedules for wholesale sales of electric energy, capacity and ancillary services. Except for generating facilities located in Hawaii or in Texas within the footprint of ERCOT, all of the Company’s generating companies are public utilities under the FPA with market-based rate authority unless exempt from FPA public utility rate regulation. FERC’s orders that grant market-based rate authority to wholesale power sellers reserve the right to revoke or revise that authority if FERC subsequently determines that the seller can exercise market power in transmission or generation, create barriers to entry, or engage in abusive affiliate transactions. In addition, public utilities are subject to FERC reporting requirements that impose administrative burdens and that, if violated, can expose the company to criminal and civil penalties or other risks.</w:t>
      </w:r>
    </w:p>
    <w:p>
      <w:pPr>
        <w:spacing w:after="0" w:line="121" w:lineRule="exact"/>
        <w:rPr>
          <w:sz w:val="20"/>
          <w:szCs w:val="20"/>
          <w:color w:val="auto"/>
        </w:rPr>
      </w:pPr>
    </w:p>
    <w:p>
      <w:pPr>
        <w:jc w:val="both"/>
        <w:ind w:firstLine="448"/>
        <w:spacing w:after="0" w:line="287" w:lineRule="auto"/>
        <w:rPr>
          <w:sz w:val="20"/>
          <w:szCs w:val="20"/>
          <w:color w:val="auto"/>
        </w:rPr>
      </w:pPr>
      <w:r>
        <w:rPr>
          <w:rFonts w:ascii="Arial" w:cs="Arial" w:eastAsia="Arial" w:hAnsi="Arial"/>
          <w:sz w:val="18"/>
          <w:szCs w:val="18"/>
          <w:color w:val="auto"/>
        </w:rPr>
        <w:t>The Company’s market-based sales are subject to certain rules prohibiting manipulative or deceptive conduct, and if any of the Company’s generating companies with market-based rate authority are deemed to have violated those rules, they could be subject to potential disgorgement of profits associated with the violation, penalties, suspension or revocation of market-based rate authority. If such generating companies were to lose their market-based rate authority, such companies would be required to obtain FERC’s acceptance of a cost-of-service rate schedule and could become subject to the significant accounting, record-keeping, and reporting requirements that are imposed on utilities with cost-based rate schedules. This could have a material adverse effect on the rates the Company is able to charge for power from its facilities.</w:t>
      </w:r>
    </w:p>
    <w:p>
      <w:pPr>
        <w:spacing w:after="0" w:line="118" w:lineRule="exact"/>
        <w:rPr>
          <w:sz w:val="20"/>
          <w:szCs w:val="20"/>
          <w:color w:val="auto"/>
        </w:rPr>
      </w:pPr>
    </w:p>
    <w:p>
      <w:pPr>
        <w:jc w:val="both"/>
        <w:ind w:firstLine="448"/>
        <w:spacing w:after="0" w:line="255" w:lineRule="auto"/>
        <w:rPr>
          <w:sz w:val="20"/>
          <w:szCs w:val="20"/>
          <w:color w:val="auto"/>
        </w:rPr>
      </w:pPr>
      <w:r>
        <w:rPr>
          <w:rFonts w:ascii="Arial" w:cs="Arial" w:eastAsia="Arial" w:hAnsi="Arial"/>
          <w:sz w:val="20"/>
          <w:szCs w:val="20"/>
          <w:color w:val="auto"/>
        </w:rPr>
        <w:t>All of the Company’s generating assets are operating either as EWGs as defined under the PUHCA, or as QFs as defined under the PURPA, as amended, and therefore are exempt from certain regulation under the PUHCA and the FPA. If a facility fails to maintain its status as an EWG or a QF or there are legislative or regulatory changes revoking or limiting the exemptions to the PUHCA and/or the FPA, then the Company may be subject to significant accounting, record-keeping, access to books and records and reporting requirements, and failure to comply with such requirements could result in the imposition of penalties and additional compliance obligations.</w:t>
      </w:r>
    </w:p>
    <w:p>
      <w:pPr>
        <w:sectPr>
          <w:pgSz w:w="11880" w:h="15480" w:orient="portrait"/>
          <w:cols w:equalWidth="0" w:num="1">
            <w:col w:w="10200"/>
          </w:cols>
          <w:pgMar w:left="840" w:top="411"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880" w:h="15480" w:orient="portrait"/>
          <w:cols w:equalWidth="0" w:num="1">
            <w:col w:w="10200"/>
          </w:cols>
          <w:pgMar w:left="840" w:top="411" w:right="840" w:bottom="0" w:gutter="0" w:footer="0" w:header="0"/>
          <w:type w:val="continuous"/>
        </w:sectPr>
      </w:pPr>
    </w:p>
    <w:bookmarkStart w:id="30" w:name="page31"/>
    <w:bookmarkEnd w:id="30"/>
    <w:p>
      <w:pPr>
        <w:jc w:val="both"/>
        <w:ind w:firstLine="448"/>
        <w:spacing w:after="0" w:line="280" w:lineRule="auto"/>
        <w:rPr>
          <w:sz w:val="20"/>
          <w:szCs w:val="20"/>
          <w:color w:val="auto"/>
        </w:rPr>
      </w:pPr>
      <w:r>
        <w:rPr>
          <w:rFonts w:ascii="Arial" w:cs="Arial" w:eastAsia="Arial" w:hAnsi="Arial"/>
          <w:sz w:val="18"/>
          <w:szCs w:val="18"/>
          <w:color w:val="auto"/>
        </w:rPr>
        <w:t>Substantially all of the Company’s generation assets are also subject to the reliability standards promulgated by the designated Electric Reliability Organization (currently the North American Electric Reliability Corporation, or NERC) and approved by FERC. If the Company fails to comply with the mandatory reliability standards, it could be subject to sanctions, including substantial monetary penalties and increased compliance obligations. The Company will also be affected by legislative and regulatory changes, as well as changes to market design, market rules, tariffs, cost allocations and bidding rules that occur in the existing regional markets operated by RTOs or ISOs, such as PJM. The RTOs/ISOs that oversee most of the wholesale power markets impose, and in the future may continue to impose, mitigation, including price limitations, offer caps, non-performance penalties and other mechanisms to address some of the volatility and the potential exercise of market power in these markets. These types of price limitations and other regulatory mechanisms may have a material adverse effect on the profitability of the Company’s generation facilities acquired in the future that sell energy, capacity and ancillary products into the wholesale power markets. The regulatory environment for electric generation has undergone significant changes in the last several years due to state and federal policies affecting wholesale competition and the creation of incentives for the addition of large amounts of new renewable generation and, in some cases, transmission assets. These changes are ongoing, and the Company cannot predict the future design of the wholesale power markets or the ultimate effect that the changing regulatory environment will have on the Company’s business. In addition, in some of these markets, interested parties have proposed to re-regulate the markets or require divestiture of electric generation assets by asset owners or operators to reduce their market share. Other proposals to re-regulate may be made and legislative or other attention to the electric power market restructuring process may delay or reverse the deregulation process. If competitive restructuring of the electric power markets is reversed, discontinued, or delayed, the Company’s business prospects and financial results could be negatively impacted.</w:t>
      </w:r>
    </w:p>
    <w:p>
      <w:pPr>
        <w:spacing w:after="0" w:line="120" w:lineRule="exact"/>
        <w:rPr>
          <w:sz w:val="20"/>
          <w:szCs w:val="20"/>
          <w:color w:val="auto"/>
        </w:rPr>
      </w:pPr>
    </w:p>
    <w:p>
      <w:pPr>
        <w:jc w:val="both"/>
        <w:spacing w:after="0" w:line="344" w:lineRule="auto"/>
        <w:rPr>
          <w:sz w:val="20"/>
          <w:szCs w:val="20"/>
          <w:color w:val="auto"/>
        </w:rPr>
      </w:pPr>
      <w:r>
        <w:rPr>
          <w:rFonts w:ascii="Arial" w:cs="Arial" w:eastAsia="Arial" w:hAnsi="Arial"/>
          <w:sz w:val="18"/>
          <w:szCs w:val="18"/>
          <w:b w:val="1"/>
          <w:bCs w:val="1"/>
          <w:i w:val="1"/>
          <w:iCs w:val="1"/>
          <w:color w:val="auto"/>
        </w:rPr>
        <w:t>The Company is subject to environmental laws and regulations that impose extensive and increasingly stringent requirements on its operations, as well as potentially substantial liabilities arising out of environmental contamination.</w:t>
      </w:r>
    </w:p>
    <w:p>
      <w:pPr>
        <w:spacing w:after="0" w:line="72" w:lineRule="exact"/>
        <w:rPr>
          <w:sz w:val="20"/>
          <w:szCs w:val="20"/>
          <w:color w:val="auto"/>
        </w:rPr>
      </w:pPr>
    </w:p>
    <w:p>
      <w:pPr>
        <w:jc w:val="both"/>
        <w:ind w:firstLine="448"/>
        <w:spacing w:after="0" w:line="279" w:lineRule="auto"/>
        <w:rPr>
          <w:sz w:val="20"/>
          <w:szCs w:val="20"/>
          <w:color w:val="auto"/>
        </w:rPr>
      </w:pPr>
      <w:r>
        <w:rPr>
          <w:rFonts w:ascii="Arial" w:cs="Arial" w:eastAsia="Arial" w:hAnsi="Arial"/>
          <w:sz w:val="18"/>
          <w:szCs w:val="18"/>
          <w:color w:val="auto"/>
        </w:rPr>
        <w:t>The Company’s assets are subject to numerous and significant federal, state and local laws, including statutes, regulations, guidelines, policies, directives and other requirements governing or relating to, among other things: protection of wildlife, including threatened and endangered species; air emissions; discharges into water; water use; the storage, handling, use, transportation and distribution of dangerous goods and hazardous, residual and other regulated materials, such as chemicals; the prevention of releases of hazardous materials into the environment; the prevention, presence and remediation of hazardous materials in soil and groundwater, both on and offsite; land use and zoning matters; and workers’ health and safety matters. The Company’s facilities could experience incidents, malfunctions and other unplanned events that could result in spills or emissions in excess of permitted levels and result in personal injury, penalties and property damage. Any failure to comply with applicable environmental laws and regulations, including those relating to equipment failures, or obtain required governmental approvals and permits, may result in the assessment of administrative, civil or criminal penalties, imposition of investigatory or remedial activities and, in certain, less common circumstances, issuance of temporary or permanent injunctions, or construction or operation bans or delays. As such, the operation of the Company’s facilities carries an inherent risk of environmental, health and safety liabilities (including potential civil actions, compliance or remediation orders, fines and other penalties), and may result in the assets being involved from time to time in administrative and judicial proceedings relating to such matters. The Company has implemented environmental, health and safety management programs designed to continually improve environmental, health and safety performance. Environmental laws and regulations have generally become more stringent over time. Significant costs may be incurred for capital expenditures under environmental programs to keep the assets compliant with such environmental laws and regulations. If it is not economical to make those expenditures, it may be necessary to retire or mothball facilities or restrict or modify the Company’s operations to comply with more stringent standards. These environmental requirements and liabilities could have a material adverse effect on the business, financial condition, results of operations and cash flows.</w:t>
      </w:r>
    </w:p>
    <w:p>
      <w:pPr>
        <w:spacing w:after="0" w:line="133" w:lineRule="exact"/>
        <w:rPr>
          <w:sz w:val="20"/>
          <w:szCs w:val="20"/>
          <w:color w:val="auto"/>
        </w:rPr>
      </w:pPr>
    </w:p>
    <w:p>
      <w:pPr>
        <w:jc w:val="both"/>
        <w:spacing w:after="0" w:line="310" w:lineRule="auto"/>
        <w:rPr>
          <w:sz w:val="20"/>
          <w:szCs w:val="20"/>
          <w:color w:val="auto"/>
        </w:rPr>
      </w:pPr>
      <w:r>
        <w:rPr>
          <w:rFonts w:ascii="Arial" w:cs="Arial" w:eastAsia="Arial" w:hAnsi="Arial"/>
          <w:sz w:val="18"/>
          <w:szCs w:val="18"/>
          <w:b w:val="1"/>
          <w:bCs w:val="1"/>
          <w:i w:val="1"/>
          <w:iCs w:val="1"/>
          <w:color w:val="auto"/>
        </w:rPr>
        <w:t>The Company’s business is subject to complex and evolving U.S. laws and regulations regarding privacy and data protection (“data protection laws”). Many of these laws and regulations are subject to change and uncertain interpretation, and could result in claims, increased cost of operations, or otherwise harm the Company’s business.</w:t>
      </w:r>
    </w:p>
    <w:p>
      <w:pPr>
        <w:spacing w:after="0" w:line="102" w:lineRule="exact"/>
        <w:rPr>
          <w:sz w:val="20"/>
          <w:szCs w:val="20"/>
          <w:color w:val="auto"/>
        </w:rPr>
      </w:pPr>
    </w:p>
    <w:p>
      <w:pPr>
        <w:jc w:val="both"/>
        <w:ind w:firstLine="448"/>
        <w:spacing w:after="0" w:line="283" w:lineRule="auto"/>
        <w:rPr>
          <w:sz w:val="20"/>
          <w:szCs w:val="20"/>
          <w:color w:val="auto"/>
        </w:rPr>
      </w:pPr>
      <w:r>
        <w:rPr>
          <w:rFonts w:ascii="Arial" w:cs="Arial" w:eastAsia="Arial" w:hAnsi="Arial"/>
          <w:sz w:val="18"/>
          <w:szCs w:val="18"/>
          <w:color w:val="auto"/>
        </w:rPr>
        <w:t>The regulatory environment surrounding data privacy and protection is constantly evolving and can be subject to significant change. New data protection laws pose increasingly complex compliance challenges and potentially elevate the Company’s costs. Complying with varying jurisdictional requirements could increase the costs and complexity of compliance, and violations of applicable data protection laws can result in significant penalties. Any failure, or perceived failure, by the Company to comply with applicable data protection laws could result in proceedings or actions against the Company by governmental entities or others, subject the Company to significant fines, penalties, judgments, and negative publicity, require the Company to change its business practices, increase the costs and complexity of compliance, and adversely affect the Company’s business. As noted above, the Company is also subject to the possibility of cyberattacks, which themselves may result in a violation of these laws. Additionally, if the Company acquires a company that has violated or is not in compliance with applicable data protection laws, the Company may incur significant liabilities and penalties as a result.</w:t>
      </w:r>
    </w:p>
    <w:p>
      <w:pPr>
        <w:sectPr>
          <w:pgSz w:w="11880" w:h="15480" w:orient="portrait"/>
          <w:cols w:equalWidth="0" w:num="1">
            <w:col w:w="10200"/>
          </w:cols>
          <w:pgMar w:left="840" w:top="411" w:right="840" w:bottom="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880" w:h="15480" w:orient="portrait"/>
          <w:cols w:equalWidth="0" w:num="1">
            <w:col w:w="10200"/>
          </w:cols>
          <w:pgMar w:left="840" w:top="411" w:right="840" w:bottom="0" w:gutter="0" w:footer="0" w:header="0"/>
          <w:type w:val="continuous"/>
        </w:sectPr>
      </w:pPr>
    </w:p>
    <w:bookmarkStart w:id="31" w:name="page32"/>
    <w:bookmarkEnd w:id="31"/>
    <w:p>
      <w:pPr>
        <w:jc w:val="both"/>
        <w:spacing w:after="0" w:line="286" w:lineRule="auto"/>
        <w:rPr>
          <w:sz w:val="20"/>
          <w:szCs w:val="20"/>
          <w:color w:val="auto"/>
        </w:rPr>
      </w:pPr>
      <w:r>
        <w:rPr>
          <w:rFonts w:ascii="Arial" w:cs="Arial" w:eastAsia="Arial" w:hAnsi="Arial"/>
          <w:sz w:val="20"/>
          <w:szCs w:val="20"/>
          <w:b w:val="1"/>
          <w:bCs w:val="1"/>
          <w:i w:val="1"/>
          <w:iCs w:val="1"/>
          <w:color w:val="auto"/>
        </w:rPr>
        <w:t>Government regulations providing incentives for renewable power generation could change at any time and such changes may negatively impact the Company’s growth strategy.</w:t>
      </w:r>
    </w:p>
    <w:p>
      <w:pPr>
        <w:spacing w:after="0" w:line="117" w:lineRule="exact"/>
        <w:rPr>
          <w:sz w:val="20"/>
          <w:szCs w:val="20"/>
          <w:color w:val="auto"/>
        </w:rPr>
      </w:pPr>
    </w:p>
    <w:p>
      <w:pPr>
        <w:jc w:val="both"/>
        <w:ind w:firstLine="448"/>
        <w:spacing w:after="0" w:line="285" w:lineRule="auto"/>
        <w:rPr>
          <w:sz w:val="20"/>
          <w:szCs w:val="20"/>
          <w:color w:val="auto"/>
        </w:rPr>
      </w:pPr>
      <w:r>
        <w:rPr>
          <w:rFonts w:ascii="Arial" w:cs="Arial" w:eastAsia="Arial" w:hAnsi="Arial"/>
          <w:sz w:val="18"/>
          <w:szCs w:val="18"/>
          <w:color w:val="auto"/>
        </w:rPr>
        <w:t>The Company’s growth strategy depends in part on government policies that support renewable generation and energy storage and enhance the economic viability of owning renewable power generation assets. Renewable power generation assets currently benefit from various federal, state and local governmental incentives such as ITCs, PTCs, loan guarantee programs, RPS programs and accelerated depreciation for tax purposes. These laws, regulations and policies have had a significant impact on the development of renewable power generation projects and they could be changed, reduced or eliminated at any time. These incentives make the development of renewable power generation projects more competitive by providing tax credits or grants and accelerated depreciation for a portion of the development costs, decreasing the costs and risks associated with developing such projects or creating demand for renewable power assets through RPS programs.</w:t>
      </w:r>
    </w:p>
    <w:p>
      <w:pPr>
        <w:spacing w:after="0" w:line="123" w:lineRule="exact"/>
        <w:rPr>
          <w:sz w:val="20"/>
          <w:szCs w:val="20"/>
          <w:color w:val="auto"/>
        </w:rPr>
      </w:pPr>
    </w:p>
    <w:p>
      <w:pPr>
        <w:jc w:val="both"/>
        <w:ind w:firstLine="448"/>
        <w:spacing w:after="0" w:line="255" w:lineRule="auto"/>
        <w:rPr>
          <w:sz w:val="20"/>
          <w:szCs w:val="20"/>
          <w:color w:val="auto"/>
        </w:rPr>
      </w:pPr>
      <w:r>
        <w:rPr>
          <w:rFonts w:ascii="Arial" w:cs="Arial" w:eastAsia="Arial" w:hAnsi="Arial"/>
          <w:sz w:val="20"/>
          <w:szCs w:val="20"/>
          <w:color w:val="auto"/>
        </w:rPr>
        <w:t>The elimination or loss of, or reduction in, such incentives could (i) decrease the attractiveness of renewable power generation projects to developers, including, but not limited to, CEG, which could reduce the Company’s acquisition opportunities, (ii) reduce the Company’s willingness to pursue or develop certain renewable power projects due to higher operating costs or decreased revenues under its PPAs, (iii) cause the market for future renewable energy PPAs to be smaller and the prices for future renewable energy PPAs to be lower and/or (iv) result in increased financing costs and difficulty in obtaining financing on acceptable terms.</w:t>
      </w:r>
    </w:p>
    <w:p>
      <w:pPr>
        <w:spacing w:after="0" w:line="146" w:lineRule="exact"/>
        <w:rPr>
          <w:sz w:val="20"/>
          <w:szCs w:val="20"/>
          <w:color w:val="auto"/>
        </w:rPr>
      </w:pPr>
    </w:p>
    <w:p>
      <w:pPr>
        <w:jc w:val="both"/>
        <w:ind w:firstLine="448"/>
        <w:spacing w:after="0" w:line="280" w:lineRule="auto"/>
        <w:rPr>
          <w:sz w:val="20"/>
          <w:szCs w:val="20"/>
          <w:color w:val="auto"/>
        </w:rPr>
      </w:pPr>
      <w:r>
        <w:rPr>
          <w:rFonts w:ascii="Arial" w:cs="Arial" w:eastAsia="Arial" w:hAnsi="Arial"/>
          <w:sz w:val="20"/>
          <w:szCs w:val="20"/>
          <w:color w:val="auto"/>
        </w:rPr>
        <w:t>Any of the foregoing could have a material adverse effect on the Company’s business, financial condition, results of operations and ability to grow its business and make cash distributions.</w:t>
      </w:r>
    </w:p>
    <w:p>
      <w:pPr>
        <w:spacing w:after="0" w:line="112" w:lineRule="exact"/>
        <w:rPr>
          <w:sz w:val="20"/>
          <w:szCs w:val="20"/>
          <w:color w:val="auto"/>
        </w:rPr>
      </w:pPr>
    </w:p>
    <w:p>
      <w:pPr>
        <w:jc w:val="both"/>
        <w:spacing w:after="0" w:line="286" w:lineRule="auto"/>
        <w:rPr>
          <w:sz w:val="20"/>
          <w:szCs w:val="20"/>
          <w:color w:val="auto"/>
        </w:rPr>
      </w:pPr>
      <w:r>
        <w:rPr>
          <w:rFonts w:ascii="Arial" w:cs="Arial" w:eastAsia="Arial" w:hAnsi="Arial"/>
          <w:sz w:val="20"/>
          <w:szCs w:val="20"/>
          <w:b w:val="1"/>
          <w:bCs w:val="1"/>
          <w:i w:val="1"/>
          <w:iCs w:val="1"/>
          <w:color w:val="auto"/>
        </w:rPr>
        <w:t>Revenue earned by GenConn is established each year in a rate case; accordingly, the profitability of its assets is dependent on regulatory approval.</w:t>
      </w:r>
    </w:p>
    <w:p>
      <w:pPr>
        <w:spacing w:after="0" w:line="117" w:lineRule="exact"/>
        <w:rPr>
          <w:sz w:val="20"/>
          <w:szCs w:val="20"/>
          <w:color w:val="auto"/>
        </w:rPr>
      </w:pPr>
    </w:p>
    <w:p>
      <w:pPr>
        <w:jc w:val="both"/>
        <w:ind w:firstLine="448"/>
        <w:spacing w:after="0" w:line="283" w:lineRule="auto"/>
        <w:rPr>
          <w:sz w:val="20"/>
          <w:szCs w:val="20"/>
          <w:color w:val="auto"/>
        </w:rPr>
      </w:pPr>
      <w:r>
        <w:rPr>
          <w:rFonts w:ascii="Arial" w:cs="Arial" w:eastAsia="Arial" w:hAnsi="Arial"/>
          <w:sz w:val="18"/>
          <w:szCs w:val="18"/>
          <w:color w:val="auto"/>
        </w:rPr>
        <w:t>Revenues related to GenConn are established each year by the Connecticut Public Utilities Regulatory Authority. While such regulatory oversight is generally premised on the recovery of prudently incurred costs and a reasonable rate of return on invested capital, the rates that GenConn may charge, or the revenue that the Company may earn through its GenConn investment, which is accounted for under the equity method, with respect to this capacity are subject to authorization of the applicable regulatory authorities. There can be no assurance that such regulatory authorities will consider all of the costs to have been prudently incurred or that the regulatory process by which rates or revenues are determined will always result in rates or revenues that achieve full recovery of costs or an adequate return on the Company’s capital investments. While GenConn’s rates and revenues are generally established based on an analysis of costs incurred in a base year, the rates GenConn is allowed to charge, and the revenues GenConn is authorized to earn, may or may not match the costs at any given time. If GenConn’s costs are not adequately recovered through these regulatory processes, it could have a material adverse effect on the Company’s business, financial condition, results of operations and cash flows.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the Company’s Common Stock</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20"/>
          <w:szCs w:val="20"/>
          <w:b w:val="1"/>
          <w:bCs w:val="1"/>
          <w:i w:val="1"/>
          <w:iCs w:val="1"/>
          <w:color w:val="auto"/>
        </w:rPr>
        <w:t>The Company may not be able to continue paying comparable or growing cash dividends to holders of its common stock in the future.</w:t>
      </w:r>
    </w:p>
    <w:p>
      <w:pPr>
        <w:spacing w:after="0" w:line="117" w:lineRule="exact"/>
        <w:rPr>
          <w:sz w:val="20"/>
          <w:szCs w:val="20"/>
          <w:color w:val="auto"/>
        </w:rPr>
      </w:pPr>
    </w:p>
    <w:p>
      <w:pPr>
        <w:jc w:val="both"/>
        <w:ind w:firstLine="448"/>
        <w:spacing w:after="0" w:line="280" w:lineRule="auto"/>
        <w:rPr>
          <w:sz w:val="20"/>
          <w:szCs w:val="20"/>
          <w:color w:val="auto"/>
        </w:rPr>
      </w:pPr>
      <w:r>
        <w:rPr>
          <w:rFonts w:ascii="Arial" w:cs="Arial" w:eastAsia="Arial" w:hAnsi="Arial"/>
          <w:sz w:val="20"/>
          <w:szCs w:val="20"/>
          <w:color w:val="auto"/>
        </w:rPr>
        <w:t>The amount of CAFD principally depends upon the amount of cash the Company generates from its operations, which will fluctuate from quarter to quarter based on, among other things:</w:t>
      </w:r>
    </w:p>
    <w:p>
      <w:pPr>
        <w:spacing w:after="0" w:line="1" w:lineRule="exact"/>
        <w:rPr>
          <w:sz w:val="20"/>
          <w:szCs w:val="20"/>
          <w:color w:val="auto"/>
        </w:rPr>
      </w:pPr>
    </w:p>
    <w:p>
      <w:pPr>
        <w:ind w:left="720" w:hanging="366"/>
        <w:spacing w:after="0" w:line="280" w:lineRule="auto"/>
        <w:tabs>
          <w:tab w:leader="none" w:pos="7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variations in revenues generated by the business, due to seasonality, weather, unplanned plant outages, contractual pricing structures or otherwise;</w:t>
      </w:r>
    </w:p>
    <w:p>
      <w:pPr>
        <w:ind w:left="720" w:hanging="366"/>
        <w:spacing w:after="0"/>
        <w:tabs>
          <w:tab w:leader="none" w:pos="7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level and timing of capital expenditures the Company makes;</w:t>
      </w:r>
    </w:p>
    <w:p>
      <w:pPr>
        <w:spacing w:after="0" w:line="68" w:lineRule="exact"/>
        <w:rPr>
          <w:rFonts w:ascii="Arial" w:cs="Arial" w:eastAsia="Arial" w:hAnsi="Arial"/>
          <w:sz w:val="20"/>
          <w:szCs w:val="20"/>
          <w:color w:val="auto"/>
        </w:rPr>
      </w:pPr>
    </w:p>
    <w:p>
      <w:pPr>
        <w:ind w:left="720" w:hanging="366"/>
        <w:spacing w:after="0" w:line="280" w:lineRule="auto"/>
        <w:tabs>
          <w:tab w:leader="none" w:pos="7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level of operating and general and administrative expenses, including reimbursements to CEG for services provided to the Company in accordance with the CEG Master Services Agreement;</w:t>
      </w:r>
    </w:p>
    <w:p>
      <w:pPr>
        <w:ind w:left="720" w:hanging="366"/>
        <w:spacing w:after="0"/>
        <w:tabs>
          <w:tab w:leader="none" w:pos="7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debt service requirements and other liabilities;</w:t>
      </w:r>
    </w:p>
    <w:p>
      <w:pPr>
        <w:spacing w:after="0" w:line="68" w:lineRule="exact"/>
        <w:rPr>
          <w:rFonts w:ascii="Arial" w:cs="Arial" w:eastAsia="Arial" w:hAnsi="Arial"/>
          <w:sz w:val="20"/>
          <w:szCs w:val="20"/>
          <w:color w:val="auto"/>
        </w:rPr>
      </w:pPr>
    </w:p>
    <w:p>
      <w:pPr>
        <w:ind w:left="720" w:hanging="366"/>
        <w:spacing w:after="0"/>
        <w:tabs>
          <w:tab w:leader="none" w:pos="7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Company’s ability to borrow funds and access capital markets;</w:t>
      </w:r>
    </w:p>
    <w:p>
      <w:pPr>
        <w:spacing w:after="0" w:line="68" w:lineRule="exact"/>
        <w:rPr>
          <w:rFonts w:ascii="Arial" w:cs="Arial" w:eastAsia="Arial" w:hAnsi="Arial"/>
          <w:sz w:val="20"/>
          <w:szCs w:val="20"/>
          <w:color w:val="auto"/>
        </w:rPr>
      </w:pPr>
    </w:p>
    <w:p>
      <w:pPr>
        <w:ind w:left="720" w:hanging="366"/>
        <w:spacing w:after="0" w:line="280" w:lineRule="auto"/>
        <w:tabs>
          <w:tab w:leader="none" w:pos="7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restrictions contained in the Company’s debt agreements (including project-level financing and, if applicable, corporate debt); and</w:t>
      </w:r>
    </w:p>
    <w:p>
      <w:pPr>
        <w:ind w:left="720" w:hanging="366"/>
        <w:spacing w:after="0"/>
        <w:tabs>
          <w:tab w:leader="none" w:pos="7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other business risks affecting cash levels.</w:t>
      </w:r>
    </w:p>
    <w:p>
      <w:pPr>
        <w:spacing w:after="0" w:line="188" w:lineRule="exact"/>
        <w:rPr>
          <w:sz w:val="20"/>
          <w:szCs w:val="20"/>
          <w:color w:val="auto"/>
        </w:rPr>
      </w:pPr>
    </w:p>
    <w:p>
      <w:pPr>
        <w:jc w:val="both"/>
        <w:ind w:firstLine="448"/>
        <w:spacing w:after="0" w:line="277" w:lineRule="auto"/>
        <w:rPr>
          <w:sz w:val="20"/>
          <w:szCs w:val="20"/>
          <w:color w:val="auto"/>
        </w:rPr>
      </w:pPr>
      <w:r>
        <w:rPr>
          <w:rFonts w:ascii="Arial" w:cs="Arial" w:eastAsia="Arial" w:hAnsi="Arial"/>
          <w:sz w:val="19"/>
          <w:szCs w:val="19"/>
          <w:color w:val="auto"/>
        </w:rPr>
        <w:t>As a result of all these factors, the Company cannot guarantee that it will have sufficient cash generated from operations to pay a specific level of cash dividends to holders of its Class A or Class C common stock. Furthermore, holders of the Company’s Class A or Class C common stock should be aware that the amount of CAFD depends primarily on operating cash flow, and is not solely a function of profitability, which can be affected by non-cash items.</w:t>
      </w:r>
    </w:p>
    <w:p>
      <w:pPr>
        <w:sectPr>
          <w:pgSz w:w="11880" w:h="15480" w:orient="portrait"/>
          <w:cols w:equalWidth="0" w:num="1">
            <w:col w:w="10200"/>
          </w:cols>
          <w:pgMar w:left="840" w:top="403" w:right="840" w:bottom="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880" w:h="15480" w:orient="portrait"/>
          <w:cols w:equalWidth="0" w:num="1">
            <w:col w:w="10200"/>
          </w:cols>
          <w:pgMar w:left="840" w:top="403" w:right="840" w:bottom="0" w:gutter="0" w:footer="0" w:header="0"/>
          <w:type w:val="continuous"/>
        </w:sectPr>
      </w:pPr>
    </w:p>
    <w:bookmarkStart w:id="32" w:name="page33"/>
    <w:bookmarkEnd w:id="32"/>
    <w:p>
      <w:pPr>
        <w:jc w:val="both"/>
        <w:ind w:firstLine="448"/>
        <w:spacing w:after="0" w:line="266" w:lineRule="auto"/>
        <w:rPr>
          <w:sz w:val="20"/>
          <w:szCs w:val="20"/>
          <w:color w:val="auto"/>
        </w:rPr>
      </w:pPr>
      <w:r>
        <w:rPr>
          <w:rFonts w:ascii="Arial" w:cs="Arial" w:eastAsia="Arial" w:hAnsi="Arial"/>
          <w:sz w:val="19"/>
          <w:szCs w:val="19"/>
          <w:color w:val="auto"/>
        </w:rPr>
        <w:t>The Company may incur other expenses or liabilities during a period that could significantly reduce or eliminate its CAFD and, in turn, impair its ability to pay dividends to holders of the Company’s Class A or Class C common stock during the period. Because the Company is a holding company, its ability to pay dividends on the Company’s Class A or Class C common stock is restricted and further limited by the ability of the Company’s subsidiaries to make distributions to the Company, including restrictions under the terms of the agreements governing the Company’s corporate debt and project-level financing. For example, as a result of the bankruptcy of PG&amp;E, between early 2019 and mid-2020, certain of the Company’s assets and investments were unable to make distributions to the Company. The project-level financing agreements generally prohibit distributions from the project entities prior to COD and thereafter prohibit distributions to the Company unless certain specific conditions are met, including the satisfaction of financial ratios. The Company’s revolving credit facility also restricts the Company’s ability to declare and pay dividends if an event of default has occurred and is continuing or if the payment of the dividend would result in an event of default.</w:t>
      </w:r>
    </w:p>
    <w:p>
      <w:pPr>
        <w:spacing w:after="0" w:line="142" w:lineRule="exact"/>
        <w:rPr>
          <w:sz w:val="20"/>
          <w:szCs w:val="20"/>
          <w:color w:val="auto"/>
        </w:rPr>
      </w:pPr>
    </w:p>
    <w:p>
      <w:pPr>
        <w:jc w:val="both"/>
        <w:ind w:firstLine="448"/>
        <w:spacing w:after="0" w:line="289" w:lineRule="auto"/>
        <w:rPr>
          <w:sz w:val="20"/>
          <w:szCs w:val="20"/>
          <w:color w:val="auto"/>
        </w:rPr>
      </w:pPr>
      <w:r>
        <w:rPr>
          <w:rFonts w:ascii="Arial" w:cs="Arial" w:eastAsia="Arial" w:hAnsi="Arial"/>
          <w:sz w:val="18"/>
          <w:szCs w:val="18"/>
          <w:color w:val="auto"/>
        </w:rPr>
        <w:t>Clearway Energy LLC’s cash flow will likely fluctuate from quarter to quarter, in some cases significantly, due to seasonality, weather volatility and other factors. As a result, the Company may cause Clearway Energy LLC to reduce the amount of cash it distributes to its members in a particular quarter to establish reserves to fund distributions to its members in future periods for which the cash distributions the Company would otherwise receive from Clearway Energy LLC would be insufficient to fund its quarterly dividend. If the Company fails to cause Clearway Energy LLC to establish sufficient reserves, the Company may not be able to maintain its quarterly dividend with respect to a quarter adversely affected by seasonality.</w:t>
      </w:r>
    </w:p>
    <w:p>
      <w:pPr>
        <w:spacing w:after="0" w:line="116"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20"/>
          <w:szCs w:val="20"/>
          <w:color w:val="auto"/>
        </w:rPr>
        <w:t>Finally, dividends to holders of the Company’s Class A or Class C common stock will be paid at the discretion of the Company’s board of directors. The Company’s board of directors may decrease the level, or entirely discontinue payment, of dividends.</w:t>
      </w:r>
    </w:p>
    <w:p>
      <w:pPr>
        <w:spacing w:after="0" w:line="126"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i w:val="1"/>
          <w:iCs w:val="1"/>
          <w:color w:val="auto"/>
        </w:rPr>
        <w:t>The Company is a holding company and its only material asset is its interest in Clearway Energy LLC, and the Company is accordingly dependent upon distributions from Clearway Energy LLC and its subsidiaries to pay dividends and taxes and other expenses.</w:t>
      </w:r>
    </w:p>
    <w:p>
      <w:pPr>
        <w:spacing w:after="0" w:line="136" w:lineRule="exact"/>
        <w:rPr>
          <w:sz w:val="20"/>
          <w:szCs w:val="20"/>
          <w:color w:val="auto"/>
        </w:rPr>
      </w:pPr>
    </w:p>
    <w:p>
      <w:pPr>
        <w:jc w:val="both"/>
        <w:ind w:firstLine="448"/>
        <w:spacing w:after="0" w:line="282" w:lineRule="auto"/>
        <w:rPr>
          <w:sz w:val="20"/>
          <w:szCs w:val="20"/>
          <w:color w:val="auto"/>
        </w:rPr>
      </w:pPr>
      <w:r>
        <w:rPr>
          <w:rFonts w:ascii="Arial" w:cs="Arial" w:eastAsia="Arial" w:hAnsi="Arial"/>
          <w:sz w:val="18"/>
          <w:szCs w:val="18"/>
          <w:color w:val="auto"/>
        </w:rPr>
        <w:t>The Company is a holding company and has no material assets other than its ownership of membership interests in Clearway Energy LLC, a holding company that has no material assets other than its interest in Clearway Energy Operating LLC, whose sole material assets are the project companies. None of the Company, Clearway Energy LLC or Clearway Energy Operating LLC has any independent means of generating revenue. The Company intends to continue to cause Clearway Energy Operating LLC’s subsidiaries to make distributions to Clearway Energy Operating LLC and, in turn, make distributions to Clearway Energy LLC, and, in turn, to make distributions to the Company in an amount sufficient to cover all applicable taxes payable and dividends, if any, declared by the Company. To the extent that the Company needs funds for a quarterly cash dividend to holders of the Company’s Class A and Class C common stock or otherwise, and Clearway Energy Operating LLC or Clearway Energy LLC is restricted from making such distributions under applicable law or regulation or is otherwise unable to provide such funds (including as a result of Clearway Energy Operating LLC’s operating subsidiaries being unable to make distributions), it could materially adversely affect the Company’s liquidity and financial condition and limit the Company’s ability to pay dividends to holders of the Company’s Class A and Class C common stock.</w:t>
      </w:r>
    </w:p>
    <w:p>
      <w:pPr>
        <w:spacing w:after="0" w:line="11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Market interest rates may have an effect on the value of the Company’s Class A and Class C common stock.</w:t>
      </w:r>
    </w:p>
    <w:p>
      <w:pPr>
        <w:spacing w:after="0" w:line="208" w:lineRule="exact"/>
        <w:rPr>
          <w:sz w:val="20"/>
          <w:szCs w:val="20"/>
          <w:color w:val="auto"/>
        </w:rPr>
      </w:pPr>
    </w:p>
    <w:p>
      <w:pPr>
        <w:jc w:val="both"/>
        <w:ind w:firstLine="448"/>
        <w:spacing w:after="0" w:line="289" w:lineRule="auto"/>
        <w:rPr>
          <w:sz w:val="20"/>
          <w:szCs w:val="20"/>
          <w:color w:val="auto"/>
        </w:rPr>
      </w:pPr>
      <w:r>
        <w:rPr>
          <w:rFonts w:ascii="Arial" w:cs="Arial" w:eastAsia="Arial" w:hAnsi="Arial"/>
          <w:sz w:val="18"/>
          <w:szCs w:val="18"/>
          <w:color w:val="auto"/>
        </w:rPr>
        <w:t>One of the factors that influences the price of shares of the Company’s Class A and Class C common stock is the effective dividend yield of such shares (i.e., the yield as a percentage of the then market price of the Company’s shares) relative to market interest rates. An increase in market interest rates may lead investors of shares of the Company’s Class A and Class C common stock to expect a higher dividend yield and the Company’s inability to increase its dividend as a result of an increase in borrowing costs, insufficient CAFD or otherwise, could result in selling pressure on, and a decrease in the market prices of the Company’s Class A and Class C common stock as investors seek alternative investments with higher yield.</w:t>
      </w:r>
    </w:p>
    <w:p>
      <w:pPr>
        <w:spacing w:after="0" w:line="108" w:lineRule="exact"/>
        <w:rPr>
          <w:sz w:val="20"/>
          <w:szCs w:val="20"/>
          <w:color w:val="auto"/>
        </w:rPr>
      </w:pPr>
    </w:p>
    <w:p>
      <w:pPr>
        <w:jc w:val="both"/>
        <w:spacing w:after="0" w:line="286" w:lineRule="auto"/>
        <w:rPr>
          <w:sz w:val="20"/>
          <w:szCs w:val="20"/>
          <w:color w:val="auto"/>
        </w:rPr>
      </w:pPr>
      <w:r>
        <w:rPr>
          <w:rFonts w:ascii="Arial" w:cs="Arial" w:eastAsia="Arial" w:hAnsi="Arial"/>
          <w:sz w:val="20"/>
          <w:szCs w:val="20"/>
          <w:b w:val="1"/>
          <w:bCs w:val="1"/>
          <w:i w:val="1"/>
          <w:iCs w:val="1"/>
          <w:color w:val="auto"/>
        </w:rPr>
        <w:t>Market volatility and reports by securities or industry analysts may affect the price of the Company’s Class A and Class C common stock.</w:t>
      </w:r>
    </w:p>
    <w:p>
      <w:pPr>
        <w:spacing w:after="0" w:line="117" w:lineRule="exact"/>
        <w:rPr>
          <w:sz w:val="20"/>
          <w:szCs w:val="20"/>
          <w:color w:val="auto"/>
        </w:rPr>
      </w:pPr>
    </w:p>
    <w:p>
      <w:pPr>
        <w:jc w:val="both"/>
        <w:ind w:firstLine="448"/>
        <w:spacing w:after="0" w:line="284" w:lineRule="auto"/>
        <w:rPr>
          <w:sz w:val="20"/>
          <w:szCs w:val="20"/>
          <w:color w:val="auto"/>
        </w:rPr>
      </w:pPr>
      <w:r>
        <w:rPr>
          <w:rFonts w:ascii="Arial" w:cs="Arial" w:eastAsia="Arial" w:hAnsi="Arial"/>
          <w:sz w:val="18"/>
          <w:szCs w:val="18"/>
          <w:color w:val="auto"/>
        </w:rPr>
        <w:t>The market price of the Company’s Class A and Class C common stock may fluctuate significantly in response to a number of factors, most of which the Company cannot predict or control, including general market and economic conditions, disruptions, downgrades, credit events and perceived problems in the credit markets; actual or anticipated variations in its quarterly operating results or dividends; natural disasters, wildfires and other weather-related events; changes in the Company’s investments or asset composition; write-downs or perceived credit or liquidity issues affecting the Company’s assets; market perception of CEG or its owners, the Company’s business and the Company’s assets; the Company’s level of indebtedness and/ or adverse market reaction to any indebtedness that the Company may incur in the future; the Company’s ability to raise capital on favorable terms or at all; loss of any major funding source; changes in market valuations of similar power generation companies; and speculation in the press or investment community regarding the Company or CEG (or its owners).</w:t>
      </w:r>
    </w:p>
    <w:p>
      <w:pPr>
        <w:sectPr>
          <w:pgSz w:w="11880" w:h="15480" w:orient="portrait"/>
          <w:cols w:equalWidth="0" w:num="1">
            <w:col w:w="10200"/>
          </w:cols>
          <w:pgMar w:left="840" w:top="411" w:right="840" w:bottom="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880" w:h="15480" w:orient="portrait"/>
          <w:cols w:equalWidth="0" w:num="1">
            <w:col w:w="10200"/>
          </w:cols>
          <w:pgMar w:left="840" w:top="411" w:right="840" w:bottom="0" w:gutter="0" w:footer="0" w:header="0"/>
          <w:type w:val="continuous"/>
        </w:sectPr>
      </w:pPr>
    </w:p>
    <w:bookmarkStart w:id="33" w:name="page34"/>
    <w:bookmarkEnd w:id="33"/>
    <w:p>
      <w:pPr>
        <w:jc w:val="both"/>
        <w:ind w:firstLine="448"/>
        <w:spacing w:after="0" w:line="265" w:lineRule="auto"/>
        <w:rPr>
          <w:sz w:val="20"/>
          <w:szCs w:val="20"/>
          <w:color w:val="auto"/>
        </w:rPr>
      </w:pPr>
      <w:r>
        <w:rPr>
          <w:rFonts w:ascii="Arial" w:cs="Arial" w:eastAsia="Arial" w:hAnsi="Arial"/>
          <w:sz w:val="20"/>
          <w:szCs w:val="20"/>
          <w:color w:val="auto"/>
        </w:rPr>
        <w:t>Securities markets in general have experienced extreme volatility that has often been unrelated to the operating performance of particular companies. Any broad market fluctuations may adversely affect the trading price of the Company’s Class A and Class C common stock.</w:t>
      </w:r>
    </w:p>
    <w:p>
      <w:pPr>
        <w:spacing w:after="0" w:line="134" w:lineRule="exact"/>
        <w:rPr>
          <w:sz w:val="20"/>
          <w:szCs w:val="20"/>
          <w:color w:val="auto"/>
        </w:rPr>
      </w:pPr>
    </w:p>
    <w:p>
      <w:pPr>
        <w:jc w:val="both"/>
        <w:ind w:firstLine="448"/>
        <w:spacing w:after="0" w:line="271" w:lineRule="auto"/>
        <w:rPr>
          <w:sz w:val="20"/>
          <w:szCs w:val="20"/>
          <w:color w:val="auto"/>
        </w:rPr>
      </w:pPr>
      <w:r>
        <w:rPr>
          <w:rFonts w:ascii="Arial" w:cs="Arial" w:eastAsia="Arial" w:hAnsi="Arial"/>
          <w:sz w:val="19"/>
          <w:szCs w:val="19"/>
          <w:color w:val="auto"/>
        </w:rPr>
        <w:t>Furthermore, any significant disruption to the Company’s ability to access the capital markets, or a significant increase in interest rates, could make it difficult for the Company to successfully acquire attractive projects from third parties and may also limit the Company’s ability to obtain debt or equity financing to complete such acquisitions. If the Company is unable to raise adequate proceeds when needed to fund such acquisitions, the ability to grow the Company’s project portfolio may be limited, which could have a material adverse effect on the Company’s ability to implement its growth strategy and, ultimately, its business, financial condition, results of operations and cash flows.</w:t>
      </w:r>
    </w:p>
    <w:p>
      <w:pPr>
        <w:spacing w:after="0" w:line="132" w:lineRule="exact"/>
        <w:rPr>
          <w:sz w:val="20"/>
          <w:szCs w:val="20"/>
          <w:color w:val="auto"/>
        </w:rPr>
      </w:pPr>
    </w:p>
    <w:p>
      <w:pPr>
        <w:jc w:val="both"/>
        <w:ind w:firstLine="448"/>
        <w:spacing w:after="0" w:line="268" w:lineRule="auto"/>
        <w:rPr>
          <w:sz w:val="20"/>
          <w:szCs w:val="20"/>
          <w:color w:val="auto"/>
        </w:rPr>
      </w:pPr>
      <w:r>
        <w:rPr>
          <w:rFonts w:ascii="Arial" w:cs="Arial" w:eastAsia="Arial" w:hAnsi="Arial"/>
          <w:sz w:val="19"/>
          <w:szCs w:val="19"/>
          <w:color w:val="auto"/>
        </w:rPr>
        <w:t>The trading market for the Company’s Class A and Class C common stock is influenced by the research and reports that industry or securities analysts may publish about the Company, the Company’s business, the Company’s market or the Company’s competitors. If any of the analysts who may cover the Company change their recommendation regarding the Company’s Class A and/or Class C common stock adversely or provide more favorable relative recommendations about the Company’s competitors, the price of the Company’s Class A and/or Class C common stock could decline. If any analyst who covers the Company were to cease coverage of the Company or fail to regularly publish reports on the Company, the Company could lose visibility in the financial markets, which in turn could cause the stock price or trading volume of the Company’s Class A and/or Class C common stock to decline.</w:t>
      </w:r>
    </w:p>
    <w:p>
      <w:pPr>
        <w:spacing w:after="0" w:line="130"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i w:val="1"/>
          <w:iCs w:val="1"/>
          <w:color w:val="auto"/>
        </w:rPr>
        <w:t>Provisions of the Company’s charter documents or Delaware law could delay or prevent an acquisition of the Company, even if the acquisition would be beneficial to holders of the Company’s Class A and Class C common stock, and could make it more difficult to change management.</w:t>
      </w:r>
    </w:p>
    <w:p>
      <w:pPr>
        <w:spacing w:after="0" w:line="136" w:lineRule="exact"/>
        <w:rPr>
          <w:sz w:val="20"/>
          <w:szCs w:val="20"/>
          <w:color w:val="auto"/>
        </w:rPr>
      </w:pPr>
    </w:p>
    <w:p>
      <w:pPr>
        <w:jc w:val="both"/>
        <w:ind w:firstLine="448"/>
        <w:spacing w:after="0" w:line="273" w:lineRule="auto"/>
        <w:rPr>
          <w:sz w:val="20"/>
          <w:szCs w:val="20"/>
          <w:color w:val="auto"/>
        </w:rPr>
      </w:pPr>
      <w:r>
        <w:rPr>
          <w:rFonts w:ascii="Arial" w:cs="Arial" w:eastAsia="Arial" w:hAnsi="Arial"/>
          <w:sz w:val="19"/>
          <w:szCs w:val="19"/>
          <w:color w:val="auto"/>
        </w:rPr>
        <w:t>Provisions of the Company’s amended and restated certificate of incorporation and fourth amended and restated bylaws may discourage, delay or prevent a merger, acquisition or other change in control that holders of the Company’s Class A and Class C common stock may consider favorable, including transactions in which such stockholders might otherwise receive a premium for their shares. This is because these provisions may prevent or frustrate attempts by stockholders to replace or remove members of the Company’s management. These provisions include:</w:t>
      </w:r>
    </w:p>
    <w:p>
      <w:pPr>
        <w:spacing w:after="0" w:line="71" w:lineRule="exact"/>
        <w:rPr>
          <w:sz w:val="20"/>
          <w:szCs w:val="20"/>
          <w:color w:val="auto"/>
        </w:rPr>
      </w:pPr>
    </w:p>
    <w:p>
      <w:pPr>
        <w:ind w:left="720" w:hanging="366"/>
        <w:spacing w:after="0"/>
        <w:tabs>
          <w:tab w:leader="none" w:pos="7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a prohibition on stockholder action through written consent;</w:t>
      </w:r>
    </w:p>
    <w:p>
      <w:pPr>
        <w:spacing w:after="0" w:line="68" w:lineRule="exact"/>
        <w:rPr>
          <w:rFonts w:ascii="Arial" w:cs="Arial" w:eastAsia="Arial" w:hAnsi="Arial"/>
          <w:sz w:val="20"/>
          <w:szCs w:val="20"/>
          <w:color w:val="auto"/>
        </w:rPr>
      </w:pPr>
    </w:p>
    <w:p>
      <w:pPr>
        <w:ind w:left="720" w:hanging="366"/>
        <w:spacing w:after="0" w:line="280" w:lineRule="auto"/>
        <w:tabs>
          <w:tab w:leader="none" w:pos="7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a requirement that special meetings of stockholders be called upon a resolution approved by a majority of the Company’s directors then in office;</w:t>
      </w:r>
    </w:p>
    <w:p>
      <w:pPr>
        <w:ind w:left="720" w:hanging="366"/>
        <w:spacing w:after="0"/>
        <w:tabs>
          <w:tab w:leader="none" w:pos="7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advance notice requirements for stockholder proposals and nominations; and</w:t>
      </w:r>
    </w:p>
    <w:p>
      <w:pPr>
        <w:spacing w:after="0" w:line="68" w:lineRule="exact"/>
        <w:rPr>
          <w:rFonts w:ascii="Arial" w:cs="Arial" w:eastAsia="Arial" w:hAnsi="Arial"/>
          <w:sz w:val="20"/>
          <w:szCs w:val="20"/>
          <w:color w:val="auto"/>
        </w:rPr>
      </w:pPr>
    </w:p>
    <w:p>
      <w:pPr>
        <w:ind w:left="720" w:hanging="366"/>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authority of the board of directors to issue preferred stock with such terms as the board of directors may determine.</w:t>
      </w:r>
    </w:p>
    <w:p>
      <w:pPr>
        <w:spacing w:after="0" w:line="211" w:lineRule="exact"/>
        <w:rPr>
          <w:sz w:val="20"/>
          <w:szCs w:val="20"/>
          <w:color w:val="auto"/>
        </w:rPr>
      </w:pPr>
    </w:p>
    <w:p>
      <w:pPr>
        <w:jc w:val="both"/>
        <w:ind w:firstLine="448"/>
        <w:spacing w:after="0" w:line="282" w:lineRule="auto"/>
        <w:rPr>
          <w:sz w:val="20"/>
          <w:szCs w:val="20"/>
          <w:color w:val="auto"/>
        </w:rPr>
      </w:pPr>
      <w:r>
        <w:rPr>
          <w:rFonts w:ascii="Arial" w:cs="Arial" w:eastAsia="Arial" w:hAnsi="Arial"/>
          <w:sz w:val="18"/>
          <w:szCs w:val="18"/>
          <w:color w:val="auto"/>
        </w:rPr>
        <w:t>Section 203 of the Delaware General Corporation Law prohibits a publicly held Delaware corporation from engaging in a business combination with an interested stockholder, generally a person that together with its affiliates owns or within the last three years has owned 15% of voting stock, for a period of three years after the date of the transaction in which the person became an interested stockholder, unless the business combination is approved in a prescribed manner. Additionally, the Company’s restated certificate of incorporation prohibits any person and any of its associate or affiliate companies in the aggregate, public utility or holding company from acquiring, other than secondary market transactions, an amount of the Company’s Class A or Class C common stock sufficient to result in a transfer of control without the prior written consent of the Company’s board of directors. Any such change of control, in addition to prior approval from the Company’s board of directors, would require prior authorization from FERC. Similar restrictions may apply to certain purchasers of the Company’s securities which are holding companies regardless of whether the Company’s securities are purchased in offerings by the Company, in open market transactions or otherwise. A purchaser of the Company’s securities which is a holding company will need to determine whether a given purchase of the Company’s securities may require prior FERC approval.</w:t>
      </w:r>
    </w:p>
    <w:p>
      <w:pPr>
        <w:sectPr>
          <w:pgSz w:w="11880" w:h="15480" w:orient="portrait"/>
          <w:cols w:equalWidth="0" w:num="1">
            <w:col w:w="10200"/>
          </w:cols>
          <w:pgMar w:left="840" w:top="411"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880" w:h="15480" w:orient="portrait"/>
          <w:cols w:equalWidth="0" w:num="1">
            <w:col w:w="10200"/>
          </w:cols>
          <w:pgMar w:left="840" w:top="411" w:right="840" w:bottom="0" w:gutter="0" w:footer="0" w:header="0"/>
          <w:type w:val="continuous"/>
        </w:sectPr>
      </w:pPr>
    </w:p>
    <w:bookmarkStart w:id="34" w:name="page35"/>
    <w:bookmarkEnd w:id="34"/>
    <w:p>
      <w:pPr>
        <w:jc w:val="both"/>
        <w:spacing w:after="0" w:line="286" w:lineRule="auto"/>
        <w:rPr>
          <w:sz w:val="20"/>
          <w:szCs w:val="20"/>
          <w:color w:val="auto"/>
        </w:rPr>
      </w:pPr>
      <w:r>
        <w:rPr>
          <w:rFonts w:ascii="Arial" w:cs="Arial" w:eastAsia="Arial" w:hAnsi="Arial"/>
          <w:sz w:val="20"/>
          <w:szCs w:val="20"/>
          <w:b w:val="1"/>
          <w:bCs w:val="1"/>
          <w:i w:val="1"/>
          <w:iCs w:val="1"/>
          <w:color w:val="auto"/>
        </w:rPr>
        <w:t>Investors may experience dilution of ownership interest due to the future issuance of additional shares of the Company’s Class A or Class C common stock.</w:t>
      </w:r>
    </w:p>
    <w:p>
      <w:pPr>
        <w:spacing w:after="0" w:line="117" w:lineRule="exact"/>
        <w:rPr>
          <w:sz w:val="20"/>
          <w:szCs w:val="20"/>
          <w:color w:val="auto"/>
        </w:rPr>
      </w:pPr>
    </w:p>
    <w:p>
      <w:pPr>
        <w:jc w:val="both"/>
        <w:ind w:firstLine="448"/>
        <w:spacing w:after="0" w:line="282" w:lineRule="auto"/>
        <w:rPr>
          <w:sz w:val="20"/>
          <w:szCs w:val="20"/>
          <w:color w:val="auto"/>
        </w:rPr>
      </w:pPr>
      <w:r>
        <w:rPr>
          <w:rFonts w:ascii="Arial" w:cs="Arial" w:eastAsia="Arial" w:hAnsi="Arial"/>
          <w:sz w:val="18"/>
          <w:szCs w:val="18"/>
          <w:color w:val="auto"/>
        </w:rPr>
        <w:t>The Company is in a capital intensive business and may not have sufficient funds to finance the growth of the Company’s business, future acquisitions or to support the Company’s projected capital expenditures. As a result, the Company may require additional funds from further equity or debt financings, including tax equity financing transactions, sales under the ATM Program or sales of preferred shares or convertible debt to complete future acquisitions, expansions and capital expenditures and pay the general and administrative costs of the Company’s business. In the future, the Company may issue shares under its ATM Program and the Company’s previously authorized and unissued securities, resulting in the dilution of the ownership interests of purchasers of the Company’s Class A and Class C common stock. Under the Company’s restated certificate of incorporation, the Company is authorized to issue 500,000,000 shares of Class A common stock, 500,000,000 shares of Class B common stock, 1,000,000,000 shares of Class C common stock, 1,000,000,000 shares of Class D common stock and 10,000,000 shares of preferred stock with preferences and rights as determined by the Company’s board of directors. The potential issuance of additional shares of common stock or preferred stock or convertible debt may create downward pressure on the trading price of the Company’s Class A and Class C common stock.</w:t>
      </w:r>
    </w:p>
    <w:p>
      <w:pPr>
        <w:spacing w:after="0" w:line="118" w:lineRule="exact"/>
        <w:rPr>
          <w:sz w:val="20"/>
          <w:szCs w:val="20"/>
          <w:color w:val="auto"/>
        </w:rPr>
      </w:pPr>
    </w:p>
    <w:p>
      <w:pPr>
        <w:jc w:val="both"/>
        <w:spacing w:after="0" w:line="286" w:lineRule="auto"/>
        <w:rPr>
          <w:sz w:val="20"/>
          <w:szCs w:val="20"/>
          <w:color w:val="auto"/>
        </w:rPr>
      </w:pPr>
      <w:r>
        <w:rPr>
          <w:rFonts w:ascii="Arial" w:cs="Arial" w:eastAsia="Arial" w:hAnsi="Arial"/>
          <w:sz w:val="20"/>
          <w:szCs w:val="20"/>
          <w:b w:val="1"/>
          <w:bCs w:val="1"/>
          <w:i w:val="1"/>
          <w:iCs w:val="1"/>
          <w:color w:val="auto"/>
        </w:rPr>
        <w:t>Future sales of the Company’s Class A or Class C common stock by CEG may cause the price of the Company’s Class A or Class C common stock to fall.</w:t>
      </w:r>
    </w:p>
    <w:p>
      <w:pPr>
        <w:spacing w:after="0" w:line="117"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20"/>
          <w:szCs w:val="20"/>
          <w:color w:val="auto"/>
        </w:rPr>
        <w:t>The market price of the Company’s Class A or Class C common stock could decline as a result of sales by CEG of such shares (issuable to CEG upon the exchange of some or all of its Clearway Energy LLC Class B or Class D units, respectively) in the market, or the perception that these sales could occur.</w:t>
      </w:r>
    </w:p>
    <w:p>
      <w:pPr>
        <w:spacing w:after="0" w:line="134" w:lineRule="exact"/>
        <w:rPr>
          <w:sz w:val="20"/>
          <w:szCs w:val="20"/>
          <w:color w:val="auto"/>
        </w:rPr>
      </w:pPr>
    </w:p>
    <w:p>
      <w:pPr>
        <w:jc w:val="both"/>
        <w:ind w:firstLine="448"/>
        <w:spacing w:after="0" w:line="268" w:lineRule="auto"/>
        <w:rPr>
          <w:sz w:val="20"/>
          <w:szCs w:val="20"/>
          <w:color w:val="auto"/>
        </w:rPr>
      </w:pPr>
      <w:r>
        <w:rPr>
          <w:rFonts w:ascii="Arial" w:cs="Arial" w:eastAsia="Arial" w:hAnsi="Arial"/>
          <w:sz w:val="19"/>
          <w:szCs w:val="19"/>
          <w:color w:val="auto"/>
        </w:rPr>
        <w:t>The market price of the Company’s Class A or Class C common stock may also decline as a result of CEG disposing or transferring some or all of the Company’s outstanding Class B or Class D common stock, which disposals or transfers would reduce CEG’s ownership interest in, and voting control over, the Company. These sales might also make it more difficult for the Company to sell equity securities at a time and price that the Company deems appropriate. CEG and certain of its affiliates have certain demand and piggyback registration rights with respect to shares of the Company’s Class A common stock issuable upon the exchange of Clearway Energy LLC’s Class B units and/or Class C common stock issuable upon the exchange of Clearway Energy LLC’s Class D units. The presence of additional shares of the Company’s Class A and/or Class C common stock trading in the public market, as a result of the exercise of such registration rights, could have a material adverse effect on the market price of the Company’s securities.</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Taxation</w:t>
      </w:r>
    </w:p>
    <w:p>
      <w:pPr>
        <w:spacing w:after="0" w:line="187"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i w:val="1"/>
          <w:iCs w:val="1"/>
          <w:color w:val="auto"/>
        </w:rPr>
        <w:t>The Company’s future tax liability may be greater than expected if the Company does not generate NOLs sufficient to offset taxable income, if federal, state and local tax authorities challenge certain of the Company’s tax positions and exemptions or if changes in federal, state and local tax laws occur.</w:t>
      </w:r>
    </w:p>
    <w:p>
      <w:pPr>
        <w:spacing w:after="0" w:line="136" w:lineRule="exact"/>
        <w:rPr>
          <w:sz w:val="20"/>
          <w:szCs w:val="20"/>
          <w:color w:val="auto"/>
        </w:rPr>
      </w:pPr>
    </w:p>
    <w:p>
      <w:pPr>
        <w:jc w:val="both"/>
        <w:ind w:firstLine="448"/>
        <w:spacing w:after="0" w:line="277" w:lineRule="auto"/>
        <w:rPr>
          <w:sz w:val="20"/>
          <w:szCs w:val="20"/>
          <w:color w:val="auto"/>
        </w:rPr>
      </w:pPr>
      <w:r>
        <w:rPr>
          <w:rFonts w:ascii="Arial" w:cs="Arial" w:eastAsia="Arial" w:hAnsi="Arial"/>
          <w:sz w:val="19"/>
          <w:szCs w:val="19"/>
          <w:color w:val="auto"/>
        </w:rPr>
        <w:t>The Company expects to (i) carryforward prior year NOL balances to offset future taxable income and (ii) generate tax credits and carryforward prior year tax credits to offset future income tax liabilities. Based on the Company’s current portfolio of assets, which include renewable assets that benefit from accelerated tax depreciation deductions and federal tax credits, the Company estimates it will not pay material income tax payments through 2026.</w:t>
      </w:r>
    </w:p>
    <w:p>
      <w:pPr>
        <w:spacing w:after="0" w:line="126" w:lineRule="exact"/>
        <w:rPr>
          <w:sz w:val="20"/>
          <w:szCs w:val="20"/>
          <w:color w:val="auto"/>
        </w:rPr>
      </w:pPr>
    </w:p>
    <w:p>
      <w:pPr>
        <w:jc w:val="both"/>
        <w:ind w:firstLine="448"/>
        <w:spacing w:after="0" w:line="284" w:lineRule="auto"/>
        <w:rPr>
          <w:sz w:val="20"/>
          <w:szCs w:val="20"/>
          <w:color w:val="auto"/>
        </w:rPr>
      </w:pPr>
      <w:r>
        <w:rPr>
          <w:rFonts w:ascii="Arial" w:cs="Arial" w:eastAsia="Arial" w:hAnsi="Arial"/>
          <w:sz w:val="18"/>
          <w:szCs w:val="18"/>
          <w:color w:val="auto"/>
        </w:rPr>
        <w:t>While the Company expects its NOLs and tax credits will be available as a future benefit, in the event that they are not generated as expected, successfully challenged by the IRS or state and local jurisdictions (in a tax audit or otherwise) or subject to future limitations from a potential change in ownership, the Company’s ability to realize these benefits may be limited. In addition, the Company’s ability to realize state and local tax exemptions, including property or sales and use tax exemptions, is subject to various tax law requirements. If these exemptions are successfully challenged by state and local jurisdictions or if a change in tax law occurs, the Company’s ability to realize these exemptions could be affected. A reduction in the Company’s expected NOLs or tax credits, a limitation on the Company’s ability to use such losses or tax credits and challenges by tax authorities to the Company’s tax positions may result in a material increase in the Company’s estimated future income, sales/ use and property tax liability and may negatively impact the Company’s liquidity and financial condition.</w:t>
      </w:r>
    </w:p>
    <w:p>
      <w:pPr>
        <w:sectPr>
          <w:pgSz w:w="11880" w:h="15480" w:orient="portrait"/>
          <w:cols w:equalWidth="0" w:num="1">
            <w:col w:w="10200"/>
          </w:cols>
          <w:pgMar w:left="840" w:top="403"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880" w:h="15480" w:orient="portrait"/>
          <w:cols w:equalWidth="0" w:num="1">
            <w:col w:w="10200"/>
          </w:cols>
          <w:pgMar w:left="840" w:top="403" w:right="840" w:bottom="0" w:gutter="0" w:footer="0" w:header="0"/>
          <w:type w:val="continuous"/>
        </w:sectPr>
      </w:pPr>
    </w:p>
    <w:bookmarkStart w:id="35" w:name="page36"/>
    <w:bookmarkEnd w:id="35"/>
    <w:p>
      <w:pPr>
        <w:spacing w:after="0"/>
        <w:rPr>
          <w:sz w:val="20"/>
          <w:szCs w:val="20"/>
          <w:color w:val="auto"/>
        </w:rPr>
      </w:pPr>
      <w:r>
        <w:rPr>
          <w:rFonts w:ascii="Arial" w:cs="Arial" w:eastAsia="Arial" w:hAnsi="Arial"/>
          <w:sz w:val="20"/>
          <w:szCs w:val="20"/>
          <w:b w:val="1"/>
          <w:bCs w:val="1"/>
          <w:i w:val="1"/>
          <w:iCs w:val="1"/>
          <w:color w:val="auto"/>
        </w:rPr>
        <w:t>The Company’s ability to use NOLs to offset future income may be limited.</w:t>
      </w:r>
    </w:p>
    <w:p>
      <w:pPr>
        <w:spacing w:after="0" w:line="196" w:lineRule="exact"/>
        <w:rPr>
          <w:sz w:val="20"/>
          <w:szCs w:val="20"/>
          <w:color w:val="auto"/>
        </w:rPr>
      </w:pPr>
    </w:p>
    <w:p>
      <w:pPr>
        <w:jc w:val="both"/>
        <w:ind w:firstLine="448"/>
        <w:spacing w:after="0" w:line="268" w:lineRule="auto"/>
        <w:rPr>
          <w:sz w:val="20"/>
          <w:szCs w:val="20"/>
          <w:color w:val="auto"/>
        </w:rPr>
      </w:pPr>
      <w:r>
        <w:rPr>
          <w:rFonts w:ascii="Arial" w:cs="Arial" w:eastAsia="Arial" w:hAnsi="Arial"/>
          <w:sz w:val="19"/>
          <w:szCs w:val="19"/>
          <w:color w:val="auto"/>
        </w:rPr>
        <w:t>The Company’s ability to use NOLs could be substantially limited if the Company is unable to generate future taxable income or were to experience an “ownership change” as defined under Section 382 of the Code. In general, an “ownership change” would occur if the Company’s “5-percent shareholders,” as defined under Section 382 of the Code, collectively increased their ownership in the Company by more than 50 percentage points over a rolling three-year period. A corporation that experiences an ownership change will generally be subject to an annual limitation on the use of its pre-ownership change NOLs equal to the equity value of the corporation immediately before the ownership change, multiplied by the long-term tax-exempt rate for the month in which the ownership change occurs, increased by certain adjustments for built-in gains at the time of the ownership change. Future sales of any class of the Company’s common stock by CEG, as well as future issuances by the Company, could contribute to a potential ownership change.</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 valuation allowance may be required for the Company’s deferred tax assets.</w:t>
      </w:r>
    </w:p>
    <w:p>
      <w:pPr>
        <w:spacing w:after="0" w:line="196" w:lineRule="exact"/>
        <w:rPr>
          <w:sz w:val="20"/>
          <w:szCs w:val="20"/>
          <w:color w:val="auto"/>
        </w:rPr>
      </w:pPr>
    </w:p>
    <w:p>
      <w:pPr>
        <w:jc w:val="both"/>
        <w:ind w:firstLine="448"/>
        <w:spacing w:after="0" w:line="287" w:lineRule="auto"/>
        <w:rPr>
          <w:sz w:val="20"/>
          <w:szCs w:val="20"/>
          <w:color w:val="auto"/>
        </w:rPr>
      </w:pPr>
      <w:r>
        <w:rPr>
          <w:rFonts w:ascii="Arial" w:cs="Arial" w:eastAsia="Arial" w:hAnsi="Arial"/>
          <w:sz w:val="18"/>
          <w:szCs w:val="18"/>
          <w:color w:val="auto"/>
        </w:rPr>
        <w:t>The Company’s expected NOLs and tax credits will be reflected as a deferred tax asset as they are generated until utilized to offset income. Valuation allowances may need to be maintained for deferred tax assets that the Company estimates are more likely than not to be unrealizable, based on available evidence at the time the estimate is made. Valuation allowances related to deferred tax assets can be affected by changes to tax laws, statutory tax rates and future taxable income levels. In the event that the Company was to determine that it would not be able to realize all or a portion of its net deferred tax assets in the future, the Company would reduce such amounts through a charge to income tax expense in the period in which that determination was made, which could have a material adverse impact on the Company’s financial condition and results of operations.</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Distributions to holders of the Company’s Class A and Class C common stock may be taxable.</w:t>
      </w:r>
    </w:p>
    <w:p>
      <w:pPr>
        <w:spacing w:after="0" w:line="196" w:lineRule="exact"/>
        <w:rPr>
          <w:sz w:val="20"/>
          <w:szCs w:val="20"/>
          <w:color w:val="auto"/>
        </w:rPr>
      </w:pPr>
    </w:p>
    <w:p>
      <w:pPr>
        <w:jc w:val="both"/>
        <w:ind w:firstLine="448"/>
        <w:spacing w:after="0" w:line="284" w:lineRule="auto"/>
        <w:rPr>
          <w:sz w:val="20"/>
          <w:szCs w:val="20"/>
          <w:color w:val="auto"/>
        </w:rPr>
      </w:pPr>
      <w:r>
        <w:rPr>
          <w:rFonts w:ascii="Arial" w:cs="Arial" w:eastAsia="Arial" w:hAnsi="Arial"/>
          <w:sz w:val="18"/>
          <w:szCs w:val="18"/>
          <w:color w:val="auto"/>
        </w:rPr>
        <w:t>The amount of distributions to holders of the Company’s Class A and Class C common stock that will be treated as taxable for U.S. federal income tax purposes to such holders will depend on the amount of the Company’s current and accumulated earnings and profits. It is difficult to predict whether the Company will generate earnings or profits as computed for federal income tax purposes in any given tax year. Generally, a corporation’s earnings and profits are computed based upon taxable income, with certain specified adjustments. Distributions will constitute ordinary dividend income to the extent paid from the Company’s current or accumulated earnings and profits. Distributions in excess of the Company’s current and accumulated earnings and profits will constitute a nontaxable return of capital to the extent of a stockholder’s basis in his or her Class A or Class C common stock. Distributions in excess of the Company’s current and accumulated earnings and profits and in excess of a stockholder’s basis will be treated as gain from the sale of the common stock.</w:t>
      </w:r>
    </w:p>
    <w:p>
      <w:pPr>
        <w:spacing w:after="0" w:line="124" w:lineRule="exact"/>
        <w:rPr>
          <w:sz w:val="20"/>
          <w:szCs w:val="20"/>
          <w:color w:val="auto"/>
        </w:rPr>
      </w:pPr>
    </w:p>
    <w:p>
      <w:pPr>
        <w:jc w:val="both"/>
        <w:ind w:firstLine="448"/>
        <w:spacing w:after="0" w:line="284" w:lineRule="auto"/>
        <w:rPr>
          <w:sz w:val="20"/>
          <w:szCs w:val="20"/>
          <w:color w:val="auto"/>
        </w:rPr>
      </w:pPr>
      <w:r>
        <w:rPr>
          <w:rFonts w:ascii="Arial" w:cs="Arial" w:eastAsia="Arial" w:hAnsi="Arial"/>
          <w:sz w:val="18"/>
          <w:szCs w:val="18"/>
          <w:color w:val="auto"/>
        </w:rPr>
        <w:t>For U.S. tax purposes, the Company’s distributions to its stockholders in 2022 were classified as taxable dividends. A portion of the Company’s distributions to its stockholders in 2023 were classified as taxable dividends and the remaining distributions were classified as either a nontaxable return of capital and a reduction of a U.S. stockholder’s tax basis, to the extent of a U.S. stockholder’s tax basis in each of the Company’s common shares, or taxed as a capital gain. The Company anticipates that it will be in a cumulative earnings and profits deficit position as of the end of 2023. As a result, any distributions made to holders of the Company’s Class A and Class C Common stock in 2024 and beyond may be treated as a nontaxable return of capital or capital gain for U.S. federal income tax purposes. The portion of distributions that will be treated as nontaxable return of capital or capital gain will depend upon a number of factors, including but not limited to, the Company’s overall performance and the gross amount of any distributions made to stockholders in 2024 and beyond.</w:t>
      </w:r>
    </w:p>
    <w:p>
      <w:pPr>
        <w:spacing w:after="0" w:line="116" w:lineRule="exact"/>
        <w:rPr>
          <w:sz w:val="20"/>
          <w:szCs w:val="20"/>
          <w:color w:val="auto"/>
        </w:rPr>
      </w:pPr>
    </w:p>
    <w:p>
      <w:pPr>
        <w:jc w:val="both"/>
        <w:spacing w:after="0" w:line="288" w:lineRule="auto"/>
        <w:rPr>
          <w:sz w:val="20"/>
          <w:szCs w:val="20"/>
          <w:color w:val="auto"/>
        </w:rPr>
      </w:pPr>
      <w:r>
        <w:rPr>
          <w:rFonts w:ascii="Arial" w:cs="Arial" w:eastAsia="Arial" w:hAnsi="Arial"/>
          <w:sz w:val="19"/>
          <w:szCs w:val="19"/>
          <w:b w:val="1"/>
          <w:bCs w:val="1"/>
          <w:i w:val="1"/>
          <w:iCs w:val="1"/>
          <w:color w:val="auto"/>
        </w:rPr>
        <w:t>Changes in tax laws or policies, including but not limited to changes in corporate income tax rates, as well as judgments and estimates used in the determination of tax-related asset and liability amounts, could materially adversely affect the Company’s business, financial condition, results of operations and prospects.</w:t>
      </w:r>
    </w:p>
    <w:p>
      <w:pPr>
        <w:spacing w:after="0" w:line="117" w:lineRule="exact"/>
        <w:rPr>
          <w:sz w:val="20"/>
          <w:szCs w:val="20"/>
          <w:color w:val="auto"/>
        </w:rPr>
      </w:pPr>
    </w:p>
    <w:p>
      <w:pPr>
        <w:jc w:val="both"/>
        <w:ind w:firstLine="448"/>
        <w:spacing w:after="0" w:line="284" w:lineRule="auto"/>
        <w:rPr>
          <w:sz w:val="20"/>
          <w:szCs w:val="20"/>
          <w:color w:val="auto"/>
        </w:rPr>
      </w:pPr>
      <w:r>
        <w:rPr>
          <w:rFonts w:ascii="Arial" w:cs="Arial" w:eastAsia="Arial" w:hAnsi="Arial"/>
          <w:sz w:val="18"/>
          <w:szCs w:val="18"/>
          <w:color w:val="auto"/>
        </w:rPr>
        <w:t>The Company’s provision for income taxes and reporting of tax-related assets and liabilities require significant judgments and the use of estimates. Amounts of tax-related assets and liabilities involve judgments and estimates of the timing and probability of recognition of income, deductions and tax credits, including, but not limited to, estimates for potential adverse outcomes regarding tax positions that have been taken and the ability to utilize tax benefit carryforwards, such as NOL and tax credit carryforwards. Actual income taxes could vary significantly from estimated amounts due to the future impacts of, among other things, changes in tax laws, guidance or policies, including changes in corporate income tax rates, the financial conditions and results of operations of the Company, and the resolution of audit issues raised by taxing authorities. These factors, including the ultimate resolution of income tax matters, may result in material adjustments to tax-related assets and liabilities, which could materially adversely affect the Company’s business, financial condition, results of operations and prospects.</w:t>
      </w:r>
    </w:p>
    <w:p>
      <w:pPr>
        <w:sectPr>
          <w:pgSz w:w="11880" w:h="15480" w:orient="portrait"/>
          <w:cols w:equalWidth="0" w:num="1">
            <w:col w:w="10200"/>
          </w:cols>
          <w:pgMar w:left="840" w:top="403"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880" w:h="15480" w:orient="portrait"/>
          <w:cols w:equalWidth="0" w:num="1">
            <w:col w:w="10200"/>
          </w:cols>
          <w:pgMar w:left="840" w:top="403" w:right="840" w:bottom="0" w:gutter="0" w:footer="0" w:header="0"/>
          <w:type w:val="continuous"/>
        </w:sectPr>
      </w:pPr>
    </w:p>
    <w:bookmarkStart w:id="36" w:name="page37"/>
    <w:bookmarkEnd w:id="36"/>
    <w:p>
      <w:pPr>
        <w:jc w:val="both"/>
        <w:ind w:firstLine="448"/>
        <w:spacing w:after="0" w:line="289" w:lineRule="auto"/>
        <w:rPr>
          <w:sz w:val="20"/>
          <w:szCs w:val="20"/>
          <w:color w:val="auto"/>
        </w:rPr>
      </w:pPr>
      <w:r>
        <w:rPr>
          <w:rFonts w:ascii="Arial" w:cs="Arial" w:eastAsia="Arial" w:hAnsi="Arial"/>
          <w:sz w:val="18"/>
          <w:szCs w:val="18"/>
          <w:color w:val="auto"/>
        </w:rPr>
        <w:t>The IRA contains a number of revisions to the Internal Revenue Code, including (i) a 15% corporate minimum income tax for certain taxpayers, (ii) a 1% excise tax on corporate stock repurchases in tax years beginning after December 31, 2022 and (iii) business tax credits and incentives for the development of clean energy projects and the production of clean energy. In order to qualify for the full amount of business tax credits and incentives for clean energy projects whose construction began on or after January 30, 2023, certain wage and apprenticeship requirements must be met. The Company continues to analyze the potential impact of the IRA and monitor guidance to be issued by the United States Department of the Treasury.</w:t>
      </w:r>
    </w:p>
    <w:p>
      <w:pPr>
        <w:spacing w:after="0" w:line="108" w:lineRule="exact"/>
        <w:rPr>
          <w:sz w:val="20"/>
          <w:szCs w:val="20"/>
          <w:color w:val="auto"/>
        </w:rPr>
      </w:pPr>
    </w:p>
    <w:p>
      <w:pPr>
        <w:jc w:val="both"/>
        <w:spacing w:after="0" w:line="286" w:lineRule="auto"/>
        <w:rPr>
          <w:sz w:val="20"/>
          <w:szCs w:val="20"/>
          <w:color w:val="auto"/>
        </w:rPr>
      </w:pPr>
      <w:r>
        <w:rPr>
          <w:rFonts w:ascii="Arial" w:cs="Arial" w:eastAsia="Arial" w:hAnsi="Arial"/>
          <w:sz w:val="20"/>
          <w:szCs w:val="20"/>
          <w:b w:val="1"/>
          <w:bCs w:val="1"/>
          <w:i w:val="1"/>
          <w:iCs w:val="1"/>
          <w:color w:val="auto"/>
        </w:rPr>
        <w:t>The Company’s ability to comply with tax laws and policies may depend on its contractual arrangements and information provided by third parties and may require significant resources.</w:t>
      </w:r>
    </w:p>
    <w:p>
      <w:pPr>
        <w:spacing w:after="0" w:line="117" w:lineRule="exact"/>
        <w:rPr>
          <w:sz w:val="20"/>
          <w:szCs w:val="20"/>
          <w:color w:val="auto"/>
        </w:rPr>
      </w:pPr>
    </w:p>
    <w:p>
      <w:pPr>
        <w:jc w:val="both"/>
        <w:ind w:firstLine="448"/>
        <w:spacing w:after="0" w:line="257" w:lineRule="auto"/>
        <w:rPr>
          <w:sz w:val="20"/>
          <w:szCs w:val="20"/>
          <w:color w:val="auto"/>
        </w:rPr>
      </w:pPr>
      <w:r>
        <w:rPr>
          <w:rFonts w:ascii="Arial" w:cs="Arial" w:eastAsia="Arial" w:hAnsi="Arial"/>
          <w:sz w:val="20"/>
          <w:szCs w:val="20"/>
          <w:color w:val="auto"/>
        </w:rPr>
        <w:t>The IRA contains stringent compliance, recordkeeping and certification requirements in order to claim tax credits and incentives available. Additionally, in order to avoid possibly losing available credits, the Company must comply with prevailing wage and apprenticeship requirements applicable to projects on which construction began on or after December 31, 2022. The IRA does permit that certain defects in meeting the requirements may be timely cured under certain conditions rather than causing a loss of the tax credits.</w:t>
      </w:r>
    </w:p>
    <w:p>
      <w:pPr>
        <w:spacing w:after="0" w:line="142" w:lineRule="exact"/>
        <w:rPr>
          <w:sz w:val="20"/>
          <w:szCs w:val="20"/>
          <w:color w:val="auto"/>
        </w:rPr>
      </w:pPr>
    </w:p>
    <w:p>
      <w:pPr>
        <w:jc w:val="both"/>
        <w:ind w:firstLine="448"/>
        <w:spacing w:after="0" w:line="255" w:lineRule="auto"/>
        <w:rPr>
          <w:sz w:val="20"/>
          <w:szCs w:val="20"/>
          <w:color w:val="auto"/>
        </w:rPr>
      </w:pPr>
      <w:r>
        <w:rPr>
          <w:rFonts w:ascii="Arial" w:cs="Arial" w:eastAsia="Arial" w:hAnsi="Arial"/>
          <w:sz w:val="20"/>
          <w:szCs w:val="20"/>
          <w:color w:val="auto"/>
        </w:rPr>
        <w:t>Moreover, the documentation required for this compliance will come from third-party vendors, including equipment manufacturers and engineering, procurement and construction contractors and subcontractors as well as the Company’s internal sources. In addition, if there are defects in compliance with the prevailing wages and apprenticeship requirements, the payments to cure such deficiencies will need to be made by these third parties to their employees. The conduct of these third parties can also impact the right to claim tax credits and/or the exposure to penalties if they fail to adequately comply with the tax laws.</w:t>
      </w:r>
    </w:p>
    <w:p>
      <w:pPr>
        <w:spacing w:after="0" w:line="146" w:lineRule="exact"/>
        <w:rPr>
          <w:sz w:val="20"/>
          <w:szCs w:val="20"/>
          <w:color w:val="auto"/>
        </w:rPr>
      </w:pPr>
    </w:p>
    <w:p>
      <w:pPr>
        <w:jc w:val="both"/>
        <w:ind w:firstLine="448"/>
        <w:spacing w:after="0" w:line="268" w:lineRule="auto"/>
        <w:rPr>
          <w:sz w:val="20"/>
          <w:szCs w:val="20"/>
          <w:color w:val="auto"/>
        </w:rPr>
      </w:pPr>
      <w:r>
        <w:rPr>
          <w:rFonts w:ascii="Arial" w:cs="Arial" w:eastAsia="Arial" w:hAnsi="Arial"/>
          <w:sz w:val="19"/>
          <w:szCs w:val="19"/>
          <w:color w:val="auto"/>
        </w:rPr>
        <w:t>While the Company has secured and will continue to attempt to secure the necessary access to the information required to meet its compliance and certification requirements under the tax law and has included and will continue to include in contracts with third parties rights to have third parties make cure payments if necessary, the Company may not be able to control whether appropriate documentation is actually available or provided in a timely manner and/or whether cure actions are taken by a third party in a timely fashion. This may result in the incurrence of penalties and loss of tax credits. It is also possible that the terms negotiated with third parties fail to meet the requirements of tax law either with respect to compliance requirements, documentation or conduct of third-parties. The impact of such noncompliance could materially adversely affect the Company’s business, financial condition and results of operations.</w:t>
      </w:r>
    </w:p>
    <w:p>
      <w:pPr>
        <w:spacing w:after="0" w:line="138" w:lineRule="exact"/>
        <w:rPr>
          <w:sz w:val="20"/>
          <w:szCs w:val="20"/>
          <w:color w:val="auto"/>
        </w:rPr>
      </w:pPr>
    </w:p>
    <w:p>
      <w:pPr>
        <w:jc w:val="both"/>
        <w:ind w:firstLine="448"/>
        <w:spacing w:after="0" w:line="285" w:lineRule="auto"/>
        <w:rPr>
          <w:sz w:val="20"/>
          <w:szCs w:val="20"/>
          <w:color w:val="auto"/>
        </w:rPr>
      </w:pPr>
      <w:r>
        <w:rPr>
          <w:rFonts w:ascii="Arial" w:cs="Arial" w:eastAsia="Arial" w:hAnsi="Arial"/>
          <w:sz w:val="19"/>
          <w:szCs w:val="19"/>
          <w:color w:val="auto"/>
        </w:rPr>
        <w:t>Moreover, the costs and resources required to adequately comply with the requirements of the IRA and to monitor the activities of third parties are still to be determined as the Company puts in place its compliance and documentation program and as guidance from the Treasury in the form of notices and regulations continues to be issued.</w:t>
      </w:r>
    </w:p>
    <w:p>
      <w:pPr>
        <w:sectPr>
          <w:pgSz w:w="11880" w:h="15480" w:orient="portrait"/>
          <w:cols w:equalWidth="0" w:num="1">
            <w:col w:w="10200"/>
          </w:cols>
          <w:pgMar w:left="840" w:top="411"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880" w:h="15480" w:orient="portrait"/>
          <w:cols w:equalWidth="0" w:num="1">
            <w:col w:w="10200"/>
          </w:cols>
          <w:pgMar w:left="840" w:top="411" w:right="840" w:bottom="0" w:gutter="0" w:footer="0" w:header="0"/>
          <w:type w:val="continuous"/>
        </w:sectPr>
      </w:pPr>
    </w:p>
    <w:bookmarkStart w:id="37" w:name="page38"/>
    <w:bookmarkEnd w:id="37"/>
    <w:p>
      <w:pPr>
        <w:jc w:val="center"/>
        <w:spacing w:after="0"/>
        <w:rPr>
          <w:sz w:val="20"/>
          <w:szCs w:val="20"/>
          <w:color w:val="auto"/>
        </w:rPr>
      </w:pPr>
      <w:r>
        <w:rPr>
          <w:rFonts w:ascii="Arial" w:cs="Arial" w:eastAsia="Arial" w:hAnsi="Arial"/>
          <w:sz w:val="20"/>
          <w:szCs w:val="20"/>
          <w:b w:val="1"/>
          <w:bCs w:val="1"/>
          <w:color w:val="auto"/>
        </w:rPr>
        <w:t>CAUTIONARY STATEMENT REGARDING FORWARD-LOOKING INFORMATION</w:t>
      </w:r>
    </w:p>
    <w:p>
      <w:pPr>
        <w:spacing w:after="0" w:line="195" w:lineRule="exact"/>
        <w:rPr>
          <w:sz w:val="20"/>
          <w:szCs w:val="20"/>
          <w:color w:val="auto"/>
        </w:rPr>
      </w:pPr>
    </w:p>
    <w:p>
      <w:pPr>
        <w:jc w:val="both"/>
        <w:ind w:firstLine="448"/>
        <w:spacing w:after="0" w:line="285" w:lineRule="auto"/>
        <w:rPr>
          <w:sz w:val="20"/>
          <w:szCs w:val="20"/>
          <w:color w:val="auto"/>
        </w:rPr>
      </w:pPr>
      <w:r>
        <w:rPr>
          <w:rFonts w:ascii="Arial" w:cs="Arial" w:eastAsia="Arial" w:hAnsi="Arial"/>
          <w:sz w:val="18"/>
          <w:szCs w:val="18"/>
          <w:color w:val="auto"/>
        </w:rPr>
        <w:t xml:space="preserve">This Annual Report on Form 10-K of Clearway Energy, Inc.,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Arial" w:cs="Arial" w:eastAsia="Arial" w:hAnsi="Arial"/>
          <w:sz w:val="18"/>
          <w:szCs w:val="18"/>
          <w:b w:val="1"/>
          <w:bCs w:val="1"/>
          <w:i w:val="1"/>
          <w:iCs w:val="1"/>
          <w:color w:val="auto"/>
        </w:rPr>
        <w:t>Risk Factors</w:t>
      </w:r>
      <w:r>
        <w:rPr>
          <w:rFonts w:ascii="Arial" w:cs="Arial" w:eastAsia="Arial" w:hAnsi="Arial"/>
          <w:sz w:val="18"/>
          <w:szCs w:val="18"/>
          <w:color w:val="auto"/>
        </w:rPr>
        <w:t xml:space="preserve"> and the following:</w:t>
      </w:r>
    </w:p>
    <w:p>
      <w:pPr>
        <w:spacing w:after="0" w:line="123" w:lineRule="exact"/>
        <w:rPr>
          <w:sz w:val="20"/>
          <w:szCs w:val="20"/>
          <w:color w:val="auto"/>
        </w:rPr>
      </w:pPr>
    </w:p>
    <w:p>
      <w:pPr>
        <w:ind w:left="720" w:hanging="366"/>
        <w:spacing w:after="0"/>
        <w:tabs>
          <w:tab w:leader="none" w:pos="7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Company’s ability to maintain and grow its quarterly dividend;</w:t>
      </w:r>
    </w:p>
    <w:p>
      <w:pPr>
        <w:spacing w:after="0" w:line="68" w:lineRule="exact"/>
        <w:rPr>
          <w:rFonts w:ascii="Arial" w:cs="Arial" w:eastAsia="Arial" w:hAnsi="Arial"/>
          <w:sz w:val="20"/>
          <w:szCs w:val="20"/>
          <w:color w:val="auto"/>
        </w:rPr>
      </w:pPr>
    </w:p>
    <w:p>
      <w:pPr>
        <w:ind w:left="720" w:hanging="366"/>
        <w:spacing w:after="0"/>
        <w:tabs>
          <w:tab w:leader="none" w:pos="7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Potential risks related to the Company’s relationships with CEG and its owners;</w:t>
      </w:r>
    </w:p>
    <w:p>
      <w:pPr>
        <w:spacing w:after="0" w:line="68" w:lineRule="exact"/>
        <w:rPr>
          <w:rFonts w:ascii="Arial" w:cs="Arial" w:eastAsia="Arial" w:hAnsi="Arial"/>
          <w:sz w:val="20"/>
          <w:szCs w:val="20"/>
          <w:color w:val="auto"/>
        </w:rPr>
      </w:pPr>
    </w:p>
    <w:p>
      <w:pPr>
        <w:ind w:left="720" w:hanging="366"/>
        <w:spacing w:after="0" w:line="280" w:lineRule="auto"/>
        <w:tabs>
          <w:tab w:leader="none" w:pos="7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Company’s ability to successfully identify, evaluate and consummate acquisitions from, and dispositions to, third parties;</w:t>
      </w:r>
    </w:p>
    <w:p>
      <w:pPr>
        <w:ind w:left="720" w:hanging="366"/>
        <w:spacing w:after="0"/>
        <w:tabs>
          <w:tab w:leader="none" w:pos="7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Company’s ability to acquire assets from CEG;</w:t>
      </w:r>
    </w:p>
    <w:p>
      <w:pPr>
        <w:spacing w:after="0" w:line="68" w:lineRule="exact"/>
        <w:rPr>
          <w:rFonts w:ascii="Arial" w:cs="Arial" w:eastAsia="Arial" w:hAnsi="Arial"/>
          <w:sz w:val="20"/>
          <w:szCs w:val="20"/>
          <w:color w:val="auto"/>
        </w:rPr>
      </w:pPr>
    </w:p>
    <w:p>
      <w:pPr>
        <w:ind w:left="720" w:hanging="366"/>
        <w:spacing w:after="0" w:line="295" w:lineRule="auto"/>
        <w:tabs>
          <w:tab w:leader="none" w:pos="720" w:val="left"/>
        </w:tabs>
        <w:numPr>
          <w:ilvl w:val="0"/>
          <w:numId w:val="16"/>
        </w:numPr>
        <w:rPr>
          <w:rFonts w:ascii="Arial" w:cs="Arial" w:eastAsia="Arial" w:hAnsi="Arial"/>
          <w:sz w:val="19"/>
          <w:szCs w:val="19"/>
          <w:color w:val="auto"/>
        </w:rPr>
      </w:pPr>
      <w:r>
        <w:rPr>
          <w:rFonts w:ascii="Arial" w:cs="Arial" w:eastAsia="Arial" w:hAnsi="Arial"/>
          <w:sz w:val="19"/>
          <w:szCs w:val="19"/>
          <w:color w:val="auto"/>
        </w:rPr>
        <w:t>The Company’s ability to borrow additional funds and access capital markets, as well as the Company’s substantial indebtedness and the possibility that the Company may incur additional indebtedness going forward;</w:t>
      </w:r>
    </w:p>
    <w:p>
      <w:pPr>
        <w:ind w:left="720" w:hanging="366"/>
        <w:spacing w:after="0"/>
        <w:tabs>
          <w:tab w:leader="none" w:pos="7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Changes in law, including judicial decisions;</w:t>
      </w:r>
    </w:p>
    <w:p>
      <w:pPr>
        <w:spacing w:after="0" w:line="68" w:lineRule="exact"/>
        <w:rPr>
          <w:rFonts w:ascii="Arial" w:cs="Arial" w:eastAsia="Arial" w:hAnsi="Arial"/>
          <w:sz w:val="20"/>
          <w:szCs w:val="20"/>
          <w:color w:val="auto"/>
        </w:rPr>
      </w:pPr>
    </w:p>
    <w:p>
      <w:pPr>
        <w:jc w:val="both"/>
        <w:ind w:left="720" w:hanging="366"/>
        <w:spacing w:after="0" w:line="271" w:lineRule="auto"/>
        <w:tabs>
          <w:tab w:leader="none" w:pos="720" w:val="left"/>
        </w:tabs>
        <w:numPr>
          <w:ilvl w:val="0"/>
          <w:numId w:val="16"/>
        </w:numPr>
        <w:rPr>
          <w:rFonts w:ascii="Arial" w:cs="Arial" w:eastAsia="Arial" w:hAnsi="Arial"/>
          <w:sz w:val="19"/>
          <w:szCs w:val="19"/>
          <w:color w:val="auto"/>
        </w:rPr>
      </w:pPr>
      <w:r>
        <w:rPr>
          <w:rFonts w:ascii="Arial" w:cs="Arial" w:eastAsia="Arial" w:hAnsi="Arial"/>
          <w:sz w:val="19"/>
          <w:szCs w:val="19"/>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12" w:lineRule="exact"/>
        <w:rPr>
          <w:rFonts w:ascii="Arial" w:cs="Arial" w:eastAsia="Arial" w:hAnsi="Arial"/>
          <w:sz w:val="19"/>
          <w:szCs w:val="19"/>
          <w:color w:val="auto"/>
        </w:rPr>
      </w:pPr>
    </w:p>
    <w:p>
      <w:pPr>
        <w:jc w:val="both"/>
        <w:ind w:left="720" w:hanging="366"/>
        <w:spacing w:after="0" w:line="265" w:lineRule="auto"/>
        <w:tabs>
          <w:tab w:leader="none" w:pos="7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Company’s ability to operate its businesses efficiently, manage maintenance capital expenditures and costs effectively, and generate earnings and cash flows from its asset-based businesses in relation to its debt and other obligations;</w:t>
      </w:r>
    </w:p>
    <w:p>
      <w:pPr>
        <w:spacing w:after="0" w:line="14" w:lineRule="exact"/>
        <w:rPr>
          <w:rFonts w:ascii="Arial" w:cs="Arial" w:eastAsia="Arial" w:hAnsi="Arial"/>
          <w:sz w:val="20"/>
          <w:szCs w:val="20"/>
          <w:color w:val="auto"/>
        </w:rPr>
      </w:pPr>
    </w:p>
    <w:p>
      <w:pPr>
        <w:ind w:left="720" w:hanging="366"/>
        <w:spacing w:after="0" w:line="280" w:lineRule="auto"/>
        <w:tabs>
          <w:tab w:leader="none" w:pos="7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willingness and ability of counterparties to the Company’s offtake agreements to fulfill their obligations under such agreements;</w:t>
      </w:r>
    </w:p>
    <w:p>
      <w:pPr>
        <w:ind w:left="720" w:hanging="366"/>
        <w:spacing w:after="0"/>
        <w:tabs>
          <w:tab w:leader="none" w:pos="720" w:val="left"/>
        </w:tabs>
        <w:numPr>
          <w:ilvl w:val="0"/>
          <w:numId w:val="16"/>
        </w:numPr>
        <w:rPr>
          <w:rFonts w:ascii="Arial" w:cs="Arial" w:eastAsia="Arial" w:hAnsi="Arial"/>
          <w:sz w:val="19"/>
          <w:szCs w:val="19"/>
          <w:color w:val="auto"/>
        </w:rPr>
      </w:pPr>
      <w:r>
        <w:rPr>
          <w:rFonts w:ascii="Arial" w:cs="Arial" w:eastAsia="Arial" w:hAnsi="Arial"/>
          <w:sz w:val="19"/>
          <w:szCs w:val="19"/>
          <w:color w:val="auto"/>
        </w:rPr>
        <w:t>The Company’s ability to enter into contracts to sell power and procure fuel on acceptable terms and prices;</w:t>
      </w:r>
    </w:p>
    <w:p>
      <w:pPr>
        <w:spacing w:after="0" w:line="80" w:lineRule="exact"/>
        <w:rPr>
          <w:rFonts w:ascii="Arial" w:cs="Arial" w:eastAsia="Arial" w:hAnsi="Arial"/>
          <w:sz w:val="19"/>
          <w:szCs w:val="19"/>
          <w:color w:val="auto"/>
        </w:rPr>
      </w:pPr>
    </w:p>
    <w:p>
      <w:pPr>
        <w:ind w:left="720" w:hanging="366"/>
        <w:spacing w:after="0" w:line="280" w:lineRule="auto"/>
        <w:tabs>
          <w:tab w:leader="none" w:pos="7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Government regulation, including compliance with regulatory requirements and changes in market rules, rates, tariffs and environmental laws;</w:t>
      </w:r>
    </w:p>
    <w:p>
      <w:pPr>
        <w:jc w:val="both"/>
        <w:ind w:left="720" w:hanging="366"/>
        <w:spacing w:after="0" w:line="299"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Operating and financial restrictions placed on the Company that are contained in the project-level debt facilities and other agreements of certain subsidiaries and project-level subsidiaries generally, in the Clearway Energy Operating LLC amended and restated revolving credit facility and in the indentures governing the Senior Notes; and</w:t>
      </w:r>
    </w:p>
    <w:p>
      <w:pPr>
        <w:spacing w:after="0" w:line="2" w:lineRule="exact"/>
        <w:rPr>
          <w:rFonts w:ascii="Arial" w:cs="Arial" w:eastAsia="Arial" w:hAnsi="Arial"/>
          <w:sz w:val="18"/>
          <w:szCs w:val="18"/>
          <w:color w:val="auto"/>
        </w:rPr>
      </w:pPr>
    </w:p>
    <w:p>
      <w:pPr>
        <w:jc w:val="both"/>
        <w:ind w:left="720" w:hanging="366"/>
        <w:spacing w:after="0" w:line="265" w:lineRule="auto"/>
        <w:tabs>
          <w:tab w:leader="none" w:pos="7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spacing w:after="0" w:line="134" w:lineRule="exact"/>
        <w:rPr>
          <w:sz w:val="20"/>
          <w:szCs w:val="20"/>
          <w:color w:val="auto"/>
        </w:rPr>
      </w:pPr>
    </w:p>
    <w:p>
      <w:pPr>
        <w:jc w:val="both"/>
        <w:ind w:firstLine="448"/>
        <w:spacing w:after="0" w:line="297" w:lineRule="auto"/>
        <w:rPr>
          <w:sz w:val="20"/>
          <w:szCs w:val="20"/>
          <w:color w:val="auto"/>
        </w:rPr>
      </w:pPr>
      <w:r>
        <w:rPr>
          <w:rFonts w:ascii="Arial" w:cs="Arial" w:eastAsia="Arial" w:hAnsi="Arial"/>
          <w:sz w:val="18"/>
          <w:szCs w:val="18"/>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Annual Report on Form 10-K should not be construed as exhaustive.</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1B — Unresolved Staff Comments</w:t>
      </w:r>
    </w:p>
    <w:p>
      <w:pPr>
        <w:spacing w:after="0" w:line="195" w:lineRule="exact"/>
        <w:rPr>
          <w:sz w:val="20"/>
          <w:szCs w:val="20"/>
          <w:color w:val="auto"/>
        </w:rPr>
      </w:pPr>
    </w:p>
    <w:p>
      <w:pPr>
        <w:ind w:left="480"/>
        <w:spacing w:after="0"/>
        <w:rPr>
          <w:sz w:val="20"/>
          <w:szCs w:val="20"/>
          <w:color w:val="auto"/>
        </w:rPr>
      </w:pPr>
      <w:r>
        <w:rPr>
          <w:rFonts w:ascii="Arial" w:cs="Arial" w:eastAsia="Arial" w:hAnsi="Arial"/>
          <w:sz w:val="20"/>
          <w:szCs w:val="20"/>
          <w:color w:val="auto"/>
        </w:rPr>
        <w:t>None.</w:t>
      </w:r>
    </w:p>
    <w:p>
      <w:pPr>
        <w:sectPr>
          <w:pgSz w:w="11880" w:h="15480" w:orient="portrait"/>
          <w:cols w:equalWidth="0" w:num="1">
            <w:col w:w="10200"/>
          </w:cols>
          <w:pgMar w:left="840" w:top="404"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880" w:h="15480" w:orient="portrait"/>
          <w:cols w:equalWidth="0" w:num="1">
            <w:col w:w="10200"/>
          </w:cols>
          <w:pgMar w:left="840" w:top="404" w:right="840" w:bottom="0" w:gutter="0" w:footer="0" w:header="0"/>
          <w:type w:val="continuous"/>
        </w:sectPr>
      </w:pPr>
    </w:p>
    <w:bookmarkStart w:id="38" w:name="page39"/>
    <w:bookmarkEnd w:id="38"/>
    <w:p>
      <w:pPr>
        <w:spacing w:after="0"/>
        <w:rPr>
          <w:sz w:val="20"/>
          <w:szCs w:val="20"/>
          <w:color w:val="auto"/>
        </w:rPr>
      </w:pPr>
      <w:r>
        <w:rPr>
          <w:rFonts w:ascii="Arial" w:cs="Arial" w:eastAsia="Arial" w:hAnsi="Arial"/>
          <w:sz w:val="20"/>
          <w:szCs w:val="20"/>
          <w:b w:val="1"/>
          <w:bCs w:val="1"/>
          <w:color w:val="auto"/>
        </w:rPr>
        <w:t>Item 1C — Cybersecurity</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 Management and Strategy</w:t>
      </w:r>
    </w:p>
    <w:p>
      <w:pPr>
        <w:spacing w:after="0" w:line="195" w:lineRule="exact"/>
        <w:rPr>
          <w:sz w:val="20"/>
          <w:szCs w:val="20"/>
          <w:color w:val="auto"/>
        </w:rPr>
      </w:pPr>
    </w:p>
    <w:p>
      <w:pPr>
        <w:jc w:val="both"/>
        <w:ind w:firstLine="448"/>
        <w:spacing w:after="0" w:line="308" w:lineRule="auto"/>
        <w:rPr>
          <w:sz w:val="20"/>
          <w:szCs w:val="20"/>
          <w:color w:val="auto"/>
        </w:rPr>
      </w:pPr>
      <w:r>
        <w:rPr>
          <w:rFonts w:ascii="Arial" w:cs="Arial" w:eastAsia="Arial" w:hAnsi="Arial"/>
          <w:sz w:val="19"/>
          <w:szCs w:val="19"/>
          <w:color w:val="auto"/>
        </w:rPr>
        <w:t>The Company recognizes the critical importance of developing, implementing and maintaining robust cybersecurity measures to safeguard information systems and protect the confidentiality, integrity and availability of data.</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Managing Material Risks &amp; Integrated Overall Risk Management</w:t>
      </w:r>
    </w:p>
    <w:p>
      <w:pPr>
        <w:spacing w:after="0" w:line="196" w:lineRule="exact"/>
        <w:rPr>
          <w:sz w:val="20"/>
          <w:szCs w:val="20"/>
          <w:color w:val="auto"/>
        </w:rPr>
      </w:pPr>
    </w:p>
    <w:p>
      <w:pPr>
        <w:jc w:val="both"/>
        <w:ind w:firstLine="448"/>
        <w:spacing w:after="0" w:line="257" w:lineRule="auto"/>
        <w:rPr>
          <w:sz w:val="20"/>
          <w:szCs w:val="20"/>
          <w:color w:val="auto"/>
        </w:rPr>
      </w:pPr>
      <w:r>
        <w:rPr>
          <w:rFonts w:ascii="Arial" w:cs="Arial" w:eastAsia="Arial" w:hAnsi="Arial"/>
          <w:sz w:val="20"/>
          <w:szCs w:val="20"/>
          <w:color w:val="auto"/>
        </w:rPr>
        <w:t>The Company has strategically integrated cybersecurity risk management into its broader risk management framework to promote a company-wide culture of cybersecurity risk management. The Company’s risk management team works closely with the IT department to continuously evaluate and address cybersecurity risks in alignment with business objectives and operational needs. In addition, the Company follows the National Institute of Standards and Technology (NIST) 800-53 Cybersecurity Framework.</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Engage Third Parties on Risk Management</w:t>
      </w:r>
    </w:p>
    <w:p>
      <w:pPr>
        <w:spacing w:after="0" w:line="196" w:lineRule="exact"/>
        <w:rPr>
          <w:sz w:val="20"/>
          <w:szCs w:val="20"/>
          <w:color w:val="auto"/>
        </w:rPr>
      </w:pPr>
    </w:p>
    <w:p>
      <w:pPr>
        <w:jc w:val="both"/>
        <w:ind w:firstLine="448"/>
        <w:spacing w:after="0" w:line="277" w:lineRule="auto"/>
        <w:rPr>
          <w:sz w:val="20"/>
          <w:szCs w:val="20"/>
          <w:color w:val="auto"/>
        </w:rPr>
      </w:pPr>
      <w:r>
        <w:rPr>
          <w:rFonts w:ascii="Arial" w:cs="Arial" w:eastAsia="Arial" w:hAnsi="Arial"/>
          <w:sz w:val="19"/>
          <w:szCs w:val="19"/>
          <w:color w:val="auto"/>
        </w:rPr>
        <w:t>Recognizing the complexity and evolving nature of cybersecurity threats, the Company engages with a range of external experts, including cybersecurity consultants in evaluating and testing its risk management systems. The Company’s collaboration with these third parties includes regular audits; threat and vulnerability assessments; incident response plan testing; company-wide monitoring of cybersecurity risks; and consultation on security enhancements.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Oversee Third-Party Risk</w:t>
      </w:r>
    </w:p>
    <w:p>
      <w:pPr>
        <w:spacing w:after="0" w:line="196" w:lineRule="exact"/>
        <w:rPr>
          <w:sz w:val="20"/>
          <w:szCs w:val="20"/>
          <w:color w:val="auto"/>
        </w:rPr>
      </w:pPr>
    </w:p>
    <w:p>
      <w:pPr>
        <w:jc w:val="both"/>
        <w:ind w:firstLine="448"/>
        <w:spacing w:after="0" w:line="287" w:lineRule="auto"/>
        <w:rPr>
          <w:sz w:val="20"/>
          <w:szCs w:val="20"/>
          <w:color w:val="auto"/>
        </w:rPr>
      </w:pPr>
      <w:r>
        <w:rPr>
          <w:rFonts w:ascii="Arial" w:cs="Arial" w:eastAsia="Arial" w:hAnsi="Arial"/>
          <w:sz w:val="18"/>
          <w:szCs w:val="18"/>
          <w:color w:val="auto"/>
        </w:rPr>
        <w:t>Due to the risks associated with the engagement of third-party vendors, service providers and business partners, the Company applies stringent processes to manage these risks. Thorough security assessments of all third-party providers with access to internal data and information systems occurs before engagement, as well as ongoing monitoring to ensure compliance with relevant cybersecurity standards. The monitoring includes annual assessments by CEG’s Vice President of Information Technology and its Director of Cybersecurity and assessments on an ongoing basis by the internal cybersecurity team. These services are provided to the Company pursuant to the CEG Master Services Agreement. This approach is designed to mitigate risks related to data breaches or other security incidents originating from third parties.</w:t>
      </w:r>
    </w:p>
    <w:p>
      <w:pPr>
        <w:spacing w:after="0" w:line="110"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Risks from Cybersecurity Threats</w:t>
      </w:r>
    </w:p>
    <w:p>
      <w:pPr>
        <w:spacing w:after="0" w:line="196" w:lineRule="exact"/>
        <w:rPr>
          <w:sz w:val="20"/>
          <w:szCs w:val="20"/>
          <w:color w:val="auto"/>
        </w:rPr>
      </w:pPr>
    </w:p>
    <w:p>
      <w:pPr>
        <w:jc w:val="both"/>
        <w:ind w:firstLine="448"/>
        <w:spacing w:after="0" w:line="280" w:lineRule="auto"/>
        <w:rPr>
          <w:sz w:val="20"/>
          <w:szCs w:val="20"/>
          <w:color w:val="auto"/>
        </w:rPr>
      </w:pPr>
      <w:r>
        <w:rPr>
          <w:rFonts w:ascii="Arial" w:cs="Arial" w:eastAsia="Arial" w:hAnsi="Arial"/>
          <w:sz w:val="20"/>
          <w:szCs w:val="20"/>
          <w:color w:val="auto"/>
        </w:rPr>
        <w:t>The Company has not been subject to cybersecurity challenges or incidents that have materially affected, or are reasonably likely to materially affect the Company, its operations or financial standing.</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Governance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Board of Directors Oversight</w:t>
      </w:r>
    </w:p>
    <w:p>
      <w:pPr>
        <w:spacing w:after="0" w:line="196" w:lineRule="exact"/>
        <w:rPr>
          <w:sz w:val="20"/>
          <w:szCs w:val="20"/>
          <w:color w:val="auto"/>
        </w:rPr>
      </w:pPr>
    </w:p>
    <w:p>
      <w:pPr>
        <w:jc w:val="both"/>
        <w:ind w:firstLine="448"/>
        <w:spacing w:after="0" w:line="257" w:lineRule="auto"/>
        <w:rPr>
          <w:sz w:val="20"/>
          <w:szCs w:val="20"/>
          <w:color w:val="auto"/>
        </w:rPr>
      </w:pPr>
      <w:r>
        <w:rPr>
          <w:rFonts w:ascii="Arial" w:cs="Arial" w:eastAsia="Arial" w:hAnsi="Arial"/>
          <w:sz w:val="20"/>
          <w:szCs w:val="20"/>
          <w:color w:val="auto"/>
        </w:rPr>
        <w:t>The Company’s Board of Directors has oversight of cybersecurity risks and is well informed with respect to the nature and scope of such risks. The Board of Directors is acutely aware of the critical nature of managing risks associated with cybersecurity threats. The Board has established oversight mechanisms to ensure effective governance in managing risks associated with cybersecurity as they recognize the significance of these risks and threats to operational integrity and stakeholder confidence.</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Reporting to Board of Directors</w:t>
      </w:r>
    </w:p>
    <w:p>
      <w:pPr>
        <w:spacing w:after="0" w:line="196"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20"/>
          <w:szCs w:val="20"/>
          <w:color w:val="auto"/>
        </w:rPr>
        <w:t>The Vice President of Information Technology and Director of Cybersecurity play a pivotal role in informing the Board of Directors on cybersecurity risks. They provide briefings to the Board of Directors on a regular basis, with a minimum frequency of once per year. These briefings encompass a broad range of topics, including:</w:t>
      </w:r>
    </w:p>
    <w:p>
      <w:pPr>
        <w:spacing w:after="0" w:line="134" w:lineRule="exact"/>
        <w:rPr>
          <w:sz w:val="20"/>
          <w:szCs w:val="20"/>
          <w:color w:val="auto"/>
        </w:rPr>
      </w:pPr>
    </w:p>
    <w:p>
      <w:pPr>
        <w:ind w:left="720" w:hanging="366"/>
        <w:spacing w:after="0"/>
        <w:tabs>
          <w:tab w:leader="none" w:pos="7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Current cybersecurity threat landscape and emerging threats;</w:t>
      </w:r>
    </w:p>
    <w:p>
      <w:pPr>
        <w:spacing w:after="0" w:line="187" w:lineRule="exact"/>
        <w:rPr>
          <w:rFonts w:ascii="Arial" w:cs="Arial" w:eastAsia="Arial" w:hAnsi="Arial"/>
          <w:sz w:val="20"/>
          <w:szCs w:val="20"/>
          <w:color w:val="auto"/>
        </w:rPr>
      </w:pPr>
    </w:p>
    <w:p>
      <w:pPr>
        <w:ind w:left="720" w:hanging="366"/>
        <w:spacing w:after="0"/>
        <w:tabs>
          <w:tab w:leader="none" w:pos="7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Status of ongoing cybersecurity initiatives and strategies;</w:t>
      </w:r>
    </w:p>
    <w:p>
      <w:pPr>
        <w:spacing w:after="0" w:line="187" w:lineRule="exact"/>
        <w:rPr>
          <w:rFonts w:ascii="Arial" w:cs="Arial" w:eastAsia="Arial" w:hAnsi="Arial"/>
          <w:sz w:val="20"/>
          <w:szCs w:val="20"/>
          <w:color w:val="auto"/>
        </w:rPr>
      </w:pPr>
    </w:p>
    <w:p>
      <w:pPr>
        <w:ind w:left="720" w:hanging="366"/>
        <w:spacing w:after="0"/>
        <w:tabs>
          <w:tab w:leader="none" w:pos="7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Incident reports and learnings from any meaningful cybersecurity events; and</w:t>
      </w:r>
    </w:p>
    <w:p>
      <w:pPr>
        <w:spacing w:after="0" w:line="187" w:lineRule="exact"/>
        <w:rPr>
          <w:rFonts w:ascii="Arial" w:cs="Arial" w:eastAsia="Arial" w:hAnsi="Arial"/>
          <w:sz w:val="20"/>
          <w:szCs w:val="20"/>
          <w:color w:val="auto"/>
        </w:rPr>
      </w:pPr>
    </w:p>
    <w:p>
      <w:pPr>
        <w:ind w:left="720" w:hanging="366"/>
        <w:spacing w:after="0"/>
        <w:tabs>
          <w:tab w:leader="none" w:pos="7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Compliance status and efforts with regulatory requirements and industry standards.</w:t>
      </w:r>
    </w:p>
    <w:p>
      <w:pPr>
        <w:sectPr>
          <w:pgSz w:w="11880" w:h="15480" w:orient="portrait"/>
          <w:cols w:equalWidth="0" w:num="1">
            <w:col w:w="10200"/>
          </w:cols>
          <w:pgMar w:left="840" w:top="404"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1880" w:h="15480" w:orient="portrait"/>
          <w:cols w:equalWidth="0" w:num="1">
            <w:col w:w="10200"/>
          </w:cols>
          <w:pgMar w:left="840" w:top="404" w:right="840" w:bottom="0" w:gutter="0" w:footer="0" w:header="0"/>
          <w:type w:val="continuous"/>
        </w:sectPr>
      </w:pPr>
    </w:p>
    <w:bookmarkStart w:id="39" w:name="page40"/>
    <w:bookmarkEnd w:id="39"/>
    <w:p>
      <w:pPr>
        <w:jc w:val="both"/>
        <w:ind w:firstLine="448"/>
        <w:spacing w:after="0" w:line="284" w:lineRule="auto"/>
        <w:rPr>
          <w:sz w:val="20"/>
          <w:szCs w:val="20"/>
          <w:color w:val="auto"/>
        </w:rPr>
      </w:pPr>
      <w:r>
        <w:rPr>
          <w:rFonts w:ascii="Arial" w:cs="Arial" w:eastAsia="Arial" w:hAnsi="Arial"/>
          <w:sz w:val="18"/>
          <w:szCs w:val="18"/>
          <w:color w:val="auto"/>
        </w:rPr>
        <w:t>In addition to scheduled meetings, the Board of Directors, the Vice President of Information Technology and the Director of Cybersecurity maintain an ongoing dialogue regarding emerging cybersecurity risks. Together, they receive updates on significant developments in the cybersecurity domain. The Board of Directors actively participates in strategic decisions related to cybersecurity, offering guidance and approval for major strategic decisions and initiatives. This involvement advances the Company’s overall strategy that cybersecurity considerations are integrated into its broader strategic objectives. The Board of Directors conducts an annual review of the Company’s cybersecurity posture and the effectiveness of its risk management strategies through the information, findings and recommendations from the Company’s internal cybersecurity team as well as third-party audits, penetration tests and incident response plan testing outcomes. This review helps identify areas for improvement and helps align cybersecurity efforts with the overall risk management framework.</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Cybersecurity Risk Management Personnel</w:t>
      </w:r>
    </w:p>
    <w:p>
      <w:pPr>
        <w:spacing w:after="0" w:line="196" w:lineRule="exact"/>
        <w:rPr>
          <w:sz w:val="20"/>
          <w:szCs w:val="20"/>
          <w:color w:val="auto"/>
        </w:rPr>
      </w:pPr>
    </w:p>
    <w:p>
      <w:pPr>
        <w:jc w:val="both"/>
        <w:ind w:firstLine="448"/>
        <w:spacing w:after="0" w:line="248" w:lineRule="auto"/>
        <w:rPr>
          <w:sz w:val="20"/>
          <w:szCs w:val="20"/>
          <w:color w:val="auto"/>
        </w:rPr>
      </w:pPr>
      <w:r>
        <w:rPr>
          <w:rFonts w:ascii="Arial" w:cs="Arial" w:eastAsia="Arial" w:hAnsi="Arial"/>
          <w:sz w:val="20"/>
          <w:szCs w:val="20"/>
          <w:color w:val="auto"/>
        </w:rPr>
        <w:t>Primary responsibility for assessing, monitoring and managing cybersecurity risks is overseen by the Vice President of Information Technology and Director of Cybersecurity, whose services are provided to the Company under the CEG Master Services Agreement.</w:t>
      </w:r>
    </w:p>
    <w:p>
      <w:pPr>
        <w:spacing w:after="0" w:line="135" w:lineRule="exact"/>
        <w:rPr>
          <w:sz w:val="20"/>
          <w:szCs w:val="20"/>
          <w:color w:val="auto"/>
        </w:rPr>
      </w:pPr>
    </w:p>
    <w:p>
      <w:pPr>
        <w:jc w:val="both"/>
        <w:ind w:firstLine="448"/>
        <w:spacing w:after="0" w:line="273" w:lineRule="auto"/>
        <w:rPr>
          <w:sz w:val="20"/>
          <w:szCs w:val="20"/>
          <w:color w:val="auto"/>
        </w:rPr>
      </w:pPr>
      <w:r>
        <w:rPr>
          <w:rFonts w:ascii="Arial" w:cs="Arial" w:eastAsia="Arial" w:hAnsi="Arial"/>
          <w:sz w:val="19"/>
          <w:szCs w:val="19"/>
          <w:color w:val="auto"/>
        </w:rPr>
        <w:t>With over 20 years of experience in the field of cybersecurity, the current Vice President of Information Technology brings a wealth of expertise to their role. Their background includes extensive experience in information technology, and their in-depth knowledge and experience are instrumental in developing and executing the Company’s cybersecurity strategies. They oversee the Company’s IT governance programs; test compliance with internal, industry and regulatory standards; remediate known risks; and lead the Company’s employee training program.</w:t>
      </w:r>
    </w:p>
    <w:p>
      <w:pPr>
        <w:spacing w:after="0" w:line="130"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20"/>
          <w:szCs w:val="20"/>
          <w:color w:val="auto"/>
        </w:rPr>
        <w:t>The current Director of Cybersecurity has over 30 years of experience in information technology across a variety of industries and compliance programs. The Director of Cybersecurity has been heavily focused on cybersecurity in regulated industries for the past 10 years.</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Management’s Role Managing Cybersecurity Risk</w:t>
      </w:r>
    </w:p>
    <w:p>
      <w:pPr>
        <w:spacing w:after="0" w:line="196" w:lineRule="exact"/>
        <w:rPr>
          <w:sz w:val="20"/>
          <w:szCs w:val="20"/>
          <w:color w:val="auto"/>
        </w:rPr>
      </w:pPr>
    </w:p>
    <w:p>
      <w:pPr>
        <w:jc w:val="both"/>
        <w:ind w:firstLine="448"/>
        <w:spacing w:after="0" w:line="257" w:lineRule="auto"/>
        <w:rPr>
          <w:sz w:val="20"/>
          <w:szCs w:val="20"/>
          <w:color w:val="auto"/>
        </w:rPr>
      </w:pPr>
      <w:r>
        <w:rPr>
          <w:rFonts w:ascii="Arial" w:cs="Arial" w:eastAsia="Arial" w:hAnsi="Arial"/>
          <w:sz w:val="20"/>
          <w:szCs w:val="20"/>
          <w:color w:val="auto"/>
        </w:rPr>
        <w:t>The Vice President of Information Technology and Director of Cybersecurity regularly inform the Company’s management of all aspects related to cybersecurity risks and incidents. This ensures that the highest levels of management are kept abreast of the cybersecurity posture and potential risks facing the Company. Furthermore, significant cybersecurity matters and strategic risk management decisions are escalated to the Board of Directors, ensuring that they have insight and can provide guidance on critical cybersecurity issues.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Monitor Cybersecurity Incidents</w:t>
      </w:r>
    </w:p>
    <w:p>
      <w:pPr>
        <w:spacing w:after="0" w:line="196" w:lineRule="exact"/>
        <w:rPr>
          <w:sz w:val="20"/>
          <w:szCs w:val="20"/>
          <w:color w:val="auto"/>
        </w:rPr>
      </w:pPr>
    </w:p>
    <w:p>
      <w:pPr>
        <w:jc w:val="both"/>
        <w:ind w:firstLine="448"/>
        <w:spacing w:after="0" w:line="254" w:lineRule="auto"/>
        <w:rPr>
          <w:sz w:val="20"/>
          <w:szCs w:val="20"/>
          <w:color w:val="auto"/>
        </w:rPr>
      </w:pPr>
      <w:r>
        <w:rPr>
          <w:rFonts w:ascii="Arial" w:cs="Arial" w:eastAsia="Arial" w:hAnsi="Arial"/>
          <w:sz w:val="20"/>
          <w:szCs w:val="20"/>
          <w:color w:val="auto"/>
        </w:rPr>
        <w:t>The Vice President of Information Technology and Director of Cybersecurity are continually informed about the latest developments in cybersecurity, including emerging threats and innovative risk management techniques. They implement and oversee processes for the regular monitoring of the Company’s information systems. This includes the deployment of advanced security measures and regular system audits to identify potential vulnerabilities. In the event of a cybersecurity incident, the Company is equipped with a defined and practiced incident response plan, which includes retainers from respected third parties. This plan includes immediate actions to mitigate the impact of the incident, long-term strategies for remediation and the prevention of future incidents.</w:t>
      </w:r>
    </w:p>
    <w:p>
      <w:pPr>
        <w:sectPr>
          <w:pgSz w:w="11880" w:h="15480" w:orient="portrait"/>
          <w:cols w:equalWidth="0" w:num="1">
            <w:col w:w="10200"/>
          </w:cols>
          <w:pgMar w:left="840" w:top="411"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880" w:h="15480" w:orient="portrait"/>
          <w:cols w:equalWidth="0" w:num="1">
            <w:col w:w="10200"/>
          </w:cols>
          <w:pgMar w:left="840" w:top="411" w:right="840" w:bottom="0" w:gutter="0" w:footer="0" w:header="0"/>
          <w:type w:val="continuous"/>
        </w:sectPr>
      </w:pPr>
    </w:p>
    <w:bookmarkStart w:id="40" w:name="page41"/>
    <w:bookmarkEnd w:id="40"/>
    <w:p>
      <w:pPr>
        <w:spacing w:after="0"/>
        <w:rPr>
          <w:sz w:val="20"/>
          <w:szCs w:val="20"/>
          <w:color w:val="auto"/>
        </w:rPr>
      </w:pPr>
      <w:r>
        <w:rPr>
          <w:rFonts w:ascii="Arial" w:cs="Arial" w:eastAsia="Arial" w:hAnsi="Arial"/>
          <w:sz w:val="20"/>
          <w:szCs w:val="20"/>
          <w:b w:val="1"/>
          <w:bCs w:val="1"/>
          <w:color w:val="auto"/>
        </w:rPr>
        <w:t>Item 2 — Properties</w:t>
      </w:r>
    </w:p>
    <w:p>
      <w:pPr>
        <w:spacing w:after="0" w:line="195" w:lineRule="exact"/>
        <w:rPr>
          <w:sz w:val="20"/>
          <w:szCs w:val="20"/>
          <w:color w:val="auto"/>
        </w:rPr>
      </w:pPr>
    </w:p>
    <w:p>
      <w:pPr>
        <w:ind w:firstLine="448"/>
        <w:spacing w:after="0" w:line="280" w:lineRule="auto"/>
        <w:rPr>
          <w:sz w:val="20"/>
          <w:szCs w:val="20"/>
          <w:color w:val="auto"/>
        </w:rPr>
      </w:pPr>
      <w:r>
        <w:rPr>
          <w:rFonts w:ascii="Arial" w:cs="Arial" w:eastAsia="Arial" w:hAnsi="Arial"/>
          <w:sz w:val="20"/>
          <w:szCs w:val="20"/>
          <w:color w:val="auto"/>
        </w:rPr>
        <w:t>Listed below are descriptions of the Company’s interests in facilities, operations and/or projects owned or leased that were operating as of December 31, 2023.</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Borders>
              <w:bottom w:val="single" w:sz="8" w:color="auto"/>
            </w:tcBorders>
            <w:gridSpan w:val="4"/>
          </w:tcPr>
          <w:p>
            <w:pPr>
              <w:jc w:val="right"/>
              <w:ind w:right="265"/>
              <w:spacing w:after="0"/>
              <w:rPr>
                <w:sz w:val="20"/>
                <w:szCs w:val="20"/>
                <w:color w:val="auto"/>
              </w:rPr>
            </w:pPr>
            <w:r>
              <w:rPr>
                <w:rFonts w:ascii="Arial" w:cs="Arial" w:eastAsia="Arial" w:hAnsi="Arial"/>
                <w:sz w:val="18"/>
                <w:szCs w:val="18"/>
                <w:b w:val="1"/>
                <w:bCs w:val="1"/>
                <w:color w:val="auto"/>
              </w:rPr>
              <w:t>Capacity</w:t>
            </w: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Rated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vMerge w:val="restart"/>
          </w:tcPr>
          <w:p>
            <w:pPr>
              <w:jc w:val="right"/>
              <w:ind w:right="125"/>
              <w:spacing w:after="0"/>
              <w:rPr>
                <w:sz w:val="20"/>
                <w:szCs w:val="20"/>
                <w:color w:val="auto"/>
              </w:rPr>
            </w:pPr>
            <w:r>
              <w:rPr>
                <w:rFonts w:ascii="Arial" w:cs="Arial" w:eastAsia="Arial" w:hAnsi="Arial"/>
                <w:sz w:val="18"/>
                <w:szCs w:val="18"/>
                <w:b w:val="1"/>
                <w:bCs w:val="1"/>
                <w:color w:val="auto"/>
              </w:rPr>
              <w:t>Net</w:t>
            </w:r>
          </w:p>
        </w:tc>
        <w:tc>
          <w:tcPr>
            <w:tcW w:w="80" w:type="dxa"/>
            <w:vAlign w:val="bottom"/>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6"/>
              </w:rPr>
              <w:t>Owners</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6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b w:val="1"/>
                <w:bCs w:val="1"/>
                <w:color w:val="auto"/>
              </w:rPr>
              <w:t>Long-term Contract Terms</w:t>
            </w:r>
          </w:p>
        </w:tc>
        <w:tc>
          <w:tcPr>
            <w:tcW w:w="0" w:type="dxa"/>
            <w:vAlign w:val="bottom"/>
          </w:tcPr>
          <w:p>
            <w:pPr>
              <w:spacing w:after="0"/>
              <w:rPr>
                <w:sz w:val="1"/>
                <w:szCs w:val="1"/>
                <w:color w:val="auto"/>
              </w:rPr>
            </w:pPr>
          </w:p>
        </w:tc>
      </w:tr>
      <w:tr>
        <w:trPr>
          <w:trHeight w:val="26"/>
        </w:trPr>
        <w:tc>
          <w:tcPr>
            <w:tcW w:w="16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80" w:type="dxa"/>
            <w:vAlign w:val="bottom"/>
          </w:tcPr>
          <w:p>
            <w:pPr>
              <w:spacing w:after="0"/>
              <w:rPr>
                <w:sz w:val="2"/>
                <w:szCs w:val="2"/>
                <w:color w:val="auto"/>
              </w:rPr>
            </w:pPr>
          </w:p>
        </w:tc>
        <w:tc>
          <w:tcPr>
            <w:tcW w:w="1300" w:type="dxa"/>
            <w:vAlign w:val="bottom"/>
            <w:gridSpan w:val="2"/>
            <w:vMerge w:val="restart"/>
          </w:tcPr>
          <w:p>
            <w:pPr>
              <w:ind w:left="280"/>
              <w:spacing w:after="0"/>
              <w:rPr>
                <w:sz w:val="20"/>
                <w:szCs w:val="20"/>
                <w:color w:val="auto"/>
              </w:rPr>
            </w:pPr>
            <w:r>
              <w:rPr>
                <w:rFonts w:ascii="Arial" w:cs="Arial" w:eastAsia="Arial" w:hAnsi="Arial"/>
                <w:sz w:val="18"/>
                <w:szCs w:val="18"/>
                <w:b w:val="1"/>
                <w:bCs w:val="1"/>
                <w:color w:val="auto"/>
              </w:rPr>
              <w:t>Location</w:t>
            </w:r>
          </w:p>
        </w:tc>
        <w:tc>
          <w:tcPr>
            <w:tcW w:w="62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vMerge w:val="restart"/>
          </w:tcPr>
          <w:p>
            <w:pPr>
              <w:ind w:left="300"/>
              <w:spacing w:after="0"/>
              <w:rPr>
                <w:sz w:val="20"/>
                <w:szCs w:val="20"/>
                <w:color w:val="auto"/>
              </w:rPr>
            </w:pPr>
            <w:r>
              <w:rPr>
                <w:rFonts w:ascii="Arial" w:cs="Arial" w:eastAsia="Arial" w:hAnsi="Arial"/>
                <w:sz w:val="18"/>
                <w:szCs w:val="18"/>
                <w:b w:val="1"/>
                <w:bCs w:val="1"/>
                <w:color w:val="auto"/>
              </w:rPr>
              <w:t>Fuel</w:t>
            </w:r>
          </w:p>
        </w:tc>
        <w:tc>
          <w:tcPr>
            <w:tcW w:w="80" w:type="dxa"/>
            <w:vAlign w:val="bottom"/>
          </w:tcPr>
          <w:p>
            <w:pPr>
              <w:spacing w:after="0"/>
              <w:rPr>
                <w:sz w:val="2"/>
                <w:szCs w:val="2"/>
                <w:color w:val="auto"/>
              </w:rPr>
            </w:pPr>
          </w:p>
        </w:tc>
        <w:tc>
          <w:tcPr>
            <w:tcW w:w="1260" w:type="dxa"/>
            <w:vAlign w:val="bottom"/>
            <w:gridSpan w:val="2"/>
            <w:vMerge w:val="restart"/>
          </w:tcPr>
          <w:p>
            <w:pPr>
              <w:ind w:left="400"/>
              <w:spacing w:after="0"/>
              <w:rPr>
                <w:sz w:val="20"/>
                <w:szCs w:val="20"/>
                <w:color w:val="auto"/>
              </w:rPr>
            </w:pPr>
            <w:r>
              <w:rPr>
                <w:rFonts w:ascii="Arial" w:cs="Arial" w:eastAsia="Arial" w:hAnsi="Arial"/>
                <w:sz w:val="18"/>
                <w:szCs w:val="18"/>
                <w:b w:val="1"/>
                <w:bCs w:val="1"/>
                <w:color w:val="auto"/>
              </w:rPr>
              <w:t>COD</w:t>
            </w:r>
          </w:p>
        </w:tc>
        <w:tc>
          <w:tcPr>
            <w:tcW w:w="1640" w:type="dxa"/>
            <w:vAlign w:val="bottom"/>
            <w:vMerge w:val="restart"/>
          </w:tcPr>
          <w:p>
            <w:pPr>
              <w:ind w:left="300"/>
              <w:spacing w:after="0"/>
              <w:rPr>
                <w:sz w:val="20"/>
                <w:szCs w:val="20"/>
                <w:color w:val="auto"/>
              </w:rPr>
            </w:pPr>
            <w:r>
              <w:rPr>
                <w:rFonts w:ascii="Arial" w:cs="Arial" w:eastAsia="Arial" w:hAnsi="Arial"/>
                <w:sz w:val="18"/>
                <w:szCs w:val="18"/>
                <w:b w:val="1"/>
                <w:bCs w:val="1"/>
                <w:color w:val="auto"/>
              </w:rPr>
              <w:t>Counterparty</w:t>
            </w:r>
          </w:p>
        </w:tc>
        <w:tc>
          <w:tcPr>
            <w:tcW w:w="60" w:type="dxa"/>
            <w:vAlign w:val="bottom"/>
          </w:tcPr>
          <w:p>
            <w:pPr>
              <w:spacing w:after="0"/>
              <w:rPr>
                <w:sz w:val="2"/>
                <w:szCs w:val="2"/>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Expiration</w:t>
            </w:r>
          </w:p>
        </w:tc>
        <w:tc>
          <w:tcPr>
            <w:tcW w:w="0" w:type="dxa"/>
            <w:vAlign w:val="bottom"/>
          </w:tcPr>
          <w:p>
            <w:pPr>
              <w:spacing w:after="0" w:line="20" w:lineRule="exact"/>
              <w:rPr>
                <w:sz w:val="1"/>
                <w:szCs w:val="1"/>
                <w:color w:val="auto"/>
              </w:rPr>
            </w:pPr>
          </w:p>
        </w:tc>
      </w:tr>
      <w:tr>
        <w:trPr>
          <w:trHeight w:val="238"/>
        </w:trPr>
        <w:tc>
          <w:tcPr>
            <w:tcW w:w="16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620" w:type="dxa"/>
            <w:vAlign w:val="bottom"/>
          </w:tcPr>
          <w:p>
            <w:pPr>
              <w:jc w:val="right"/>
              <w:ind w:right="60"/>
              <w:spacing w:after="0"/>
              <w:rPr>
                <w:sz w:val="20"/>
                <w:szCs w:val="20"/>
                <w:color w:val="auto"/>
              </w:rPr>
            </w:pPr>
            <w:r>
              <w:rPr>
                <w:rFonts w:ascii="Arial" w:cs="Arial" w:eastAsia="Arial" w:hAnsi="Arial"/>
                <w:sz w:val="18"/>
                <w:szCs w:val="18"/>
                <w:b w:val="1"/>
                <w:bCs w:val="1"/>
                <w:color w:val="auto"/>
              </w:rPr>
              <w:t>MW</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jc w:val="right"/>
              <w:ind w:right="25"/>
              <w:spacing w:after="0" w:line="237" w:lineRule="exact"/>
              <w:rPr>
                <w:sz w:val="20"/>
                <w:szCs w:val="20"/>
                <w:color w:val="auto"/>
              </w:rPr>
            </w:pPr>
            <w:r>
              <w:rPr>
                <w:rFonts w:ascii="Arial" w:cs="Arial" w:eastAsia="Arial" w:hAnsi="Arial"/>
                <w:sz w:val="27"/>
                <w:szCs w:val="27"/>
                <w:b w:val="1"/>
                <w:bCs w:val="1"/>
                <w:color w:val="auto"/>
                <w:vertAlign w:val="subscript"/>
              </w:rPr>
              <w:t>MW</w:t>
            </w:r>
            <w:r>
              <w:rPr>
                <w:rFonts w:ascii="Arial" w:cs="Arial" w:eastAsia="Arial" w:hAnsi="Arial"/>
                <w:sz w:val="10"/>
                <w:szCs w:val="10"/>
                <w:b w:val="1"/>
                <w:bCs w:val="1"/>
                <w:color w:val="auto"/>
              </w:rPr>
              <w:t>(a)</w:t>
            </w:r>
          </w:p>
        </w:tc>
        <w:tc>
          <w:tcPr>
            <w:tcW w:w="80" w:type="dxa"/>
            <w:vAlign w:val="bottom"/>
          </w:tcPr>
          <w:p>
            <w:pPr>
              <w:spacing w:after="0"/>
              <w:rPr>
                <w:sz w:val="20"/>
                <w:szCs w:val="20"/>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b w:val="1"/>
                <w:bCs w:val="1"/>
                <w:color w:val="auto"/>
              </w:rPr>
              <w:t>hip</w:t>
            </w:r>
          </w:p>
        </w:tc>
        <w:tc>
          <w:tcPr>
            <w:tcW w:w="8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16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640" w:type="dxa"/>
            <w:vAlign w:val="bottom"/>
            <w:tcBorders>
              <w:top w:val="single" w:sz="8" w:color="auto"/>
            </w:tcBorders>
            <w:shd w:val="clear" w:color="auto" w:fill="E6E6E6"/>
          </w:tcPr>
          <w:p>
            <w:pPr>
              <w:ind w:left="40"/>
              <w:spacing w:after="0"/>
              <w:rPr>
                <w:sz w:val="20"/>
                <w:szCs w:val="20"/>
                <w:color w:val="auto"/>
              </w:rPr>
            </w:pPr>
            <w:r>
              <w:rPr>
                <w:rFonts w:ascii="Arial" w:cs="Arial" w:eastAsia="Arial" w:hAnsi="Arial"/>
                <w:sz w:val="18"/>
                <w:szCs w:val="18"/>
                <w:b w:val="1"/>
                <w:bCs w:val="1"/>
                <w:i w:val="1"/>
                <w:iCs w:val="1"/>
                <w:color w:val="auto"/>
              </w:rPr>
              <w:t>Conventional</w:t>
            </w:r>
          </w:p>
        </w:tc>
        <w:tc>
          <w:tcPr>
            <w:tcW w:w="80" w:type="dxa"/>
            <w:vAlign w:val="bottom"/>
            <w:tcBorders>
              <w:top w:val="single" w:sz="8" w:color="E6E6E6"/>
            </w:tcBorders>
            <w:shd w:val="clear" w:color="auto" w:fill="E6E6E6"/>
          </w:tcPr>
          <w:p>
            <w:pPr>
              <w:spacing w:after="0"/>
              <w:rPr>
                <w:sz w:val="23"/>
                <w:szCs w:val="23"/>
                <w:color w:val="auto"/>
              </w:rPr>
            </w:pPr>
          </w:p>
        </w:tc>
        <w:tc>
          <w:tcPr>
            <w:tcW w:w="1240" w:type="dxa"/>
            <w:vAlign w:val="bottom"/>
            <w:tcBorders>
              <w:top w:val="single" w:sz="8" w:color="auto"/>
            </w:tcBorders>
            <w:shd w:val="clear" w:color="auto" w:fill="E6E6E6"/>
          </w:tcPr>
          <w:p>
            <w:pPr>
              <w:spacing w:after="0"/>
              <w:rPr>
                <w:sz w:val="23"/>
                <w:szCs w:val="23"/>
                <w:color w:val="auto"/>
              </w:rPr>
            </w:pPr>
          </w:p>
        </w:tc>
        <w:tc>
          <w:tcPr>
            <w:tcW w:w="60" w:type="dxa"/>
            <w:vAlign w:val="bottom"/>
            <w:tcBorders>
              <w:top w:val="single" w:sz="8" w:color="E6E6E6"/>
            </w:tcBorders>
            <w:shd w:val="clear" w:color="auto" w:fill="E6E6E6"/>
          </w:tcPr>
          <w:p>
            <w:pPr>
              <w:spacing w:after="0"/>
              <w:rPr>
                <w:sz w:val="23"/>
                <w:szCs w:val="23"/>
                <w:color w:val="auto"/>
              </w:rPr>
            </w:pPr>
          </w:p>
        </w:tc>
        <w:tc>
          <w:tcPr>
            <w:tcW w:w="620" w:type="dxa"/>
            <w:vAlign w:val="bottom"/>
            <w:tcBorders>
              <w:top w:val="single" w:sz="8" w:color="auto"/>
            </w:tcBorders>
            <w:shd w:val="clear" w:color="auto" w:fill="E6E6E6"/>
          </w:tcPr>
          <w:p>
            <w:pPr>
              <w:spacing w:after="0"/>
              <w:rPr>
                <w:sz w:val="23"/>
                <w:szCs w:val="23"/>
                <w:color w:val="auto"/>
              </w:rPr>
            </w:pPr>
          </w:p>
        </w:tc>
        <w:tc>
          <w:tcPr>
            <w:tcW w:w="80" w:type="dxa"/>
            <w:vAlign w:val="bottom"/>
            <w:tcBorders>
              <w:top w:val="single" w:sz="8" w:color="E6E6E6"/>
            </w:tcBorders>
            <w:shd w:val="clear" w:color="auto" w:fill="E6E6E6"/>
          </w:tcPr>
          <w:p>
            <w:pPr>
              <w:spacing w:after="0"/>
              <w:rPr>
                <w:sz w:val="23"/>
                <w:szCs w:val="23"/>
                <w:color w:val="auto"/>
              </w:rPr>
            </w:pPr>
          </w:p>
        </w:tc>
        <w:tc>
          <w:tcPr>
            <w:tcW w:w="20" w:type="dxa"/>
            <w:vAlign w:val="bottom"/>
            <w:tcBorders>
              <w:top w:val="single" w:sz="8" w:color="auto"/>
            </w:tcBorders>
            <w:shd w:val="clear" w:color="auto" w:fill="E6E6E6"/>
          </w:tcPr>
          <w:p>
            <w:pPr>
              <w:spacing w:after="0"/>
              <w:rPr>
                <w:sz w:val="23"/>
                <w:szCs w:val="23"/>
                <w:color w:val="auto"/>
              </w:rPr>
            </w:pPr>
          </w:p>
        </w:tc>
        <w:tc>
          <w:tcPr>
            <w:tcW w:w="640" w:type="dxa"/>
            <w:vAlign w:val="bottom"/>
            <w:tcBorders>
              <w:top w:val="single" w:sz="8" w:color="auto"/>
            </w:tcBorders>
            <w:shd w:val="clear" w:color="auto" w:fill="E6E6E6"/>
          </w:tcPr>
          <w:p>
            <w:pPr>
              <w:spacing w:after="0"/>
              <w:rPr>
                <w:sz w:val="23"/>
                <w:szCs w:val="23"/>
                <w:color w:val="auto"/>
              </w:rPr>
            </w:pPr>
          </w:p>
        </w:tc>
        <w:tc>
          <w:tcPr>
            <w:tcW w:w="80" w:type="dxa"/>
            <w:vAlign w:val="bottom"/>
            <w:tcBorders>
              <w:top w:val="single" w:sz="8" w:color="E6E6E6"/>
            </w:tcBorders>
            <w:shd w:val="clear" w:color="auto" w:fill="E6E6E6"/>
          </w:tcPr>
          <w:p>
            <w:pPr>
              <w:spacing w:after="0"/>
              <w:rPr>
                <w:sz w:val="23"/>
                <w:szCs w:val="23"/>
                <w:color w:val="auto"/>
              </w:rPr>
            </w:pPr>
          </w:p>
        </w:tc>
        <w:tc>
          <w:tcPr>
            <w:tcW w:w="720" w:type="dxa"/>
            <w:vAlign w:val="bottom"/>
            <w:tcBorders>
              <w:top w:val="single" w:sz="8" w:color="auto"/>
            </w:tcBorders>
            <w:shd w:val="clear" w:color="auto" w:fill="E6E6E6"/>
          </w:tcPr>
          <w:p>
            <w:pPr>
              <w:spacing w:after="0"/>
              <w:rPr>
                <w:sz w:val="23"/>
                <w:szCs w:val="23"/>
                <w:color w:val="auto"/>
              </w:rPr>
            </w:pPr>
          </w:p>
        </w:tc>
        <w:tc>
          <w:tcPr>
            <w:tcW w:w="80" w:type="dxa"/>
            <w:vAlign w:val="bottom"/>
            <w:tcBorders>
              <w:top w:val="single" w:sz="8" w:color="E6E6E6"/>
            </w:tcBorders>
            <w:shd w:val="clear" w:color="auto" w:fill="E6E6E6"/>
          </w:tcPr>
          <w:p>
            <w:pPr>
              <w:spacing w:after="0"/>
              <w:rPr>
                <w:sz w:val="23"/>
                <w:szCs w:val="23"/>
                <w:color w:val="auto"/>
              </w:rPr>
            </w:pPr>
          </w:p>
        </w:tc>
        <w:tc>
          <w:tcPr>
            <w:tcW w:w="940" w:type="dxa"/>
            <w:vAlign w:val="bottom"/>
            <w:tcBorders>
              <w:top w:val="single" w:sz="8" w:color="auto"/>
            </w:tcBorders>
            <w:shd w:val="clear" w:color="auto" w:fill="E6E6E6"/>
          </w:tcPr>
          <w:p>
            <w:pPr>
              <w:spacing w:after="0"/>
              <w:rPr>
                <w:sz w:val="23"/>
                <w:szCs w:val="23"/>
                <w:color w:val="auto"/>
              </w:rPr>
            </w:pPr>
          </w:p>
        </w:tc>
        <w:tc>
          <w:tcPr>
            <w:tcW w:w="80" w:type="dxa"/>
            <w:vAlign w:val="bottom"/>
            <w:tcBorders>
              <w:top w:val="single" w:sz="8" w:color="E6E6E6"/>
            </w:tcBorders>
            <w:shd w:val="clear" w:color="auto" w:fill="E6E6E6"/>
          </w:tcPr>
          <w:p>
            <w:pPr>
              <w:spacing w:after="0"/>
              <w:rPr>
                <w:sz w:val="23"/>
                <w:szCs w:val="23"/>
                <w:color w:val="auto"/>
              </w:rPr>
            </w:pPr>
          </w:p>
        </w:tc>
        <w:tc>
          <w:tcPr>
            <w:tcW w:w="1200" w:type="dxa"/>
            <w:vAlign w:val="bottom"/>
            <w:tcBorders>
              <w:top w:val="single" w:sz="8" w:color="auto"/>
            </w:tcBorders>
            <w:shd w:val="clear" w:color="auto" w:fill="E6E6E6"/>
          </w:tcPr>
          <w:p>
            <w:pPr>
              <w:spacing w:after="0"/>
              <w:rPr>
                <w:sz w:val="23"/>
                <w:szCs w:val="23"/>
                <w:color w:val="auto"/>
              </w:rPr>
            </w:pPr>
          </w:p>
        </w:tc>
        <w:tc>
          <w:tcPr>
            <w:tcW w:w="60" w:type="dxa"/>
            <w:vAlign w:val="bottom"/>
            <w:tcBorders>
              <w:top w:val="single" w:sz="8" w:color="E6E6E6"/>
            </w:tcBorders>
            <w:shd w:val="clear" w:color="auto" w:fill="E6E6E6"/>
          </w:tcPr>
          <w:p>
            <w:pPr>
              <w:spacing w:after="0"/>
              <w:rPr>
                <w:sz w:val="23"/>
                <w:szCs w:val="23"/>
                <w:color w:val="auto"/>
              </w:rPr>
            </w:pPr>
          </w:p>
        </w:tc>
        <w:tc>
          <w:tcPr>
            <w:tcW w:w="1640" w:type="dxa"/>
            <w:vAlign w:val="bottom"/>
            <w:tcBorders>
              <w:top w:val="single" w:sz="8" w:color="auto"/>
            </w:tcBorders>
            <w:shd w:val="clear" w:color="auto" w:fill="E6E6E6"/>
          </w:tcPr>
          <w:p>
            <w:pPr>
              <w:spacing w:after="0"/>
              <w:rPr>
                <w:sz w:val="23"/>
                <w:szCs w:val="23"/>
                <w:color w:val="auto"/>
              </w:rPr>
            </w:pPr>
          </w:p>
        </w:tc>
        <w:tc>
          <w:tcPr>
            <w:tcW w:w="60" w:type="dxa"/>
            <w:vAlign w:val="bottom"/>
            <w:tcBorders>
              <w:top w:val="single" w:sz="8" w:color="E6E6E6"/>
            </w:tcBorders>
            <w:shd w:val="clear" w:color="auto" w:fill="E6E6E6"/>
          </w:tcPr>
          <w:p>
            <w:pPr>
              <w:spacing w:after="0"/>
              <w:rPr>
                <w:sz w:val="23"/>
                <w:szCs w:val="23"/>
                <w:color w:val="auto"/>
              </w:rPr>
            </w:pPr>
          </w:p>
        </w:tc>
        <w:tc>
          <w:tcPr>
            <w:tcW w:w="960" w:type="dxa"/>
            <w:vAlign w:val="bottom"/>
            <w:tcBorders>
              <w:top w:val="single" w:sz="8" w:color="auto"/>
            </w:tcBorders>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1640" w:type="dxa"/>
            <w:vAlign w:val="bottom"/>
            <w:vMerge w:val="restart"/>
          </w:tcPr>
          <w:p>
            <w:pPr>
              <w:ind w:left="40"/>
              <w:spacing w:after="0"/>
              <w:rPr>
                <w:sz w:val="20"/>
                <w:szCs w:val="20"/>
                <w:color w:val="auto"/>
              </w:rPr>
            </w:pPr>
            <w:r>
              <w:rPr>
                <w:rFonts w:ascii="Arial" w:cs="Arial" w:eastAsia="Arial" w:hAnsi="Arial"/>
                <w:sz w:val="16"/>
                <w:szCs w:val="16"/>
                <w:color w:val="auto"/>
              </w:rPr>
              <w:t>Carlsbad</w:t>
            </w:r>
          </w:p>
        </w:tc>
        <w:tc>
          <w:tcPr>
            <w:tcW w:w="80" w:type="dxa"/>
            <w:vAlign w:val="bottom"/>
          </w:tcPr>
          <w:p>
            <w:pPr>
              <w:spacing w:after="0"/>
              <w:rPr>
                <w:sz w:val="16"/>
                <w:szCs w:val="16"/>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6"/>
                <w:szCs w:val="16"/>
                <w:color w:val="auto"/>
              </w:rPr>
              <w:t>Carlsbad, CA</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527</w:t>
            </w:r>
          </w:p>
        </w:tc>
        <w:tc>
          <w:tcPr>
            <w:tcW w:w="740" w:type="dxa"/>
            <w:vAlign w:val="bottom"/>
            <w:gridSpan w:val="3"/>
            <w:vMerge w:val="restart"/>
          </w:tcPr>
          <w:p>
            <w:pPr>
              <w:jc w:val="right"/>
              <w:spacing w:after="0"/>
              <w:rPr>
                <w:sz w:val="20"/>
                <w:szCs w:val="20"/>
                <w:color w:val="auto"/>
              </w:rPr>
            </w:pPr>
            <w:r>
              <w:rPr>
                <w:rFonts w:ascii="Arial" w:cs="Arial" w:eastAsia="Arial" w:hAnsi="Arial"/>
                <w:sz w:val="16"/>
                <w:szCs w:val="16"/>
                <w:color w:val="auto"/>
              </w:rPr>
              <w:t>527</w:t>
            </w:r>
          </w:p>
        </w:tc>
        <w:tc>
          <w:tcPr>
            <w:tcW w:w="800" w:type="dxa"/>
            <w:vAlign w:val="bottom"/>
            <w:gridSpan w:val="2"/>
            <w:vMerge w:val="restart"/>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16"/>
                <w:szCs w:val="16"/>
                <w:color w:val="auto"/>
              </w:rPr>
            </w:pPr>
          </w:p>
        </w:tc>
        <w:tc>
          <w:tcPr>
            <w:tcW w:w="940" w:type="dxa"/>
            <w:vAlign w:val="bottom"/>
            <w:vMerge w:val="restart"/>
          </w:tcPr>
          <w:p>
            <w:pPr>
              <w:ind w:left="60"/>
              <w:spacing w:after="0"/>
              <w:rPr>
                <w:sz w:val="20"/>
                <w:szCs w:val="20"/>
                <w:color w:val="auto"/>
              </w:rPr>
            </w:pPr>
            <w:r>
              <w:rPr>
                <w:rFonts w:ascii="Arial" w:cs="Arial" w:eastAsia="Arial" w:hAnsi="Arial"/>
                <w:sz w:val="16"/>
                <w:szCs w:val="16"/>
                <w:color w:val="auto"/>
              </w:rPr>
              <w:t>Natural Gas</w:t>
            </w:r>
          </w:p>
        </w:tc>
        <w:tc>
          <w:tcPr>
            <w:tcW w:w="80" w:type="dxa"/>
            <w:vAlign w:val="bottom"/>
          </w:tcPr>
          <w:p>
            <w:pPr>
              <w:spacing w:after="0"/>
              <w:rPr>
                <w:sz w:val="16"/>
                <w:szCs w:val="16"/>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6"/>
                <w:szCs w:val="16"/>
                <w:color w:val="auto"/>
              </w:rPr>
              <w:t>December 2018</w:t>
            </w:r>
          </w:p>
        </w:tc>
        <w:tc>
          <w:tcPr>
            <w:tcW w:w="1640" w:type="dxa"/>
            <w:vAlign w:val="bottom"/>
          </w:tcPr>
          <w:p>
            <w:pPr>
              <w:ind w:left="60"/>
              <w:spacing w:after="0"/>
              <w:rPr>
                <w:sz w:val="20"/>
                <w:szCs w:val="20"/>
                <w:color w:val="auto"/>
              </w:rPr>
            </w:pPr>
            <w:r>
              <w:rPr>
                <w:rFonts w:ascii="Arial" w:cs="Arial" w:eastAsia="Arial" w:hAnsi="Arial"/>
                <w:sz w:val="16"/>
                <w:szCs w:val="16"/>
                <w:color w:val="auto"/>
              </w:rPr>
              <w:t>San Diego Gas &amp;</w:t>
            </w: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color w:val="auto"/>
              </w:rPr>
              <w:t>2038</w:t>
            </w:r>
          </w:p>
        </w:tc>
        <w:tc>
          <w:tcPr>
            <w:tcW w:w="0" w:type="dxa"/>
            <w:vAlign w:val="bottom"/>
          </w:tcPr>
          <w:p>
            <w:pPr>
              <w:spacing w:after="0"/>
              <w:rPr>
                <w:sz w:val="1"/>
                <w:szCs w:val="1"/>
                <w:color w:val="auto"/>
              </w:rPr>
            </w:pPr>
          </w:p>
        </w:tc>
      </w:tr>
      <w:tr>
        <w:trPr>
          <w:trHeight w:val="216"/>
        </w:trPr>
        <w:tc>
          <w:tcPr>
            <w:tcW w:w="1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740" w:type="dxa"/>
            <w:vAlign w:val="bottom"/>
            <w:gridSpan w:val="3"/>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640" w:type="dxa"/>
            <w:vAlign w:val="bottom"/>
          </w:tcPr>
          <w:p>
            <w:pPr>
              <w:ind w:left="60"/>
              <w:spacing w:after="0"/>
              <w:rPr>
                <w:sz w:val="20"/>
                <w:szCs w:val="20"/>
                <w:color w:val="auto"/>
              </w:rPr>
            </w:pPr>
            <w:r>
              <w:rPr>
                <w:rFonts w:ascii="Arial" w:cs="Arial" w:eastAsia="Arial" w:hAnsi="Arial"/>
                <w:sz w:val="16"/>
                <w:szCs w:val="16"/>
                <w:color w:val="auto"/>
              </w:rPr>
              <w:t>Electric</w:t>
            </w: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640" w:type="dxa"/>
            <w:vAlign w:val="bottom"/>
            <w:shd w:val="clear" w:color="auto" w:fill="E6E6E6"/>
          </w:tcPr>
          <w:p>
            <w:pPr>
              <w:ind w:left="40"/>
              <w:spacing w:after="0"/>
              <w:rPr>
                <w:sz w:val="20"/>
                <w:szCs w:val="20"/>
                <w:color w:val="auto"/>
              </w:rPr>
            </w:pPr>
            <w:r>
              <w:rPr>
                <w:rFonts w:ascii="Arial" w:cs="Arial" w:eastAsia="Arial" w:hAnsi="Arial"/>
                <w:sz w:val="16"/>
                <w:szCs w:val="16"/>
                <w:color w:val="auto"/>
              </w:rPr>
              <w:t>El Segundo</w:t>
            </w:r>
          </w:p>
        </w:tc>
        <w:tc>
          <w:tcPr>
            <w:tcW w:w="80" w:type="dxa"/>
            <w:vAlign w:val="bottom"/>
            <w:shd w:val="clear" w:color="auto" w:fill="E6E6E6"/>
          </w:tcPr>
          <w:p>
            <w:pPr>
              <w:spacing w:after="0"/>
              <w:rPr>
                <w:sz w:val="22"/>
                <w:szCs w:val="22"/>
                <w:color w:val="auto"/>
              </w:rPr>
            </w:pPr>
          </w:p>
        </w:tc>
        <w:tc>
          <w:tcPr>
            <w:tcW w:w="1300" w:type="dxa"/>
            <w:vAlign w:val="bottom"/>
            <w:gridSpan w:val="2"/>
            <w:shd w:val="clear" w:color="auto" w:fill="E6E6E6"/>
          </w:tcPr>
          <w:p>
            <w:pPr>
              <w:ind w:left="40"/>
              <w:spacing w:after="0"/>
              <w:rPr>
                <w:sz w:val="20"/>
                <w:szCs w:val="20"/>
                <w:color w:val="auto"/>
              </w:rPr>
            </w:pPr>
            <w:r>
              <w:rPr>
                <w:rFonts w:ascii="Arial" w:cs="Arial" w:eastAsia="Arial" w:hAnsi="Arial"/>
                <w:sz w:val="16"/>
                <w:szCs w:val="16"/>
                <w:color w:val="auto"/>
              </w:rPr>
              <w:t>El Segundo, CA</w:t>
            </w:r>
          </w:p>
        </w:tc>
        <w:tc>
          <w:tcPr>
            <w:tcW w:w="6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550</w:t>
            </w:r>
          </w:p>
        </w:tc>
        <w:tc>
          <w:tcPr>
            <w:tcW w:w="740" w:type="dxa"/>
            <w:vAlign w:val="bottom"/>
            <w:gridSpan w:val="3"/>
            <w:shd w:val="clear" w:color="auto" w:fill="E6E6E6"/>
          </w:tcPr>
          <w:p>
            <w:pPr>
              <w:jc w:val="right"/>
              <w:spacing w:after="0"/>
              <w:rPr>
                <w:sz w:val="20"/>
                <w:szCs w:val="20"/>
                <w:color w:val="auto"/>
              </w:rPr>
            </w:pPr>
            <w:r>
              <w:rPr>
                <w:rFonts w:ascii="Arial" w:cs="Arial" w:eastAsia="Arial" w:hAnsi="Arial"/>
                <w:sz w:val="16"/>
                <w:szCs w:val="16"/>
                <w:color w:val="auto"/>
              </w:rPr>
              <w:t>550</w:t>
            </w:r>
          </w:p>
        </w:tc>
        <w:tc>
          <w:tcPr>
            <w:tcW w:w="80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E6E6E6"/>
          </w:tcPr>
          <w:p>
            <w:pPr>
              <w:spacing w:after="0"/>
              <w:rPr>
                <w:sz w:val="22"/>
                <w:szCs w:val="22"/>
                <w:color w:val="auto"/>
              </w:rPr>
            </w:pPr>
          </w:p>
        </w:tc>
        <w:tc>
          <w:tcPr>
            <w:tcW w:w="940" w:type="dxa"/>
            <w:vAlign w:val="bottom"/>
            <w:shd w:val="clear" w:color="auto" w:fill="E6E6E6"/>
          </w:tcPr>
          <w:p>
            <w:pPr>
              <w:ind w:left="60"/>
              <w:spacing w:after="0"/>
              <w:rPr>
                <w:sz w:val="20"/>
                <w:szCs w:val="20"/>
                <w:color w:val="auto"/>
              </w:rPr>
            </w:pPr>
            <w:r>
              <w:rPr>
                <w:rFonts w:ascii="Arial" w:cs="Arial" w:eastAsia="Arial" w:hAnsi="Arial"/>
                <w:sz w:val="16"/>
                <w:szCs w:val="16"/>
                <w:color w:val="auto"/>
              </w:rPr>
              <w:t>Natural Gas</w:t>
            </w:r>
          </w:p>
        </w:tc>
        <w:tc>
          <w:tcPr>
            <w:tcW w:w="80" w:type="dxa"/>
            <w:vAlign w:val="bottom"/>
            <w:shd w:val="clear" w:color="auto" w:fill="E6E6E6"/>
          </w:tcPr>
          <w:p>
            <w:pPr>
              <w:spacing w:after="0"/>
              <w:rPr>
                <w:sz w:val="22"/>
                <w:szCs w:val="22"/>
                <w:color w:val="auto"/>
              </w:rPr>
            </w:pPr>
          </w:p>
        </w:tc>
        <w:tc>
          <w:tcPr>
            <w:tcW w:w="1260" w:type="dxa"/>
            <w:vAlign w:val="bottom"/>
            <w:gridSpan w:val="2"/>
            <w:shd w:val="clear" w:color="auto" w:fill="E6E6E6"/>
          </w:tcPr>
          <w:p>
            <w:pPr>
              <w:ind w:left="60"/>
              <w:spacing w:after="0"/>
              <w:rPr>
                <w:sz w:val="20"/>
                <w:szCs w:val="20"/>
                <w:color w:val="auto"/>
              </w:rPr>
            </w:pPr>
            <w:r>
              <w:rPr>
                <w:rFonts w:ascii="Arial" w:cs="Arial" w:eastAsia="Arial" w:hAnsi="Arial"/>
                <w:sz w:val="16"/>
                <w:szCs w:val="16"/>
                <w:color w:val="auto"/>
              </w:rPr>
              <w:t>August 2013</w:t>
            </w:r>
          </w:p>
        </w:tc>
        <w:tc>
          <w:tcPr>
            <w:tcW w:w="1640" w:type="dxa"/>
            <w:vAlign w:val="bottom"/>
            <w:shd w:val="clear" w:color="auto" w:fill="E6E6E6"/>
          </w:tcPr>
          <w:p>
            <w:pPr>
              <w:ind w:left="60"/>
              <w:spacing w:after="0"/>
              <w:rPr>
                <w:sz w:val="20"/>
                <w:szCs w:val="20"/>
                <w:color w:val="auto"/>
              </w:rPr>
            </w:pPr>
            <w:r>
              <w:rPr>
                <w:rFonts w:ascii="Arial" w:cs="Arial" w:eastAsia="Arial" w:hAnsi="Arial"/>
                <w:sz w:val="16"/>
                <w:szCs w:val="16"/>
                <w:color w:val="auto"/>
              </w:rPr>
              <w:t>SCE</w:t>
            </w:r>
          </w:p>
        </w:tc>
        <w:tc>
          <w:tcPr>
            <w:tcW w:w="102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2026 - 2027</w:t>
            </w:r>
          </w:p>
        </w:tc>
        <w:tc>
          <w:tcPr>
            <w:tcW w:w="0" w:type="dxa"/>
            <w:vAlign w:val="bottom"/>
          </w:tcPr>
          <w:p>
            <w:pPr>
              <w:spacing w:after="0"/>
              <w:rPr>
                <w:sz w:val="1"/>
                <w:szCs w:val="1"/>
                <w:color w:val="auto"/>
              </w:rPr>
            </w:pPr>
          </w:p>
        </w:tc>
      </w:tr>
      <w:tr>
        <w:trPr>
          <w:trHeight w:val="195"/>
        </w:trPr>
        <w:tc>
          <w:tcPr>
            <w:tcW w:w="1640" w:type="dxa"/>
            <w:vAlign w:val="bottom"/>
            <w:vMerge w:val="restart"/>
          </w:tcPr>
          <w:p>
            <w:pPr>
              <w:ind w:left="40"/>
              <w:spacing w:after="0"/>
              <w:rPr>
                <w:sz w:val="20"/>
                <w:szCs w:val="20"/>
                <w:color w:val="auto"/>
              </w:rPr>
            </w:pPr>
            <w:r>
              <w:rPr>
                <w:rFonts w:ascii="Arial" w:cs="Arial" w:eastAsia="Arial" w:hAnsi="Arial"/>
                <w:sz w:val="16"/>
                <w:szCs w:val="16"/>
                <w:color w:val="auto"/>
              </w:rPr>
              <w:t>GenConn Devon</w:t>
            </w:r>
          </w:p>
        </w:tc>
        <w:tc>
          <w:tcPr>
            <w:tcW w:w="80" w:type="dxa"/>
            <w:vAlign w:val="bottom"/>
          </w:tcPr>
          <w:p>
            <w:pPr>
              <w:spacing w:after="0"/>
              <w:rPr>
                <w:sz w:val="16"/>
                <w:szCs w:val="16"/>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6"/>
                <w:szCs w:val="16"/>
                <w:color w:val="auto"/>
              </w:rPr>
              <w:t>Milford, CT</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190</w:t>
            </w:r>
          </w:p>
        </w:tc>
        <w:tc>
          <w:tcPr>
            <w:tcW w:w="740" w:type="dxa"/>
            <w:vAlign w:val="bottom"/>
            <w:gridSpan w:val="3"/>
            <w:vMerge w:val="restart"/>
          </w:tcPr>
          <w:p>
            <w:pPr>
              <w:jc w:val="right"/>
              <w:spacing w:after="0"/>
              <w:rPr>
                <w:sz w:val="20"/>
                <w:szCs w:val="20"/>
                <w:color w:val="auto"/>
              </w:rPr>
            </w:pPr>
            <w:r>
              <w:rPr>
                <w:rFonts w:ascii="Arial" w:cs="Arial" w:eastAsia="Arial" w:hAnsi="Arial"/>
                <w:sz w:val="16"/>
                <w:szCs w:val="16"/>
                <w:color w:val="auto"/>
              </w:rPr>
              <w:t>95</w:t>
            </w:r>
          </w:p>
        </w:tc>
        <w:tc>
          <w:tcPr>
            <w:tcW w:w="800" w:type="dxa"/>
            <w:vAlign w:val="bottom"/>
            <w:gridSpan w:val="2"/>
            <w:vMerge w:val="restart"/>
          </w:tcPr>
          <w:p>
            <w:pPr>
              <w:jc w:val="right"/>
              <w:spacing w:after="0"/>
              <w:rPr>
                <w:sz w:val="20"/>
                <w:szCs w:val="20"/>
                <w:color w:val="auto"/>
              </w:rPr>
            </w:pPr>
            <w:r>
              <w:rPr>
                <w:rFonts w:ascii="Arial" w:cs="Arial" w:eastAsia="Arial" w:hAnsi="Arial"/>
                <w:sz w:val="16"/>
                <w:szCs w:val="16"/>
                <w:color w:val="auto"/>
              </w:rPr>
              <w:t>50 %</w:t>
            </w:r>
          </w:p>
        </w:tc>
        <w:tc>
          <w:tcPr>
            <w:tcW w:w="8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6"/>
                <w:szCs w:val="16"/>
                <w:color w:val="auto"/>
                <w:w w:val="95"/>
              </w:rPr>
              <w:t>Natural Gas/</w:t>
            </w:r>
          </w:p>
        </w:tc>
        <w:tc>
          <w:tcPr>
            <w:tcW w:w="80" w:type="dxa"/>
            <w:vAlign w:val="bottom"/>
          </w:tcPr>
          <w:p>
            <w:pPr>
              <w:spacing w:after="0"/>
              <w:rPr>
                <w:sz w:val="16"/>
                <w:szCs w:val="16"/>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6"/>
                <w:szCs w:val="16"/>
                <w:color w:val="auto"/>
              </w:rPr>
              <w:t>June 2010</w:t>
            </w:r>
          </w:p>
        </w:tc>
        <w:tc>
          <w:tcPr>
            <w:tcW w:w="1640" w:type="dxa"/>
            <w:vAlign w:val="bottom"/>
          </w:tcPr>
          <w:p>
            <w:pPr>
              <w:ind w:left="60"/>
              <w:spacing w:after="0"/>
              <w:rPr>
                <w:sz w:val="20"/>
                <w:szCs w:val="20"/>
                <w:color w:val="auto"/>
              </w:rPr>
            </w:pPr>
            <w:r>
              <w:rPr>
                <w:rFonts w:ascii="Arial" w:cs="Arial" w:eastAsia="Arial" w:hAnsi="Arial"/>
                <w:sz w:val="16"/>
                <w:szCs w:val="16"/>
                <w:color w:val="auto"/>
              </w:rPr>
              <w:t>Connecticut Light &amp;</w:t>
            </w: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color w:val="auto"/>
              </w:rPr>
              <w:t>2040</w:t>
            </w:r>
          </w:p>
        </w:tc>
        <w:tc>
          <w:tcPr>
            <w:tcW w:w="0" w:type="dxa"/>
            <w:vAlign w:val="bottom"/>
          </w:tcPr>
          <w:p>
            <w:pPr>
              <w:spacing w:after="0"/>
              <w:rPr>
                <w:sz w:val="1"/>
                <w:szCs w:val="1"/>
                <w:color w:val="auto"/>
              </w:rPr>
            </w:pPr>
          </w:p>
        </w:tc>
      </w:tr>
      <w:tr>
        <w:trPr>
          <w:trHeight w:val="216"/>
        </w:trPr>
        <w:tc>
          <w:tcPr>
            <w:tcW w:w="1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740" w:type="dxa"/>
            <w:vAlign w:val="bottom"/>
            <w:gridSpan w:val="3"/>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Arial" w:cs="Arial" w:eastAsia="Arial" w:hAnsi="Arial"/>
                <w:sz w:val="16"/>
                <w:szCs w:val="16"/>
                <w:color w:val="auto"/>
              </w:rPr>
              <w:t>Oil</w:t>
            </w:r>
          </w:p>
        </w:tc>
        <w:tc>
          <w:tcPr>
            <w:tcW w:w="8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640" w:type="dxa"/>
            <w:vAlign w:val="bottom"/>
          </w:tcPr>
          <w:p>
            <w:pPr>
              <w:ind w:left="60"/>
              <w:spacing w:after="0"/>
              <w:rPr>
                <w:sz w:val="20"/>
                <w:szCs w:val="20"/>
                <w:color w:val="auto"/>
              </w:rPr>
            </w:pPr>
            <w:r>
              <w:rPr>
                <w:rFonts w:ascii="Arial" w:cs="Arial" w:eastAsia="Arial" w:hAnsi="Arial"/>
                <w:sz w:val="16"/>
                <w:szCs w:val="16"/>
                <w:color w:val="auto"/>
              </w:rPr>
              <w:t>Power</w:t>
            </w: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640" w:type="dxa"/>
            <w:vAlign w:val="bottom"/>
            <w:vMerge w:val="restart"/>
            <w:shd w:val="clear" w:color="auto" w:fill="E6E6E6"/>
          </w:tcPr>
          <w:p>
            <w:pPr>
              <w:ind w:left="40"/>
              <w:spacing w:after="0"/>
              <w:rPr>
                <w:sz w:val="20"/>
                <w:szCs w:val="20"/>
                <w:color w:val="auto"/>
              </w:rPr>
            </w:pPr>
            <w:r>
              <w:rPr>
                <w:rFonts w:ascii="Arial" w:cs="Arial" w:eastAsia="Arial" w:hAnsi="Arial"/>
                <w:sz w:val="16"/>
                <w:szCs w:val="16"/>
                <w:color w:val="auto"/>
              </w:rPr>
              <w:t>GenConn Middletown</w:t>
            </w:r>
          </w:p>
        </w:tc>
        <w:tc>
          <w:tcPr>
            <w:tcW w:w="80" w:type="dxa"/>
            <w:vAlign w:val="bottom"/>
            <w:shd w:val="clear" w:color="auto" w:fill="E6E6E6"/>
          </w:tcPr>
          <w:p>
            <w:pPr>
              <w:spacing w:after="0"/>
              <w:rPr>
                <w:sz w:val="17"/>
                <w:szCs w:val="17"/>
                <w:color w:val="auto"/>
              </w:rPr>
            </w:pPr>
          </w:p>
        </w:tc>
        <w:tc>
          <w:tcPr>
            <w:tcW w:w="1300" w:type="dxa"/>
            <w:vAlign w:val="bottom"/>
            <w:gridSpan w:val="2"/>
            <w:vMerge w:val="restart"/>
            <w:shd w:val="clear" w:color="auto" w:fill="E6E6E6"/>
          </w:tcPr>
          <w:p>
            <w:pPr>
              <w:ind w:left="40"/>
              <w:spacing w:after="0"/>
              <w:rPr>
                <w:sz w:val="20"/>
                <w:szCs w:val="20"/>
                <w:color w:val="auto"/>
              </w:rPr>
            </w:pPr>
            <w:r>
              <w:rPr>
                <w:rFonts w:ascii="Arial" w:cs="Arial" w:eastAsia="Arial" w:hAnsi="Arial"/>
                <w:sz w:val="16"/>
                <w:szCs w:val="16"/>
                <w:color w:val="auto"/>
              </w:rPr>
              <w:t>Middletown, CT</w:t>
            </w:r>
          </w:p>
        </w:tc>
        <w:tc>
          <w:tcPr>
            <w:tcW w:w="62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190</w:t>
            </w:r>
          </w:p>
        </w:tc>
        <w:tc>
          <w:tcPr>
            <w:tcW w:w="740" w:type="dxa"/>
            <w:vAlign w:val="bottom"/>
            <w:gridSpan w:val="3"/>
            <w:vMerge w:val="restart"/>
            <w:shd w:val="clear" w:color="auto" w:fill="E6E6E6"/>
          </w:tcPr>
          <w:p>
            <w:pPr>
              <w:jc w:val="right"/>
              <w:spacing w:after="0"/>
              <w:rPr>
                <w:sz w:val="20"/>
                <w:szCs w:val="20"/>
                <w:color w:val="auto"/>
              </w:rPr>
            </w:pPr>
            <w:r>
              <w:rPr>
                <w:rFonts w:ascii="Arial" w:cs="Arial" w:eastAsia="Arial" w:hAnsi="Arial"/>
                <w:sz w:val="16"/>
                <w:szCs w:val="16"/>
                <w:color w:val="auto"/>
              </w:rPr>
              <w:t>95</w:t>
            </w:r>
          </w:p>
        </w:tc>
        <w:tc>
          <w:tcPr>
            <w:tcW w:w="800" w:type="dxa"/>
            <w:vAlign w:val="bottom"/>
            <w:gridSpan w:val="2"/>
            <w:vMerge w:val="restart"/>
            <w:shd w:val="clear" w:color="auto" w:fill="E6E6E6"/>
          </w:tcPr>
          <w:p>
            <w:pPr>
              <w:jc w:val="right"/>
              <w:spacing w:after="0"/>
              <w:rPr>
                <w:sz w:val="20"/>
                <w:szCs w:val="20"/>
                <w:color w:val="auto"/>
              </w:rPr>
            </w:pPr>
            <w:r>
              <w:rPr>
                <w:rFonts w:ascii="Arial" w:cs="Arial" w:eastAsia="Arial" w:hAnsi="Arial"/>
                <w:sz w:val="16"/>
                <w:szCs w:val="16"/>
                <w:color w:val="auto"/>
              </w:rPr>
              <w:t>50 %</w:t>
            </w:r>
          </w:p>
        </w:tc>
        <w:tc>
          <w:tcPr>
            <w:tcW w:w="80" w:type="dxa"/>
            <w:vAlign w:val="bottom"/>
            <w:shd w:val="clear" w:color="auto" w:fill="E6E6E6"/>
          </w:tcPr>
          <w:p>
            <w:pPr>
              <w:spacing w:after="0"/>
              <w:rPr>
                <w:sz w:val="17"/>
                <w:szCs w:val="17"/>
                <w:color w:val="auto"/>
              </w:rPr>
            </w:pPr>
          </w:p>
        </w:tc>
        <w:tc>
          <w:tcPr>
            <w:tcW w:w="940" w:type="dxa"/>
            <w:vAlign w:val="bottom"/>
            <w:shd w:val="clear" w:color="auto" w:fill="E6E6E6"/>
          </w:tcPr>
          <w:p>
            <w:pPr>
              <w:ind w:left="60"/>
              <w:spacing w:after="0"/>
              <w:rPr>
                <w:sz w:val="20"/>
                <w:szCs w:val="20"/>
                <w:color w:val="auto"/>
              </w:rPr>
            </w:pPr>
            <w:r>
              <w:rPr>
                <w:rFonts w:ascii="Arial" w:cs="Arial" w:eastAsia="Arial" w:hAnsi="Arial"/>
                <w:sz w:val="16"/>
                <w:szCs w:val="16"/>
                <w:color w:val="auto"/>
                <w:w w:val="95"/>
              </w:rPr>
              <w:t>Natural Gas/</w:t>
            </w:r>
          </w:p>
        </w:tc>
        <w:tc>
          <w:tcPr>
            <w:tcW w:w="80" w:type="dxa"/>
            <w:vAlign w:val="bottom"/>
            <w:shd w:val="clear" w:color="auto" w:fill="E6E6E6"/>
          </w:tcPr>
          <w:p>
            <w:pPr>
              <w:spacing w:after="0"/>
              <w:rPr>
                <w:sz w:val="17"/>
                <w:szCs w:val="17"/>
                <w:color w:val="auto"/>
              </w:rPr>
            </w:pPr>
          </w:p>
        </w:tc>
        <w:tc>
          <w:tcPr>
            <w:tcW w:w="1260" w:type="dxa"/>
            <w:vAlign w:val="bottom"/>
            <w:gridSpan w:val="2"/>
            <w:vMerge w:val="restart"/>
            <w:shd w:val="clear" w:color="auto" w:fill="E6E6E6"/>
          </w:tcPr>
          <w:p>
            <w:pPr>
              <w:ind w:left="60"/>
              <w:spacing w:after="0"/>
              <w:rPr>
                <w:sz w:val="20"/>
                <w:szCs w:val="20"/>
                <w:color w:val="auto"/>
              </w:rPr>
            </w:pPr>
            <w:r>
              <w:rPr>
                <w:rFonts w:ascii="Arial" w:cs="Arial" w:eastAsia="Arial" w:hAnsi="Arial"/>
                <w:sz w:val="16"/>
                <w:szCs w:val="16"/>
                <w:color w:val="auto"/>
              </w:rPr>
              <w:t>June 2011</w:t>
            </w:r>
          </w:p>
        </w:tc>
        <w:tc>
          <w:tcPr>
            <w:tcW w:w="1640" w:type="dxa"/>
            <w:vAlign w:val="bottom"/>
            <w:shd w:val="clear" w:color="auto" w:fill="E6E6E6"/>
          </w:tcPr>
          <w:p>
            <w:pPr>
              <w:ind w:left="60"/>
              <w:spacing w:after="0"/>
              <w:rPr>
                <w:sz w:val="20"/>
                <w:szCs w:val="20"/>
                <w:color w:val="auto"/>
              </w:rPr>
            </w:pPr>
            <w:r>
              <w:rPr>
                <w:rFonts w:ascii="Arial" w:cs="Arial" w:eastAsia="Arial" w:hAnsi="Arial"/>
                <w:sz w:val="16"/>
                <w:szCs w:val="16"/>
                <w:color w:val="auto"/>
              </w:rPr>
              <w:t>Connecticut Light &amp;</w:t>
            </w:r>
          </w:p>
        </w:tc>
        <w:tc>
          <w:tcPr>
            <w:tcW w:w="1020" w:type="dxa"/>
            <w:vAlign w:val="bottom"/>
            <w:gridSpan w:val="2"/>
            <w:vMerge w:val="restart"/>
            <w:shd w:val="clear" w:color="auto" w:fill="E6E6E6"/>
          </w:tcPr>
          <w:p>
            <w:pPr>
              <w:jc w:val="right"/>
              <w:spacing w:after="0"/>
              <w:rPr>
                <w:sz w:val="20"/>
                <w:szCs w:val="20"/>
                <w:color w:val="auto"/>
              </w:rPr>
            </w:pPr>
            <w:r>
              <w:rPr>
                <w:rFonts w:ascii="Arial" w:cs="Arial" w:eastAsia="Arial" w:hAnsi="Arial"/>
                <w:sz w:val="16"/>
                <w:szCs w:val="16"/>
                <w:color w:val="auto"/>
              </w:rPr>
              <w:t>2041</w:t>
            </w:r>
          </w:p>
        </w:tc>
        <w:tc>
          <w:tcPr>
            <w:tcW w:w="0" w:type="dxa"/>
            <w:vAlign w:val="bottom"/>
          </w:tcPr>
          <w:p>
            <w:pPr>
              <w:spacing w:after="0"/>
              <w:rPr>
                <w:sz w:val="1"/>
                <w:szCs w:val="1"/>
                <w:color w:val="auto"/>
              </w:rPr>
            </w:pPr>
          </w:p>
        </w:tc>
      </w:tr>
      <w:tr>
        <w:trPr>
          <w:trHeight w:val="223"/>
        </w:trPr>
        <w:tc>
          <w:tcPr>
            <w:tcW w:w="1640" w:type="dxa"/>
            <w:vAlign w:val="bottom"/>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300" w:type="dxa"/>
            <w:vAlign w:val="bottom"/>
            <w:gridSpan w:val="2"/>
            <w:vMerge w:val="continue"/>
            <w:shd w:val="clear" w:color="auto" w:fill="E6E6E6"/>
          </w:tcPr>
          <w:p>
            <w:pPr>
              <w:spacing w:after="0"/>
              <w:rPr>
                <w:sz w:val="19"/>
                <w:szCs w:val="19"/>
                <w:color w:val="auto"/>
              </w:rPr>
            </w:pPr>
          </w:p>
        </w:tc>
        <w:tc>
          <w:tcPr>
            <w:tcW w:w="620" w:type="dxa"/>
            <w:vAlign w:val="bottom"/>
            <w:vMerge w:val="continue"/>
            <w:shd w:val="clear" w:color="auto" w:fill="E6E6E6"/>
          </w:tcPr>
          <w:p>
            <w:pPr>
              <w:spacing w:after="0"/>
              <w:rPr>
                <w:sz w:val="19"/>
                <w:szCs w:val="19"/>
                <w:color w:val="auto"/>
              </w:rPr>
            </w:pPr>
          </w:p>
        </w:tc>
        <w:tc>
          <w:tcPr>
            <w:tcW w:w="740" w:type="dxa"/>
            <w:vAlign w:val="bottom"/>
            <w:gridSpan w:val="3"/>
            <w:vMerge w:val="continue"/>
            <w:shd w:val="clear" w:color="auto" w:fill="E6E6E6"/>
          </w:tcPr>
          <w:p>
            <w:pPr>
              <w:spacing w:after="0"/>
              <w:rPr>
                <w:sz w:val="19"/>
                <w:szCs w:val="19"/>
                <w:color w:val="auto"/>
              </w:rPr>
            </w:pPr>
          </w:p>
        </w:tc>
        <w:tc>
          <w:tcPr>
            <w:tcW w:w="800" w:type="dxa"/>
            <w:vAlign w:val="bottom"/>
            <w:gridSpan w:val="2"/>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940" w:type="dxa"/>
            <w:vAlign w:val="bottom"/>
            <w:shd w:val="clear" w:color="auto" w:fill="E6E6E6"/>
          </w:tcPr>
          <w:p>
            <w:pPr>
              <w:ind w:left="60"/>
              <w:spacing w:after="0"/>
              <w:rPr>
                <w:sz w:val="20"/>
                <w:szCs w:val="20"/>
                <w:color w:val="auto"/>
              </w:rPr>
            </w:pPr>
            <w:r>
              <w:rPr>
                <w:rFonts w:ascii="Arial" w:cs="Arial" w:eastAsia="Arial" w:hAnsi="Arial"/>
                <w:sz w:val="16"/>
                <w:szCs w:val="16"/>
                <w:color w:val="auto"/>
              </w:rPr>
              <w:t>Oil</w:t>
            </w:r>
          </w:p>
        </w:tc>
        <w:tc>
          <w:tcPr>
            <w:tcW w:w="80" w:type="dxa"/>
            <w:vAlign w:val="bottom"/>
            <w:shd w:val="clear" w:color="auto" w:fill="E6E6E6"/>
          </w:tcPr>
          <w:p>
            <w:pPr>
              <w:spacing w:after="0"/>
              <w:rPr>
                <w:sz w:val="19"/>
                <w:szCs w:val="19"/>
                <w:color w:val="auto"/>
              </w:rPr>
            </w:pPr>
          </w:p>
        </w:tc>
        <w:tc>
          <w:tcPr>
            <w:tcW w:w="1260" w:type="dxa"/>
            <w:vAlign w:val="bottom"/>
            <w:gridSpan w:val="2"/>
            <w:vMerge w:val="continue"/>
            <w:shd w:val="clear" w:color="auto" w:fill="E6E6E6"/>
          </w:tcPr>
          <w:p>
            <w:pPr>
              <w:spacing w:after="0"/>
              <w:rPr>
                <w:sz w:val="19"/>
                <w:szCs w:val="19"/>
                <w:color w:val="auto"/>
              </w:rPr>
            </w:pPr>
          </w:p>
        </w:tc>
        <w:tc>
          <w:tcPr>
            <w:tcW w:w="1640" w:type="dxa"/>
            <w:vAlign w:val="bottom"/>
            <w:shd w:val="clear" w:color="auto" w:fill="E6E6E6"/>
          </w:tcPr>
          <w:p>
            <w:pPr>
              <w:ind w:left="60"/>
              <w:spacing w:after="0"/>
              <w:rPr>
                <w:sz w:val="20"/>
                <w:szCs w:val="20"/>
                <w:color w:val="auto"/>
              </w:rPr>
            </w:pPr>
            <w:r>
              <w:rPr>
                <w:rFonts w:ascii="Arial" w:cs="Arial" w:eastAsia="Arial" w:hAnsi="Arial"/>
                <w:sz w:val="16"/>
                <w:szCs w:val="16"/>
                <w:color w:val="auto"/>
              </w:rPr>
              <w:t>Power</w:t>
            </w:r>
          </w:p>
        </w:tc>
        <w:tc>
          <w:tcPr>
            <w:tcW w:w="1020" w:type="dxa"/>
            <w:vAlign w:val="bottom"/>
            <w:gridSpan w:val="2"/>
            <w:vMerge w:val="continue"/>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640" w:type="dxa"/>
            <w:vAlign w:val="bottom"/>
          </w:tcPr>
          <w:p>
            <w:pPr>
              <w:ind w:left="40"/>
              <w:spacing w:after="0"/>
              <w:rPr>
                <w:sz w:val="20"/>
                <w:szCs w:val="20"/>
                <w:color w:val="auto"/>
              </w:rPr>
            </w:pPr>
            <w:r>
              <w:rPr>
                <w:rFonts w:ascii="Arial" w:cs="Arial" w:eastAsia="Arial" w:hAnsi="Arial"/>
                <w:sz w:val="16"/>
                <w:szCs w:val="16"/>
                <w:color w:val="auto"/>
              </w:rPr>
              <w:t>Marsh Landing</w:t>
            </w:r>
          </w:p>
        </w:tc>
        <w:tc>
          <w:tcPr>
            <w:tcW w:w="80" w:type="dxa"/>
            <w:vAlign w:val="bottom"/>
          </w:tcPr>
          <w:p>
            <w:pPr>
              <w:spacing w:after="0"/>
              <w:rPr>
                <w:sz w:val="21"/>
                <w:szCs w:val="21"/>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color w:val="auto"/>
              </w:rPr>
              <w:t>Antioch, CA</w:t>
            </w:r>
          </w:p>
        </w:tc>
        <w:tc>
          <w:tcPr>
            <w:tcW w:w="620" w:type="dxa"/>
            <w:vAlign w:val="bottom"/>
          </w:tcPr>
          <w:p>
            <w:pPr>
              <w:jc w:val="right"/>
              <w:spacing w:after="0"/>
              <w:rPr>
                <w:sz w:val="20"/>
                <w:szCs w:val="20"/>
                <w:color w:val="auto"/>
              </w:rPr>
            </w:pPr>
            <w:r>
              <w:rPr>
                <w:rFonts w:ascii="Arial" w:cs="Arial" w:eastAsia="Arial" w:hAnsi="Arial"/>
                <w:sz w:val="16"/>
                <w:szCs w:val="16"/>
                <w:color w:val="auto"/>
              </w:rPr>
              <w:t>720</w:t>
            </w: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720</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21"/>
                <w:szCs w:val="21"/>
                <w:color w:val="auto"/>
              </w:rPr>
            </w:pPr>
          </w:p>
        </w:tc>
        <w:tc>
          <w:tcPr>
            <w:tcW w:w="940" w:type="dxa"/>
            <w:vAlign w:val="bottom"/>
          </w:tcPr>
          <w:p>
            <w:pPr>
              <w:ind w:left="60"/>
              <w:spacing w:after="0"/>
              <w:rPr>
                <w:sz w:val="20"/>
                <w:szCs w:val="20"/>
                <w:color w:val="auto"/>
              </w:rPr>
            </w:pPr>
            <w:r>
              <w:rPr>
                <w:rFonts w:ascii="Arial" w:cs="Arial" w:eastAsia="Arial" w:hAnsi="Arial"/>
                <w:sz w:val="16"/>
                <w:szCs w:val="16"/>
                <w:color w:val="auto"/>
              </w:rPr>
              <w:t>Natural Gas</w:t>
            </w:r>
          </w:p>
        </w:tc>
        <w:tc>
          <w:tcPr>
            <w:tcW w:w="80" w:type="dxa"/>
            <w:vAlign w:val="bottom"/>
          </w:tcPr>
          <w:p>
            <w:pPr>
              <w:spacing w:after="0"/>
              <w:rPr>
                <w:sz w:val="21"/>
                <w:szCs w:val="21"/>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May 2013</w:t>
            </w:r>
          </w:p>
        </w:tc>
        <w:tc>
          <w:tcPr>
            <w:tcW w:w="1640" w:type="dxa"/>
            <w:vAlign w:val="bottom"/>
          </w:tcPr>
          <w:p>
            <w:pPr>
              <w:ind w:left="60"/>
              <w:spacing w:after="0"/>
              <w:rPr>
                <w:sz w:val="20"/>
                <w:szCs w:val="20"/>
                <w:color w:val="auto"/>
              </w:rPr>
            </w:pPr>
            <w:r>
              <w:rPr>
                <w:rFonts w:ascii="Arial" w:cs="Arial" w:eastAsia="Arial" w:hAnsi="Arial"/>
                <w:sz w:val="16"/>
                <w:szCs w:val="16"/>
                <w:color w:val="auto"/>
              </w:rPr>
              <w:t>Various</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2026 - 2030</w:t>
            </w:r>
          </w:p>
        </w:tc>
        <w:tc>
          <w:tcPr>
            <w:tcW w:w="0" w:type="dxa"/>
            <w:vAlign w:val="bottom"/>
          </w:tcPr>
          <w:p>
            <w:pPr>
              <w:spacing w:after="0"/>
              <w:rPr>
                <w:sz w:val="1"/>
                <w:szCs w:val="1"/>
                <w:color w:val="auto"/>
              </w:rPr>
            </w:pPr>
          </w:p>
        </w:tc>
      </w:tr>
      <w:tr>
        <w:trPr>
          <w:trHeight w:val="203"/>
        </w:trPr>
        <w:tc>
          <w:tcPr>
            <w:tcW w:w="1640" w:type="dxa"/>
            <w:vAlign w:val="bottom"/>
            <w:vMerge w:val="restart"/>
            <w:shd w:val="clear" w:color="auto" w:fill="E6E6E6"/>
          </w:tcPr>
          <w:p>
            <w:pPr>
              <w:ind w:left="40"/>
              <w:spacing w:after="0"/>
              <w:rPr>
                <w:sz w:val="20"/>
                <w:szCs w:val="20"/>
                <w:color w:val="auto"/>
              </w:rPr>
            </w:pPr>
            <w:r>
              <w:rPr>
                <w:rFonts w:ascii="Arial" w:cs="Arial" w:eastAsia="Arial" w:hAnsi="Arial"/>
                <w:sz w:val="16"/>
                <w:szCs w:val="16"/>
                <w:color w:val="auto"/>
              </w:rPr>
              <w:t>Walnut Creek</w:t>
            </w:r>
          </w:p>
        </w:tc>
        <w:tc>
          <w:tcPr>
            <w:tcW w:w="80" w:type="dxa"/>
            <w:vAlign w:val="bottom"/>
            <w:shd w:val="clear" w:color="auto" w:fill="E6E6E6"/>
          </w:tcPr>
          <w:p>
            <w:pPr>
              <w:spacing w:after="0"/>
              <w:rPr>
                <w:sz w:val="17"/>
                <w:szCs w:val="17"/>
                <w:color w:val="auto"/>
              </w:rPr>
            </w:pPr>
          </w:p>
        </w:tc>
        <w:tc>
          <w:tcPr>
            <w:tcW w:w="1300" w:type="dxa"/>
            <w:vAlign w:val="bottom"/>
            <w:gridSpan w:val="2"/>
            <w:shd w:val="clear" w:color="auto" w:fill="E6E6E6"/>
          </w:tcPr>
          <w:p>
            <w:pPr>
              <w:ind w:left="40"/>
              <w:spacing w:after="0"/>
              <w:rPr>
                <w:sz w:val="20"/>
                <w:szCs w:val="20"/>
                <w:color w:val="auto"/>
              </w:rPr>
            </w:pPr>
            <w:r>
              <w:rPr>
                <w:rFonts w:ascii="Arial" w:cs="Arial" w:eastAsia="Arial" w:hAnsi="Arial"/>
                <w:sz w:val="16"/>
                <w:szCs w:val="16"/>
                <w:color w:val="auto"/>
              </w:rPr>
              <w:t>City of Industry,</w:t>
            </w:r>
          </w:p>
        </w:tc>
        <w:tc>
          <w:tcPr>
            <w:tcW w:w="62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485</w:t>
            </w:r>
          </w:p>
        </w:tc>
        <w:tc>
          <w:tcPr>
            <w:tcW w:w="100" w:type="dxa"/>
            <w:vAlign w:val="bottom"/>
            <w:gridSpan w:val="2"/>
            <w:vMerge w:val="restart"/>
            <w:shd w:val="clear" w:color="auto" w:fill="E6E6E6"/>
          </w:tcPr>
          <w:p>
            <w:pPr>
              <w:spacing w:after="0"/>
              <w:rPr>
                <w:sz w:val="17"/>
                <w:szCs w:val="17"/>
                <w:color w:val="auto"/>
              </w:rPr>
            </w:pPr>
          </w:p>
        </w:tc>
        <w:tc>
          <w:tcPr>
            <w:tcW w:w="64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485</w:t>
            </w:r>
          </w:p>
        </w:tc>
        <w:tc>
          <w:tcPr>
            <w:tcW w:w="800" w:type="dxa"/>
            <w:vAlign w:val="bottom"/>
            <w:gridSpan w:val="2"/>
            <w:vMerge w:val="restart"/>
            <w:shd w:val="clear" w:color="auto" w:fill="E6E6E6"/>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E6E6E6"/>
          </w:tcPr>
          <w:p>
            <w:pPr>
              <w:spacing w:after="0"/>
              <w:rPr>
                <w:sz w:val="17"/>
                <w:szCs w:val="17"/>
                <w:color w:val="auto"/>
              </w:rPr>
            </w:pPr>
          </w:p>
        </w:tc>
        <w:tc>
          <w:tcPr>
            <w:tcW w:w="940" w:type="dxa"/>
            <w:vAlign w:val="bottom"/>
            <w:vMerge w:val="restart"/>
            <w:shd w:val="clear" w:color="auto" w:fill="E6E6E6"/>
          </w:tcPr>
          <w:p>
            <w:pPr>
              <w:ind w:left="60"/>
              <w:spacing w:after="0"/>
              <w:rPr>
                <w:sz w:val="20"/>
                <w:szCs w:val="20"/>
                <w:color w:val="auto"/>
              </w:rPr>
            </w:pPr>
            <w:r>
              <w:rPr>
                <w:rFonts w:ascii="Arial" w:cs="Arial" w:eastAsia="Arial" w:hAnsi="Arial"/>
                <w:sz w:val="16"/>
                <w:szCs w:val="16"/>
                <w:color w:val="auto"/>
              </w:rPr>
              <w:t>Natural Gas</w:t>
            </w:r>
          </w:p>
        </w:tc>
        <w:tc>
          <w:tcPr>
            <w:tcW w:w="80" w:type="dxa"/>
            <w:vAlign w:val="bottom"/>
            <w:shd w:val="clear" w:color="auto" w:fill="E6E6E6"/>
          </w:tcPr>
          <w:p>
            <w:pPr>
              <w:spacing w:after="0"/>
              <w:rPr>
                <w:sz w:val="17"/>
                <w:szCs w:val="17"/>
                <w:color w:val="auto"/>
              </w:rPr>
            </w:pPr>
          </w:p>
        </w:tc>
        <w:tc>
          <w:tcPr>
            <w:tcW w:w="1260" w:type="dxa"/>
            <w:vAlign w:val="bottom"/>
            <w:gridSpan w:val="2"/>
            <w:vMerge w:val="restart"/>
            <w:shd w:val="clear" w:color="auto" w:fill="E6E6E6"/>
          </w:tcPr>
          <w:p>
            <w:pPr>
              <w:ind w:left="60"/>
              <w:spacing w:after="0"/>
              <w:rPr>
                <w:sz w:val="20"/>
                <w:szCs w:val="20"/>
                <w:color w:val="auto"/>
              </w:rPr>
            </w:pPr>
            <w:r>
              <w:rPr>
                <w:rFonts w:ascii="Arial" w:cs="Arial" w:eastAsia="Arial" w:hAnsi="Arial"/>
                <w:sz w:val="16"/>
                <w:szCs w:val="16"/>
                <w:color w:val="auto"/>
              </w:rPr>
              <w:t>May 2013</w:t>
            </w:r>
          </w:p>
        </w:tc>
        <w:tc>
          <w:tcPr>
            <w:tcW w:w="1640" w:type="dxa"/>
            <w:vAlign w:val="bottom"/>
            <w:vMerge w:val="restart"/>
            <w:shd w:val="clear" w:color="auto" w:fill="E6E6E6"/>
          </w:tcPr>
          <w:p>
            <w:pPr>
              <w:ind w:left="60"/>
              <w:spacing w:after="0"/>
              <w:rPr>
                <w:sz w:val="20"/>
                <w:szCs w:val="20"/>
                <w:color w:val="auto"/>
              </w:rPr>
            </w:pPr>
            <w:r>
              <w:rPr>
                <w:rFonts w:ascii="Arial" w:cs="Arial" w:eastAsia="Arial" w:hAnsi="Arial"/>
                <w:sz w:val="16"/>
                <w:szCs w:val="16"/>
                <w:color w:val="auto"/>
              </w:rPr>
              <w:t>SCE</w:t>
            </w:r>
          </w:p>
        </w:tc>
        <w:tc>
          <w:tcPr>
            <w:tcW w:w="1020" w:type="dxa"/>
            <w:vAlign w:val="bottom"/>
            <w:gridSpan w:val="2"/>
            <w:vMerge w:val="restart"/>
            <w:shd w:val="clear" w:color="auto" w:fill="E6E6E6"/>
          </w:tcPr>
          <w:p>
            <w:pPr>
              <w:jc w:val="right"/>
              <w:spacing w:after="0"/>
              <w:rPr>
                <w:sz w:val="20"/>
                <w:szCs w:val="20"/>
                <w:color w:val="auto"/>
              </w:rPr>
            </w:pPr>
            <w:r>
              <w:rPr>
                <w:rFonts w:ascii="Arial" w:cs="Arial" w:eastAsia="Arial" w:hAnsi="Arial"/>
                <w:sz w:val="16"/>
                <w:szCs w:val="16"/>
                <w:color w:val="auto"/>
              </w:rPr>
              <w:t>2026</w:t>
            </w:r>
          </w:p>
        </w:tc>
        <w:tc>
          <w:tcPr>
            <w:tcW w:w="0" w:type="dxa"/>
            <w:vAlign w:val="bottom"/>
          </w:tcPr>
          <w:p>
            <w:pPr>
              <w:spacing w:after="0"/>
              <w:rPr>
                <w:sz w:val="1"/>
                <w:szCs w:val="1"/>
                <w:color w:val="auto"/>
              </w:rPr>
            </w:pPr>
          </w:p>
        </w:tc>
      </w:tr>
      <w:tr>
        <w:trPr>
          <w:trHeight w:val="231"/>
        </w:trPr>
        <w:tc>
          <w:tcPr>
            <w:tcW w:w="1640" w:type="dxa"/>
            <w:vAlign w:val="bottom"/>
            <w:tcBorders>
              <w:bottom w:val="single" w:sz="8" w:color="E6E6E6"/>
            </w:tcBorders>
            <w:vMerge w:val="continue"/>
            <w:shd w:val="clear" w:color="auto" w:fill="E6E6E6"/>
          </w:tcPr>
          <w:p>
            <w:pPr>
              <w:spacing w:after="0"/>
              <w:rPr>
                <w:sz w:val="20"/>
                <w:szCs w:val="20"/>
                <w:color w:val="auto"/>
              </w:rPr>
            </w:pPr>
          </w:p>
        </w:tc>
        <w:tc>
          <w:tcPr>
            <w:tcW w:w="80" w:type="dxa"/>
            <w:vAlign w:val="bottom"/>
            <w:tcBorders>
              <w:bottom w:val="single" w:sz="8" w:color="E6E6E6"/>
            </w:tcBorders>
            <w:shd w:val="clear" w:color="auto" w:fill="E6E6E6"/>
          </w:tcPr>
          <w:p>
            <w:pPr>
              <w:spacing w:after="0"/>
              <w:rPr>
                <w:sz w:val="20"/>
                <w:szCs w:val="20"/>
                <w:color w:val="auto"/>
              </w:rPr>
            </w:pPr>
          </w:p>
        </w:tc>
        <w:tc>
          <w:tcPr>
            <w:tcW w:w="1300" w:type="dxa"/>
            <w:vAlign w:val="bottom"/>
            <w:tcBorders>
              <w:bottom w:val="single" w:sz="8" w:color="E6E6E6"/>
            </w:tcBorders>
            <w:gridSpan w:val="2"/>
            <w:shd w:val="clear" w:color="auto" w:fill="E6E6E6"/>
          </w:tcPr>
          <w:p>
            <w:pPr>
              <w:ind w:left="40"/>
              <w:spacing w:after="0"/>
              <w:rPr>
                <w:sz w:val="20"/>
                <w:szCs w:val="20"/>
                <w:color w:val="auto"/>
              </w:rPr>
            </w:pPr>
            <w:r>
              <w:rPr>
                <w:rFonts w:ascii="Arial" w:cs="Arial" w:eastAsia="Arial" w:hAnsi="Arial"/>
                <w:sz w:val="16"/>
                <w:szCs w:val="16"/>
                <w:color w:val="auto"/>
              </w:rPr>
              <w:t>CA</w:t>
            </w:r>
          </w:p>
        </w:tc>
        <w:tc>
          <w:tcPr>
            <w:tcW w:w="620" w:type="dxa"/>
            <w:vAlign w:val="bottom"/>
            <w:tcBorders>
              <w:bottom w:val="single" w:sz="8" w:color="auto"/>
            </w:tcBorders>
            <w:vMerge w:val="continue"/>
            <w:shd w:val="clear" w:color="auto" w:fill="E6E6E6"/>
          </w:tcPr>
          <w:p>
            <w:pPr>
              <w:spacing w:after="0"/>
              <w:rPr>
                <w:sz w:val="20"/>
                <w:szCs w:val="20"/>
                <w:color w:val="auto"/>
              </w:rPr>
            </w:pPr>
          </w:p>
        </w:tc>
        <w:tc>
          <w:tcPr>
            <w:tcW w:w="100" w:type="dxa"/>
            <w:vAlign w:val="bottom"/>
            <w:tcBorders>
              <w:bottom w:val="single" w:sz="8" w:color="E6E6E6"/>
            </w:tcBorders>
            <w:gridSpan w:val="2"/>
            <w:vMerge w:val="continue"/>
            <w:shd w:val="clear" w:color="auto" w:fill="E6E6E6"/>
          </w:tcPr>
          <w:p>
            <w:pPr>
              <w:spacing w:after="0"/>
              <w:rPr>
                <w:sz w:val="20"/>
                <w:szCs w:val="20"/>
                <w:color w:val="auto"/>
              </w:rPr>
            </w:pPr>
          </w:p>
        </w:tc>
        <w:tc>
          <w:tcPr>
            <w:tcW w:w="640" w:type="dxa"/>
            <w:vAlign w:val="bottom"/>
            <w:tcBorders>
              <w:bottom w:val="single" w:sz="8" w:color="auto"/>
            </w:tcBorders>
            <w:vMerge w:val="continue"/>
            <w:shd w:val="clear" w:color="auto" w:fill="E6E6E6"/>
          </w:tcPr>
          <w:p>
            <w:pPr>
              <w:spacing w:after="0"/>
              <w:rPr>
                <w:sz w:val="20"/>
                <w:szCs w:val="20"/>
                <w:color w:val="auto"/>
              </w:rPr>
            </w:pPr>
          </w:p>
        </w:tc>
        <w:tc>
          <w:tcPr>
            <w:tcW w:w="800" w:type="dxa"/>
            <w:vAlign w:val="bottom"/>
            <w:tcBorders>
              <w:bottom w:val="single" w:sz="8" w:color="E6E6E6"/>
            </w:tcBorders>
            <w:gridSpan w:val="2"/>
            <w:vMerge w:val="continue"/>
            <w:shd w:val="clear" w:color="auto" w:fill="E6E6E6"/>
          </w:tcPr>
          <w:p>
            <w:pPr>
              <w:spacing w:after="0"/>
              <w:rPr>
                <w:sz w:val="20"/>
                <w:szCs w:val="20"/>
                <w:color w:val="auto"/>
              </w:rPr>
            </w:pPr>
          </w:p>
        </w:tc>
        <w:tc>
          <w:tcPr>
            <w:tcW w:w="80" w:type="dxa"/>
            <w:vAlign w:val="bottom"/>
            <w:tcBorders>
              <w:bottom w:val="single" w:sz="8" w:color="E6E6E6"/>
            </w:tcBorders>
            <w:shd w:val="clear" w:color="auto" w:fill="E6E6E6"/>
          </w:tcPr>
          <w:p>
            <w:pPr>
              <w:spacing w:after="0"/>
              <w:rPr>
                <w:sz w:val="20"/>
                <w:szCs w:val="20"/>
                <w:color w:val="auto"/>
              </w:rPr>
            </w:pPr>
          </w:p>
        </w:tc>
        <w:tc>
          <w:tcPr>
            <w:tcW w:w="940" w:type="dxa"/>
            <w:vAlign w:val="bottom"/>
            <w:tcBorders>
              <w:bottom w:val="single" w:sz="8" w:color="E6E6E6"/>
            </w:tcBorders>
            <w:vMerge w:val="continue"/>
            <w:shd w:val="clear" w:color="auto" w:fill="E6E6E6"/>
          </w:tcPr>
          <w:p>
            <w:pPr>
              <w:spacing w:after="0"/>
              <w:rPr>
                <w:sz w:val="20"/>
                <w:szCs w:val="20"/>
                <w:color w:val="auto"/>
              </w:rPr>
            </w:pPr>
          </w:p>
        </w:tc>
        <w:tc>
          <w:tcPr>
            <w:tcW w:w="80" w:type="dxa"/>
            <w:vAlign w:val="bottom"/>
            <w:tcBorders>
              <w:bottom w:val="single" w:sz="8" w:color="E6E6E6"/>
            </w:tcBorders>
            <w:shd w:val="clear" w:color="auto" w:fill="E6E6E6"/>
          </w:tcPr>
          <w:p>
            <w:pPr>
              <w:spacing w:after="0"/>
              <w:rPr>
                <w:sz w:val="20"/>
                <w:szCs w:val="20"/>
                <w:color w:val="auto"/>
              </w:rPr>
            </w:pPr>
          </w:p>
        </w:tc>
        <w:tc>
          <w:tcPr>
            <w:tcW w:w="1260" w:type="dxa"/>
            <w:vAlign w:val="bottom"/>
            <w:tcBorders>
              <w:bottom w:val="single" w:sz="8" w:color="E6E6E6"/>
            </w:tcBorders>
            <w:gridSpan w:val="2"/>
            <w:vMerge w:val="continue"/>
            <w:shd w:val="clear" w:color="auto" w:fill="E6E6E6"/>
          </w:tcPr>
          <w:p>
            <w:pPr>
              <w:spacing w:after="0"/>
              <w:rPr>
                <w:sz w:val="20"/>
                <w:szCs w:val="20"/>
                <w:color w:val="auto"/>
              </w:rPr>
            </w:pPr>
          </w:p>
        </w:tc>
        <w:tc>
          <w:tcPr>
            <w:tcW w:w="1640" w:type="dxa"/>
            <w:vAlign w:val="bottom"/>
            <w:tcBorders>
              <w:bottom w:val="single" w:sz="8" w:color="E6E6E6"/>
            </w:tcBorders>
            <w:vMerge w:val="continue"/>
            <w:shd w:val="clear" w:color="auto" w:fill="E6E6E6"/>
          </w:tcPr>
          <w:p>
            <w:pPr>
              <w:spacing w:after="0"/>
              <w:rPr>
                <w:sz w:val="20"/>
                <w:szCs w:val="20"/>
                <w:color w:val="auto"/>
              </w:rPr>
            </w:pPr>
          </w:p>
        </w:tc>
        <w:tc>
          <w:tcPr>
            <w:tcW w:w="1020" w:type="dxa"/>
            <w:vAlign w:val="bottom"/>
            <w:tcBorders>
              <w:bottom w:val="single" w:sz="8" w:color="E6E6E6"/>
            </w:tcBorders>
            <w:gridSpan w:val="2"/>
            <w:vMerge w:val="continue"/>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020" w:type="dxa"/>
            <w:vAlign w:val="bottom"/>
            <w:gridSpan w:val="4"/>
          </w:tcPr>
          <w:p>
            <w:pPr>
              <w:ind w:left="400"/>
              <w:spacing w:after="0"/>
              <w:rPr>
                <w:sz w:val="20"/>
                <w:szCs w:val="20"/>
                <w:color w:val="auto"/>
              </w:rPr>
            </w:pPr>
            <w:r>
              <w:rPr>
                <w:rFonts w:ascii="Arial" w:cs="Arial" w:eastAsia="Arial" w:hAnsi="Arial"/>
                <w:sz w:val="18"/>
                <w:szCs w:val="18"/>
                <w:b w:val="1"/>
                <w:bCs w:val="1"/>
                <w:i w:val="1"/>
                <w:iCs w:val="1"/>
                <w:color w:val="auto"/>
              </w:rPr>
              <w:t>Total Conventional</w:t>
            </w:r>
          </w:p>
        </w:tc>
        <w:tc>
          <w:tcPr>
            <w:tcW w:w="620" w:type="dxa"/>
            <w:vAlign w:val="bottom"/>
          </w:tcPr>
          <w:p>
            <w:pPr>
              <w:jc w:val="right"/>
              <w:spacing w:after="0"/>
              <w:rPr>
                <w:sz w:val="20"/>
                <w:szCs w:val="20"/>
                <w:color w:val="auto"/>
              </w:rPr>
            </w:pPr>
            <w:r>
              <w:rPr>
                <w:rFonts w:ascii="Arial" w:cs="Arial" w:eastAsia="Arial" w:hAnsi="Arial"/>
                <w:sz w:val="16"/>
                <w:szCs w:val="16"/>
                <w:color w:val="auto"/>
              </w:rPr>
              <w:t>2,662</w:t>
            </w: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2,472</w:t>
            </w: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1640" w:type="dxa"/>
            <w:vAlign w:val="bottom"/>
            <w:shd w:val="clear" w:color="auto" w:fill="E6E6E6"/>
          </w:tcPr>
          <w:p>
            <w:pPr>
              <w:ind w:left="40"/>
              <w:spacing w:after="0"/>
              <w:rPr>
                <w:sz w:val="20"/>
                <w:szCs w:val="20"/>
                <w:color w:val="auto"/>
              </w:rPr>
            </w:pPr>
            <w:r>
              <w:rPr>
                <w:rFonts w:ascii="Arial" w:cs="Arial" w:eastAsia="Arial" w:hAnsi="Arial"/>
                <w:sz w:val="18"/>
                <w:szCs w:val="18"/>
                <w:b w:val="1"/>
                <w:bCs w:val="1"/>
                <w:i w:val="1"/>
                <w:iCs w:val="1"/>
                <w:color w:val="auto"/>
              </w:rPr>
              <w:t>Utility Scale Solar</w:t>
            </w:r>
          </w:p>
        </w:tc>
        <w:tc>
          <w:tcPr>
            <w:tcW w:w="80" w:type="dxa"/>
            <w:vAlign w:val="bottom"/>
            <w:shd w:val="clear" w:color="auto" w:fill="E6E6E6"/>
          </w:tcPr>
          <w:p>
            <w:pPr>
              <w:spacing w:after="0"/>
              <w:rPr>
                <w:sz w:val="24"/>
                <w:szCs w:val="24"/>
                <w:color w:val="auto"/>
              </w:rPr>
            </w:pPr>
          </w:p>
        </w:tc>
        <w:tc>
          <w:tcPr>
            <w:tcW w:w="12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62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64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72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94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12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6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640" w:type="dxa"/>
            <w:vAlign w:val="bottom"/>
          </w:tcPr>
          <w:p>
            <w:pPr>
              <w:ind w:left="40"/>
              <w:spacing w:after="0"/>
              <w:rPr>
                <w:sz w:val="20"/>
                <w:szCs w:val="20"/>
                <w:color w:val="auto"/>
              </w:rPr>
            </w:pPr>
            <w:r>
              <w:rPr>
                <w:rFonts w:ascii="Arial" w:cs="Arial" w:eastAsia="Arial" w:hAnsi="Arial"/>
                <w:sz w:val="16"/>
                <w:szCs w:val="16"/>
                <w:color w:val="auto"/>
              </w:rPr>
              <w:t>Agua Caliente</w:t>
            </w:r>
          </w:p>
        </w:tc>
        <w:tc>
          <w:tcPr>
            <w:tcW w:w="80" w:type="dxa"/>
            <w:vAlign w:val="bottom"/>
          </w:tcPr>
          <w:p>
            <w:pPr>
              <w:spacing w:after="0"/>
              <w:rPr>
                <w:sz w:val="21"/>
                <w:szCs w:val="21"/>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color w:val="auto"/>
              </w:rPr>
              <w:t>Dateland, AZ</w:t>
            </w:r>
          </w:p>
        </w:tc>
        <w:tc>
          <w:tcPr>
            <w:tcW w:w="620" w:type="dxa"/>
            <w:vAlign w:val="bottom"/>
          </w:tcPr>
          <w:p>
            <w:pPr>
              <w:jc w:val="right"/>
              <w:spacing w:after="0"/>
              <w:rPr>
                <w:sz w:val="20"/>
                <w:szCs w:val="20"/>
                <w:color w:val="auto"/>
              </w:rPr>
            </w:pPr>
            <w:r>
              <w:rPr>
                <w:rFonts w:ascii="Arial" w:cs="Arial" w:eastAsia="Arial" w:hAnsi="Arial"/>
                <w:sz w:val="16"/>
                <w:szCs w:val="16"/>
                <w:color w:val="auto"/>
              </w:rPr>
              <w:t>290</w:t>
            </w: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148</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51 %</w:t>
            </w:r>
          </w:p>
        </w:tc>
        <w:tc>
          <w:tcPr>
            <w:tcW w:w="80" w:type="dxa"/>
            <w:vAlign w:val="bottom"/>
          </w:tcPr>
          <w:p>
            <w:pPr>
              <w:spacing w:after="0"/>
              <w:rPr>
                <w:sz w:val="21"/>
                <w:szCs w:val="21"/>
                <w:color w:val="auto"/>
              </w:rPr>
            </w:pPr>
          </w:p>
        </w:tc>
        <w:tc>
          <w:tcPr>
            <w:tcW w:w="940" w:type="dxa"/>
            <w:vAlign w:val="bottom"/>
          </w:tcPr>
          <w:p>
            <w:pPr>
              <w:ind w:left="60"/>
              <w:spacing w:after="0"/>
              <w:rPr>
                <w:sz w:val="20"/>
                <w:szCs w:val="20"/>
                <w:color w:val="auto"/>
              </w:rPr>
            </w:pPr>
            <w:r>
              <w:rPr>
                <w:rFonts w:ascii="Arial" w:cs="Arial" w:eastAsia="Arial" w:hAnsi="Arial"/>
                <w:sz w:val="16"/>
                <w:szCs w:val="16"/>
                <w:color w:val="auto"/>
              </w:rPr>
              <w:t>Solar</w:t>
            </w:r>
          </w:p>
        </w:tc>
        <w:tc>
          <w:tcPr>
            <w:tcW w:w="80" w:type="dxa"/>
            <w:vAlign w:val="bottom"/>
          </w:tcPr>
          <w:p>
            <w:pPr>
              <w:spacing w:after="0"/>
              <w:rPr>
                <w:sz w:val="21"/>
                <w:szCs w:val="21"/>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June 2014</w:t>
            </w:r>
          </w:p>
        </w:tc>
        <w:tc>
          <w:tcPr>
            <w:tcW w:w="1640" w:type="dxa"/>
            <w:vAlign w:val="bottom"/>
          </w:tcPr>
          <w:p>
            <w:pPr>
              <w:ind w:left="60"/>
              <w:spacing w:after="0"/>
              <w:rPr>
                <w:sz w:val="20"/>
                <w:szCs w:val="20"/>
                <w:color w:val="auto"/>
              </w:rPr>
            </w:pPr>
            <w:r>
              <w:rPr>
                <w:rFonts w:ascii="Arial" w:cs="Arial" w:eastAsia="Arial" w:hAnsi="Arial"/>
                <w:sz w:val="16"/>
                <w:szCs w:val="16"/>
                <w:color w:val="auto"/>
              </w:rPr>
              <w:t>PG&amp;E</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2039</w:t>
            </w:r>
          </w:p>
        </w:tc>
        <w:tc>
          <w:tcPr>
            <w:tcW w:w="0" w:type="dxa"/>
            <w:vAlign w:val="bottom"/>
          </w:tcPr>
          <w:p>
            <w:pPr>
              <w:spacing w:after="0"/>
              <w:rPr>
                <w:sz w:val="1"/>
                <w:szCs w:val="1"/>
                <w:color w:val="auto"/>
              </w:rPr>
            </w:pPr>
          </w:p>
        </w:tc>
      </w:tr>
      <w:tr>
        <w:trPr>
          <w:trHeight w:val="262"/>
        </w:trPr>
        <w:tc>
          <w:tcPr>
            <w:tcW w:w="1640" w:type="dxa"/>
            <w:vAlign w:val="bottom"/>
            <w:shd w:val="clear" w:color="auto" w:fill="E6E6E6"/>
          </w:tcPr>
          <w:p>
            <w:pPr>
              <w:ind w:left="40"/>
              <w:spacing w:after="0"/>
              <w:rPr>
                <w:sz w:val="20"/>
                <w:szCs w:val="20"/>
                <w:color w:val="auto"/>
              </w:rPr>
            </w:pPr>
            <w:r>
              <w:rPr>
                <w:rFonts w:ascii="Arial" w:cs="Arial" w:eastAsia="Arial" w:hAnsi="Arial"/>
                <w:sz w:val="16"/>
                <w:szCs w:val="16"/>
                <w:color w:val="auto"/>
              </w:rPr>
              <w:t>Alpine</w:t>
            </w:r>
          </w:p>
        </w:tc>
        <w:tc>
          <w:tcPr>
            <w:tcW w:w="80" w:type="dxa"/>
            <w:vAlign w:val="bottom"/>
            <w:shd w:val="clear" w:color="auto" w:fill="E6E6E6"/>
          </w:tcPr>
          <w:p>
            <w:pPr>
              <w:spacing w:after="0"/>
              <w:rPr>
                <w:sz w:val="22"/>
                <w:szCs w:val="22"/>
                <w:color w:val="auto"/>
              </w:rPr>
            </w:pPr>
          </w:p>
        </w:tc>
        <w:tc>
          <w:tcPr>
            <w:tcW w:w="1300" w:type="dxa"/>
            <w:vAlign w:val="bottom"/>
            <w:gridSpan w:val="2"/>
            <w:shd w:val="clear" w:color="auto" w:fill="E6E6E6"/>
          </w:tcPr>
          <w:p>
            <w:pPr>
              <w:ind w:left="40"/>
              <w:spacing w:after="0"/>
              <w:rPr>
                <w:sz w:val="20"/>
                <w:szCs w:val="20"/>
                <w:color w:val="auto"/>
              </w:rPr>
            </w:pPr>
            <w:r>
              <w:rPr>
                <w:rFonts w:ascii="Arial" w:cs="Arial" w:eastAsia="Arial" w:hAnsi="Arial"/>
                <w:sz w:val="16"/>
                <w:szCs w:val="16"/>
                <w:color w:val="auto"/>
              </w:rPr>
              <w:t>Lancaster, CA</w:t>
            </w:r>
          </w:p>
        </w:tc>
        <w:tc>
          <w:tcPr>
            <w:tcW w:w="6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66</w:t>
            </w:r>
          </w:p>
        </w:tc>
        <w:tc>
          <w:tcPr>
            <w:tcW w:w="740" w:type="dxa"/>
            <w:vAlign w:val="bottom"/>
            <w:gridSpan w:val="3"/>
            <w:shd w:val="clear" w:color="auto" w:fill="E6E6E6"/>
          </w:tcPr>
          <w:p>
            <w:pPr>
              <w:jc w:val="right"/>
              <w:spacing w:after="0"/>
              <w:rPr>
                <w:sz w:val="20"/>
                <w:szCs w:val="20"/>
                <w:color w:val="auto"/>
              </w:rPr>
            </w:pPr>
            <w:r>
              <w:rPr>
                <w:rFonts w:ascii="Arial" w:cs="Arial" w:eastAsia="Arial" w:hAnsi="Arial"/>
                <w:sz w:val="16"/>
                <w:szCs w:val="16"/>
                <w:color w:val="auto"/>
              </w:rPr>
              <w:t>66</w:t>
            </w:r>
          </w:p>
        </w:tc>
        <w:tc>
          <w:tcPr>
            <w:tcW w:w="80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E6E6E6"/>
          </w:tcPr>
          <w:p>
            <w:pPr>
              <w:spacing w:after="0"/>
              <w:rPr>
                <w:sz w:val="22"/>
                <w:szCs w:val="22"/>
                <w:color w:val="auto"/>
              </w:rPr>
            </w:pPr>
          </w:p>
        </w:tc>
        <w:tc>
          <w:tcPr>
            <w:tcW w:w="940" w:type="dxa"/>
            <w:vAlign w:val="bottom"/>
            <w:shd w:val="clear" w:color="auto" w:fill="E6E6E6"/>
          </w:tcPr>
          <w:p>
            <w:pPr>
              <w:ind w:left="60"/>
              <w:spacing w:after="0"/>
              <w:rPr>
                <w:sz w:val="20"/>
                <w:szCs w:val="20"/>
                <w:color w:val="auto"/>
              </w:rPr>
            </w:pPr>
            <w:r>
              <w:rPr>
                <w:rFonts w:ascii="Arial" w:cs="Arial" w:eastAsia="Arial" w:hAnsi="Arial"/>
                <w:sz w:val="16"/>
                <w:szCs w:val="16"/>
                <w:color w:val="auto"/>
              </w:rPr>
              <w:t>Solar</w:t>
            </w:r>
          </w:p>
        </w:tc>
        <w:tc>
          <w:tcPr>
            <w:tcW w:w="80" w:type="dxa"/>
            <w:vAlign w:val="bottom"/>
            <w:shd w:val="clear" w:color="auto" w:fill="E6E6E6"/>
          </w:tcPr>
          <w:p>
            <w:pPr>
              <w:spacing w:after="0"/>
              <w:rPr>
                <w:sz w:val="22"/>
                <w:szCs w:val="22"/>
                <w:color w:val="auto"/>
              </w:rPr>
            </w:pPr>
          </w:p>
        </w:tc>
        <w:tc>
          <w:tcPr>
            <w:tcW w:w="1260" w:type="dxa"/>
            <w:vAlign w:val="bottom"/>
            <w:gridSpan w:val="2"/>
            <w:shd w:val="clear" w:color="auto" w:fill="E6E6E6"/>
          </w:tcPr>
          <w:p>
            <w:pPr>
              <w:ind w:left="60"/>
              <w:spacing w:after="0"/>
              <w:rPr>
                <w:sz w:val="20"/>
                <w:szCs w:val="20"/>
                <w:color w:val="auto"/>
              </w:rPr>
            </w:pPr>
            <w:r>
              <w:rPr>
                <w:rFonts w:ascii="Arial" w:cs="Arial" w:eastAsia="Arial" w:hAnsi="Arial"/>
                <w:sz w:val="16"/>
                <w:szCs w:val="16"/>
                <w:color w:val="auto"/>
              </w:rPr>
              <w:t>January 2013</w:t>
            </w:r>
          </w:p>
        </w:tc>
        <w:tc>
          <w:tcPr>
            <w:tcW w:w="1640" w:type="dxa"/>
            <w:vAlign w:val="bottom"/>
            <w:shd w:val="clear" w:color="auto" w:fill="E6E6E6"/>
          </w:tcPr>
          <w:p>
            <w:pPr>
              <w:ind w:left="60"/>
              <w:spacing w:after="0"/>
              <w:rPr>
                <w:sz w:val="20"/>
                <w:szCs w:val="20"/>
                <w:color w:val="auto"/>
              </w:rPr>
            </w:pPr>
            <w:r>
              <w:rPr>
                <w:rFonts w:ascii="Arial" w:cs="Arial" w:eastAsia="Arial" w:hAnsi="Arial"/>
                <w:sz w:val="16"/>
                <w:szCs w:val="16"/>
                <w:color w:val="auto"/>
              </w:rPr>
              <w:t>PG&amp;E</w:t>
            </w:r>
          </w:p>
        </w:tc>
        <w:tc>
          <w:tcPr>
            <w:tcW w:w="102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2033</w:t>
            </w:r>
          </w:p>
        </w:tc>
        <w:tc>
          <w:tcPr>
            <w:tcW w:w="0" w:type="dxa"/>
            <w:vAlign w:val="bottom"/>
          </w:tcPr>
          <w:p>
            <w:pPr>
              <w:spacing w:after="0"/>
              <w:rPr>
                <w:sz w:val="1"/>
                <w:szCs w:val="1"/>
                <w:color w:val="auto"/>
              </w:rPr>
            </w:pPr>
          </w:p>
        </w:tc>
      </w:tr>
      <w:tr>
        <w:trPr>
          <w:trHeight w:val="246"/>
        </w:trPr>
        <w:tc>
          <w:tcPr>
            <w:tcW w:w="1640" w:type="dxa"/>
            <w:vAlign w:val="bottom"/>
          </w:tcPr>
          <w:p>
            <w:pPr>
              <w:ind w:left="40"/>
              <w:spacing w:after="0"/>
              <w:rPr>
                <w:sz w:val="20"/>
                <w:szCs w:val="20"/>
                <w:color w:val="auto"/>
              </w:rPr>
            </w:pPr>
            <w:r>
              <w:rPr>
                <w:rFonts w:ascii="Arial" w:cs="Arial" w:eastAsia="Arial" w:hAnsi="Arial"/>
                <w:sz w:val="16"/>
                <w:szCs w:val="16"/>
                <w:color w:val="auto"/>
              </w:rPr>
              <w:t>Avenal</w:t>
            </w:r>
          </w:p>
        </w:tc>
        <w:tc>
          <w:tcPr>
            <w:tcW w:w="80" w:type="dxa"/>
            <w:vAlign w:val="bottom"/>
          </w:tcPr>
          <w:p>
            <w:pPr>
              <w:spacing w:after="0"/>
              <w:rPr>
                <w:sz w:val="21"/>
                <w:szCs w:val="21"/>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color w:val="auto"/>
              </w:rPr>
              <w:t>Avenal, CA</w:t>
            </w:r>
          </w:p>
        </w:tc>
        <w:tc>
          <w:tcPr>
            <w:tcW w:w="620" w:type="dxa"/>
            <w:vAlign w:val="bottom"/>
          </w:tcPr>
          <w:p>
            <w:pPr>
              <w:jc w:val="right"/>
              <w:spacing w:after="0"/>
              <w:rPr>
                <w:sz w:val="20"/>
                <w:szCs w:val="20"/>
                <w:color w:val="auto"/>
              </w:rPr>
            </w:pPr>
            <w:r>
              <w:rPr>
                <w:rFonts w:ascii="Arial" w:cs="Arial" w:eastAsia="Arial" w:hAnsi="Arial"/>
                <w:sz w:val="16"/>
                <w:szCs w:val="16"/>
                <w:color w:val="auto"/>
              </w:rPr>
              <w:t>45</w:t>
            </w: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23</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50 %</w:t>
            </w:r>
          </w:p>
        </w:tc>
        <w:tc>
          <w:tcPr>
            <w:tcW w:w="80" w:type="dxa"/>
            <w:vAlign w:val="bottom"/>
          </w:tcPr>
          <w:p>
            <w:pPr>
              <w:spacing w:after="0"/>
              <w:rPr>
                <w:sz w:val="21"/>
                <w:szCs w:val="21"/>
                <w:color w:val="auto"/>
              </w:rPr>
            </w:pPr>
          </w:p>
        </w:tc>
        <w:tc>
          <w:tcPr>
            <w:tcW w:w="940" w:type="dxa"/>
            <w:vAlign w:val="bottom"/>
          </w:tcPr>
          <w:p>
            <w:pPr>
              <w:ind w:left="60"/>
              <w:spacing w:after="0"/>
              <w:rPr>
                <w:sz w:val="20"/>
                <w:szCs w:val="20"/>
                <w:color w:val="auto"/>
              </w:rPr>
            </w:pPr>
            <w:r>
              <w:rPr>
                <w:rFonts w:ascii="Arial" w:cs="Arial" w:eastAsia="Arial" w:hAnsi="Arial"/>
                <w:sz w:val="16"/>
                <w:szCs w:val="16"/>
                <w:color w:val="auto"/>
              </w:rPr>
              <w:t>Solar</w:t>
            </w:r>
          </w:p>
        </w:tc>
        <w:tc>
          <w:tcPr>
            <w:tcW w:w="80" w:type="dxa"/>
            <w:vAlign w:val="bottom"/>
          </w:tcPr>
          <w:p>
            <w:pPr>
              <w:spacing w:after="0"/>
              <w:rPr>
                <w:sz w:val="21"/>
                <w:szCs w:val="21"/>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August 2011</w:t>
            </w:r>
          </w:p>
        </w:tc>
        <w:tc>
          <w:tcPr>
            <w:tcW w:w="1640" w:type="dxa"/>
            <w:vAlign w:val="bottom"/>
          </w:tcPr>
          <w:p>
            <w:pPr>
              <w:ind w:left="60"/>
              <w:spacing w:after="0"/>
              <w:rPr>
                <w:sz w:val="20"/>
                <w:szCs w:val="20"/>
                <w:color w:val="auto"/>
              </w:rPr>
            </w:pPr>
            <w:r>
              <w:rPr>
                <w:rFonts w:ascii="Arial" w:cs="Arial" w:eastAsia="Arial" w:hAnsi="Arial"/>
                <w:sz w:val="16"/>
                <w:szCs w:val="16"/>
                <w:color w:val="auto"/>
              </w:rPr>
              <w:t>PG&amp;E</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2031</w:t>
            </w:r>
          </w:p>
        </w:tc>
        <w:tc>
          <w:tcPr>
            <w:tcW w:w="0" w:type="dxa"/>
            <w:vAlign w:val="bottom"/>
          </w:tcPr>
          <w:p>
            <w:pPr>
              <w:spacing w:after="0"/>
              <w:rPr>
                <w:sz w:val="1"/>
                <w:szCs w:val="1"/>
                <w:color w:val="auto"/>
              </w:rPr>
            </w:pPr>
          </w:p>
        </w:tc>
      </w:tr>
      <w:tr>
        <w:trPr>
          <w:trHeight w:val="262"/>
        </w:trPr>
        <w:tc>
          <w:tcPr>
            <w:tcW w:w="1640" w:type="dxa"/>
            <w:vAlign w:val="bottom"/>
            <w:shd w:val="clear" w:color="auto" w:fill="E6E6E6"/>
          </w:tcPr>
          <w:p>
            <w:pPr>
              <w:ind w:left="40"/>
              <w:spacing w:after="0"/>
              <w:rPr>
                <w:sz w:val="20"/>
                <w:szCs w:val="20"/>
                <w:color w:val="auto"/>
              </w:rPr>
            </w:pPr>
            <w:r>
              <w:rPr>
                <w:rFonts w:ascii="Arial" w:cs="Arial" w:eastAsia="Arial" w:hAnsi="Arial"/>
                <w:sz w:val="16"/>
                <w:szCs w:val="16"/>
                <w:color w:val="auto"/>
              </w:rPr>
              <w:t>Avra Valley</w:t>
            </w:r>
          </w:p>
        </w:tc>
        <w:tc>
          <w:tcPr>
            <w:tcW w:w="80" w:type="dxa"/>
            <w:vAlign w:val="bottom"/>
            <w:shd w:val="clear" w:color="auto" w:fill="E6E6E6"/>
          </w:tcPr>
          <w:p>
            <w:pPr>
              <w:spacing w:after="0"/>
              <w:rPr>
                <w:sz w:val="22"/>
                <w:szCs w:val="22"/>
                <w:color w:val="auto"/>
              </w:rPr>
            </w:pPr>
          </w:p>
        </w:tc>
        <w:tc>
          <w:tcPr>
            <w:tcW w:w="1300" w:type="dxa"/>
            <w:vAlign w:val="bottom"/>
            <w:gridSpan w:val="2"/>
            <w:shd w:val="clear" w:color="auto" w:fill="E6E6E6"/>
          </w:tcPr>
          <w:p>
            <w:pPr>
              <w:ind w:left="40"/>
              <w:spacing w:after="0"/>
              <w:rPr>
                <w:sz w:val="20"/>
                <w:szCs w:val="20"/>
                <w:color w:val="auto"/>
              </w:rPr>
            </w:pPr>
            <w:r>
              <w:rPr>
                <w:rFonts w:ascii="Arial" w:cs="Arial" w:eastAsia="Arial" w:hAnsi="Arial"/>
                <w:sz w:val="16"/>
                <w:szCs w:val="16"/>
                <w:color w:val="auto"/>
              </w:rPr>
              <w:t>Pima County, AZ</w:t>
            </w:r>
          </w:p>
        </w:tc>
        <w:tc>
          <w:tcPr>
            <w:tcW w:w="6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27</w:t>
            </w:r>
          </w:p>
        </w:tc>
        <w:tc>
          <w:tcPr>
            <w:tcW w:w="740" w:type="dxa"/>
            <w:vAlign w:val="bottom"/>
            <w:gridSpan w:val="3"/>
            <w:shd w:val="clear" w:color="auto" w:fill="E6E6E6"/>
          </w:tcPr>
          <w:p>
            <w:pPr>
              <w:jc w:val="right"/>
              <w:spacing w:after="0"/>
              <w:rPr>
                <w:sz w:val="20"/>
                <w:szCs w:val="20"/>
                <w:color w:val="auto"/>
              </w:rPr>
            </w:pPr>
            <w:r>
              <w:rPr>
                <w:rFonts w:ascii="Arial" w:cs="Arial" w:eastAsia="Arial" w:hAnsi="Arial"/>
                <w:sz w:val="16"/>
                <w:szCs w:val="16"/>
                <w:color w:val="auto"/>
              </w:rPr>
              <w:t>27</w:t>
            </w:r>
          </w:p>
        </w:tc>
        <w:tc>
          <w:tcPr>
            <w:tcW w:w="80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E6E6E6"/>
          </w:tcPr>
          <w:p>
            <w:pPr>
              <w:spacing w:after="0"/>
              <w:rPr>
                <w:sz w:val="22"/>
                <w:szCs w:val="22"/>
                <w:color w:val="auto"/>
              </w:rPr>
            </w:pPr>
          </w:p>
        </w:tc>
        <w:tc>
          <w:tcPr>
            <w:tcW w:w="940" w:type="dxa"/>
            <w:vAlign w:val="bottom"/>
            <w:shd w:val="clear" w:color="auto" w:fill="E6E6E6"/>
          </w:tcPr>
          <w:p>
            <w:pPr>
              <w:ind w:left="60"/>
              <w:spacing w:after="0"/>
              <w:rPr>
                <w:sz w:val="20"/>
                <w:szCs w:val="20"/>
                <w:color w:val="auto"/>
              </w:rPr>
            </w:pPr>
            <w:r>
              <w:rPr>
                <w:rFonts w:ascii="Arial" w:cs="Arial" w:eastAsia="Arial" w:hAnsi="Arial"/>
                <w:sz w:val="16"/>
                <w:szCs w:val="16"/>
                <w:color w:val="auto"/>
              </w:rPr>
              <w:t>Solar</w:t>
            </w:r>
          </w:p>
        </w:tc>
        <w:tc>
          <w:tcPr>
            <w:tcW w:w="80" w:type="dxa"/>
            <w:vAlign w:val="bottom"/>
            <w:shd w:val="clear" w:color="auto" w:fill="E6E6E6"/>
          </w:tcPr>
          <w:p>
            <w:pPr>
              <w:spacing w:after="0"/>
              <w:rPr>
                <w:sz w:val="22"/>
                <w:szCs w:val="22"/>
                <w:color w:val="auto"/>
              </w:rPr>
            </w:pPr>
          </w:p>
        </w:tc>
        <w:tc>
          <w:tcPr>
            <w:tcW w:w="1260" w:type="dxa"/>
            <w:vAlign w:val="bottom"/>
            <w:gridSpan w:val="2"/>
            <w:shd w:val="clear" w:color="auto" w:fill="E6E6E6"/>
          </w:tcPr>
          <w:p>
            <w:pPr>
              <w:ind w:left="60"/>
              <w:spacing w:after="0"/>
              <w:rPr>
                <w:sz w:val="20"/>
                <w:szCs w:val="20"/>
                <w:color w:val="auto"/>
              </w:rPr>
            </w:pPr>
            <w:r>
              <w:rPr>
                <w:rFonts w:ascii="Arial" w:cs="Arial" w:eastAsia="Arial" w:hAnsi="Arial"/>
                <w:sz w:val="16"/>
                <w:szCs w:val="16"/>
                <w:color w:val="auto"/>
              </w:rPr>
              <w:t>December 2012</w:t>
            </w:r>
          </w:p>
        </w:tc>
        <w:tc>
          <w:tcPr>
            <w:tcW w:w="1640" w:type="dxa"/>
            <w:vAlign w:val="bottom"/>
            <w:shd w:val="clear" w:color="auto" w:fill="E6E6E6"/>
          </w:tcPr>
          <w:p>
            <w:pPr>
              <w:ind w:left="60"/>
              <w:spacing w:after="0"/>
              <w:rPr>
                <w:sz w:val="20"/>
                <w:szCs w:val="20"/>
                <w:color w:val="auto"/>
              </w:rPr>
            </w:pPr>
            <w:r>
              <w:rPr>
                <w:rFonts w:ascii="Arial" w:cs="Arial" w:eastAsia="Arial" w:hAnsi="Arial"/>
                <w:sz w:val="16"/>
                <w:szCs w:val="16"/>
                <w:color w:val="auto"/>
                <w:w w:val="97"/>
              </w:rPr>
              <w:t>Tucson Electric Power</w:t>
            </w:r>
          </w:p>
        </w:tc>
        <w:tc>
          <w:tcPr>
            <w:tcW w:w="102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2032</w:t>
            </w:r>
          </w:p>
        </w:tc>
        <w:tc>
          <w:tcPr>
            <w:tcW w:w="0" w:type="dxa"/>
            <w:vAlign w:val="bottom"/>
          </w:tcPr>
          <w:p>
            <w:pPr>
              <w:spacing w:after="0"/>
              <w:rPr>
                <w:sz w:val="1"/>
                <w:szCs w:val="1"/>
                <w:color w:val="auto"/>
              </w:rPr>
            </w:pPr>
          </w:p>
        </w:tc>
      </w:tr>
      <w:tr>
        <w:trPr>
          <w:trHeight w:val="246"/>
        </w:trPr>
        <w:tc>
          <w:tcPr>
            <w:tcW w:w="1640" w:type="dxa"/>
            <w:vAlign w:val="bottom"/>
          </w:tcPr>
          <w:p>
            <w:pPr>
              <w:ind w:left="40"/>
              <w:spacing w:after="0"/>
              <w:rPr>
                <w:sz w:val="20"/>
                <w:szCs w:val="20"/>
                <w:color w:val="auto"/>
              </w:rPr>
            </w:pPr>
            <w:r>
              <w:rPr>
                <w:rFonts w:ascii="Arial" w:cs="Arial" w:eastAsia="Arial" w:hAnsi="Arial"/>
                <w:sz w:val="16"/>
                <w:szCs w:val="16"/>
                <w:color w:val="auto"/>
              </w:rPr>
              <w:t>Blythe</w:t>
            </w:r>
          </w:p>
        </w:tc>
        <w:tc>
          <w:tcPr>
            <w:tcW w:w="80" w:type="dxa"/>
            <w:vAlign w:val="bottom"/>
          </w:tcPr>
          <w:p>
            <w:pPr>
              <w:spacing w:after="0"/>
              <w:rPr>
                <w:sz w:val="21"/>
                <w:szCs w:val="21"/>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color w:val="auto"/>
              </w:rPr>
              <w:t>Blythe, CA</w:t>
            </w:r>
          </w:p>
        </w:tc>
        <w:tc>
          <w:tcPr>
            <w:tcW w:w="620" w:type="dxa"/>
            <w:vAlign w:val="bottom"/>
          </w:tcPr>
          <w:p>
            <w:pPr>
              <w:jc w:val="right"/>
              <w:spacing w:after="0"/>
              <w:rPr>
                <w:sz w:val="20"/>
                <w:szCs w:val="20"/>
                <w:color w:val="auto"/>
              </w:rPr>
            </w:pPr>
            <w:r>
              <w:rPr>
                <w:rFonts w:ascii="Arial" w:cs="Arial" w:eastAsia="Arial" w:hAnsi="Arial"/>
                <w:sz w:val="16"/>
                <w:szCs w:val="16"/>
                <w:color w:val="auto"/>
              </w:rPr>
              <w:t>21</w:t>
            </w: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21</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21"/>
                <w:szCs w:val="21"/>
                <w:color w:val="auto"/>
              </w:rPr>
            </w:pPr>
          </w:p>
        </w:tc>
        <w:tc>
          <w:tcPr>
            <w:tcW w:w="940" w:type="dxa"/>
            <w:vAlign w:val="bottom"/>
          </w:tcPr>
          <w:p>
            <w:pPr>
              <w:ind w:left="60"/>
              <w:spacing w:after="0"/>
              <w:rPr>
                <w:sz w:val="20"/>
                <w:szCs w:val="20"/>
                <w:color w:val="auto"/>
              </w:rPr>
            </w:pPr>
            <w:r>
              <w:rPr>
                <w:rFonts w:ascii="Arial" w:cs="Arial" w:eastAsia="Arial" w:hAnsi="Arial"/>
                <w:sz w:val="16"/>
                <w:szCs w:val="16"/>
                <w:color w:val="auto"/>
              </w:rPr>
              <w:t>Solar</w:t>
            </w:r>
          </w:p>
        </w:tc>
        <w:tc>
          <w:tcPr>
            <w:tcW w:w="80" w:type="dxa"/>
            <w:vAlign w:val="bottom"/>
          </w:tcPr>
          <w:p>
            <w:pPr>
              <w:spacing w:after="0"/>
              <w:rPr>
                <w:sz w:val="21"/>
                <w:szCs w:val="21"/>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December 2009</w:t>
            </w:r>
          </w:p>
        </w:tc>
        <w:tc>
          <w:tcPr>
            <w:tcW w:w="1640" w:type="dxa"/>
            <w:vAlign w:val="bottom"/>
          </w:tcPr>
          <w:p>
            <w:pPr>
              <w:ind w:left="60"/>
              <w:spacing w:after="0"/>
              <w:rPr>
                <w:sz w:val="20"/>
                <w:szCs w:val="20"/>
                <w:color w:val="auto"/>
              </w:rPr>
            </w:pPr>
            <w:r>
              <w:rPr>
                <w:rFonts w:ascii="Arial" w:cs="Arial" w:eastAsia="Arial" w:hAnsi="Arial"/>
                <w:sz w:val="16"/>
                <w:szCs w:val="16"/>
                <w:color w:val="auto"/>
              </w:rPr>
              <w:t>SCE</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2029</w:t>
            </w:r>
          </w:p>
        </w:tc>
        <w:tc>
          <w:tcPr>
            <w:tcW w:w="0" w:type="dxa"/>
            <w:vAlign w:val="bottom"/>
          </w:tcPr>
          <w:p>
            <w:pPr>
              <w:spacing w:after="0"/>
              <w:rPr>
                <w:sz w:val="1"/>
                <w:szCs w:val="1"/>
                <w:color w:val="auto"/>
              </w:rPr>
            </w:pPr>
          </w:p>
        </w:tc>
      </w:tr>
      <w:tr>
        <w:trPr>
          <w:trHeight w:val="203"/>
        </w:trPr>
        <w:tc>
          <w:tcPr>
            <w:tcW w:w="1640" w:type="dxa"/>
            <w:vAlign w:val="bottom"/>
            <w:vMerge w:val="restart"/>
            <w:shd w:val="clear" w:color="auto" w:fill="E6E6E6"/>
          </w:tcPr>
          <w:p>
            <w:pPr>
              <w:ind w:left="40"/>
              <w:spacing w:after="0"/>
              <w:rPr>
                <w:sz w:val="20"/>
                <w:szCs w:val="20"/>
                <w:color w:val="auto"/>
              </w:rPr>
            </w:pPr>
            <w:r>
              <w:rPr>
                <w:rFonts w:ascii="Arial" w:cs="Arial" w:eastAsia="Arial" w:hAnsi="Arial"/>
                <w:sz w:val="16"/>
                <w:szCs w:val="16"/>
                <w:color w:val="auto"/>
              </w:rPr>
              <w:t>Borrego</w:t>
            </w:r>
          </w:p>
        </w:tc>
        <w:tc>
          <w:tcPr>
            <w:tcW w:w="80" w:type="dxa"/>
            <w:vAlign w:val="bottom"/>
            <w:shd w:val="clear" w:color="auto" w:fill="E6E6E6"/>
          </w:tcPr>
          <w:p>
            <w:pPr>
              <w:spacing w:after="0"/>
              <w:rPr>
                <w:sz w:val="17"/>
                <w:szCs w:val="17"/>
                <w:color w:val="auto"/>
              </w:rPr>
            </w:pPr>
          </w:p>
        </w:tc>
        <w:tc>
          <w:tcPr>
            <w:tcW w:w="1300" w:type="dxa"/>
            <w:vAlign w:val="bottom"/>
            <w:gridSpan w:val="2"/>
            <w:shd w:val="clear" w:color="auto" w:fill="E6E6E6"/>
          </w:tcPr>
          <w:p>
            <w:pPr>
              <w:ind w:left="40"/>
              <w:spacing w:after="0"/>
              <w:rPr>
                <w:sz w:val="20"/>
                <w:szCs w:val="20"/>
                <w:color w:val="auto"/>
              </w:rPr>
            </w:pPr>
            <w:r>
              <w:rPr>
                <w:rFonts w:ascii="Arial" w:cs="Arial" w:eastAsia="Arial" w:hAnsi="Arial"/>
                <w:sz w:val="16"/>
                <w:szCs w:val="16"/>
                <w:color w:val="auto"/>
              </w:rPr>
              <w:t>Borrego Springs,</w:t>
            </w:r>
          </w:p>
        </w:tc>
        <w:tc>
          <w:tcPr>
            <w:tcW w:w="62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26</w:t>
            </w:r>
          </w:p>
        </w:tc>
        <w:tc>
          <w:tcPr>
            <w:tcW w:w="740" w:type="dxa"/>
            <w:vAlign w:val="bottom"/>
            <w:gridSpan w:val="3"/>
            <w:vMerge w:val="restart"/>
            <w:shd w:val="clear" w:color="auto" w:fill="E6E6E6"/>
          </w:tcPr>
          <w:p>
            <w:pPr>
              <w:jc w:val="right"/>
              <w:spacing w:after="0"/>
              <w:rPr>
                <w:sz w:val="20"/>
                <w:szCs w:val="20"/>
                <w:color w:val="auto"/>
              </w:rPr>
            </w:pPr>
            <w:r>
              <w:rPr>
                <w:rFonts w:ascii="Arial" w:cs="Arial" w:eastAsia="Arial" w:hAnsi="Arial"/>
                <w:sz w:val="16"/>
                <w:szCs w:val="16"/>
                <w:color w:val="auto"/>
              </w:rPr>
              <w:t>26</w:t>
            </w:r>
          </w:p>
        </w:tc>
        <w:tc>
          <w:tcPr>
            <w:tcW w:w="800" w:type="dxa"/>
            <w:vAlign w:val="bottom"/>
            <w:gridSpan w:val="2"/>
            <w:vMerge w:val="restart"/>
            <w:shd w:val="clear" w:color="auto" w:fill="E6E6E6"/>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E6E6E6"/>
          </w:tcPr>
          <w:p>
            <w:pPr>
              <w:spacing w:after="0"/>
              <w:rPr>
                <w:sz w:val="17"/>
                <w:szCs w:val="17"/>
                <w:color w:val="auto"/>
              </w:rPr>
            </w:pPr>
          </w:p>
        </w:tc>
        <w:tc>
          <w:tcPr>
            <w:tcW w:w="940" w:type="dxa"/>
            <w:vAlign w:val="bottom"/>
            <w:vMerge w:val="restart"/>
            <w:shd w:val="clear" w:color="auto" w:fill="E6E6E6"/>
          </w:tcPr>
          <w:p>
            <w:pPr>
              <w:ind w:left="60"/>
              <w:spacing w:after="0"/>
              <w:rPr>
                <w:sz w:val="20"/>
                <w:szCs w:val="20"/>
                <w:color w:val="auto"/>
              </w:rPr>
            </w:pPr>
            <w:r>
              <w:rPr>
                <w:rFonts w:ascii="Arial" w:cs="Arial" w:eastAsia="Arial" w:hAnsi="Arial"/>
                <w:sz w:val="16"/>
                <w:szCs w:val="16"/>
                <w:color w:val="auto"/>
              </w:rPr>
              <w:t>Solar</w:t>
            </w:r>
          </w:p>
        </w:tc>
        <w:tc>
          <w:tcPr>
            <w:tcW w:w="80" w:type="dxa"/>
            <w:vAlign w:val="bottom"/>
            <w:shd w:val="clear" w:color="auto" w:fill="E6E6E6"/>
          </w:tcPr>
          <w:p>
            <w:pPr>
              <w:spacing w:after="0"/>
              <w:rPr>
                <w:sz w:val="17"/>
                <w:szCs w:val="17"/>
                <w:color w:val="auto"/>
              </w:rPr>
            </w:pPr>
          </w:p>
        </w:tc>
        <w:tc>
          <w:tcPr>
            <w:tcW w:w="1260" w:type="dxa"/>
            <w:vAlign w:val="bottom"/>
            <w:gridSpan w:val="2"/>
            <w:vMerge w:val="restart"/>
            <w:shd w:val="clear" w:color="auto" w:fill="E6E6E6"/>
          </w:tcPr>
          <w:p>
            <w:pPr>
              <w:ind w:left="60"/>
              <w:spacing w:after="0"/>
              <w:rPr>
                <w:sz w:val="20"/>
                <w:szCs w:val="20"/>
                <w:color w:val="auto"/>
              </w:rPr>
            </w:pPr>
            <w:r>
              <w:rPr>
                <w:rFonts w:ascii="Arial" w:cs="Arial" w:eastAsia="Arial" w:hAnsi="Arial"/>
                <w:sz w:val="16"/>
                <w:szCs w:val="16"/>
                <w:color w:val="auto"/>
              </w:rPr>
              <w:t>February 2013</w:t>
            </w:r>
          </w:p>
        </w:tc>
        <w:tc>
          <w:tcPr>
            <w:tcW w:w="1640" w:type="dxa"/>
            <w:vAlign w:val="bottom"/>
            <w:shd w:val="clear" w:color="auto" w:fill="E6E6E6"/>
          </w:tcPr>
          <w:p>
            <w:pPr>
              <w:ind w:left="60"/>
              <w:spacing w:after="0"/>
              <w:rPr>
                <w:sz w:val="20"/>
                <w:szCs w:val="20"/>
                <w:color w:val="auto"/>
              </w:rPr>
            </w:pPr>
            <w:r>
              <w:rPr>
                <w:rFonts w:ascii="Arial" w:cs="Arial" w:eastAsia="Arial" w:hAnsi="Arial"/>
                <w:sz w:val="16"/>
                <w:szCs w:val="16"/>
                <w:color w:val="auto"/>
              </w:rPr>
              <w:t>San Diego Gas and</w:t>
            </w:r>
          </w:p>
        </w:tc>
        <w:tc>
          <w:tcPr>
            <w:tcW w:w="1020" w:type="dxa"/>
            <w:vAlign w:val="bottom"/>
            <w:gridSpan w:val="2"/>
            <w:vMerge w:val="restart"/>
            <w:shd w:val="clear" w:color="auto" w:fill="E6E6E6"/>
          </w:tcPr>
          <w:p>
            <w:pPr>
              <w:jc w:val="right"/>
              <w:spacing w:after="0"/>
              <w:rPr>
                <w:sz w:val="20"/>
                <w:szCs w:val="20"/>
                <w:color w:val="auto"/>
              </w:rPr>
            </w:pPr>
            <w:r>
              <w:rPr>
                <w:rFonts w:ascii="Arial" w:cs="Arial" w:eastAsia="Arial" w:hAnsi="Arial"/>
                <w:sz w:val="16"/>
                <w:szCs w:val="16"/>
                <w:color w:val="auto"/>
              </w:rPr>
              <w:t>2038</w:t>
            </w:r>
          </w:p>
        </w:tc>
        <w:tc>
          <w:tcPr>
            <w:tcW w:w="0" w:type="dxa"/>
            <w:vAlign w:val="bottom"/>
          </w:tcPr>
          <w:p>
            <w:pPr>
              <w:spacing w:after="0"/>
              <w:rPr>
                <w:sz w:val="1"/>
                <w:szCs w:val="1"/>
                <w:color w:val="auto"/>
              </w:rPr>
            </w:pPr>
          </w:p>
        </w:tc>
      </w:tr>
      <w:tr>
        <w:trPr>
          <w:trHeight w:val="223"/>
        </w:trPr>
        <w:tc>
          <w:tcPr>
            <w:tcW w:w="1640" w:type="dxa"/>
            <w:vAlign w:val="bottom"/>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300" w:type="dxa"/>
            <w:vAlign w:val="bottom"/>
            <w:gridSpan w:val="2"/>
            <w:shd w:val="clear" w:color="auto" w:fill="E6E6E6"/>
          </w:tcPr>
          <w:p>
            <w:pPr>
              <w:ind w:left="40"/>
              <w:spacing w:after="0"/>
              <w:rPr>
                <w:sz w:val="20"/>
                <w:szCs w:val="20"/>
                <w:color w:val="auto"/>
              </w:rPr>
            </w:pPr>
            <w:r>
              <w:rPr>
                <w:rFonts w:ascii="Arial" w:cs="Arial" w:eastAsia="Arial" w:hAnsi="Arial"/>
                <w:sz w:val="16"/>
                <w:szCs w:val="16"/>
                <w:color w:val="auto"/>
              </w:rPr>
              <w:t>CA</w:t>
            </w:r>
          </w:p>
        </w:tc>
        <w:tc>
          <w:tcPr>
            <w:tcW w:w="620" w:type="dxa"/>
            <w:vAlign w:val="bottom"/>
            <w:vMerge w:val="continue"/>
            <w:shd w:val="clear" w:color="auto" w:fill="E6E6E6"/>
          </w:tcPr>
          <w:p>
            <w:pPr>
              <w:spacing w:after="0"/>
              <w:rPr>
                <w:sz w:val="19"/>
                <w:szCs w:val="19"/>
                <w:color w:val="auto"/>
              </w:rPr>
            </w:pPr>
          </w:p>
        </w:tc>
        <w:tc>
          <w:tcPr>
            <w:tcW w:w="740" w:type="dxa"/>
            <w:vAlign w:val="bottom"/>
            <w:gridSpan w:val="3"/>
            <w:vMerge w:val="continue"/>
            <w:shd w:val="clear" w:color="auto" w:fill="E6E6E6"/>
          </w:tcPr>
          <w:p>
            <w:pPr>
              <w:spacing w:after="0"/>
              <w:rPr>
                <w:sz w:val="19"/>
                <w:szCs w:val="19"/>
                <w:color w:val="auto"/>
              </w:rPr>
            </w:pPr>
          </w:p>
        </w:tc>
        <w:tc>
          <w:tcPr>
            <w:tcW w:w="800" w:type="dxa"/>
            <w:vAlign w:val="bottom"/>
            <w:gridSpan w:val="2"/>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940" w:type="dxa"/>
            <w:vAlign w:val="bottom"/>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260" w:type="dxa"/>
            <w:vAlign w:val="bottom"/>
            <w:gridSpan w:val="2"/>
            <w:vMerge w:val="continue"/>
            <w:shd w:val="clear" w:color="auto" w:fill="E6E6E6"/>
          </w:tcPr>
          <w:p>
            <w:pPr>
              <w:spacing w:after="0"/>
              <w:rPr>
                <w:sz w:val="19"/>
                <w:szCs w:val="19"/>
                <w:color w:val="auto"/>
              </w:rPr>
            </w:pPr>
          </w:p>
        </w:tc>
        <w:tc>
          <w:tcPr>
            <w:tcW w:w="1640" w:type="dxa"/>
            <w:vAlign w:val="bottom"/>
            <w:shd w:val="clear" w:color="auto" w:fill="E6E6E6"/>
          </w:tcPr>
          <w:p>
            <w:pPr>
              <w:ind w:left="60"/>
              <w:spacing w:after="0"/>
              <w:rPr>
                <w:sz w:val="20"/>
                <w:szCs w:val="20"/>
                <w:color w:val="auto"/>
              </w:rPr>
            </w:pPr>
            <w:r>
              <w:rPr>
                <w:rFonts w:ascii="Arial" w:cs="Arial" w:eastAsia="Arial" w:hAnsi="Arial"/>
                <w:sz w:val="16"/>
                <w:szCs w:val="16"/>
                <w:color w:val="auto"/>
              </w:rPr>
              <w:t>Electric</w:t>
            </w:r>
          </w:p>
        </w:tc>
        <w:tc>
          <w:tcPr>
            <w:tcW w:w="1020" w:type="dxa"/>
            <w:vAlign w:val="bottom"/>
            <w:gridSpan w:val="2"/>
            <w:vMerge w:val="continue"/>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640" w:type="dxa"/>
            <w:vAlign w:val="bottom"/>
            <w:vMerge w:val="restart"/>
          </w:tcPr>
          <w:p>
            <w:pPr>
              <w:ind w:left="40"/>
              <w:spacing w:after="0"/>
              <w:rPr>
                <w:sz w:val="20"/>
                <w:szCs w:val="20"/>
                <w:color w:val="auto"/>
              </w:rPr>
            </w:pPr>
            <w:r>
              <w:rPr>
                <w:rFonts w:ascii="Arial" w:cs="Arial" w:eastAsia="Arial" w:hAnsi="Arial"/>
                <w:sz w:val="16"/>
                <w:szCs w:val="16"/>
                <w:color w:val="auto"/>
              </w:rPr>
              <w:t xml:space="preserve">Buckthorn Solar </w:t>
            </w:r>
            <w:r>
              <w:rPr>
                <w:rFonts w:ascii="Arial" w:cs="Arial" w:eastAsia="Arial" w:hAnsi="Arial"/>
                <w:sz w:val="20"/>
                <w:szCs w:val="20"/>
                <w:color w:val="auto"/>
                <w:vertAlign w:val="superscript"/>
              </w:rPr>
              <w:t>(b)</w:t>
            </w:r>
          </w:p>
        </w:tc>
        <w:tc>
          <w:tcPr>
            <w:tcW w:w="8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color w:val="auto"/>
              </w:rPr>
              <w:t>Fort Stockton,</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150</w:t>
            </w:r>
          </w:p>
        </w:tc>
        <w:tc>
          <w:tcPr>
            <w:tcW w:w="740" w:type="dxa"/>
            <w:vAlign w:val="bottom"/>
            <w:gridSpan w:val="3"/>
            <w:vMerge w:val="restart"/>
          </w:tcPr>
          <w:p>
            <w:pPr>
              <w:jc w:val="right"/>
              <w:spacing w:after="0"/>
              <w:rPr>
                <w:sz w:val="20"/>
                <w:szCs w:val="20"/>
                <w:color w:val="auto"/>
              </w:rPr>
            </w:pPr>
            <w:r>
              <w:rPr>
                <w:rFonts w:ascii="Arial" w:cs="Arial" w:eastAsia="Arial" w:hAnsi="Arial"/>
                <w:sz w:val="16"/>
                <w:szCs w:val="16"/>
                <w:color w:val="auto"/>
              </w:rPr>
              <w:t>150</w:t>
            </w:r>
          </w:p>
        </w:tc>
        <w:tc>
          <w:tcPr>
            <w:tcW w:w="800" w:type="dxa"/>
            <w:vAlign w:val="bottom"/>
            <w:gridSpan w:val="2"/>
            <w:vMerge w:val="restart"/>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16"/>
                <w:szCs w:val="16"/>
                <w:color w:val="auto"/>
              </w:rPr>
            </w:pPr>
          </w:p>
        </w:tc>
        <w:tc>
          <w:tcPr>
            <w:tcW w:w="940" w:type="dxa"/>
            <w:vAlign w:val="bottom"/>
            <w:vMerge w:val="restart"/>
          </w:tcPr>
          <w:p>
            <w:pPr>
              <w:ind w:left="60"/>
              <w:spacing w:after="0"/>
              <w:rPr>
                <w:sz w:val="20"/>
                <w:szCs w:val="20"/>
                <w:color w:val="auto"/>
              </w:rPr>
            </w:pPr>
            <w:r>
              <w:rPr>
                <w:rFonts w:ascii="Arial" w:cs="Arial" w:eastAsia="Arial" w:hAnsi="Arial"/>
                <w:sz w:val="16"/>
                <w:szCs w:val="16"/>
                <w:color w:val="auto"/>
              </w:rPr>
              <w:t>Solar</w:t>
            </w:r>
          </w:p>
        </w:tc>
        <w:tc>
          <w:tcPr>
            <w:tcW w:w="80" w:type="dxa"/>
            <w:vAlign w:val="bottom"/>
          </w:tcPr>
          <w:p>
            <w:pPr>
              <w:spacing w:after="0"/>
              <w:rPr>
                <w:sz w:val="16"/>
                <w:szCs w:val="16"/>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6"/>
                <w:szCs w:val="16"/>
                <w:color w:val="auto"/>
              </w:rPr>
              <w:t>July 2018</w:t>
            </w:r>
          </w:p>
        </w:tc>
        <w:tc>
          <w:tcPr>
            <w:tcW w:w="1640" w:type="dxa"/>
            <w:vAlign w:val="bottom"/>
          </w:tcPr>
          <w:p>
            <w:pPr>
              <w:ind w:left="60"/>
              <w:spacing w:after="0"/>
              <w:rPr>
                <w:sz w:val="20"/>
                <w:szCs w:val="20"/>
                <w:color w:val="auto"/>
              </w:rPr>
            </w:pPr>
            <w:r>
              <w:rPr>
                <w:rFonts w:ascii="Arial" w:cs="Arial" w:eastAsia="Arial" w:hAnsi="Arial"/>
                <w:sz w:val="16"/>
                <w:szCs w:val="16"/>
                <w:color w:val="auto"/>
              </w:rPr>
              <w:t>City of Georgetown,</w:t>
            </w: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color w:val="auto"/>
              </w:rPr>
              <w:t>2043</w:t>
            </w:r>
          </w:p>
        </w:tc>
        <w:tc>
          <w:tcPr>
            <w:tcW w:w="0" w:type="dxa"/>
            <w:vAlign w:val="bottom"/>
          </w:tcPr>
          <w:p>
            <w:pPr>
              <w:spacing w:after="0"/>
              <w:rPr>
                <w:sz w:val="1"/>
                <w:szCs w:val="1"/>
                <w:color w:val="auto"/>
              </w:rPr>
            </w:pPr>
          </w:p>
        </w:tc>
      </w:tr>
      <w:tr>
        <w:trPr>
          <w:trHeight w:val="223"/>
        </w:trPr>
        <w:tc>
          <w:tcPr>
            <w:tcW w:w="1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color w:val="auto"/>
              </w:rPr>
              <w:t>TX</w:t>
            </w:r>
          </w:p>
        </w:tc>
        <w:tc>
          <w:tcPr>
            <w:tcW w:w="620" w:type="dxa"/>
            <w:vAlign w:val="bottom"/>
            <w:vMerge w:val="continue"/>
          </w:tcPr>
          <w:p>
            <w:pPr>
              <w:spacing w:after="0"/>
              <w:rPr>
                <w:sz w:val="19"/>
                <w:szCs w:val="19"/>
                <w:color w:val="auto"/>
              </w:rPr>
            </w:pPr>
          </w:p>
        </w:tc>
        <w:tc>
          <w:tcPr>
            <w:tcW w:w="740" w:type="dxa"/>
            <w:vAlign w:val="bottom"/>
            <w:gridSpan w:val="3"/>
            <w:vMerge w:val="continue"/>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640" w:type="dxa"/>
            <w:vAlign w:val="bottom"/>
          </w:tcPr>
          <w:p>
            <w:pPr>
              <w:ind w:left="60"/>
              <w:spacing w:after="0"/>
              <w:rPr>
                <w:sz w:val="20"/>
                <w:szCs w:val="20"/>
                <w:color w:val="auto"/>
              </w:rPr>
            </w:pPr>
            <w:r>
              <w:rPr>
                <w:rFonts w:ascii="Arial" w:cs="Arial" w:eastAsia="Arial" w:hAnsi="Arial"/>
                <w:sz w:val="16"/>
                <w:szCs w:val="16"/>
                <w:color w:val="auto"/>
              </w:rPr>
              <w:t>TX</w:t>
            </w:r>
          </w:p>
        </w:tc>
        <w:tc>
          <w:tcPr>
            <w:tcW w:w="10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640" w:type="dxa"/>
            <w:vAlign w:val="bottom"/>
            <w:vMerge w:val="restart"/>
            <w:shd w:val="clear" w:color="auto" w:fill="E6E6E6"/>
          </w:tcPr>
          <w:p>
            <w:pPr>
              <w:ind w:left="40"/>
              <w:spacing w:after="0"/>
              <w:rPr>
                <w:sz w:val="20"/>
                <w:szCs w:val="20"/>
                <w:color w:val="auto"/>
              </w:rPr>
            </w:pPr>
            <w:r>
              <w:rPr>
                <w:rFonts w:ascii="Arial" w:cs="Arial" w:eastAsia="Arial" w:hAnsi="Arial"/>
                <w:sz w:val="16"/>
                <w:szCs w:val="16"/>
                <w:color w:val="auto"/>
              </w:rPr>
              <w:t>CVSR</w:t>
            </w:r>
          </w:p>
        </w:tc>
        <w:tc>
          <w:tcPr>
            <w:tcW w:w="80" w:type="dxa"/>
            <w:vAlign w:val="bottom"/>
            <w:shd w:val="clear" w:color="auto" w:fill="E6E6E6"/>
          </w:tcPr>
          <w:p>
            <w:pPr>
              <w:spacing w:after="0"/>
              <w:rPr>
                <w:sz w:val="16"/>
                <w:szCs w:val="16"/>
                <w:color w:val="auto"/>
              </w:rPr>
            </w:pPr>
          </w:p>
        </w:tc>
        <w:tc>
          <w:tcPr>
            <w:tcW w:w="1300" w:type="dxa"/>
            <w:vAlign w:val="bottom"/>
            <w:gridSpan w:val="2"/>
            <w:shd w:val="clear" w:color="auto" w:fill="E6E6E6"/>
          </w:tcPr>
          <w:p>
            <w:pPr>
              <w:ind w:left="40"/>
              <w:spacing w:after="0"/>
              <w:rPr>
                <w:sz w:val="20"/>
                <w:szCs w:val="20"/>
                <w:color w:val="auto"/>
              </w:rPr>
            </w:pPr>
            <w:r>
              <w:rPr>
                <w:rFonts w:ascii="Arial" w:cs="Arial" w:eastAsia="Arial" w:hAnsi="Arial"/>
                <w:sz w:val="16"/>
                <w:szCs w:val="16"/>
                <w:color w:val="auto"/>
              </w:rPr>
              <w:t>San Luis Obispo,</w:t>
            </w:r>
          </w:p>
        </w:tc>
        <w:tc>
          <w:tcPr>
            <w:tcW w:w="62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250</w:t>
            </w:r>
          </w:p>
        </w:tc>
        <w:tc>
          <w:tcPr>
            <w:tcW w:w="740" w:type="dxa"/>
            <w:vAlign w:val="bottom"/>
            <w:gridSpan w:val="3"/>
            <w:vMerge w:val="restart"/>
            <w:shd w:val="clear" w:color="auto" w:fill="E6E6E6"/>
          </w:tcPr>
          <w:p>
            <w:pPr>
              <w:jc w:val="right"/>
              <w:spacing w:after="0"/>
              <w:rPr>
                <w:sz w:val="20"/>
                <w:szCs w:val="20"/>
                <w:color w:val="auto"/>
              </w:rPr>
            </w:pPr>
            <w:r>
              <w:rPr>
                <w:rFonts w:ascii="Arial" w:cs="Arial" w:eastAsia="Arial" w:hAnsi="Arial"/>
                <w:sz w:val="16"/>
                <w:szCs w:val="16"/>
                <w:color w:val="auto"/>
              </w:rPr>
              <w:t>250</w:t>
            </w:r>
          </w:p>
        </w:tc>
        <w:tc>
          <w:tcPr>
            <w:tcW w:w="800" w:type="dxa"/>
            <w:vAlign w:val="bottom"/>
            <w:gridSpan w:val="2"/>
            <w:vMerge w:val="restart"/>
            <w:shd w:val="clear" w:color="auto" w:fill="E6E6E6"/>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E6E6E6"/>
          </w:tcPr>
          <w:p>
            <w:pPr>
              <w:spacing w:after="0"/>
              <w:rPr>
                <w:sz w:val="16"/>
                <w:szCs w:val="16"/>
                <w:color w:val="auto"/>
              </w:rPr>
            </w:pPr>
          </w:p>
        </w:tc>
        <w:tc>
          <w:tcPr>
            <w:tcW w:w="940" w:type="dxa"/>
            <w:vAlign w:val="bottom"/>
            <w:vMerge w:val="restart"/>
            <w:shd w:val="clear" w:color="auto" w:fill="E6E6E6"/>
          </w:tcPr>
          <w:p>
            <w:pPr>
              <w:ind w:left="60"/>
              <w:spacing w:after="0"/>
              <w:rPr>
                <w:sz w:val="20"/>
                <w:szCs w:val="20"/>
                <w:color w:val="auto"/>
              </w:rPr>
            </w:pPr>
            <w:r>
              <w:rPr>
                <w:rFonts w:ascii="Arial" w:cs="Arial" w:eastAsia="Arial" w:hAnsi="Arial"/>
                <w:sz w:val="16"/>
                <w:szCs w:val="16"/>
                <w:color w:val="auto"/>
              </w:rPr>
              <w:t>Solar</w:t>
            </w:r>
          </w:p>
        </w:tc>
        <w:tc>
          <w:tcPr>
            <w:tcW w:w="80" w:type="dxa"/>
            <w:vAlign w:val="bottom"/>
            <w:shd w:val="clear" w:color="auto" w:fill="E6E6E6"/>
          </w:tcPr>
          <w:p>
            <w:pPr>
              <w:spacing w:after="0"/>
              <w:rPr>
                <w:sz w:val="16"/>
                <w:szCs w:val="16"/>
                <w:color w:val="auto"/>
              </w:rPr>
            </w:pPr>
          </w:p>
        </w:tc>
        <w:tc>
          <w:tcPr>
            <w:tcW w:w="1260" w:type="dxa"/>
            <w:vAlign w:val="bottom"/>
            <w:gridSpan w:val="2"/>
            <w:vMerge w:val="restart"/>
            <w:shd w:val="clear" w:color="auto" w:fill="E6E6E6"/>
          </w:tcPr>
          <w:p>
            <w:pPr>
              <w:ind w:left="60"/>
              <w:spacing w:after="0"/>
              <w:rPr>
                <w:sz w:val="20"/>
                <w:szCs w:val="20"/>
                <w:color w:val="auto"/>
              </w:rPr>
            </w:pPr>
            <w:r>
              <w:rPr>
                <w:rFonts w:ascii="Arial" w:cs="Arial" w:eastAsia="Arial" w:hAnsi="Arial"/>
                <w:sz w:val="16"/>
                <w:szCs w:val="16"/>
                <w:color w:val="auto"/>
              </w:rPr>
              <w:t>October 2013</w:t>
            </w:r>
          </w:p>
        </w:tc>
        <w:tc>
          <w:tcPr>
            <w:tcW w:w="1640" w:type="dxa"/>
            <w:vAlign w:val="bottom"/>
            <w:vMerge w:val="restart"/>
            <w:shd w:val="clear" w:color="auto" w:fill="E6E6E6"/>
          </w:tcPr>
          <w:p>
            <w:pPr>
              <w:ind w:left="60"/>
              <w:spacing w:after="0"/>
              <w:rPr>
                <w:sz w:val="20"/>
                <w:szCs w:val="20"/>
                <w:color w:val="auto"/>
              </w:rPr>
            </w:pPr>
            <w:r>
              <w:rPr>
                <w:rFonts w:ascii="Arial" w:cs="Arial" w:eastAsia="Arial" w:hAnsi="Arial"/>
                <w:sz w:val="16"/>
                <w:szCs w:val="16"/>
                <w:color w:val="auto"/>
              </w:rPr>
              <w:t>PG&amp;E</w:t>
            </w:r>
          </w:p>
        </w:tc>
        <w:tc>
          <w:tcPr>
            <w:tcW w:w="1020" w:type="dxa"/>
            <w:vAlign w:val="bottom"/>
            <w:gridSpan w:val="2"/>
            <w:vMerge w:val="restart"/>
            <w:shd w:val="clear" w:color="auto" w:fill="E6E6E6"/>
          </w:tcPr>
          <w:p>
            <w:pPr>
              <w:jc w:val="right"/>
              <w:spacing w:after="0"/>
              <w:rPr>
                <w:sz w:val="20"/>
                <w:szCs w:val="20"/>
                <w:color w:val="auto"/>
              </w:rPr>
            </w:pPr>
            <w:r>
              <w:rPr>
                <w:rFonts w:ascii="Arial" w:cs="Arial" w:eastAsia="Arial" w:hAnsi="Arial"/>
                <w:sz w:val="16"/>
                <w:szCs w:val="16"/>
                <w:color w:val="auto"/>
              </w:rPr>
              <w:t>2038</w:t>
            </w:r>
          </w:p>
        </w:tc>
        <w:tc>
          <w:tcPr>
            <w:tcW w:w="0" w:type="dxa"/>
            <w:vAlign w:val="bottom"/>
          </w:tcPr>
          <w:p>
            <w:pPr>
              <w:spacing w:after="0"/>
              <w:rPr>
                <w:sz w:val="1"/>
                <w:szCs w:val="1"/>
                <w:color w:val="auto"/>
              </w:rPr>
            </w:pPr>
          </w:p>
        </w:tc>
      </w:tr>
      <w:tr>
        <w:trPr>
          <w:trHeight w:val="223"/>
        </w:trPr>
        <w:tc>
          <w:tcPr>
            <w:tcW w:w="1640" w:type="dxa"/>
            <w:vAlign w:val="bottom"/>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300" w:type="dxa"/>
            <w:vAlign w:val="bottom"/>
            <w:gridSpan w:val="2"/>
            <w:shd w:val="clear" w:color="auto" w:fill="E6E6E6"/>
          </w:tcPr>
          <w:p>
            <w:pPr>
              <w:ind w:left="40"/>
              <w:spacing w:after="0"/>
              <w:rPr>
                <w:sz w:val="20"/>
                <w:szCs w:val="20"/>
                <w:color w:val="auto"/>
              </w:rPr>
            </w:pPr>
            <w:r>
              <w:rPr>
                <w:rFonts w:ascii="Arial" w:cs="Arial" w:eastAsia="Arial" w:hAnsi="Arial"/>
                <w:sz w:val="16"/>
                <w:szCs w:val="16"/>
                <w:color w:val="auto"/>
              </w:rPr>
              <w:t>CA</w:t>
            </w:r>
          </w:p>
        </w:tc>
        <w:tc>
          <w:tcPr>
            <w:tcW w:w="620" w:type="dxa"/>
            <w:vAlign w:val="bottom"/>
            <w:vMerge w:val="continue"/>
            <w:shd w:val="clear" w:color="auto" w:fill="E6E6E6"/>
          </w:tcPr>
          <w:p>
            <w:pPr>
              <w:spacing w:after="0"/>
              <w:rPr>
                <w:sz w:val="19"/>
                <w:szCs w:val="19"/>
                <w:color w:val="auto"/>
              </w:rPr>
            </w:pPr>
          </w:p>
        </w:tc>
        <w:tc>
          <w:tcPr>
            <w:tcW w:w="740" w:type="dxa"/>
            <w:vAlign w:val="bottom"/>
            <w:gridSpan w:val="3"/>
            <w:vMerge w:val="continue"/>
            <w:shd w:val="clear" w:color="auto" w:fill="E6E6E6"/>
          </w:tcPr>
          <w:p>
            <w:pPr>
              <w:spacing w:after="0"/>
              <w:rPr>
                <w:sz w:val="19"/>
                <w:szCs w:val="19"/>
                <w:color w:val="auto"/>
              </w:rPr>
            </w:pPr>
          </w:p>
        </w:tc>
        <w:tc>
          <w:tcPr>
            <w:tcW w:w="800" w:type="dxa"/>
            <w:vAlign w:val="bottom"/>
            <w:gridSpan w:val="2"/>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940" w:type="dxa"/>
            <w:vAlign w:val="bottom"/>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260" w:type="dxa"/>
            <w:vAlign w:val="bottom"/>
            <w:gridSpan w:val="2"/>
            <w:vMerge w:val="continue"/>
            <w:shd w:val="clear" w:color="auto" w:fill="E6E6E6"/>
          </w:tcPr>
          <w:p>
            <w:pPr>
              <w:spacing w:after="0"/>
              <w:rPr>
                <w:sz w:val="19"/>
                <w:szCs w:val="19"/>
                <w:color w:val="auto"/>
              </w:rPr>
            </w:pPr>
          </w:p>
        </w:tc>
        <w:tc>
          <w:tcPr>
            <w:tcW w:w="1640" w:type="dxa"/>
            <w:vAlign w:val="bottom"/>
            <w:vMerge w:val="continue"/>
            <w:shd w:val="clear" w:color="auto" w:fill="E6E6E6"/>
          </w:tcPr>
          <w:p>
            <w:pPr>
              <w:spacing w:after="0"/>
              <w:rPr>
                <w:sz w:val="19"/>
                <w:szCs w:val="19"/>
                <w:color w:val="auto"/>
              </w:rPr>
            </w:pPr>
          </w:p>
        </w:tc>
        <w:tc>
          <w:tcPr>
            <w:tcW w:w="1020" w:type="dxa"/>
            <w:vAlign w:val="bottom"/>
            <w:gridSpan w:val="2"/>
            <w:vMerge w:val="continue"/>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640" w:type="dxa"/>
            <w:vAlign w:val="bottom"/>
            <w:vMerge w:val="restart"/>
          </w:tcPr>
          <w:p>
            <w:pPr>
              <w:ind w:left="40"/>
              <w:spacing w:after="0"/>
              <w:rPr>
                <w:sz w:val="20"/>
                <w:szCs w:val="20"/>
                <w:color w:val="auto"/>
              </w:rPr>
            </w:pPr>
            <w:r>
              <w:rPr>
                <w:rFonts w:ascii="Arial" w:cs="Arial" w:eastAsia="Arial" w:hAnsi="Arial"/>
                <w:sz w:val="16"/>
                <w:szCs w:val="16"/>
                <w:color w:val="auto"/>
              </w:rPr>
              <w:t xml:space="preserve">Daggett 2 </w:t>
            </w:r>
            <w:r>
              <w:rPr>
                <w:rFonts w:ascii="Arial" w:cs="Arial" w:eastAsia="Arial" w:hAnsi="Arial"/>
                <w:sz w:val="20"/>
                <w:szCs w:val="20"/>
                <w:color w:val="auto"/>
                <w:vertAlign w:val="superscript"/>
              </w:rPr>
              <w:t>(b)</w:t>
            </w:r>
          </w:p>
        </w:tc>
        <w:tc>
          <w:tcPr>
            <w:tcW w:w="8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color w:val="auto"/>
              </w:rPr>
              <w:t>San Bernardino,</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182</w:t>
            </w:r>
          </w:p>
        </w:tc>
        <w:tc>
          <w:tcPr>
            <w:tcW w:w="740" w:type="dxa"/>
            <w:vAlign w:val="bottom"/>
            <w:gridSpan w:val="3"/>
            <w:vMerge w:val="restart"/>
          </w:tcPr>
          <w:p>
            <w:pPr>
              <w:jc w:val="right"/>
              <w:spacing w:after="0"/>
              <w:rPr>
                <w:sz w:val="20"/>
                <w:szCs w:val="20"/>
                <w:color w:val="auto"/>
              </w:rPr>
            </w:pPr>
            <w:r>
              <w:rPr>
                <w:rFonts w:ascii="Arial" w:cs="Arial" w:eastAsia="Arial" w:hAnsi="Arial"/>
                <w:sz w:val="16"/>
                <w:szCs w:val="16"/>
                <w:color w:val="auto"/>
              </w:rPr>
              <w:t>46</w:t>
            </w:r>
          </w:p>
        </w:tc>
        <w:tc>
          <w:tcPr>
            <w:tcW w:w="800" w:type="dxa"/>
            <w:vAlign w:val="bottom"/>
            <w:gridSpan w:val="2"/>
            <w:vMerge w:val="restart"/>
          </w:tcPr>
          <w:p>
            <w:pPr>
              <w:jc w:val="right"/>
              <w:spacing w:after="0"/>
              <w:rPr>
                <w:sz w:val="20"/>
                <w:szCs w:val="20"/>
                <w:color w:val="auto"/>
              </w:rPr>
            </w:pPr>
            <w:r>
              <w:rPr>
                <w:rFonts w:ascii="Arial" w:cs="Arial" w:eastAsia="Arial" w:hAnsi="Arial"/>
                <w:sz w:val="16"/>
                <w:szCs w:val="16"/>
                <w:color w:val="auto"/>
              </w:rPr>
              <w:t>25 %</w:t>
            </w:r>
          </w:p>
        </w:tc>
        <w:tc>
          <w:tcPr>
            <w:tcW w:w="80" w:type="dxa"/>
            <w:vAlign w:val="bottom"/>
          </w:tcPr>
          <w:p>
            <w:pPr>
              <w:spacing w:after="0"/>
              <w:rPr>
                <w:sz w:val="16"/>
                <w:szCs w:val="16"/>
                <w:color w:val="auto"/>
              </w:rPr>
            </w:pPr>
          </w:p>
        </w:tc>
        <w:tc>
          <w:tcPr>
            <w:tcW w:w="940" w:type="dxa"/>
            <w:vAlign w:val="bottom"/>
            <w:vMerge w:val="restart"/>
          </w:tcPr>
          <w:p>
            <w:pPr>
              <w:ind w:left="60"/>
              <w:spacing w:after="0"/>
              <w:rPr>
                <w:sz w:val="20"/>
                <w:szCs w:val="20"/>
                <w:color w:val="auto"/>
              </w:rPr>
            </w:pPr>
            <w:r>
              <w:rPr>
                <w:rFonts w:ascii="Arial" w:cs="Arial" w:eastAsia="Arial" w:hAnsi="Arial"/>
                <w:sz w:val="16"/>
                <w:szCs w:val="16"/>
                <w:color w:val="auto"/>
              </w:rPr>
              <w:t>Solar</w:t>
            </w:r>
          </w:p>
        </w:tc>
        <w:tc>
          <w:tcPr>
            <w:tcW w:w="80" w:type="dxa"/>
            <w:vAlign w:val="bottom"/>
          </w:tcPr>
          <w:p>
            <w:pPr>
              <w:spacing w:after="0"/>
              <w:rPr>
                <w:sz w:val="16"/>
                <w:szCs w:val="16"/>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6"/>
                <w:szCs w:val="16"/>
                <w:color w:val="auto"/>
              </w:rPr>
              <w:t>December 2023</w:t>
            </w:r>
          </w:p>
        </w:tc>
        <w:tc>
          <w:tcPr>
            <w:tcW w:w="1640" w:type="dxa"/>
            <w:vAlign w:val="bottom"/>
            <w:vMerge w:val="restart"/>
          </w:tcPr>
          <w:p>
            <w:pPr>
              <w:ind w:left="60"/>
              <w:spacing w:after="0"/>
              <w:rPr>
                <w:sz w:val="20"/>
                <w:szCs w:val="20"/>
                <w:color w:val="auto"/>
              </w:rPr>
            </w:pPr>
            <w:r>
              <w:rPr>
                <w:rFonts w:ascii="Arial" w:cs="Arial" w:eastAsia="Arial" w:hAnsi="Arial"/>
                <w:sz w:val="16"/>
                <w:szCs w:val="16"/>
                <w:color w:val="auto"/>
              </w:rPr>
              <w:t>Various</w:t>
            </w: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color w:val="auto"/>
              </w:rPr>
              <w:t>2038</w:t>
            </w:r>
          </w:p>
        </w:tc>
        <w:tc>
          <w:tcPr>
            <w:tcW w:w="0" w:type="dxa"/>
            <w:vAlign w:val="bottom"/>
          </w:tcPr>
          <w:p>
            <w:pPr>
              <w:spacing w:after="0"/>
              <w:rPr>
                <w:sz w:val="1"/>
                <w:szCs w:val="1"/>
                <w:color w:val="auto"/>
              </w:rPr>
            </w:pPr>
          </w:p>
        </w:tc>
      </w:tr>
      <w:tr>
        <w:trPr>
          <w:trHeight w:val="223"/>
        </w:trPr>
        <w:tc>
          <w:tcPr>
            <w:tcW w:w="1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color w:val="auto"/>
              </w:rPr>
              <w:t>CA</w:t>
            </w:r>
          </w:p>
        </w:tc>
        <w:tc>
          <w:tcPr>
            <w:tcW w:w="620" w:type="dxa"/>
            <w:vAlign w:val="bottom"/>
            <w:vMerge w:val="continue"/>
          </w:tcPr>
          <w:p>
            <w:pPr>
              <w:spacing w:after="0"/>
              <w:rPr>
                <w:sz w:val="19"/>
                <w:szCs w:val="19"/>
                <w:color w:val="auto"/>
              </w:rPr>
            </w:pPr>
          </w:p>
        </w:tc>
        <w:tc>
          <w:tcPr>
            <w:tcW w:w="740" w:type="dxa"/>
            <w:vAlign w:val="bottom"/>
            <w:gridSpan w:val="3"/>
            <w:vMerge w:val="continue"/>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640" w:type="dxa"/>
            <w:vAlign w:val="bottom"/>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164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124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6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131</w:t>
            </w:r>
          </w:p>
        </w:tc>
        <w:tc>
          <w:tcPr>
            <w:tcW w:w="740" w:type="dxa"/>
            <w:vAlign w:val="bottom"/>
            <w:gridSpan w:val="3"/>
            <w:shd w:val="clear" w:color="auto" w:fill="E6E6E6"/>
          </w:tcPr>
          <w:p>
            <w:pPr>
              <w:jc w:val="right"/>
              <w:spacing w:after="0"/>
              <w:rPr>
                <w:sz w:val="20"/>
                <w:szCs w:val="20"/>
                <w:color w:val="auto"/>
              </w:rPr>
            </w:pPr>
            <w:r>
              <w:rPr>
                <w:rFonts w:ascii="Arial" w:cs="Arial" w:eastAsia="Arial" w:hAnsi="Arial"/>
                <w:sz w:val="16"/>
                <w:szCs w:val="16"/>
                <w:color w:val="auto"/>
              </w:rPr>
              <w:t>33</w:t>
            </w:r>
          </w:p>
        </w:tc>
        <w:tc>
          <w:tcPr>
            <w:tcW w:w="80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25 %</w:t>
            </w:r>
          </w:p>
        </w:tc>
        <w:tc>
          <w:tcPr>
            <w:tcW w:w="80" w:type="dxa"/>
            <w:vAlign w:val="bottom"/>
            <w:shd w:val="clear" w:color="auto" w:fill="E6E6E6"/>
          </w:tcPr>
          <w:p>
            <w:pPr>
              <w:spacing w:after="0"/>
              <w:rPr>
                <w:sz w:val="22"/>
                <w:szCs w:val="22"/>
                <w:color w:val="auto"/>
              </w:rPr>
            </w:pPr>
          </w:p>
        </w:tc>
        <w:tc>
          <w:tcPr>
            <w:tcW w:w="940" w:type="dxa"/>
            <w:vAlign w:val="bottom"/>
            <w:shd w:val="clear" w:color="auto" w:fill="E6E6E6"/>
          </w:tcPr>
          <w:p>
            <w:pPr>
              <w:ind w:left="60"/>
              <w:spacing w:after="0"/>
              <w:rPr>
                <w:sz w:val="20"/>
                <w:szCs w:val="20"/>
                <w:color w:val="auto"/>
              </w:rPr>
            </w:pPr>
            <w:r>
              <w:rPr>
                <w:rFonts w:ascii="Arial" w:cs="Arial" w:eastAsia="Arial" w:hAnsi="Arial"/>
                <w:sz w:val="16"/>
                <w:szCs w:val="16"/>
                <w:color w:val="auto"/>
              </w:rPr>
              <w:t>BESS</w:t>
            </w:r>
          </w:p>
        </w:tc>
        <w:tc>
          <w:tcPr>
            <w:tcW w:w="80" w:type="dxa"/>
            <w:vAlign w:val="bottom"/>
            <w:shd w:val="clear" w:color="auto" w:fill="E6E6E6"/>
          </w:tcPr>
          <w:p>
            <w:pPr>
              <w:spacing w:after="0"/>
              <w:rPr>
                <w:sz w:val="22"/>
                <w:szCs w:val="22"/>
                <w:color w:val="auto"/>
              </w:rPr>
            </w:pPr>
          </w:p>
        </w:tc>
        <w:tc>
          <w:tcPr>
            <w:tcW w:w="120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164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96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1640" w:type="dxa"/>
            <w:vAlign w:val="bottom"/>
            <w:vMerge w:val="restart"/>
          </w:tcPr>
          <w:p>
            <w:pPr>
              <w:ind w:left="40"/>
              <w:spacing w:after="0"/>
              <w:rPr>
                <w:sz w:val="20"/>
                <w:szCs w:val="20"/>
                <w:color w:val="auto"/>
              </w:rPr>
            </w:pPr>
            <w:r>
              <w:rPr>
                <w:rFonts w:ascii="Arial" w:cs="Arial" w:eastAsia="Arial" w:hAnsi="Arial"/>
                <w:sz w:val="16"/>
                <w:szCs w:val="16"/>
                <w:color w:val="auto"/>
              </w:rPr>
              <w:t xml:space="preserve">Daggett 3 </w:t>
            </w:r>
            <w:r>
              <w:rPr>
                <w:rFonts w:ascii="Arial" w:cs="Arial" w:eastAsia="Arial" w:hAnsi="Arial"/>
                <w:sz w:val="20"/>
                <w:szCs w:val="20"/>
                <w:color w:val="auto"/>
                <w:vertAlign w:val="superscript"/>
              </w:rPr>
              <w:t>(b)</w:t>
            </w:r>
          </w:p>
        </w:tc>
        <w:tc>
          <w:tcPr>
            <w:tcW w:w="8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color w:val="auto"/>
              </w:rPr>
              <w:t>San Bernardino,</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300</w:t>
            </w:r>
          </w:p>
        </w:tc>
        <w:tc>
          <w:tcPr>
            <w:tcW w:w="740" w:type="dxa"/>
            <w:vAlign w:val="bottom"/>
            <w:gridSpan w:val="3"/>
            <w:vMerge w:val="restart"/>
          </w:tcPr>
          <w:p>
            <w:pPr>
              <w:jc w:val="right"/>
              <w:spacing w:after="0"/>
              <w:rPr>
                <w:sz w:val="20"/>
                <w:szCs w:val="20"/>
                <w:color w:val="auto"/>
              </w:rPr>
            </w:pPr>
            <w:r>
              <w:rPr>
                <w:rFonts w:ascii="Arial" w:cs="Arial" w:eastAsia="Arial" w:hAnsi="Arial"/>
                <w:sz w:val="16"/>
                <w:szCs w:val="16"/>
                <w:color w:val="auto"/>
              </w:rPr>
              <w:t>75</w:t>
            </w:r>
          </w:p>
        </w:tc>
        <w:tc>
          <w:tcPr>
            <w:tcW w:w="800" w:type="dxa"/>
            <w:vAlign w:val="bottom"/>
            <w:gridSpan w:val="2"/>
            <w:vMerge w:val="restart"/>
          </w:tcPr>
          <w:p>
            <w:pPr>
              <w:jc w:val="right"/>
              <w:spacing w:after="0"/>
              <w:rPr>
                <w:sz w:val="20"/>
                <w:szCs w:val="20"/>
                <w:color w:val="auto"/>
              </w:rPr>
            </w:pPr>
            <w:r>
              <w:rPr>
                <w:rFonts w:ascii="Arial" w:cs="Arial" w:eastAsia="Arial" w:hAnsi="Arial"/>
                <w:sz w:val="16"/>
                <w:szCs w:val="16"/>
                <w:color w:val="auto"/>
              </w:rPr>
              <w:t>25 %</w:t>
            </w:r>
          </w:p>
        </w:tc>
        <w:tc>
          <w:tcPr>
            <w:tcW w:w="80" w:type="dxa"/>
            <w:vAlign w:val="bottom"/>
          </w:tcPr>
          <w:p>
            <w:pPr>
              <w:spacing w:after="0"/>
              <w:rPr>
                <w:sz w:val="16"/>
                <w:szCs w:val="16"/>
                <w:color w:val="auto"/>
              </w:rPr>
            </w:pPr>
          </w:p>
        </w:tc>
        <w:tc>
          <w:tcPr>
            <w:tcW w:w="940" w:type="dxa"/>
            <w:vAlign w:val="bottom"/>
            <w:vMerge w:val="restart"/>
          </w:tcPr>
          <w:p>
            <w:pPr>
              <w:ind w:left="60"/>
              <w:spacing w:after="0"/>
              <w:rPr>
                <w:sz w:val="20"/>
                <w:szCs w:val="20"/>
                <w:color w:val="auto"/>
              </w:rPr>
            </w:pPr>
            <w:r>
              <w:rPr>
                <w:rFonts w:ascii="Arial" w:cs="Arial" w:eastAsia="Arial" w:hAnsi="Arial"/>
                <w:sz w:val="16"/>
                <w:szCs w:val="16"/>
                <w:color w:val="auto"/>
              </w:rPr>
              <w:t>Solar</w:t>
            </w:r>
          </w:p>
        </w:tc>
        <w:tc>
          <w:tcPr>
            <w:tcW w:w="8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July - November</w:t>
            </w:r>
          </w:p>
        </w:tc>
        <w:tc>
          <w:tcPr>
            <w:tcW w:w="1640" w:type="dxa"/>
            <w:vAlign w:val="bottom"/>
            <w:vMerge w:val="restart"/>
          </w:tcPr>
          <w:p>
            <w:pPr>
              <w:ind w:left="60"/>
              <w:spacing w:after="0"/>
              <w:rPr>
                <w:sz w:val="20"/>
                <w:szCs w:val="20"/>
                <w:color w:val="auto"/>
              </w:rPr>
            </w:pPr>
            <w:r>
              <w:rPr>
                <w:rFonts w:ascii="Arial" w:cs="Arial" w:eastAsia="Arial" w:hAnsi="Arial"/>
                <w:sz w:val="16"/>
                <w:szCs w:val="16"/>
                <w:color w:val="auto"/>
              </w:rPr>
              <w:t>Various</w:t>
            </w: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color w:val="auto"/>
              </w:rPr>
              <w:t>2033 - 2038</w:t>
            </w:r>
          </w:p>
        </w:tc>
        <w:tc>
          <w:tcPr>
            <w:tcW w:w="0" w:type="dxa"/>
            <w:vAlign w:val="bottom"/>
          </w:tcPr>
          <w:p>
            <w:pPr>
              <w:spacing w:after="0"/>
              <w:rPr>
                <w:sz w:val="1"/>
                <w:szCs w:val="1"/>
                <w:color w:val="auto"/>
              </w:rPr>
            </w:pPr>
          </w:p>
        </w:tc>
      </w:tr>
      <w:tr>
        <w:trPr>
          <w:trHeight w:val="223"/>
        </w:trPr>
        <w:tc>
          <w:tcPr>
            <w:tcW w:w="1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color w:val="auto"/>
              </w:rPr>
              <w:t>CA</w:t>
            </w:r>
          </w:p>
        </w:tc>
        <w:tc>
          <w:tcPr>
            <w:tcW w:w="620" w:type="dxa"/>
            <w:vAlign w:val="bottom"/>
            <w:vMerge w:val="continue"/>
          </w:tcPr>
          <w:p>
            <w:pPr>
              <w:spacing w:after="0"/>
              <w:rPr>
                <w:sz w:val="19"/>
                <w:szCs w:val="19"/>
                <w:color w:val="auto"/>
              </w:rPr>
            </w:pPr>
          </w:p>
        </w:tc>
        <w:tc>
          <w:tcPr>
            <w:tcW w:w="740" w:type="dxa"/>
            <w:vAlign w:val="bottom"/>
            <w:gridSpan w:val="3"/>
            <w:vMerge w:val="continue"/>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280" w:type="dxa"/>
            <w:vAlign w:val="bottom"/>
            <w:gridSpan w:val="2"/>
          </w:tcPr>
          <w:p>
            <w:pPr>
              <w:ind w:left="140"/>
              <w:spacing w:after="0"/>
              <w:rPr>
                <w:sz w:val="20"/>
                <w:szCs w:val="20"/>
                <w:color w:val="auto"/>
              </w:rPr>
            </w:pPr>
            <w:r>
              <w:rPr>
                <w:rFonts w:ascii="Arial" w:cs="Arial" w:eastAsia="Arial" w:hAnsi="Arial"/>
                <w:sz w:val="16"/>
                <w:szCs w:val="16"/>
                <w:color w:val="auto"/>
              </w:rPr>
              <w:t>2023</w:t>
            </w:r>
          </w:p>
        </w:tc>
        <w:tc>
          <w:tcPr>
            <w:tcW w:w="6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164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124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6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149</w:t>
            </w:r>
          </w:p>
        </w:tc>
        <w:tc>
          <w:tcPr>
            <w:tcW w:w="740" w:type="dxa"/>
            <w:vAlign w:val="bottom"/>
            <w:gridSpan w:val="3"/>
            <w:shd w:val="clear" w:color="auto" w:fill="E6E6E6"/>
          </w:tcPr>
          <w:p>
            <w:pPr>
              <w:jc w:val="right"/>
              <w:spacing w:after="0"/>
              <w:rPr>
                <w:sz w:val="20"/>
                <w:szCs w:val="20"/>
                <w:color w:val="auto"/>
              </w:rPr>
            </w:pPr>
            <w:r>
              <w:rPr>
                <w:rFonts w:ascii="Arial" w:cs="Arial" w:eastAsia="Arial" w:hAnsi="Arial"/>
                <w:sz w:val="16"/>
                <w:szCs w:val="16"/>
                <w:color w:val="auto"/>
              </w:rPr>
              <w:t>37</w:t>
            </w:r>
          </w:p>
        </w:tc>
        <w:tc>
          <w:tcPr>
            <w:tcW w:w="80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25 %</w:t>
            </w:r>
          </w:p>
        </w:tc>
        <w:tc>
          <w:tcPr>
            <w:tcW w:w="80" w:type="dxa"/>
            <w:vAlign w:val="bottom"/>
            <w:shd w:val="clear" w:color="auto" w:fill="E6E6E6"/>
          </w:tcPr>
          <w:p>
            <w:pPr>
              <w:spacing w:after="0"/>
              <w:rPr>
                <w:sz w:val="22"/>
                <w:szCs w:val="22"/>
                <w:color w:val="auto"/>
              </w:rPr>
            </w:pPr>
          </w:p>
        </w:tc>
        <w:tc>
          <w:tcPr>
            <w:tcW w:w="940" w:type="dxa"/>
            <w:vAlign w:val="bottom"/>
            <w:shd w:val="clear" w:color="auto" w:fill="E6E6E6"/>
          </w:tcPr>
          <w:p>
            <w:pPr>
              <w:ind w:left="60"/>
              <w:spacing w:after="0"/>
              <w:rPr>
                <w:sz w:val="20"/>
                <w:szCs w:val="20"/>
                <w:color w:val="auto"/>
              </w:rPr>
            </w:pPr>
            <w:r>
              <w:rPr>
                <w:rFonts w:ascii="Arial" w:cs="Arial" w:eastAsia="Arial" w:hAnsi="Arial"/>
                <w:sz w:val="16"/>
                <w:szCs w:val="16"/>
                <w:color w:val="auto"/>
              </w:rPr>
              <w:t>BESS</w:t>
            </w:r>
          </w:p>
        </w:tc>
        <w:tc>
          <w:tcPr>
            <w:tcW w:w="80" w:type="dxa"/>
            <w:vAlign w:val="bottom"/>
            <w:shd w:val="clear" w:color="auto" w:fill="E6E6E6"/>
          </w:tcPr>
          <w:p>
            <w:pPr>
              <w:spacing w:after="0"/>
              <w:rPr>
                <w:sz w:val="22"/>
                <w:szCs w:val="22"/>
                <w:color w:val="auto"/>
              </w:rPr>
            </w:pPr>
          </w:p>
        </w:tc>
        <w:tc>
          <w:tcPr>
            <w:tcW w:w="120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164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96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1640" w:type="dxa"/>
            <w:vAlign w:val="bottom"/>
            <w:vMerge w:val="restart"/>
          </w:tcPr>
          <w:p>
            <w:pPr>
              <w:ind w:left="40"/>
              <w:spacing w:after="0"/>
              <w:rPr>
                <w:sz w:val="20"/>
                <w:szCs w:val="20"/>
                <w:color w:val="auto"/>
              </w:rPr>
            </w:pPr>
            <w:r>
              <w:rPr>
                <w:rFonts w:ascii="Arial" w:cs="Arial" w:eastAsia="Arial" w:hAnsi="Arial"/>
                <w:sz w:val="16"/>
                <w:szCs w:val="16"/>
                <w:color w:val="auto"/>
              </w:rPr>
              <w:t>Desert Sunlight 250</w:t>
            </w:r>
          </w:p>
        </w:tc>
        <w:tc>
          <w:tcPr>
            <w:tcW w:w="8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color w:val="auto"/>
              </w:rPr>
              <w:t>Desert Center,</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250</w:t>
            </w:r>
          </w:p>
        </w:tc>
        <w:tc>
          <w:tcPr>
            <w:tcW w:w="740" w:type="dxa"/>
            <w:vAlign w:val="bottom"/>
            <w:gridSpan w:val="3"/>
            <w:vMerge w:val="restart"/>
          </w:tcPr>
          <w:p>
            <w:pPr>
              <w:jc w:val="right"/>
              <w:spacing w:after="0"/>
              <w:rPr>
                <w:sz w:val="20"/>
                <w:szCs w:val="20"/>
                <w:color w:val="auto"/>
              </w:rPr>
            </w:pPr>
            <w:r>
              <w:rPr>
                <w:rFonts w:ascii="Arial" w:cs="Arial" w:eastAsia="Arial" w:hAnsi="Arial"/>
                <w:sz w:val="16"/>
                <w:szCs w:val="16"/>
                <w:color w:val="auto"/>
              </w:rPr>
              <w:t>63</w:t>
            </w:r>
          </w:p>
        </w:tc>
        <w:tc>
          <w:tcPr>
            <w:tcW w:w="800" w:type="dxa"/>
            <w:vAlign w:val="bottom"/>
            <w:gridSpan w:val="2"/>
            <w:vMerge w:val="restart"/>
          </w:tcPr>
          <w:p>
            <w:pPr>
              <w:jc w:val="right"/>
              <w:spacing w:after="0"/>
              <w:rPr>
                <w:sz w:val="20"/>
                <w:szCs w:val="20"/>
                <w:color w:val="auto"/>
              </w:rPr>
            </w:pPr>
            <w:r>
              <w:rPr>
                <w:rFonts w:ascii="Arial" w:cs="Arial" w:eastAsia="Arial" w:hAnsi="Arial"/>
                <w:sz w:val="16"/>
                <w:szCs w:val="16"/>
                <w:color w:val="auto"/>
              </w:rPr>
              <w:t>25 %</w:t>
            </w:r>
          </w:p>
        </w:tc>
        <w:tc>
          <w:tcPr>
            <w:tcW w:w="80" w:type="dxa"/>
            <w:vAlign w:val="bottom"/>
          </w:tcPr>
          <w:p>
            <w:pPr>
              <w:spacing w:after="0"/>
              <w:rPr>
                <w:sz w:val="16"/>
                <w:szCs w:val="16"/>
                <w:color w:val="auto"/>
              </w:rPr>
            </w:pPr>
          </w:p>
        </w:tc>
        <w:tc>
          <w:tcPr>
            <w:tcW w:w="940" w:type="dxa"/>
            <w:vAlign w:val="bottom"/>
            <w:vMerge w:val="restart"/>
          </w:tcPr>
          <w:p>
            <w:pPr>
              <w:ind w:left="60"/>
              <w:spacing w:after="0"/>
              <w:rPr>
                <w:sz w:val="20"/>
                <w:szCs w:val="20"/>
                <w:color w:val="auto"/>
              </w:rPr>
            </w:pPr>
            <w:r>
              <w:rPr>
                <w:rFonts w:ascii="Arial" w:cs="Arial" w:eastAsia="Arial" w:hAnsi="Arial"/>
                <w:sz w:val="16"/>
                <w:szCs w:val="16"/>
                <w:color w:val="auto"/>
              </w:rPr>
              <w:t>Solar</w:t>
            </w:r>
          </w:p>
        </w:tc>
        <w:tc>
          <w:tcPr>
            <w:tcW w:w="80" w:type="dxa"/>
            <w:vAlign w:val="bottom"/>
          </w:tcPr>
          <w:p>
            <w:pPr>
              <w:spacing w:after="0"/>
              <w:rPr>
                <w:sz w:val="16"/>
                <w:szCs w:val="16"/>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6"/>
                <w:szCs w:val="16"/>
                <w:color w:val="auto"/>
              </w:rPr>
              <w:t>December 2014</w:t>
            </w:r>
          </w:p>
        </w:tc>
        <w:tc>
          <w:tcPr>
            <w:tcW w:w="1640" w:type="dxa"/>
            <w:vAlign w:val="bottom"/>
            <w:vMerge w:val="restart"/>
          </w:tcPr>
          <w:p>
            <w:pPr>
              <w:ind w:left="60"/>
              <w:spacing w:after="0"/>
              <w:rPr>
                <w:sz w:val="20"/>
                <w:szCs w:val="20"/>
                <w:color w:val="auto"/>
              </w:rPr>
            </w:pPr>
            <w:r>
              <w:rPr>
                <w:rFonts w:ascii="Arial" w:cs="Arial" w:eastAsia="Arial" w:hAnsi="Arial"/>
                <w:sz w:val="16"/>
                <w:szCs w:val="16"/>
                <w:color w:val="auto"/>
              </w:rPr>
              <w:t>SCE</w:t>
            </w: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color w:val="auto"/>
              </w:rPr>
              <w:t>2034</w:t>
            </w:r>
          </w:p>
        </w:tc>
        <w:tc>
          <w:tcPr>
            <w:tcW w:w="0" w:type="dxa"/>
            <w:vAlign w:val="bottom"/>
          </w:tcPr>
          <w:p>
            <w:pPr>
              <w:spacing w:after="0"/>
              <w:rPr>
                <w:sz w:val="1"/>
                <w:szCs w:val="1"/>
                <w:color w:val="auto"/>
              </w:rPr>
            </w:pPr>
          </w:p>
        </w:tc>
      </w:tr>
      <w:tr>
        <w:trPr>
          <w:trHeight w:val="216"/>
        </w:trPr>
        <w:tc>
          <w:tcPr>
            <w:tcW w:w="1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color w:val="auto"/>
              </w:rPr>
              <w:t>CA</w:t>
            </w:r>
          </w:p>
        </w:tc>
        <w:tc>
          <w:tcPr>
            <w:tcW w:w="620" w:type="dxa"/>
            <w:vAlign w:val="bottom"/>
            <w:vMerge w:val="continue"/>
          </w:tcPr>
          <w:p>
            <w:pPr>
              <w:spacing w:after="0"/>
              <w:rPr>
                <w:sz w:val="18"/>
                <w:szCs w:val="18"/>
                <w:color w:val="auto"/>
              </w:rPr>
            </w:pPr>
          </w:p>
        </w:tc>
        <w:tc>
          <w:tcPr>
            <w:tcW w:w="740" w:type="dxa"/>
            <w:vAlign w:val="bottom"/>
            <w:gridSpan w:val="3"/>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640" w:type="dxa"/>
            <w:vAlign w:val="bottom"/>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640" w:type="dxa"/>
            <w:vAlign w:val="bottom"/>
            <w:vMerge w:val="restart"/>
            <w:shd w:val="clear" w:color="auto" w:fill="E6E6E6"/>
          </w:tcPr>
          <w:p>
            <w:pPr>
              <w:ind w:left="40"/>
              <w:spacing w:after="0"/>
              <w:rPr>
                <w:sz w:val="20"/>
                <w:szCs w:val="20"/>
                <w:color w:val="auto"/>
              </w:rPr>
            </w:pPr>
            <w:r>
              <w:rPr>
                <w:rFonts w:ascii="Arial" w:cs="Arial" w:eastAsia="Arial" w:hAnsi="Arial"/>
                <w:sz w:val="16"/>
                <w:szCs w:val="16"/>
                <w:color w:val="auto"/>
              </w:rPr>
              <w:t>Desert Sunlight 300</w:t>
            </w:r>
          </w:p>
        </w:tc>
        <w:tc>
          <w:tcPr>
            <w:tcW w:w="80" w:type="dxa"/>
            <w:vAlign w:val="bottom"/>
            <w:shd w:val="clear" w:color="auto" w:fill="E6E6E6"/>
          </w:tcPr>
          <w:p>
            <w:pPr>
              <w:spacing w:after="0"/>
              <w:rPr>
                <w:sz w:val="17"/>
                <w:szCs w:val="17"/>
                <w:color w:val="auto"/>
              </w:rPr>
            </w:pPr>
          </w:p>
        </w:tc>
        <w:tc>
          <w:tcPr>
            <w:tcW w:w="1300" w:type="dxa"/>
            <w:vAlign w:val="bottom"/>
            <w:gridSpan w:val="2"/>
            <w:shd w:val="clear" w:color="auto" w:fill="E6E6E6"/>
          </w:tcPr>
          <w:p>
            <w:pPr>
              <w:ind w:left="40"/>
              <w:spacing w:after="0"/>
              <w:rPr>
                <w:sz w:val="20"/>
                <w:szCs w:val="20"/>
                <w:color w:val="auto"/>
              </w:rPr>
            </w:pPr>
            <w:r>
              <w:rPr>
                <w:rFonts w:ascii="Arial" w:cs="Arial" w:eastAsia="Arial" w:hAnsi="Arial"/>
                <w:sz w:val="16"/>
                <w:szCs w:val="16"/>
                <w:color w:val="auto"/>
              </w:rPr>
              <w:t>Desert Center,</w:t>
            </w:r>
          </w:p>
        </w:tc>
        <w:tc>
          <w:tcPr>
            <w:tcW w:w="62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300</w:t>
            </w:r>
          </w:p>
        </w:tc>
        <w:tc>
          <w:tcPr>
            <w:tcW w:w="740" w:type="dxa"/>
            <w:vAlign w:val="bottom"/>
            <w:gridSpan w:val="3"/>
            <w:vMerge w:val="restart"/>
            <w:shd w:val="clear" w:color="auto" w:fill="E6E6E6"/>
          </w:tcPr>
          <w:p>
            <w:pPr>
              <w:jc w:val="right"/>
              <w:spacing w:after="0"/>
              <w:rPr>
                <w:sz w:val="20"/>
                <w:szCs w:val="20"/>
                <w:color w:val="auto"/>
              </w:rPr>
            </w:pPr>
            <w:r>
              <w:rPr>
                <w:rFonts w:ascii="Arial" w:cs="Arial" w:eastAsia="Arial" w:hAnsi="Arial"/>
                <w:sz w:val="16"/>
                <w:szCs w:val="16"/>
                <w:color w:val="auto"/>
              </w:rPr>
              <w:t>75</w:t>
            </w:r>
          </w:p>
        </w:tc>
        <w:tc>
          <w:tcPr>
            <w:tcW w:w="800" w:type="dxa"/>
            <w:vAlign w:val="bottom"/>
            <w:gridSpan w:val="2"/>
            <w:vMerge w:val="restart"/>
            <w:shd w:val="clear" w:color="auto" w:fill="E6E6E6"/>
          </w:tcPr>
          <w:p>
            <w:pPr>
              <w:jc w:val="right"/>
              <w:spacing w:after="0"/>
              <w:rPr>
                <w:sz w:val="20"/>
                <w:szCs w:val="20"/>
                <w:color w:val="auto"/>
              </w:rPr>
            </w:pPr>
            <w:r>
              <w:rPr>
                <w:rFonts w:ascii="Arial" w:cs="Arial" w:eastAsia="Arial" w:hAnsi="Arial"/>
                <w:sz w:val="16"/>
                <w:szCs w:val="16"/>
                <w:color w:val="auto"/>
              </w:rPr>
              <w:t>25 %</w:t>
            </w:r>
          </w:p>
        </w:tc>
        <w:tc>
          <w:tcPr>
            <w:tcW w:w="80" w:type="dxa"/>
            <w:vAlign w:val="bottom"/>
            <w:shd w:val="clear" w:color="auto" w:fill="E6E6E6"/>
          </w:tcPr>
          <w:p>
            <w:pPr>
              <w:spacing w:after="0"/>
              <w:rPr>
                <w:sz w:val="17"/>
                <w:szCs w:val="17"/>
                <w:color w:val="auto"/>
              </w:rPr>
            </w:pPr>
          </w:p>
        </w:tc>
        <w:tc>
          <w:tcPr>
            <w:tcW w:w="940" w:type="dxa"/>
            <w:vAlign w:val="bottom"/>
            <w:vMerge w:val="restart"/>
            <w:shd w:val="clear" w:color="auto" w:fill="E6E6E6"/>
          </w:tcPr>
          <w:p>
            <w:pPr>
              <w:ind w:left="60"/>
              <w:spacing w:after="0"/>
              <w:rPr>
                <w:sz w:val="20"/>
                <w:szCs w:val="20"/>
                <w:color w:val="auto"/>
              </w:rPr>
            </w:pPr>
            <w:r>
              <w:rPr>
                <w:rFonts w:ascii="Arial" w:cs="Arial" w:eastAsia="Arial" w:hAnsi="Arial"/>
                <w:sz w:val="16"/>
                <w:szCs w:val="16"/>
                <w:color w:val="auto"/>
              </w:rPr>
              <w:t>Solar</w:t>
            </w:r>
          </w:p>
        </w:tc>
        <w:tc>
          <w:tcPr>
            <w:tcW w:w="80" w:type="dxa"/>
            <w:vAlign w:val="bottom"/>
            <w:shd w:val="clear" w:color="auto" w:fill="E6E6E6"/>
          </w:tcPr>
          <w:p>
            <w:pPr>
              <w:spacing w:after="0"/>
              <w:rPr>
                <w:sz w:val="17"/>
                <w:szCs w:val="17"/>
                <w:color w:val="auto"/>
              </w:rPr>
            </w:pPr>
          </w:p>
        </w:tc>
        <w:tc>
          <w:tcPr>
            <w:tcW w:w="1260" w:type="dxa"/>
            <w:vAlign w:val="bottom"/>
            <w:gridSpan w:val="2"/>
            <w:vMerge w:val="restart"/>
            <w:shd w:val="clear" w:color="auto" w:fill="E6E6E6"/>
          </w:tcPr>
          <w:p>
            <w:pPr>
              <w:ind w:left="60"/>
              <w:spacing w:after="0"/>
              <w:rPr>
                <w:sz w:val="20"/>
                <w:szCs w:val="20"/>
                <w:color w:val="auto"/>
              </w:rPr>
            </w:pPr>
            <w:r>
              <w:rPr>
                <w:rFonts w:ascii="Arial" w:cs="Arial" w:eastAsia="Arial" w:hAnsi="Arial"/>
                <w:sz w:val="16"/>
                <w:szCs w:val="16"/>
                <w:color w:val="auto"/>
              </w:rPr>
              <w:t>December 2014</w:t>
            </w:r>
          </w:p>
        </w:tc>
        <w:tc>
          <w:tcPr>
            <w:tcW w:w="1640" w:type="dxa"/>
            <w:vAlign w:val="bottom"/>
            <w:vMerge w:val="restart"/>
            <w:shd w:val="clear" w:color="auto" w:fill="E6E6E6"/>
          </w:tcPr>
          <w:p>
            <w:pPr>
              <w:ind w:left="60"/>
              <w:spacing w:after="0"/>
              <w:rPr>
                <w:sz w:val="20"/>
                <w:szCs w:val="20"/>
                <w:color w:val="auto"/>
              </w:rPr>
            </w:pPr>
            <w:r>
              <w:rPr>
                <w:rFonts w:ascii="Arial" w:cs="Arial" w:eastAsia="Arial" w:hAnsi="Arial"/>
                <w:sz w:val="16"/>
                <w:szCs w:val="16"/>
                <w:color w:val="auto"/>
              </w:rPr>
              <w:t>PG&amp;E</w:t>
            </w:r>
          </w:p>
        </w:tc>
        <w:tc>
          <w:tcPr>
            <w:tcW w:w="1020" w:type="dxa"/>
            <w:vAlign w:val="bottom"/>
            <w:gridSpan w:val="2"/>
            <w:vMerge w:val="restart"/>
            <w:shd w:val="clear" w:color="auto" w:fill="E6E6E6"/>
          </w:tcPr>
          <w:p>
            <w:pPr>
              <w:jc w:val="right"/>
              <w:spacing w:after="0"/>
              <w:rPr>
                <w:sz w:val="20"/>
                <w:szCs w:val="20"/>
                <w:color w:val="auto"/>
              </w:rPr>
            </w:pPr>
            <w:r>
              <w:rPr>
                <w:rFonts w:ascii="Arial" w:cs="Arial" w:eastAsia="Arial" w:hAnsi="Arial"/>
                <w:sz w:val="16"/>
                <w:szCs w:val="16"/>
                <w:color w:val="auto"/>
              </w:rPr>
              <w:t>2039</w:t>
            </w:r>
          </w:p>
        </w:tc>
        <w:tc>
          <w:tcPr>
            <w:tcW w:w="0" w:type="dxa"/>
            <w:vAlign w:val="bottom"/>
          </w:tcPr>
          <w:p>
            <w:pPr>
              <w:spacing w:after="0"/>
              <w:rPr>
                <w:sz w:val="1"/>
                <w:szCs w:val="1"/>
                <w:color w:val="auto"/>
              </w:rPr>
            </w:pPr>
          </w:p>
        </w:tc>
      </w:tr>
      <w:tr>
        <w:trPr>
          <w:trHeight w:val="223"/>
        </w:trPr>
        <w:tc>
          <w:tcPr>
            <w:tcW w:w="1640" w:type="dxa"/>
            <w:vAlign w:val="bottom"/>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300" w:type="dxa"/>
            <w:vAlign w:val="bottom"/>
            <w:gridSpan w:val="2"/>
            <w:shd w:val="clear" w:color="auto" w:fill="E6E6E6"/>
          </w:tcPr>
          <w:p>
            <w:pPr>
              <w:ind w:left="40"/>
              <w:spacing w:after="0"/>
              <w:rPr>
                <w:sz w:val="20"/>
                <w:szCs w:val="20"/>
                <w:color w:val="auto"/>
              </w:rPr>
            </w:pPr>
            <w:r>
              <w:rPr>
                <w:rFonts w:ascii="Arial" w:cs="Arial" w:eastAsia="Arial" w:hAnsi="Arial"/>
                <w:sz w:val="16"/>
                <w:szCs w:val="16"/>
                <w:color w:val="auto"/>
              </w:rPr>
              <w:t>CA</w:t>
            </w:r>
          </w:p>
        </w:tc>
        <w:tc>
          <w:tcPr>
            <w:tcW w:w="620" w:type="dxa"/>
            <w:vAlign w:val="bottom"/>
            <w:vMerge w:val="continue"/>
            <w:shd w:val="clear" w:color="auto" w:fill="E6E6E6"/>
          </w:tcPr>
          <w:p>
            <w:pPr>
              <w:spacing w:after="0"/>
              <w:rPr>
                <w:sz w:val="19"/>
                <w:szCs w:val="19"/>
                <w:color w:val="auto"/>
              </w:rPr>
            </w:pPr>
          </w:p>
        </w:tc>
        <w:tc>
          <w:tcPr>
            <w:tcW w:w="740" w:type="dxa"/>
            <w:vAlign w:val="bottom"/>
            <w:gridSpan w:val="3"/>
            <w:vMerge w:val="continue"/>
            <w:shd w:val="clear" w:color="auto" w:fill="E6E6E6"/>
          </w:tcPr>
          <w:p>
            <w:pPr>
              <w:spacing w:after="0"/>
              <w:rPr>
                <w:sz w:val="19"/>
                <w:szCs w:val="19"/>
                <w:color w:val="auto"/>
              </w:rPr>
            </w:pPr>
          </w:p>
        </w:tc>
        <w:tc>
          <w:tcPr>
            <w:tcW w:w="800" w:type="dxa"/>
            <w:vAlign w:val="bottom"/>
            <w:gridSpan w:val="2"/>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940" w:type="dxa"/>
            <w:vAlign w:val="bottom"/>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260" w:type="dxa"/>
            <w:vAlign w:val="bottom"/>
            <w:gridSpan w:val="2"/>
            <w:vMerge w:val="continue"/>
            <w:shd w:val="clear" w:color="auto" w:fill="E6E6E6"/>
          </w:tcPr>
          <w:p>
            <w:pPr>
              <w:spacing w:after="0"/>
              <w:rPr>
                <w:sz w:val="19"/>
                <w:szCs w:val="19"/>
                <w:color w:val="auto"/>
              </w:rPr>
            </w:pPr>
          </w:p>
        </w:tc>
        <w:tc>
          <w:tcPr>
            <w:tcW w:w="1640" w:type="dxa"/>
            <w:vAlign w:val="bottom"/>
            <w:vMerge w:val="continue"/>
            <w:shd w:val="clear" w:color="auto" w:fill="E6E6E6"/>
          </w:tcPr>
          <w:p>
            <w:pPr>
              <w:spacing w:after="0"/>
              <w:rPr>
                <w:sz w:val="19"/>
                <w:szCs w:val="19"/>
                <w:color w:val="auto"/>
              </w:rPr>
            </w:pPr>
          </w:p>
        </w:tc>
        <w:tc>
          <w:tcPr>
            <w:tcW w:w="1020" w:type="dxa"/>
            <w:vAlign w:val="bottom"/>
            <w:gridSpan w:val="2"/>
            <w:vMerge w:val="continue"/>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640" w:type="dxa"/>
            <w:vAlign w:val="bottom"/>
          </w:tcPr>
          <w:p>
            <w:pPr>
              <w:ind w:left="40"/>
              <w:spacing w:after="0"/>
              <w:rPr>
                <w:sz w:val="20"/>
                <w:szCs w:val="20"/>
                <w:color w:val="auto"/>
              </w:rPr>
            </w:pPr>
            <w:r>
              <w:rPr>
                <w:rFonts w:ascii="Arial" w:cs="Arial" w:eastAsia="Arial" w:hAnsi="Arial"/>
                <w:sz w:val="16"/>
                <w:szCs w:val="16"/>
                <w:color w:val="auto"/>
              </w:rPr>
              <w:t>Kansas South</w:t>
            </w:r>
          </w:p>
        </w:tc>
        <w:tc>
          <w:tcPr>
            <w:tcW w:w="80" w:type="dxa"/>
            <w:vAlign w:val="bottom"/>
          </w:tcPr>
          <w:p>
            <w:pPr>
              <w:spacing w:after="0"/>
              <w:rPr>
                <w:sz w:val="21"/>
                <w:szCs w:val="21"/>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color w:val="auto"/>
              </w:rPr>
              <w:t>Lemoore, CA</w:t>
            </w:r>
          </w:p>
        </w:tc>
        <w:tc>
          <w:tcPr>
            <w:tcW w:w="620" w:type="dxa"/>
            <w:vAlign w:val="bottom"/>
          </w:tcPr>
          <w:p>
            <w:pPr>
              <w:jc w:val="right"/>
              <w:spacing w:after="0"/>
              <w:rPr>
                <w:sz w:val="20"/>
                <w:szCs w:val="20"/>
                <w:color w:val="auto"/>
              </w:rPr>
            </w:pPr>
            <w:r>
              <w:rPr>
                <w:rFonts w:ascii="Arial" w:cs="Arial" w:eastAsia="Arial" w:hAnsi="Arial"/>
                <w:sz w:val="16"/>
                <w:szCs w:val="16"/>
                <w:color w:val="auto"/>
              </w:rPr>
              <w:t>20</w:t>
            </w: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20</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21"/>
                <w:szCs w:val="21"/>
                <w:color w:val="auto"/>
              </w:rPr>
            </w:pPr>
          </w:p>
        </w:tc>
        <w:tc>
          <w:tcPr>
            <w:tcW w:w="940" w:type="dxa"/>
            <w:vAlign w:val="bottom"/>
          </w:tcPr>
          <w:p>
            <w:pPr>
              <w:ind w:left="60"/>
              <w:spacing w:after="0"/>
              <w:rPr>
                <w:sz w:val="20"/>
                <w:szCs w:val="20"/>
                <w:color w:val="auto"/>
              </w:rPr>
            </w:pPr>
            <w:r>
              <w:rPr>
                <w:rFonts w:ascii="Arial" w:cs="Arial" w:eastAsia="Arial" w:hAnsi="Arial"/>
                <w:sz w:val="16"/>
                <w:szCs w:val="16"/>
                <w:color w:val="auto"/>
              </w:rPr>
              <w:t>Solar</w:t>
            </w:r>
          </w:p>
        </w:tc>
        <w:tc>
          <w:tcPr>
            <w:tcW w:w="80" w:type="dxa"/>
            <w:vAlign w:val="bottom"/>
          </w:tcPr>
          <w:p>
            <w:pPr>
              <w:spacing w:after="0"/>
              <w:rPr>
                <w:sz w:val="21"/>
                <w:szCs w:val="21"/>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June 2013</w:t>
            </w:r>
          </w:p>
        </w:tc>
        <w:tc>
          <w:tcPr>
            <w:tcW w:w="1640" w:type="dxa"/>
            <w:vAlign w:val="bottom"/>
          </w:tcPr>
          <w:p>
            <w:pPr>
              <w:ind w:left="60"/>
              <w:spacing w:after="0"/>
              <w:rPr>
                <w:sz w:val="20"/>
                <w:szCs w:val="20"/>
                <w:color w:val="auto"/>
              </w:rPr>
            </w:pPr>
            <w:r>
              <w:rPr>
                <w:rFonts w:ascii="Arial" w:cs="Arial" w:eastAsia="Arial" w:hAnsi="Arial"/>
                <w:sz w:val="16"/>
                <w:szCs w:val="16"/>
                <w:color w:val="auto"/>
              </w:rPr>
              <w:t>PG&amp;E</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2033</w:t>
            </w:r>
          </w:p>
        </w:tc>
        <w:tc>
          <w:tcPr>
            <w:tcW w:w="0" w:type="dxa"/>
            <w:vAlign w:val="bottom"/>
          </w:tcPr>
          <w:p>
            <w:pPr>
              <w:spacing w:after="0"/>
              <w:rPr>
                <w:sz w:val="1"/>
                <w:szCs w:val="1"/>
                <w:color w:val="auto"/>
              </w:rPr>
            </w:pPr>
          </w:p>
        </w:tc>
      </w:tr>
      <w:tr>
        <w:trPr>
          <w:trHeight w:val="203"/>
        </w:trPr>
        <w:tc>
          <w:tcPr>
            <w:tcW w:w="1640" w:type="dxa"/>
            <w:vAlign w:val="bottom"/>
            <w:vMerge w:val="restart"/>
            <w:shd w:val="clear" w:color="auto" w:fill="E6E6E6"/>
          </w:tcPr>
          <w:p>
            <w:pPr>
              <w:ind w:left="40"/>
              <w:spacing w:after="0"/>
              <w:rPr>
                <w:sz w:val="20"/>
                <w:szCs w:val="20"/>
                <w:color w:val="auto"/>
              </w:rPr>
            </w:pPr>
            <w:r>
              <w:rPr>
                <w:rFonts w:ascii="Arial" w:cs="Arial" w:eastAsia="Arial" w:hAnsi="Arial"/>
                <w:sz w:val="16"/>
                <w:szCs w:val="16"/>
                <w:color w:val="auto"/>
              </w:rPr>
              <w:t xml:space="preserve">Mililani I </w:t>
            </w:r>
            <w:r>
              <w:rPr>
                <w:rFonts w:ascii="Arial" w:cs="Arial" w:eastAsia="Arial" w:hAnsi="Arial"/>
                <w:sz w:val="20"/>
                <w:szCs w:val="20"/>
                <w:color w:val="auto"/>
                <w:vertAlign w:val="superscript"/>
              </w:rPr>
              <w:t>(b)</w:t>
            </w:r>
          </w:p>
        </w:tc>
        <w:tc>
          <w:tcPr>
            <w:tcW w:w="80" w:type="dxa"/>
            <w:vAlign w:val="bottom"/>
            <w:shd w:val="clear" w:color="auto" w:fill="E6E6E6"/>
          </w:tcPr>
          <w:p>
            <w:pPr>
              <w:spacing w:after="0"/>
              <w:rPr>
                <w:sz w:val="17"/>
                <w:szCs w:val="17"/>
                <w:color w:val="auto"/>
              </w:rPr>
            </w:pPr>
          </w:p>
        </w:tc>
        <w:tc>
          <w:tcPr>
            <w:tcW w:w="1300" w:type="dxa"/>
            <w:vAlign w:val="bottom"/>
            <w:gridSpan w:val="2"/>
            <w:vMerge w:val="restart"/>
            <w:shd w:val="clear" w:color="auto" w:fill="E6E6E6"/>
          </w:tcPr>
          <w:p>
            <w:pPr>
              <w:ind w:left="40"/>
              <w:spacing w:after="0"/>
              <w:rPr>
                <w:sz w:val="20"/>
                <w:szCs w:val="20"/>
                <w:color w:val="auto"/>
              </w:rPr>
            </w:pPr>
            <w:r>
              <w:rPr>
                <w:rFonts w:ascii="Arial" w:cs="Arial" w:eastAsia="Arial" w:hAnsi="Arial"/>
                <w:sz w:val="16"/>
                <w:szCs w:val="16"/>
                <w:color w:val="auto"/>
              </w:rPr>
              <w:t>Honolulu, HI</w:t>
            </w:r>
          </w:p>
        </w:tc>
        <w:tc>
          <w:tcPr>
            <w:tcW w:w="62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39</w:t>
            </w:r>
          </w:p>
        </w:tc>
        <w:tc>
          <w:tcPr>
            <w:tcW w:w="740" w:type="dxa"/>
            <w:vAlign w:val="bottom"/>
            <w:gridSpan w:val="3"/>
            <w:vMerge w:val="restart"/>
            <w:shd w:val="clear" w:color="auto" w:fill="E6E6E6"/>
          </w:tcPr>
          <w:p>
            <w:pPr>
              <w:jc w:val="right"/>
              <w:spacing w:after="0"/>
              <w:rPr>
                <w:sz w:val="20"/>
                <w:szCs w:val="20"/>
                <w:color w:val="auto"/>
              </w:rPr>
            </w:pPr>
            <w:r>
              <w:rPr>
                <w:rFonts w:ascii="Arial" w:cs="Arial" w:eastAsia="Arial" w:hAnsi="Arial"/>
                <w:sz w:val="16"/>
                <w:szCs w:val="16"/>
                <w:color w:val="auto"/>
              </w:rPr>
              <w:t>20</w:t>
            </w:r>
          </w:p>
        </w:tc>
        <w:tc>
          <w:tcPr>
            <w:tcW w:w="800" w:type="dxa"/>
            <w:vAlign w:val="bottom"/>
            <w:gridSpan w:val="2"/>
            <w:vMerge w:val="restart"/>
            <w:shd w:val="clear" w:color="auto" w:fill="E6E6E6"/>
          </w:tcPr>
          <w:p>
            <w:pPr>
              <w:jc w:val="right"/>
              <w:spacing w:after="0"/>
              <w:rPr>
                <w:sz w:val="20"/>
                <w:szCs w:val="20"/>
                <w:color w:val="auto"/>
              </w:rPr>
            </w:pPr>
            <w:r>
              <w:rPr>
                <w:rFonts w:ascii="Arial" w:cs="Arial" w:eastAsia="Arial" w:hAnsi="Arial"/>
                <w:sz w:val="16"/>
                <w:szCs w:val="16"/>
                <w:color w:val="auto"/>
              </w:rPr>
              <w:t>50 %</w:t>
            </w:r>
          </w:p>
        </w:tc>
        <w:tc>
          <w:tcPr>
            <w:tcW w:w="80" w:type="dxa"/>
            <w:vAlign w:val="bottom"/>
            <w:shd w:val="clear" w:color="auto" w:fill="E6E6E6"/>
          </w:tcPr>
          <w:p>
            <w:pPr>
              <w:spacing w:after="0"/>
              <w:rPr>
                <w:sz w:val="17"/>
                <w:szCs w:val="17"/>
                <w:color w:val="auto"/>
              </w:rPr>
            </w:pPr>
          </w:p>
        </w:tc>
        <w:tc>
          <w:tcPr>
            <w:tcW w:w="940" w:type="dxa"/>
            <w:vAlign w:val="bottom"/>
            <w:vMerge w:val="restart"/>
            <w:shd w:val="clear" w:color="auto" w:fill="E6E6E6"/>
          </w:tcPr>
          <w:p>
            <w:pPr>
              <w:ind w:left="60"/>
              <w:spacing w:after="0"/>
              <w:rPr>
                <w:sz w:val="20"/>
                <w:szCs w:val="20"/>
                <w:color w:val="auto"/>
              </w:rPr>
            </w:pPr>
            <w:r>
              <w:rPr>
                <w:rFonts w:ascii="Arial" w:cs="Arial" w:eastAsia="Arial" w:hAnsi="Arial"/>
                <w:sz w:val="16"/>
                <w:szCs w:val="16"/>
                <w:color w:val="auto"/>
              </w:rPr>
              <w:t>Solar</w:t>
            </w:r>
          </w:p>
        </w:tc>
        <w:tc>
          <w:tcPr>
            <w:tcW w:w="80" w:type="dxa"/>
            <w:vAlign w:val="bottom"/>
            <w:shd w:val="clear" w:color="auto" w:fill="E6E6E6"/>
          </w:tcPr>
          <w:p>
            <w:pPr>
              <w:spacing w:after="0"/>
              <w:rPr>
                <w:sz w:val="17"/>
                <w:szCs w:val="17"/>
                <w:color w:val="auto"/>
              </w:rPr>
            </w:pPr>
          </w:p>
        </w:tc>
        <w:tc>
          <w:tcPr>
            <w:tcW w:w="1260" w:type="dxa"/>
            <w:vAlign w:val="bottom"/>
            <w:gridSpan w:val="2"/>
            <w:vMerge w:val="restart"/>
            <w:shd w:val="clear" w:color="auto" w:fill="E6E6E6"/>
          </w:tcPr>
          <w:p>
            <w:pPr>
              <w:ind w:left="60"/>
              <w:spacing w:after="0"/>
              <w:rPr>
                <w:sz w:val="20"/>
                <w:szCs w:val="20"/>
                <w:color w:val="auto"/>
              </w:rPr>
            </w:pPr>
            <w:r>
              <w:rPr>
                <w:rFonts w:ascii="Arial" w:cs="Arial" w:eastAsia="Arial" w:hAnsi="Arial"/>
                <w:sz w:val="16"/>
                <w:szCs w:val="16"/>
                <w:color w:val="auto"/>
              </w:rPr>
              <w:t>July 2022</w:t>
            </w:r>
          </w:p>
        </w:tc>
        <w:tc>
          <w:tcPr>
            <w:tcW w:w="1640" w:type="dxa"/>
            <w:vAlign w:val="bottom"/>
            <w:shd w:val="clear" w:color="auto" w:fill="E6E6E6"/>
          </w:tcPr>
          <w:p>
            <w:pPr>
              <w:ind w:left="60"/>
              <w:spacing w:after="0"/>
              <w:rPr>
                <w:sz w:val="20"/>
                <w:szCs w:val="20"/>
                <w:color w:val="auto"/>
              </w:rPr>
            </w:pPr>
            <w:r>
              <w:rPr>
                <w:rFonts w:ascii="Arial" w:cs="Arial" w:eastAsia="Arial" w:hAnsi="Arial"/>
                <w:sz w:val="16"/>
                <w:szCs w:val="16"/>
                <w:color w:val="auto"/>
              </w:rPr>
              <w:t>Hawaiian Electric</w:t>
            </w:r>
          </w:p>
        </w:tc>
        <w:tc>
          <w:tcPr>
            <w:tcW w:w="1020" w:type="dxa"/>
            <w:vAlign w:val="bottom"/>
            <w:gridSpan w:val="2"/>
            <w:vMerge w:val="restart"/>
            <w:shd w:val="clear" w:color="auto" w:fill="E6E6E6"/>
          </w:tcPr>
          <w:p>
            <w:pPr>
              <w:jc w:val="right"/>
              <w:spacing w:after="0"/>
              <w:rPr>
                <w:sz w:val="20"/>
                <w:szCs w:val="20"/>
                <w:color w:val="auto"/>
              </w:rPr>
            </w:pPr>
            <w:r>
              <w:rPr>
                <w:rFonts w:ascii="Arial" w:cs="Arial" w:eastAsia="Arial" w:hAnsi="Arial"/>
                <w:sz w:val="16"/>
                <w:szCs w:val="16"/>
                <w:color w:val="auto"/>
              </w:rPr>
              <w:t>2042</w:t>
            </w:r>
          </w:p>
        </w:tc>
        <w:tc>
          <w:tcPr>
            <w:tcW w:w="0" w:type="dxa"/>
            <w:vAlign w:val="bottom"/>
          </w:tcPr>
          <w:p>
            <w:pPr>
              <w:spacing w:after="0"/>
              <w:rPr>
                <w:sz w:val="1"/>
                <w:szCs w:val="1"/>
                <w:color w:val="auto"/>
              </w:rPr>
            </w:pPr>
          </w:p>
        </w:tc>
      </w:tr>
      <w:tr>
        <w:trPr>
          <w:trHeight w:val="223"/>
        </w:trPr>
        <w:tc>
          <w:tcPr>
            <w:tcW w:w="1640" w:type="dxa"/>
            <w:vAlign w:val="bottom"/>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300" w:type="dxa"/>
            <w:vAlign w:val="bottom"/>
            <w:gridSpan w:val="2"/>
            <w:vMerge w:val="continue"/>
            <w:shd w:val="clear" w:color="auto" w:fill="E6E6E6"/>
          </w:tcPr>
          <w:p>
            <w:pPr>
              <w:spacing w:after="0"/>
              <w:rPr>
                <w:sz w:val="19"/>
                <w:szCs w:val="19"/>
                <w:color w:val="auto"/>
              </w:rPr>
            </w:pPr>
          </w:p>
        </w:tc>
        <w:tc>
          <w:tcPr>
            <w:tcW w:w="620" w:type="dxa"/>
            <w:vAlign w:val="bottom"/>
            <w:vMerge w:val="continue"/>
            <w:shd w:val="clear" w:color="auto" w:fill="E6E6E6"/>
          </w:tcPr>
          <w:p>
            <w:pPr>
              <w:spacing w:after="0"/>
              <w:rPr>
                <w:sz w:val="19"/>
                <w:szCs w:val="19"/>
                <w:color w:val="auto"/>
              </w:rPr>
            </w:pPr>
          </w:p>
        </w:tc>
        <w:tc>
          <w:tcPr>
            <w:tcW w:w="740" w:type="dxa"/>
            <w:vAlign w:val="bottom"/>
            <w:gridSpan w:val="3"/>
            <w:vMerge w:val="continue"/>
            <w:shd w:val="clear" w:color="auto" w:fill="E6E6E6"/>
          </w:tcPr>
          <w:p>
            <w:pPr>
              <w:spacing w:after="0"/>
              <w:rPr>
                <w:sz w:val="19"/>
                <w:szCs w:val="19"/>
                <w:color w:val="auto"/>
              </w:rPr>
            </w:pPr>
          </w:p>
        </w:tc>
        <w:tc>
          <w:tcPr>
            <w:tcW w:w="800" w:type="dxa"/>
            <w:vAlign w:val="bottom"/>
            <w:gridSpan w:val="2"/>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940" w:type="dxa"/>
            <w:vAlign w:val="bottom"/>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260" w:type="dxa"/>
            <w:vAlign w:val="bottom"/>
            <w:gridSpan w:val="2"/>
            <w:vMerge w:val="continue"/>
            <w:shd w:val="clear" w:color="auto" w:fill="E6E6E6"/>
          </w:tcPr>
          <w:p>
            <w:pPr>
              <w:spacing w:after="0"/>
              <w:rPr>
                <w:sz w:val="19"/>
                <w:szCs w:val="19"/>
                <w:color w:val="auto"/>
              </w:rPr>
            </w:pPr>
          </w:p>
        </w:tc>
        <w:tc>
          <w:tcPr>
            <w:tcW w:w="1640" w:type="dxa"/>
            <w:vAlign w:val="bottom"/>
            <w:shd w:val="clear" w:color="auto" w:fill="E6E6E6"/>
          </w:tcPr>
          <w:p>
            <w:pPr>
              <w:ind w:left="60"/>
              <w:spacing w:after="0"/>
              <w:rPr>
                <w:sz w:val="20"/>
                <w:szCs w:val="20"/>
                <w:color w:val="auto"/>
              </w:rPr>
            </w:pPr>
            <w:r>
              <w:rPr>
                <w:rFonts w:ascii="Arial" w:cs="Arial" w:eastAsia="Arial" w:hAnsi="Arial"/>
                <w:sz w:val="16"/>
                <w:szCs w:val="16"/>
                <w:color w:val="auto"/>
              </w:rPr>
              <w:t>Company</w:t>
            </w:r>
          </w:p>
        </w:tc>
        <w:tc>
          <w:tcPr>
            <w:tcW w:w="1020" w:type="dxa"/>
            <w:vAlign w:val="bottom"/>
            <w:gridSpan w:val="2"/>
            <w:vMerge w:val="continue"/>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39</w:t>
            </w: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20</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50 %</w:t>
            </w:r>
          </w:p>
        </w:tc>
        <w:tc>
          <w:tcPr>
            <w:tcW w:w="80" w:type="dxa"/>
            <w:vAlign w:val="bottom"/>
          </w:tcPr>
          <w:p>
            <w:pPr>
              <w:spacing w:after="0"/>
              <w:rPr>
                <w:sz w:val="21"/>
                <w:szCs w:val="21"/>
                <w:color w:val="auto"/>
              </w:rPr>
            </w:pPr>
          </w:p>
        </w:tc>
        <w:tc>
          <w:tcPr>
            <w:tcW w:w="940" w:type="dxa"/>
            <w:vAlign w:val="bottom"/>
          </w:tcPr>
          <w:p>
            <w:pPr>
              <w:ind w:left="60"/>
              <w:spacing w:after="0"/>
              <w:rPr>
                <w:sz w:val="20"/>
                <w:szCs w:val="20"/>
                <w:color w:val="auto"/>
              </w:rPr>
            </w:pPr>
            <w:r>
              <w:rPr>
                <w:rFonts w:ascii="Arial" w:cs="Arial" w:eastAsia="Arial" w:hAnsi="Arial"/>
                <w:sz w:val="16"/>
                <w:szCs w:val="16"/>
                <w:color w:val="auto"/>
              </w:rPr>
              <w:t>BESS</w:t>
            </w: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640" w:type="dxa"/>
            <w:vAlign w:val="bottom"/>
            <w:vMerge w:val="restart"/>
            <w:shd w:val="clear" w:color="auto" w:fill="E6E6E6"/>
          </w:tcPr>
          <w:p>
            <w:pPr>
              <w:ind w:left="40"/>
              <w:spacing w:after="0"/>
              <w:rPr>
                <w:sz w:val="20"/>
                <w:szCs w:val="20"/>
                <w:color w:val="auto"/>
              </w:rPr>
            </w:pPr>
            <w:r>
              <w:rPr>
                <w:rFonts w:ascii="Arial" w:cs="Arial" w:eastAsia="Arial" w:hAnsi="Arial"/>
                <w:sz w:val="16"/>
                <w:szCs w:val="16"/>
                <w:color w:val="auto"/>
                <w:w w:val="96"/>
              </w:rPr>
              <w:t xml:space="preserve">Oahu Solar Projects </w:t>
            </w:r>
            <w:r>
              <w:rPr>
                <w:rFonts w:ascii="Arial" w:cs="Arial" w:eastAsia="Arial" w:hAnsi="Arial"/>
                <w:sz w:val="20"/>
                <w:szCs w:val="20"/>
                <w:color w:val="auto"/>
                <w:w w:val="96"/>
                <w:vertAlign w:val="superscript"/>
              </w:rPr>
              <w:t>(b)</w:t>
            </w:r>
          </w:p>
        </w:tc>
        <w:tc>
          <w:tcPr>
            <w:tcW w:w="80" w:type="dxa"/>
            <w:vAlign w:val="bottom"/>
            <w:shd w:val="clear" w:color="auto" w:fill="E6E6E6"/>
          </w:tcPr>
          <w:p>
            <w:pPr>
              <w:spacing w:after="0"/>
              <w:rPr>
                <w:sz w:val="17"/>
                <w:szCs w:val="17"/>
                <w:color w:val="auto"/>
              </w:rPr>
            </w:pPr>
          </w:p>
        </w:tc>
        <w:tc>
          <w:tcPr>
            <w:tcW w:w="1300" w:type="dxa"/>
            <w:vAlign w:val="bottom"/>
            <w:gridSpan w:val="2"/>
            <w:vMerge w:val="restart"/>
            <w:shd w:val="clear" w:color="auto" w:fill="E6E6E6"/>
          </w:tcPr>
          <w:p>
            <w:pPr>
              <w:ind w:left="40"/>
              <w:spacing w:after="0"/>
              <w:rPr>
                <w:sz w:val="20"/>
                <w:szCs w:val="20"/>
                <w:color w:val="auto"/>
              </w:rPr>
            </w:pPr>
            <w:r>
              <w:rPr>
                <w:rFonts w:ascii="Arial" w:cs="Arial" w:eastAsia="Arial" w:hAnsi="Arial"/>
                <w:sz w:val="16"/>
                <w:szCs w:val="16"/>
                <w:color w:val="auto"/>
              </w:rPr>
              <w:t>Oahu, HI</w:t>
            </w:r>
          </w:p>
        </w:tc>
        <w:tc>
          <w:tcPr>
            <w:tcW w:w="62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61</w:t>
            </w:r>
          </w:p>
        </w:tc>
        <w:tc>
          <w:tcPr>
            <w:tcW w:w="740" w:type="dxa"/>
            <w:vAlign w:val="bottom"/>
            <w:gridSpan w:val="3"/>
            <w:vMerge w:val="restart"/>
            <w:shd w:val="clear" w:color="auto" w:fill="E6E6E6"/>
          </w:tcPr>
          <w:p>
            <w:pPr>
              <w:jc w:val="right"/>
              <w:spacing w:after="0"/>
              <w:rPr>
                <w:sz w:val="20"/>
                <w:szCs w:val="20"/>
                <w:color w:val="auto"/>
              </w:rPr>
            </w:pPr>
            <w:r>
              <w:rPr>
                <w:rFonts w:ascii="Arial" w:cs="Arial" w:eastAsia="Arial" w:hAnsi="Arial"/>
                <w:sz w:val="16"/>
                <w:szCs w:val="16"/>
                <w:color w:val="auto"/>
              </w:rPr>
              <w:t>61</w:t>
            </w:r>
          </w:p>
        </w:tc>
        <w:tc>
          <w:tcPr>
            <w:tcW w:w="800" w:type="dxa"/>
            <w:vAlign w:val="bottom"/>
            <w:gridSpan w:val="2"/>
            <w:vMerge w:val="restart"/>
            <w:shd w:val="clear" w:color="auto" w:fill="E6E6E6"/>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E6E6E6"/>
          </w:tcPr>
          <w:p>
            <w:pPr>
              <w:spacing w:after="0"/>
              <w:rPr>
                <w:sz w:val="17"/>
                <w:szCs w:val="17"/>
                <w:color w:val="auto"/>
              </w:rPr>
            </w:pPr>
          </w:p>
        </w:tc>
        <w:tc>
          <w:tcPr>
            <w:tcW w:w="940" w:type="dxa"/>
            <w:vAlign w:val="bottom"/>
            <w:vMerge w:val="restart"/>
            <w:shd w:val="clear" w:color="auto" w:fill="E6E6E6"/>
          </w:tcPr>
          <w:p>
            <w:pPr>
              <w:ind w:left="60"/>
              <w:spacing w:after="0"/>
              <w:rPr>
                <w:sz w:val="20"/>
                <w:szCs w:val="20"/>
                <w:color w:val="auto"/>
              </w:rPr>
            </w:pPr>
            <w:r>
              <w:rPr>
                <w:rFonts w:ascii="Arial" w:cs="Arial" w:eastAsia="Arial" w:hAnsi="Arial"/>
                <w:sz w:val="16"/>
                <w:szCs w:val="16"/>
                <w:color w:val="auto"/>
              </w:rPr>
              <w:t>Solar</w:t>
            </w:r>
          </w:p>
        </w:tc>
        <w:tc>
          <w:tcPr>
            <w:tcW w:w="80" w:type="dxa"/>
            <w:vAlign w:val="bottom"/>
            <w:shd w:val="clear" w:color="auto" w:fill="E6E6E6"/>
          </w:tcPr>
          <w:p>
            <w:pPr>
              <w:spacing w:after="0"/>
              <w:rPr>
                <w:sz w:val="17"/>
                <w:szCs w:val="17"/>
                <w:color w:val="auto"/>
              </w:rPr>
            </w:pPr>
          </w:p>
        </w:tc>
        <w:tc>
          <w:tcPr>
            <w:tcW w:w="1260" w:type="dxa"/>
            <w:vAlign w:val="bottom"/>
            <w:gridSpan w:val="2"/>
            <w:vMerge w:val="restart"/>
            <w:shd w:val="clear" w:color="auto" w:fill="E6E6E6"/>
          </w:tcPr>
          <w:p>
            <w:pPr>
              <w:ind w:left="60"/>
              <w:spacing w:after="0"/>
              <w:rPr>
                <w:sz w:val="20"/>
                <w:szCs w:val="20"/>
                <w:color w:val="auto"/>
              </w:rPr>
            </w:pPr>
            <w:r>
              <w:rPr>
                <w:rFonts w:ascii="Arial" w:cs="Arial" w:eastAsia="Arial" w:hAnsi="Arial"/>
                <w:sz w:val="16"/>
                <w:szCs w:val="16"/>
                <w:color w:val="auto"/>
                <w:w w:val="99"/>
              </w:rPr>
              <w:t>September 2019</w:t>
            </w:r>
          </w:p>
        </w:tc>
        <w:tc>
          <w:tcPr>
            <w:tcW w:w="1640" w:type="dxa"/>
            <w:vAlign w:val="bottom"/>
            <w:shd w:val="clear" w:color="auto" w:fill="E6E6E6"/>
          </w:tcPr>
          <w:p>
            <w:pPr>
              <w:ind w:left="60"/>
              <w:spacing w:after="0"/>
              <w:rPr>
                <w:sz w:val="20"/>
                <w:szCs w:val="20"/>
                <w:color w:val="auto"/>
              </w:rPr>
            </w:pPr>
            <w:r>
              <w:rPr>
                <w:rFonts w:ascii="Arial" w:cs="Arial" w:eastAsia="Arial" w:hAnsi="Arial"/>
                <w:sz w:val="16"/>
                <w:szCs w:val="16"/>
                <w:color w:val="auto"/>
              </w:rPr>
              <w:t>Hawaiian Electric</w:t>
            </w:r>
          </w:p>
        </w:tc>
        <w:tc>
          <w:tcPr>
            <w:tcW w:w="1020" w:type="dxa"/>
            <w:vAlign w:val="bottom"/>
            <w:gridSpan w:val="2"/>
            <w:vMerge w:val="restart"/>
            <w:shd w:val="clear" w:color="auto" w:fill="E6E6E6"/>
          </w:tcPr>
          <w:p>
            <w:pPr>
              <w:jc w:val="right"/>
              <w:spacing w:after="0"/>
              <w:rPr>
                <w:sz w:val="20"/>
                <w:szCs w:val="20"/>
                <w:color w:val="auto"/>
              </w:rPr>
            </w:pPr>
            <w:r>
              <w:rPr>
                <w:rFonts w:ascii="Arial" w:cs="Arial" w:eastAsia="Arial" w:hAnsi="Arial"/>
                <w:sz w:val="16"/>
                <w:szCs w:val="16"/>
                <w:color w:val="auto"/>
              </w:rPr>
              <w:t>2041</w:t>
            </w:r>
          </w:p>
        </w:tc>
        <w:tc>
          <w:tcPr>
            <w:tcW w:w="0" w:type="dxa"/>
            <w:vAlign w:val="bottom"/>
          </w:tcPr>
          <w:p>
            <w:pPr>
              <w:spacing w:after="0"/>
              <w:rPr>
                <w:sz w:val="1"/>
                <w:szCs w:val="1"/>
                <w:color w:val="auto"/>
              </w:rPr>
            </w:pPr>
          </w:p>
        </w:tc>
      </w:tr>
      <w:tr>
        <w:trPr>
          <w:trHeight w:val="223"/>
        </w:trPr>
        <w:tc>
          <w:tcPr>
            <w:tcW w:w="1640" w:type="dxa"/>
            <w:vAlign w:val="bottom"/>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300" w:type="dxa"/>
            <w:vAlign w:val="bottom"/>
            <w:gridSpan w:val="2"/>
            <w:vMerge w:val="continue"/>
            <w:shd w:val="clear" w:color="auto" w:fill="E6E6E6"/>
          </w:tcPr>
          <w:p>
            <w:pPr>
              <w:spacing w:after="0"/>
              <w:rPr>
                <w:sz w:val="19"/>
                <w:szCs w:val="19"/>
                <w:color w:val="auto"/>
              </w:rPr>
            </w:pPr>
          </w:p>
        </w:tc>
        <w:tc>
          <w:tcPr>
            <w:tcW w:w="620" w:type="dxa"/>
            <w:vAlign w:val="bottom"/>
            <w:vMerge w:val="continue"/>
            <w:shd w:val="clear" w:color="auto" w:fill="E6E6E6"/>
          </w:tcPr>
          <w:p>
            <w:pPr>
              <w:spacing w:after="0"/>
              <w:rPr>
                <w:sz w:val="19"/>
                <w:szCs w:val="19"/>
                <w:color w:val="auto"/>
              </w:rPr>
            </w:pPr>
          </w:p>
        </w:tc>
        <w:tc>
          <w:tcPr>
            <w:tcW w:w="740" w:type="dxa"/>
            <w:vAlign w:val="bottom"/>
            <w:gridSpan w:val="3"/>
            <w:vMerge w:val="continue"/>
            <w:shd w:val="clear" w:color="auto" w:fill="E6E6E6"/>
          </w:tcPr>
          <w:p>
            <w:pPr>
              <w:spacing w:after="0"/>
              <w:rPr>
                <w:sz w:val="19"/>
                <w:szCs w:val="19"/>
                <w:color w:val="auto"/>
              </w:rPr>
            </w:pPr>
          </w:p>
        </w:tc>
        <w:tc>
          <w:tcPr>
            <w:tcW w:w="800" w:type="dxa"/>
            <w:vAlign w:val="bottom"/>
            <w:gridSpan w:val="2"/>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940" w:type="dxa"/>
            <w:vAlign w:val="bottom"/>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260" w:type="dxa"/>
            <w:vAlign w:val="bottom"/>
            <w:gridSpan w:val="2"/>
            <w:vMerge w:val="continue"/>
            <w:shd w:val="clear" w:color="auto" w:fill="E6E6E6"/>
          </w:tcPr>
          <w:p>
            <w:pPr>
              <w:spacing w:after="0"/>
              <w:rPr>
                <w:sz w:val="19"/>
                <w:szCs w:val="19"/>
                <w:color w:val="auto"/>
              </w:rPr>
            </w:pPr>
          </w:p>
        </w:tc>
        <w:tc>
          <w:tcPr>
            <w:tcW w:w="1640" w:type="dxa"/>
            <w:vAlign w:val="bottom"/>
            <w:shd w:val="clear" w:color="auto" w:fill="E6E6E6"/>
          </w:tcPr>
          <w:p>
            <w:pPr>
              <w:ind w:left="60"/>
              <w:spacing w:after="0"/>
              <w:rPr>
                <w:sz w:val="20"/>
                <w:szCs w:val="20"/>
                <w:color w:val="auto"/>
              </w:rPr>
            </w:pPr>
            <w:r>
              <w:rPr>
                <w:rFonts w:ascii="Arial" w:cs="Arial" w:eastAsia="Arial" w:hAnsi="Arial"/>
                <w:sz w:val="16"/>
                <w:szCs w:val="16"/>
                <w:color w:val="auto"/>
              </w:rPr>
              <w:t>Company</w:t>
            </w:r>
          </w:p>
        </w:tc>
        <w:tc>
          <w:tcPr>
            <w:tcW w:w="1020" w:type="dxa"/>
            <w:vAlign w:val="bottom"/>
            <w:gridSpan w:val="2"/>
            <w:vMerge w:val="continue"/>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640" w:type="dxa"/>
            <w:vAlign w:val="bottom"/>
            <w:vMerge w:val="restart"/>
          </w:tcPr>
          <w:p>
            <w:pPr>
              <w:ind w:left="40"/>
              <w:spacing w:after="0"/>
              <w:rPr>
                <w:sz w:val="20"/>
                <w:szCs w:val="20"/>
                <w:color w:val="auto"/>
              </w:rPr>
            </w:pPr>
            <w:r>
              <w:rPr>
                <w:rFonts w:ascii="Arial" w:cs="Arial" w:eastAsia="Arial" w:hAnsi="Arial"/>
                <w:sz w:val="16"/>
                <w:szCs w:val="16"/>
                <w:color w:val="auto"/>
              </w:rPr>
              <w:t>Roadrunner</w:t>
            </w:r>
          </w:p>
        </w:tc>
        <w:tc>
          <w:tcPr>
            <w:tcW w:w="8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color w:val="auto"/>
              </w:rPr>
              <w:t>Santa Teresa,</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20</w:t>
            </w:r>
          </w:p>
        </w:tc>
        <w:tc>
          <w:tcPr>
            <w:tcW w:w="740" w:type="dxa"/>
            <w:vAlign w:val="bottom"/>
            <w:gridSpan w:val="3"/>
            <w:vMerge w:val="restart"/>
          </w:tcPr>
          <w:p>
            <w:pPr>
              <w:jc w:val="right"/>
              <w:spacing w:after="0"/>
              <w:rPr>
                <w:sz w:val="20"/>
                <w:szCs w:val="20"/>
                <w:color w:val="auto"/>
              </w:rPr>
            </w:pPr>
            <w:r>
              <w:rPr>
                <w:rFonts w:ascii="Arial" w:cs="Arial" w:eastAsia="Arial" w:hAnsi="Arial"/>
                <w:sz w:val="16"/>
                <w:szCs w:val="16"/>
                <w:color w:val="auto"/>
              </w:rPr>
              <w:t>20</w:t>
            </w:r>
          </w:p>
        </w:tc>
        <w:tc>
          <w:tcPr>
            <w:tcW w:w="800" w:type="dxa"/>
            <w:vAlign w:val="bottom"/>
            <w:gridSpan w:val="2"/>
            <w:vMerge w:val="restart"/>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16"/>
                <w:szCs w:val="16"/>
                <w:color w:val="auto"/>
              </w:rPr>
            </w:pPr>
          </w:p>
        </w:tc>
        <w:tc>
          <w:tcPr>
            <w:tcW w:w="940" w:type="dxa"/>
            <w:vAlign w:val="bottom"/>
            <w:vMerge w:val="restart"/>
          </w:tcPr>
          <w:p>
            <w:pPr>
              <w:ind w:left="60"/>
              <w:spacing w:after="0"/>
              <w:rPr>
                <w:sz w:val="20"/>
                <w:szCs w:val="20"/>
                <w:color w:val="auto"/>
              </w:rPr>
            </w:pPr>
            <w:r>
              <w:rPr>
                <w:rFonts w:ascii="Arial" w:cs="Arial" w:eastAsia="Arial" w:hAnsi="Arial"/>
                <w:sz w:val="16"/>
                <w:szCs w:val="16"/>
                <w:color w:val="auto"/>
              </w:rPr>
              <w:t>Solar</w:t>
            </w:r>
          </w:p>
        </w:tc>
        <w:tc>
          <w:tcPr>
            <w:tcW w:w="80" w:type="dxa"/>
            <w:vAlign w:val="bottom"/>
          </w:tcPr>
          <w:p>
            <w:pPr>
              <w:spacing w:after="0"/>
              <w:rPr>
                <w:sz w:val="16"/>
                <w:szCs w:val="16"/>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6"/>
                <w:szCs w:val="16"/>
                <w:color w:val="auto"/>
              </w:rPr>
              <w:t>August 2011</w:t>
            </w:r>
          </w:p>
        </w:tc>
        <w:tc>
          <w:tcPr>
            <w:tcW w:w="1640" w:type="dxa"/>
            <w:vAlign w:val="bottom"/>
            <w:vMerge w:val="restart"/>
          </w:tcPr>
          <w:p>
            <w:pPr>
              <w:ind w:left="60"/>
              <w:spacing w:after="0"/>
              <w:rPr>
                <w:sz w:val="20"/>
                <w:szCs w:val="20"/>
                <w:color w:val="auto"/>
              </w:rPr>
            </w:pPr>
            <w:r>
              <w:rPr>
                <w:rFonts w:ascii="Arial" w:cs="Arial" w:eastAsia="Arial" w:hAnsi="Arial"/>
                <w:sz w:val="16"/>
                <w:szCs w:val="16"/>
                <w:color w:val="auto"/>
              </w:rPr>
              <w:t>El Paso Electric</w:t>
            </w: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color w:val="auto"/>
              </w:rPr>
              <w:t>2031</w:t>
            </w:r>
          </w:p>
        </w:tc>
        <w:tc>
          <w:tcPr>
            <w:tcW w:w="0" w:type="dxa"/>
            <w:vAlign w:val="bottom"/>
          </w:tcPr>
          <w:p>
            <w:pPr>
              <w:spacing w:after="0"/>
              <w:rPr>
                <w:sz w:val="1"/>
                <w:szCs w:val="1"/>
                <w:color w:val="auto"/>
              </w:rPr>
            </w:pPr>
          </w:p>
        </w:tc>
      </w:tr>
      <w:tr>
        <w:trPr>
          <w:trHeight w:val="216"/>
        </w:trPr>
        <w:tc>
          <w:tcPr>
            <w:tcW w:w="1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color w:val="auto"/>
              </w:rPr>
              <w:t>NM</w:t>
            </w:r>
          </w:p>
        </w:tc>
        <w:tc>
          <w:tcPr>
            <w:tcW w:w="620" w:type="dxa"/>
            <w:vAlign w:val="bottom"/>
            <w:vMerge w:val="continue"/>
          </w:tcPr>
          <w:p>
            <w:pPr>
              <w:spacing w:after="0"/>
              <w:rPr>
                <w:sz w:val="18"/>
                <w:szCs w:val="18"/>
                <w:color w:val="auto"/>
              </w:rPr>
            </w:pPr>
          </w:p>
        </w:tc>
        <w:tc>
          <w:tcPr>
            <w:tcW w:w="740" w:type="dxa"/>
            <w:vAlign w:val="bottom"/>
            <w:gridSpan w:val="3"/>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640" w:type="dxa"/>
            <w:vAlign w:val="bottom"/>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640" w:type="dxa"/>
            <w:vAlign w:val="bottom"/>
            <w:shd w:val="clear" w:color="auto" w:fill="E6E6E6"/>
          </w:tcPr>
          <w:p>
            <w:pPr>
              <w:ind w:left="40"/>
              <w:spacing w:after="0"/>
              <w:rPr>
                <w:sz w:val="20"/>
                <w:szCs w:val="20"/>
                <w:color w:val="auto"/>
              </w:rPr>
            </w:pPr>
            <w:r>
              <w:rPr>
                <w:rFonts w:ascii="Arial" w:cs="Arial" w:eastAsia="Arial" w:hAnsi="Arial"/>
                <w:sz w:val="16"/>
                <w:szCs w:val="16"/>
                <w:color w:val="auto"/>
              </w:rPr>
              <w:t xml:space="preserve">Rosamond Central </w:t>
            </w:r>
            <w:r>
              <w:rPr>
                <w:rFonts w:ascii="Arial" w:cs="Arial" w:eastAsia="Arial" w:hAnsi="Arial"/>
                <w:sz w:val="20"/>
                <w:szCs w:val="20"/>
                <w:color w:val="auto"/>
                <w:vertAlign w:val="superscript"/>
              </w:rPr>
              <w:t>(b)</w:t>
            </w:r>
          </w:p>
        </w:tc>
        <w:tc>
          <w:tcPr>
            <w:tcW w:w="80" w:type="dxa"/>
            <w:vAlign w:val="bottom"/>
            <w:shd w:val="clear" w:color="auto" w:fill="E6E6E6"/>
          </w:tcPr>
          <w:p>
            <w:pPr>
              <w:spacing w:after="0"/>
              <w:rPr>
                <w:sz w:val="22"/>
                <w:szCs w:val="22"/>
                <w:color w:val="auto"/>
              </w:rPr>
            </w:pPr>
          </w:p>
        </w:tc>
        <w:tc>
          <w:tcPr>
            <w:tcW w:w="1300" w:type="dxa"/>
            <w:vAlign w:val="bottom"/>
            <w:gridSpan w:val="2"/>
            <w:shd w:val="clear" w:color="auto" w:fill="E6E6E6"/>
          </w:tcPr>
          <w:p>
            <w:pPr>
              <w:ind w:left="40"/>
              <w:spacing w:after="0"/>
              <w:rPr>
                <w:sz w:val="20"/>
                <w:szCs w:val="20"/>
                <w:color w:val="auto"/>
              </w:rPr>
            </w:pPr>
            <w:r>
              <w:rPr>
                <w:rFonts w:ascii="Arial" w:cs="Arial" w:eastAsia="Arial" w:hAnsi="Arial"/>
                <w:sz w:val="16"/>
                <w:szCs w:val="16"/>
                <w:color w:val="auto"/>
              </w:rPr>
              <w:t>Rosamond, CA</w:t>
            </w:r>
          </w:p>
        </w:tc>
        <w:tc>
          <w:tcPr>
            <w:tcW w:w="6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192</w:t>
            </w:r>
          </w:p>
        </w:tc>
        <w:tc>
          <w:tcPr>
            <w:tcW w:w="740" w:type="dxa"/>
            <w:vAlign w:val="bottom"/>
            <w:gridSpan w:val="3"/>
            <w:shd w:val="clear" w:color="auto" w:fill="E6E6E6"/>
          </w:tcPr>
          <w:p>
            <w:pPr>
              <w:jc w:val="right"/>
              <w:spacing w:after="0"/>
              <w:rPr>
                <w:sz w:val="20"/>
                <w:szCs w:val="20"/>
                <w:color w:val="auto"/>
              </w:rPr>
            </w:pPr>
            <w:r>
              <w:rPr>
                <w:rFonts w:ascii="Arial" w:cs="Arial" w:eastAsia="Arial" w:hAnsi="Arial"/>
                <w:sz w:val="16"/>
                <w:szCs w:val="16"/>
                <w:color w:val="auto"/>
              </w:rPr>
              <w:t>96</w:t>
            </w:r>
          </w:p>
        </w:tc>
        <w:tc>
          <w:tcPr>
            <w:tcW w:w="80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50 %</w:t>
            </w:r>
          </w:p>
        </w:tc>
        <w:tc>
          <w:tcPr>
            <w:tcW w:w="80" w:type="dxa"/>
            <w:vAlign w:val="bottom"/>
            <w:shd w:val="clear" w:color="auto" w:fill="E6E6E6"/>
          </w:tcPr>
          <w:p>
            <w:pPr>
              <w:spacing w:after="0"/>
              <w:rPr>
                <w:sz w:val="22"/>
                <w:szCs w:val="22"/>
                <w:color w:val="auto"/>
              </w:rPr>
            </w:pPr>
          </w:p>
        </w:tc>
        <w:tc>
          <w:tcPr>
            <w:tcW w:w="940" w:type="dxa"/>
            <w:vAlign w:val="bottom"/>
            <w:shd w:val="clear" w:color="auto" w:fill="E6E6E6"/>
          </w:tcPr>
          <w:p>
            <w:pPr>
              <w:ind w:left="60"/>
              <w:spacing w:after="0"/>
              <w:rPr>
                <w:sz w:val="20"/>
                <w:szCs w:val="20"/>
                <w:color w:val="auto"/>
              </w:rPr>
            </w:pPr>
            <w:r>
              <w:rPr>
                <w:rFonts w:ascii="Arial" w:cs="Arial" w:eastAsia="Arial" w:hAnsi="Arial"/>
                <w:sz w:val="16"/>
                <w:szCs w:val="16"/>
                <w:color w:val="auto"/>
              </w:rPr>
              <w:t>Solar</w:t>
            </w:r>
          </w:p>
        </w:tc>
        <w:tc>
          <w:tcPr>
            <w:tcW w:w="80" w:type="dxa"/>
            <w:vAlign w:val="bottom"/>
            <w:shd w:val="clear" w:color="auto" w:fill="E6E6E6"/>
          </w:tcPr>
          <w:p>
            <w:pPr>
              <w:spacing w:after="0"/>
              <w:rPr>
                <w:sz w:val="22"/>
                <w:szCs w:val="22"/>
                <w:color w:val="auto"/>
              </w:rPr>
            </w:pPr>
          </w:p>
        </w:tc>
        <w:tc>
          <w:tcPr>
            <w:tcW w:w="1260" w:type="dxa"/>
            <w:vAlign w:val="bottom"/>
            <w:gridSpan w:val="2"/>
            <w:shd w:val="clear" w:color="auto" w:fill="E6E6E6"/>
          </w:tcPr>
          <w:p>
            <w:pPr>
              <w:ind w:left="60"/>
              <w:spacing w:after="0"/>
              <w:rPr>
                <w:sz w:val="20"/>
                <w:szCs w:val="20"/>
                <w:color w:val="auto"/>
              </w:rPr>
            </w:pPr>
            <w:r>
              <w:rPr>
                <w:rFonts w:ascii="Arial" w:cs="Arial" w:eastAsia="Arial" w:hAnsi="Arial"/>
                <w:sz w:val="16"/>
                <w:szCs w:val="16"/>
                <w:color w:val="auto"/>
              </w:rPr>
              <w:t>December 2020</w:t>
            </w:r>
          </w:p>
        </w:tc>
        <w:tc>
          <w:tcPr>
            <w:tcW w:w="1640" w:type="dxa"/>
            <w:vAlign w:val="bottom"/>
            <w:shd w:val="clear" w:color="auto" w:fill="E6E6E6"/>
          </w:tcPr>
          <w:p>
            <w:pPr>
              <w:ind w:left="60"/>
              <w:spacing w:after="0"/>
              <w:rPr>
                <w:sz w:val="20"/>
                <w:szCs w:val="20"/>
                <w:color w:val="auto"/>
              </w:rPr>
            </w:pPr>
            <w:r>
              <w:rPr>
                <w:rFonts w:ascii="Arial" w:cs="Arial" w:eastAsia="Arial" w:hAnsi="Arial"/>
                <w:sz w:val="16"/>
                <w:szCs w:val="16"/>
                <w:color w:val="auto"/>
              </w:rPr>
              <w:t>Various</w:t>
            </w:r>
          </w:p>
        </w:tc>
        <w:tc>
          <w:tcPr>
            <w:tcW w:w="102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2035 - 2047</w:t>
            </w:r>
          </w:p>
        </w:tc>
        <w:tc>
          <w:tcPr>
            <w:tcW w:w="0" w:type="dxa"/>
            <w:vAlign w:val="bottom"/>
          </w:tcPr>
          <w:p>
            <w:pPr>
              <w:spacing w:after="0"/>
              <w:rPr>
                <w:sz w:val="1"/>
                <w:szCs w:val="1"/>
                <w:color w:val="auto"/>
              </w:rPr>
            </w:pPr>
          </w:p>
        </w:tc>
      </w:tr>
      <w:tr>
        <w:trPr>
          <w:trHeight w:val="246"/>
        </w:trPr>
        <w:tc>
          <w:tcPr>
            <w:tcW w:w="1640" w:type="dxa"/>
            <w:vAlign w:val="bottom"/>
          </w:tcPr>
          <w:p>
            <w:pPr>
              <w:ind w:left="40"/>
              <w:spacing w:after="0"/>
              <w:rPr>
                <w:sz w:val="20"/>
                <w:szCs w:val="20"/>
                <w:color w:val="auto"/>
              </w:rPr>
            </w:pPr>
            <w:r>
              <w:rPr>
                <w:rFonts w:ascii="Arial" w:cs="Arial" w:eastAsia="Arial" w:hAnsi="Arial"/>
                <w:sz w:val="16"/>
                <w:szCs w:val="16"/>
                <w:color w:val="auto"/>
              </w:rPr>
              <w:t>TA High Desert</w:t>
            </w:r>
          </w:p>
        </w:tc>
        <w:tc>
          <w:tcPr>
            <w:tcW w:w="80" w:type="dxa"/>
            <w:vAlign w:val="bottom"/>
          </w:tcPr>
          <w:p>
            <w:pPr>
              <w:spacing w:after="0"/>
              <w:rPr>
                <w:sz w:val="21"/>
                <w:szCs w:val="21"/>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color w:val="auto"/>
              </w:rPr>
              <w:t>Lancaster, CA</w:t>
            </w:r>
          </w:p>
        </w:tc>
        <w:tc>
          <w:tcPr>
            <w:tcW w:w="620" w:type="dxa"/>
            <w:vAlign w:val="bottom"/>
          </w:tcPr>
          <w:p>
            <w:pPr>
              <w:jc w:val="right"/>
              <w:spacing w:after="0"/>
              <w:rPr>
                <w:sz w:val="20"/>
                <w:szCs w:val="20"/>
                <w:color w:val="auto"/>
              </w:rPr>
            </w:pPr>
            <w:r>
              <w:rPr>
                <w:rFonts w:ascii="Arial" w:cs="Arial" w:eastAsia="Arial" w:hAnsi="Arial"/>
                <w:sz w:val="16"/>
                <w:szCs w:val="16"/>
                <w:color w:val="auto"/>
              </w:rPr>
              <w:t>20</w:t>
            </w: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20</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21"/>
                <w:szCs w:val="21"/>
                <w:color w:val="auto"/>
              </w:rPr>
            </w:pPr>
          </w:p>
        </w:tc>
        <w:tc>
          <w:tcPr>
            <w:tcW w:w="940" w:type="dxa"/>
            <w:vAlign w:val="bottom"/>
          </w:tcPr>
          <w:p>
            <w:pPr>
              <w:ind w:left="60"/>
              <w:spacing w:after="0"/>
              <w:rPr>
                <w:sz w:val="20"/>
                <w:szCs w:val="20"/>
                <w:color w:val="auto"/>
              </w:rPr>
            </w:pPr>
            <w:r>
              <w:rPr>
                <w:rFonts w:ascii="Arial" w:cs="Arial" w:eastAsia="Arial" w:hAnsi="Arial"/>
                <w:sz w:val="16"/>
                <w:szCs w:val="16"/>
                <w:color w:val="auto"/>
              </w:rPr>
              <w:t>Solar</w:t>
            </w:r>
          </w:p>
        </w:tc>
        <w:tc>
          <w:tcPr>
            <w:tcW w:w="80" w:type="dxa"/>
            <w:vAlign w:val="bottom"/>
          </w:tcPr>
          <w:p>
            <w:pPr>
              <w:spacing w:after="0"/>
              <w:rPr>
                <w:sz w:val="21"/>
                <w:szCs w:val="21"/>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March 2013</w:t>
            </w:r>
          </w:p>
        </w:tc>
        <w:tc>
          <w:tcPr>
            <w:tcW w:w="1640" w:type="dxa"/>
            <w:vAlign w:val="bottom"/>
          </w:tcPr>
          <w:p>
            <w:pPr>
              <w:ind w:left="60"/>
              <w:spacing w:after="0"/>
              <w:rPr>
                <w:sz w:val="20"/>
                <w:szCs w:val="20"/>
                <w:color w:val="auto"/>
              </w:rPr>
            </w:pPr>
            <w:r>
              <w:rPr>
                <w:rFonts w:ascii="Arial" w:cs="Arial" w:eastAsia="Arial" w:hAnsi="Arial"/>
                <w:sz w:val="16"/>
                <w:szCs w:val="16"/>
                <w:color w:val="auto"/>
              </w:rPr>
              <w:t>SCE</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2033</w:t>
            </w:r>
          </w:p>
        </w:tc>
        <w:tc>
          <w:tcPr>
            <w:tcW w:w="0" w:type="dxa"/>
            <w:vAlign w:val="bottom"/>
          </w:tcPr>
          <w:p>
            <w:pPr>
              <w:spacing w:after="0"/>
              <w:rPr>
                <w:sz w:val="1"/>
                <w:szCs w:val="1"/>
                <w:color w:val="auto"/>
              </w:rPr>
            </w:pPr>
          </w:p>
        </w:tc>
      </w:tr>
      <w:tr>
        <w:trPr>
          <w:trHeight w:val="262"/>
        </w:trPr>
        <w:tc>
          <w:tcPr>
            <w:tcW w:w="1640" w:type="dxa"/>
            <w:vAlign w:val="bottom"/>
            <w:shd w:val="clear" w:color="auto" w:fill="E6E6E6"/>
          </w:tcPr>
          <w:p>
            <w:pPr>
              <w:ind w:left="40"/>
              <w:spacing w:after="0"/>
              <w:rPr>
                <w:sz w:val="20"/>
                <w:szCs w:val="20"/>
                <w:color w:val="auto"/>
              </w:rPr>
            </w:pPr>
            <w:r>
              <w:rPr>
                <w:rFonts w:ascii="Arial" w:cs="Arial" w:eastAsia="Arial" w:hAnsi="Arial"/>
                <w:sz w:val="16"/>
                <w:szCs w:val="16"/>
                <w:color w:val="auto"/>
                <w:w w:val="97"/>
              </w:rPr>
              <w:t xml:space="preserve">Texas Solar Nova 1 </w:t>
            </w:r>
            <w:r>
              <w:rPr>
                <w:rFonts w:ascii="Arial" w:cs="Arial" w:eastAsia="Arial" w:hAnsi="Arial"/>
                <w:sz w:val="20"/>
                <w:szCs w:val="20"/>
                <w:color w:val="auto"/>
                <w:w w:val="97"/>
                <w:vertAlign w:val="superscript"/>
              </w:rPr>
              <w:t>(b)</w:t>
            </w:r>
          </w:p>
        </w:tc>
        <w:tc>
          <w:tcPr>
            <w:tcW w:w="80" w:type="dxa"/>
            <w:vAlign w:val="bottom"/>
            <w:shd w:val="clear" w:color="auto" w:fill="E6E6E6"/>
          </w:tcPr>
          <w:p>
            <w:pPr>
              <w:spacing w:after="0"/>
              <w:rPr>
                <w:sz w:val="22"/>
                <w:szCs w:val="22"/>
                <w:color w:val="auto"/>
              </w:rPr>
            </w:pPr>
          </w:p>
        </w:tc>
        <w:tc>
          <w:tcPr>
            <w:tcW w:w="1300" w:type="dxa"/>
            <w:vAlign w:val="bottom"/>
            <w:gridSpan w:val="2"/>
            <w:shd w:val="clear" w:color="auto" w:fill="E6E6E6"/>
          </w:tcPr>
          <w:p>
            <w:pPr>
              <w:ind w:left="40"/>
              <w:spacing w:after="0"/>
              <w:rPr>
                <w:sz w:val="20"/>
                <w:szCs w:val="20"/>
                <w:color w:val="auto"/>
              </w:rPr>
            </w:pPr>
            <w:r>
              <w:rPr>
                <w:rFonts w:ascii="Arial" w:cs="Arial" w:eastAsia="Arial" w:hAnsi="Arial"/>
                <w:sz w:val="16"/>
                <w:szCs w:val="16"/>
                <w:color w:val="auto"/>
              </w:rPr>
              <w:t>Kent County, TX</w:t>
            </w:r>
          </w:p>
        </w:tc>
        <w:tc>
          <w:tcPr>
            <w:tcW w:w="6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252</w:t>
            </w:r>
          </w:p>
        </w:tc>
        <w:tc>
          <w:tcPr>
            <w:tcW w:w="740" w:type="dxa"/>
            <w:vAlign w:val="bottom"/>
            <w:gridSpan w:val="3"/>
            <w:shd w:val="clear" w:color="auto" w:fill="E6E6E6"/>
          </w:tcPr>
          <w:p>
            <w:pPr>
              <w:jc w:val="right"/>
              <w:spacing w:after="0"/>
              <w:rPr>
                <w:sz w:val="20"/>
                <w:szCs w:val="20"/>
                <w:color w:val="auto"/>
              </w:rPr>
            </w:pPr>
            <w:r>
              <w:rPr>
                <w:rFonts w:ascii="Arial" w:cs="Arial" w:eastAsia="Arial" w:hAnsi="Arial"/>
                <w:sz w:val="16"/>
                <w:szCs w:val="16"/>
                <w:color w:val="auto"/>
              </w:rPr>
              <w:t>126</w:t>
            </w:r>
          </w:p>
        </w:tc>
        <w:tc>
          <w:tcPr>
            <w:tcW w:w="80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50 %</w:t>
            </w:r>
          </w:p>
        </w:tc>
        <w:tc>
          <w:tcPr>
            <w:tcW w:w="80" w:type="dxa"/>
            <w:vAlign w:val="bottom"/>
            <w:shd w:val="clear" w:color="auto" w:fill="E6E6E6"/>
          </w:tcPr>
          <w:p>
            <w:pPr>
              <w:spacing w:after="0"/>
              <w:rPr>
                <w:sz w:val="22"/>
                <w:szCs w:val="22"/>
                <w:color w:val="auto"/>
              </w:rPr>
            </w:pPr>
          </w:p>
        </w:tc>
        <w:tc>
          <w:tcPr>
            <w:tcW w:w="940" w:type="dxa"/>
            <w:vAlign w:val="bottom"/>
            <w:shd w:val="clear" w:color="auto" w:fill="E6E6E6"/>
          </w:tcPr>
          <w:p>
            <w:pPr>
              <w:ind w:left="60"/>
              <w:spacing w:after="0"/>
              <w:rPr>
                <w:sz w:val="20"/>
                <w:szCs w:val="20"/>
                <w:color w:val="auto"/>
              </w:rPr>
            </w:pPr>
            <w:r>
              <w:rPr>
                <w:rFonts w:ascii="Arial" w:cs="Arial" w:eastAsia="Arial" w:hAnsi="Arial"/>
                <w:sz w:val="16"/>
                <w:szCs w:val="16"/>
                <w:color w:val="auto"/>
              </w:rPr>
              <w:t>Solar</w:t>
            </w:r>
          </w:p>
        </w:tc>
        <w:tc>
          <w:tcPr>
            <w:tcW w:w="80" w:type="dxa"/>
            <w:vAlign w:val="bottom"/>
            <w:shd w:val="clear" w:color="auto" w:fill="E6E6E6"/>
          </w:tcPr>
          <w:p>
            <w:pPr>
              <w:spacing w:after="0"/>
              <w:rPr>
                <w:sz w:val="22"/>
                <w:szCs w:val="22"/>
                <w:color w:val="auto"/>
              </w:rPr>
            </w:pPr>
          </w:p>
        </w:tc>
        <w:tc>
          <w:tcPr>
            <w:tcW w:w="1260" w:type="dxa"/>
            <w:vAlign w:val="bottom"/>
            <w:gridSpan w:val="2"/>
            <w:shd w:val="clear" w:color="auto" w:fill="E6E6E6"/>
          </w:tcPr>
          <w:p>
            <w:pPr>
              <w:ind w:left="60"/>
              <w:spacing w:after="0"/>
              <w:rPr>
                <w:sz w:val="20"/>
                <w:szCs w:val="20"/>
                <w:color w:val="auto"/>
              </w:rPr>
            </w:pPr>
            <w:r>
              <w:rPr>
                <w:rFonts w:ascii="Arial" w:cs="Arial" w:eastAsia="Arial" w:hAnsi="Arial"/>
                <w:sz w:val="16"/>
                <w:szCs w:val="16"/>
                <w:color w:val="auto"/>
              </w:rPr>
              <w:t>December 2023</w:t>
            </w:r>
          </w:p>
        </w:tc>
        <w:tc>
          <w:tcPr>
            <w:tcW w:w="1640" w:type="dxa"/>
            <w:vAlign w:val="bottom"/>
            <w:shd w:val="clear" w:color="auto" w:fill="E6E6E6"/>
          </w:tcPr>
          <w:p>
            <w:pPr>
              <w:ind w:left="60"/>
              <w:spacing w:after="0"/>
              <w:rPr>
                <w:sz w:val="20"/>
                <w:szCs w:val="20"/>
                <w:color w:val="auto"/>
              </w:rPr>
            </w:pPr>
            <w:r>
              <w:rPr>
                <w:rFonts w:ascii="Arial" w:cs="Arial" w:eastAsia="Arial" w:hAnsi="Arial"/>
                <w:sz w:val="16"/>
                <w:szCs w:val="16"/>
                <w:color w:val="auto"/>
              </w:rPr>
              <w:t>Verizon</w:t>
            </w:r>
          </w:p>
        </w:tc>
        <w:tc>
          <w:tcPr>
            <w:tcW w:w="102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2042</w:t>
            </w:r>
          </w:p>
        </w:tc>
        <w:tc>
          <w:tcPr>
            <w:tcW w:w="0" w:type="dxa"/>
            <w:vAlign w:val="bottom"/>
          </w:tcPr>
          <w:p>
            <w:pPr>
              <w:spacing w:after="0"/>
              <w:rPr>
                <w:sz w:val="1"/>
                <w:szCs w:val="1"/>
                <w:color w:val="auto"/>
              </w:rPr>
            </w:pPr>
          </w:p>
        </w:tc>
      </w:tr>
      <w:tr>
        <w:trPr>
          <w:trHeight w:val="195"/>
        </w:trPr>
        <w:tc>
          <w:tcPr>
            <w:tcW w:w="1640" w:type="dxa"/>
            <w:vAlign w:val="bottom"/>
            <w:vMerge w:val="restart"/>
          </w:tcPr>
          <w:p>
            <w:pPr>
              <w:ind w:left="40"/>
              <w:spacing w:after="0"/>
              <w:rPr>
                <w:sz w:val="20"/>
                <w:szCs w:val="20"/>
                <w:color w:val="auto"/>
              </w:rPr>
            </w:pPr>
            <w:r>
              <w:rPr>
                <w:rFonts w:ascii="Arial" w:cs="Arial" w:eastAsia="Arial" w:hAnsi="Arial"/>
                <w:sz w:val="16"/>
                <w:szCs w:val="16"/>
                <w:color w:val="auto"/>
              </w:rPr>
              <w:t>Utah Solar Portfolio</w:t>
            </w:r>
          </w:p>
        </w:tc>
        <w:tc>
          <w:tcPr>
            <w:tcW w:w="80" w:type="dxa"/>
            <w:vAlign w:val="bottom"/>
          </w:tcPr>
          <w:p>
            <w:pPr>
              <w:spacing w:after="0"/>
              <w:rPr>
                <w:sz w:val="16"/>
                <w:szCs w:val="16"/>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6"/>
                <w:szCs w:val="16"/>
                <w:color w:val="auto"/>
              </w:rPr>
              <w:t>Various</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530</w:t>
            </w:r>
          </w:p>
        </w:tc>
        <w:tc>
          <w:tcPr>
            <w:tcW w:w="740" w:type="dxa"/>
            <w:vAlign w:val="bottom"/>
            <w:gridSpan w:val="3"/>
            <w:vMerge w:val="restart"/>
          </w:tcPr>
          <w:p>
            <w:pPr>
              <w:jc w:val="right"/>
              <w:spacing w:after="0"/>
              <w:rPr>
                <w:sz w:val="20"/>
                <w:szCs w:val="20"/>
                <w:color w:val="auto"/>
              </w:rPr>
            </w:pPr>
            <w:r>
              <w:rPr>
                <w:rFonts w:ascii="Arial" w:cs="Arial" w:eastAsia="Arial" w:hAnsi="Arial"/>
                <w:sz w:val="16"/>
                <w:szCs w:val="16"/>
                <w:color w:val="auto"/>
              </w:rPr>
              <w:t>530</w:t>
            </w:r>
          </w:p>
        </w:tc>
        <w:tc>
          <w:tcPr>
            <w:tcW w:w="800" w:type="dxa"/>
            <w:vAlign w:val="bottom"/>
            <w:gridSpan w:val="2"/>
            <w:vMerge w:val="restart"/>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16"/>
                <w:szCs w:val="16"/>
                <w:color w:val="auto"/>
              </w:rPr>
            </w:pPr>
          </w:p>
        </w:tc>
        <w:tc>
          <w:tcPr>
            <w:tcW w:w="940" w:type="dxa"/>
            <w:vAlign w:val="bottom"/>
            <w:vMerge w:val="restart"/>
          </w:tcPr>
          <w:p>
            <w:pPr>
              <w:ind w:left="60"/>
              <w:spacing w:after="0"/>
              <w:rPr>
                <w:sz w:val="20"/>
                <w:szCs w:val="20"/>
                <w:color w:val="auto"/>
              </w:rPr>
            </w:pPr>
            <w:r>
              <w:rPr>
                <w:rFonts w:ascii="Arial" w:cs="Arial" w:eastAsia="Arial" w:hAnsi="Arial"/>
                <w:sz w:val="16"/>
                <w:szCs w:val="16"/>
                <w:color w:val="auto"/>
              </w:rPr>
              <w:t>Solar</w:t>
            </w:r>
          </w:p>
        </w:tc>
        <w:tc>
          <w:tcPr>
            <w:tcW w:w="8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w w:val="97"/>
              </w:rPr>
              <w:t>July - September</w:t>
            </w:r>
          </w:p>
        </w:tc>
        <w:tc>
          <w:tcPr>
            <w:tcW w:w="1640" w:type="dxa"/>
            <w:vAlign w:val="bottom"/>
            <w:vMerge w:val="restart"/>
          </w:tcPr>
          <w:p>
            <w:pPr>
              <w:ind w:left="60"/>
              <w:spacing w:after="0"/>
              <w:rPr>
                <w:sz w:val="20"/>
                <w:szCs w:val="20"/>
                <w:color w:val="auto"/>
              </w:rPr>
            </w:pPr>
            <w:r>
              <w:rPr>
                <w:rFonts w:ascii="Arial" w:cs="Arial" w:eastAsia="Arial" w:hAnsi="Arial"/>
                <w:sz w:val="16"/>
                <w:szCs w:val="16"/>
                <w:color w:val="auto"/>
              </w:rPr>
              <w:t>PacifiCorp</w:t>
            </w: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color w:val="auto"/>
              </w:rPr>
              <w:t>2036</w:t>
            </w:r>
          </w:p>
        </w:tc>
        <w:tc>
          <w:tcPr>
            <w:tcW w:w="0" w:type="dxa"/>
            <w:vAlign w:val="bottom"/>
          </w:tcPr>
          <w:p>
            <w:pPr>
              <w:spacing w:after="0"/>
              <w:rPr>
                <w:sz w:val="1"/>
                <w:szCs w:val="1"/>
                <w:color w:val="auto"/>
              </w:rPr>
            </w:pPr>
          </w:p>
        </w:tc>
      </w:tr>
      <w:tr>
        <w:trPr>
          <w:trHeight w:val="216"/>
        </w:trPr>
        <w:tc>
          <w:tcPr>
            <w:tcW w:w="1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740" w:type="dxa"/>
            <w:vAlign w:val="bottom"/>
            <w:gridSpan w:val="3"/>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80" w:type="dxa"/>
            <w:vAlign w:val="bottom"/>
            <w:gridSpan w:val="2"/>
          </w:tcPr>
          <w:p>
            <w:pPr>
              <w:ind w:left="140"/>
              <w:spacing w:after="0"/>
              <w:rPr>
                <w:sz w:val="20"/>
                <w:szCs w:val="20"/>
                <w:color w:val="auto"/>
              </w:rPr>
            </w:pPr>
            <w:r>
              <w:rPr>
                <w:rFonts w:ascii="Arial" w:cs="Arial" w:eastAsia="Arial" w:hAnsi="Arial"/>
                <w:sz w:val="16"/>
                <w:szCs w:val="16"/>
                <w:color w:val="auto"/>
              </w:rPr>
              <w:t>2016</w:t>
            </w:r>
          </w:p>
        </w:tc>
        <w:tc>
          <w:tcPr>
            <w:tcW w:w="6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640" w:type="dxa"/>
            <w:vAlign w:val="bottom"/>
            <w:vMerge w:val="restart"/>
            <w:shd w:val="clear" w:color="auto" w:fill="E6E6E6"/>
          </w:tcPr>
          <w:p>
            <w:pPr>
              <w:ind w:left="40"/>
              <w:spacing w:after="0"/>
              <w:rPr>
                <w:sz w:val="20"/>
                <w:szCs w:val="20"/>
                <w:color w:val="auto"/>
              </w:rPr>
            </w:pPr>
            <w:r>
              <w:rPr>
                <w:rFonts w:ascii="Arial" w:cs="Arial" w:eastAsia="Arial" w:hAnsi="Arial"/>
                <w:sz w:val="16"/>
                <w:szCs w:val="16"/>
                <w:color w:val="auto"/>
              </w:rPr>
              <w:t xml:space="preserve">Waiawa </w:t>
            </w:r>
            <w:r>
              <w:rPr>
                <w:rFonts w:ascii="Arial" w:cs="Arial" w:eastAsia="Arial" w:hAnsi="Arial"/>
                <w:sz w:val="20"/>
                <w:szCs w:val="20"/>
                <w:color w:val="auto"/>
                <w:vertAlign w:val="superscript"/>
              </w:rPr>
              <w:t>(b)</w:t>
            </w:r>
          </w:p>
        </w:tc>
        <w:tc>
          <w:tcPr>
            <w:tcW w:w="80" w:type="dxa"/>
            <w:vAlign w:val="bottom"/>
            <w:shd w:val="clear" w:color="auto" w:fill="E6E6E6"/>
          </w:tcPr>
          <w:p>
            <w:pPr>
              <w:spacing w:after="0"/>
              <w:rPr>
                <w:sz w:val="17"/>
                <w:szCs w:val="17"/>
                <w:color w:val="auto"/>
              </w:rPr>
            </w:pPr>
          </w:p>
        </w:tc>
        <w:tc>
          <w:tcPr>
            <w:tcW w:w="1300" w:type="dxa"/>
            <w:vAlign w:val="bottom"/>
            <w:gridSpan w:val="2"/>
            <w:vMerge w:val="restart"/>
            <w:shd w:val="clear" w:color="auto" w:fill="E6E6E6"/>
          </w:tcPr>
          <w:p>
            <w:pPr>
              <w:ind w:left="40"/>
              <w:spacing w:after="0"/>
              <w:rPr>
                <w:sz w:val="20"/>
                <w:szCs w:val="20"/>
                <w:color w:val="auto"/>
              </w:rPr>
            </w:pPr>
            <w:r>
              <w:rPr>
                <w:rFonts w:ascii="Arial" w:cs="Arial" w:eastAsia="Arial" w:hAnsi="Arial"/>
                <w:sz w:val="16"/>
                <w:szCs w:val="16"/>
                <w:color w:val="auto"/>
              </w:rPr>
              <w:t>Honolulu, HI</w:t>
            </w:r>
          </w:p>
        </w:tc>
        <w:tc>
          <w:tcPr>
            <w:tcW w:w="62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36</w:t>
            </w:r>
          </w:p>
        </w:tc>
        <w:tc>
          <w:tcPr>
            <w:tcW w:w="740" w:type="dxa"/>
            <w:vAlign w:val="bottom"/>
            <w:gridSpan w:val="3"/>
            <w:vMerge w:val="restart"/>
            <w:shd w:val="clear" w:color="auto" w:fill="E6E6E6"/>
          </w:tcPr>
          <w:p>
            <w:pPr>
              <w:jc w:val="right"/>
              <w:spacing w:after="0"/>
              <w:rPr>
                <w:sz w:val="20"/>
                <w:szCs w:val="20"/>
                <w:color w:val="auto"/>
              </w:rPr>
            </w:pPr>
            <w:r>
              <w:rPr>
                <w:rFonts w:ascii="Arial" w:cs="Arial" w:eastAsia="Arial" w:hAnsi="Arial"/>
                <w:sz w:val="16"/>
                <w:szCs w:val="16"/>
                <w:color w:val="auto"/>
              </w:rPr>
              <w:t>18</w:t>
            </w:r>
          </w:p>
        </w:tc>
        <w:tc>
          <w:tcPr>
            <w:tcW w:w="800" w:type="dxa"/>
            <w:vAlign w:val="bottom"/>
            <w:gridSpan w:val="2"/>
            <w:vMerge w:val="restart"/>
            <w:shd w:val="clear" w:color="auto" w:fill="E6E6E6"/>
          </w:tcPr>
          <w:p>
            <w:pPr>
              <w:jc w:val="right"/>
              <w:spacing w:after="0"/>
              <w:rPr>
                <w:sz w:val="20"/>
                <w:szCs w:val="20"/>
                <w:color w:val="auto"/>
              </w:rPr>
            </w:pPr>
            <w:r>
              <w:rPr>
                <w:rFonts w:ascii="Arial" w:cs="Arial" w:eastAsia="Arial" w:hAnsi="Arial"/>
                <w:sz w:val="16"/>
                <w:szCs w:val="16"/>
                <w:color w:val="auto"/>
              </w:rPr>
              <w:t>50 %</w:t>
            </w:r>
          </w:p>
        </w:tc>
        <w:tc>
          <w:tcPr>
            <w:tcW w:w="80" w:type="dxa"/>
            <w:vAlign w:val="bottom"/>
            <w:shd w:val="clear" w:color="auto" w:fill="E6E6E6"/>
          </w:tcPr>
          <w:p>
            <w:pPr>
              <w:spacing w:after="0"/>
              <w:rPr>
                <w:sz w:val="17"/>
                <w:szCs w:val="17"/>
                <w:color w:val="auto"/>
              </w:rPr>
            </w:pPr>
          </w:p>
        </w:tc>
        <w:tc>
          <w:tcPr>
            <w:tcW w:w="940" w:type="dxa"/>
            <w:vAlign w:val="bottom"/>
            <w:vMerge w:val="restart"/>
            <w:shd w:val="clear" w:color="auto" w:fill="E6E6E6"/>
          </w:tcPr>
          <w:p>
            <w:pPr>
              <w:ind w:left="60"/>
              <w:spacing w:after="0"/>
              <w:rPr>
                <w:sz w:val="20"/>
                <w:szCs w:val="20"/>
                <w:color w:val="auto"/>
              </w:rPr>
            </w:pPr>
            <w:r>
              <w:rPr>
                <w:rFonts w:ascii="Arial" w:cs="Arial" w:eastAsia="Arial" w:hAnsi="Arial"/>
                <w:sz w:val="16"/>
                <w:szCs w:val="16"/>
                <w:color w:val="auto"/>
              </w:rPr>
              <w:t>Solar</w:t>
            </w:r>
          </w:p>
        </w:tc>
        <w:tc>
          <w:tcPr>
            <w:tcW w:w="80" w:type="dxa"/>
            <w:vAlign w:val="bottom"/>
            <w:shd w:val="clear" w:color="auto" w:fill="E6E6E6"/>
          </w:tcPr>
          <w:p>
            <w:pPr>
              <w:spacing w:after="0"/>
              <w:rPr>
                <w:sz w:val="17"/>
                <w:szCs w:val="17"/>
                <w:color w:val="auto"/>
              </w:rPr>
            </w:pPr>
          </w:p>
        </w:tc>
        <w:tc>
          <w:tcPr>
            <w:tcW w:w="1260" w:type="dxa"/>
            <w:vAlign w:val="bottom"/>
            <w:gridSpan w:val="2"/>
            <w:vMerge w:val="restart"/>
            <w:shd w:val="clear" w:color="auto" w:fill="E6E6E6"/>
          </w:tcPr>
          <w:p>
            <w:pPr>
              <w:ind w:left="60"/>
              <w:spacing w:after="0"/>
              <w:rPr>
                <w:sz w:val="20"/>
                <w:szCs w:val="20"/>
                <w:color w:val="auto"/>
              </w:rPr>
            </w:pPr>
            <w:r>
              <w:rPr>
                <w:rFonts w:ascii="Arial" w:cs="Arial" w:eastAsia="Arial" w:hAnsi="Arial"/>
                <w:sz w:val="16"/>
                <w:szCs w:val="16"/>
                <w:color w:val="auto"/>
              </w:rPr>
              <w:t>January 2023</w:t>
            </w:r>
          </w:p>
        </w:tc>
        <w:tc>
          <w:tcPr>
            <w:tcW w:w="1640" w:type="dxa"/>
            <w:vAlign w:val="bottom"/>
            <w:shd w:val="clear" w:color="auto" w:fill="E6E6E6"/>
          </w:tcPr>
          <w:p>
            <w:pPr>
              <w:ind w:left="60"/>
              <w:spacing w:after="0"/>
              <w:rPr>
                <w:sz w:val="20"/>
                <w:szCs w:val="20"/>
                <w:color w:val="auto"/>
              </w:rPr>
            </w:pPr>
            <w:r>
              <w:rPr>
                <w:rFonts w:ascii="Arial" w:cs="Arial" w:eastAsia="Arial" w:hAnsi="Arial"/>
                <w:sz w:val="16"/>
                <w:szCs w:val="16"/>
                <w:color w:val="auto"/>
              </w:rPr>
              <w:t>Hawaiian Electric</w:t>
            </w:r>
          </w:p>
        </w:tc>
        <w:tc>
          <w:tcPr>
            <w:tcW w:w="1020" w:type="dxa"/>
            <w:vAlign w:val="bottom"/>
            <w:gridSpan w:val="2"/>
            <w:vMerge w:val="restart"/>
            <w:shd w:val="clear" w:color="auto" w:fill="E6E6E6"/>
          </w:tcPr>
          <w:p>
            <w:pPr>
              <w:jc w:val="right"/>
              <w:spacing w:after="0"/>
              <w:rPr>
                <w:sz w:val="20"/>
                <w:szCs w:val="20"/>
                <w:color w:val="auto"/>
              </w:rPr>
            </w:pPr>
            <w:r>
              <w:rPr>
                <w:rFonts w:ascii="Arial" w:cs="Arial" w:eastAsia="Arial" w:hAnsi="Arial"/>
                <w:sz w:val="16"/>
                <w:szCs w:val="16"/>
                <w:color w:val="auto"/>
              </w:rPr>
              <w:t>2043</w:t>
            </w:r>
          </w:p>
        </w:tc>
        <w:tc>
          <w:tcPr>
            <w:tcW w:w="0" w:type="dxa"/>
            <w:vAlign w:val="bottom"/>
          </w:tcPr>
          <w:p>
            <w:pPr>
              <w:spacing w:after="0"/>
              <w:rPr>
                <w:sz w:val="1"/>
                <w:szCs w:val="1"/>
                <w:color w:val="auto"/>
              </w:rPr>
            </w:pPr>
          </w:p>
        </w:tc>
      </w:tr>
      <w:tr>
        <w:trPr>
          <w:trHeight w:val="223"/>
        </w:trPr>
        <w:tc>
          <w:tcPr>
            <w:tcW w:w="1640" w:type="dxa"/>
            <w:vAlign w:val="bottom"/>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300" w:type="dxa"/>
            <w:vAlign w:val="bottom"/>
            <w:gridSpan w:val="2"/>
            <w:vMerge w:val="continue"/>
            <w:shd w:val="clear" w:color="auto" w:fill="E6E6E6"/>
          </w:tcPr>
          <w:p>
            <w:pPr>
              <w:spacing w:after="0"/>
              <w:rPr>
                <w:sz w:val="19"/>
                <w:szCs w:val="19"/>
                <w:color w:val="auto"/>
              </w:rPr>
            </w:pPr>
          </w:p>
        </w:tc>
        <w:tc>
          <w:tcPr>
            <w:tcW w:w="620" w:type="dxa"/>
            <w:vAlign w:val="bottom"/>
            <w:vMerge w:val="continue"/>
            <w:shd w:val="clear" w:color="auto" w:fill="E6E6E6"/>
          </w:tcPr>
          <w:p>
            <w:pPr>
              <w:spacing w:after="0"/>
              <w:rPr>
                <w:sz w:val="19"/>
                <w:szCs w:val="19"/>
                <w:color w:val="auto"/>
              </w:rPr>
            </w:pPr>
          </w:p>
        </w:tc>
        <w:tc>
          <w:tcPr>
            <w:tcW w:w="740" w:type="dxa"/>
            <w:vAlign w:val="bottom"/>
            <w:gridSpan w:val="3"/>
            <w:vMerge w:val="continue"/>
            <w:shd w:val="clear" w:color="auto" w:fill="E6E6E6"/>
          </w:tcPr>
          <w:p>
            <w:pPr>
              <w:spacing w:after="0"/>
              <w:rPr>
                <w:sz w:val="19"/>
                <w:szCs w:val="19"/>
                <w:color w:val="auto"/>
              </w:rPr>
            </w:pPr>
          </w:p>
        </w:tc>
        <w:tc>
          <w:tcPr>
            <w:tcW w:w="800" w:type="dxa"/>
            <w:vAlign w:val="bottom"/>
            <w:gridSpan w:val="2"/>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940" w:type="dxa"/>
            <w:vAlign w:val="bottom"/>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260" w:type="dxa"/>
            <w:vAlign w:val="bottom"/>
            <w:gridSpan w:val="2"/>
            <w:vMerge w:val="continue"/>
            <w:shd w:val="clear" w:color="auto" w:fill="E6E6E6"/>
          </w:tcPr>
          <w:p>
            <w:pPr>
              <w:spacing w:after="0"/>
              <w:rPr>
                <w:sz w:val="19"/>
                <w:szCs w:val="19"/>
                <w:color w:val="auto"/>
              </w:rPr>
            </w:pPr>
          </w:p>
        </w:tc>
        <w:tc>
          <w:tcPr>
            <w:tcW w:w="1640" w:type="dxa"/>
            <w:vAlign w:val="bottom"/>
            <w:shd w:val="clear" w:color="auto" w:fill="E6E6E6"/>
          </w:tcPr>
          <w:p>
            <w:pPr>
              <w:ind w:left="60"/>
              <w:spacing w:after="0"/>
              <w:rPr>
                <w:sz w:val="20"/>
                <w:szCs w:val="20"/>
                <w:color w:val="auto"/>
              </w:rPr>
            </w:pPr>
            <w:r>
              <w:rPr>
                <w:rFonts w:ascii="Arial" w:cs="Arial" w:eastAsia="Arial" w:hAnsi="Arial"/>
                <w:sz w:val="16"/>
                <w:szCs w:val="16"/>
                <w:color w:val="auto"/>
              </w:rPr>
              <w:t>Company</w:t>
            </w:r>
          </w:p>
        </w:tc>
        <w:tc>
          <w:tcPr>
            <w:tcW w:w="1020" w:type="dxa"/>
            <w:vAlign w:val="bottom"/>
            <w:gridSpan w:val="2"/>
            <w:vMerge w:val="continue"/>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1640" w:type="dxa"/>
            <w:vAlign w:val="bottom"/>
            <w:tcBorders>
              <w:bottom w:val="single" w:sz="8" w:color="E6E6E6"/>
            </w:tcBorders>
          </w:tcPr>
          <w:p>
            <w:pPr>
              <w:spacing w:after="0"/>
              <w:rPr>
                <w:sz w:val="23"/>
                <w:szCs w:val="23"/>
                <w:color w:val="auto"/>
              </w:rPr>
            </w:pPr>
          </w:p>
        </w:tc>
        <w:tc>
          <w:tcPr>
            <w:tcW w:w="80" w:type="dxa"/>
            <w:vAlign w:val="bottom"/>
            <w:tcBorders>
              <w:bottom w:val="single" w:sz="8" w:color="E6E6E6"/>
            </w:tcBorders>
          </w:tcPr>
          <w:p>
            <w:pPr>
              <w:spacing w:after="0"/>
              <w:rPr>
                <w:sz w:val="23"/>
                <w:szCs w:val="23"/>
                <w:color w:val="auto"/>
              </w:rPr>
            </w:pPr>
          </w:p>
        </w:tc>
        <w:tc>
          <w:tcPr>
            <w:tcW w:w="1240" w:type="dxa"/>
            <w:vAlign w:val="bottom"/>
            <w:tcBorders>
              <w:bottom w:val="single" w:sz="8" w:color="E6E6E6"/>
            </w:tcBorders>
          </w:tcPr>
          <w:p>
            <w:pPr>
              <w:spacing w:after="0"/>
              <w:rPr>
                <w:sz w:val="23"/>
                <w:szCs w:val="23"/>
                <w:color w:val="auto"/>
              </w:rPr>
            </w:pPr>
          </w:p>
        </w:tc>
        <w:tc>
          <w:tcPr>
            <w:tcW w:w="60" w:type="dxa"/>
            <w:vAlign w:val="bottom"/>
            <w:tcBorders>
              <w:bottom w:val="single" w:sz="8" w:color="E6E6E6"/>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E6E6E6"/>
            </w:tcBorders>
            <w:gridSpan w:val="2"/>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800" w:type="dxa"/>
            <w:vAlign w:val="bottom"/>
            <w:tcBorders>
              <w:bottom w:val="single" w:sz="8" w:color="E6E6E6"/>
            </w:tcBorders>
            <w:gridSpan w:val="2"/>
          </w:tcPr>
          <w:p>
            <w:pPr>
              <w:jc w:val="right"/>
              <w:spacing w:after="0"/>
              <w:rPr>
                <w:sz w:val="20"/>
                <w:szCs w:val="20"/>
                <w:color w:val="auto"/>
              </w:rPr>
            </w:pPr>
            <w:r>
              <w:rPr>
                <w:rFonts w:ascii="Arial" w:cs="Arial" w:eastAsia="Arial" w:hAnsi="Arial"/>
                <w:sz w:val="16"/>
                <w:szCs w:val="16"/>
                <w:color w:val="auto"/>
              </w:rPr>
              <w:t>50 %</w:t>
            </w:r>
          </w:p>
        </w:tc>
        <w:tc>
          <w:tcPr>
            <w:tcW w:w="80" w:type="dxa"/>
            <w:vAlign w:val="bottom"/>
            <w:tcBorders>
              <w:bottom w:val="single" w:sz="8" w:color="E6E6E6"/>
            </w:tcBorders>
          </w:tcPr>
          <w:p>
            <w:pPr>
              <w:spacing w:after="0"/>
              <w:rPr>
                <w:sz w:val="23"/>
                <w:szCs w:val="23"/>
                <w:color w:val="auto"/>
              </w:rPr>
            </w:pPr>
          </w:p>
        </w:tc>
        <w:tc>
          <w:tcPr>
            <w:tcW w:w="940" w:type="dxa"/>
            <w:vAlign w:val="bottom"/>
            <w:tcBorders>
              <w:bottom w:val="single" w:sz="8" w:color="E6E6E6"/>
            </w:tcBorders>
          </w:tcPr>
          <w:p>
            <w:pPr>
              <w:ind w:left="60"/>
              <w:spacing w:after="0"/>
              <w:rPr>
                <w:sz w:val="20"/>
                <w:szCs w:val="20"/>
                <w:color w:val="auto"/>
              </w:rPr>
            </w:pPr>
            <w:r>
              <w:rPr>
                <w:rFonts w:ascii="Arial" w:cs="Arial" w:eastAsia="Arial" w:hAnsi="Arial"/>
                <w:sz w:val="16"/>
                <w:szCs w:val="16"/>
                <w:color w:val="auto"/>
              </w:rPr>
              <w:t>BESS</w:t>
            </w:r>
          </w:p>
        </w:tc>
        <w:tc>
          <w:tcPr>
            <w:tcW w:w="80" w:type="dxa"/>
            <w:vAlign w:val="bottom"/>
            <w:tcBorders>
              <w:bottom w:val="single" w:sz="8" w:color="E6E6E6"/>
            </w:tcBorders>
          </w:tcPr>
          <w:p>
            <w:pPr>
              <w:spacing w:after="0"/>
              <w:rPr>
                <w:sz w:val="23"/>
                <w:szCs w:val="23"/>
                <w:color w:val="auto"/>
              </w:rPr>
            </w:pPr>
          </w:p>
        </w:tc>
        <w:tc>
          <w:tcPr>
            <w:tcW w:w="1200" w:type="dxa"/>
            <w:vAlign w:val="bottom"/>
            <w:tcBorders>
              <w:bottom w:val="single" w:sz="8" w:color="E6E6E6"/>
            </w:tcBorders>
          </w:tcPr>
          <w:p>
            <w:pPr>
              <w:spacing w:after="0"/>
              <w:rPr>
                <w:sz w:val="23"/>
                <w:szCs w:val="23"/>
                <w:color w:val="auto"/>
              </w:rPr>
            </w:pPr>
          </w:p>
        </w:tc>
        <w:tc>
          <w:tcPr>
            <w:tcW w:w="60" w:type="dxa"/>
            <w:vAlign w:val="bottom"/>
            <w:tcBorders>
              <w:bottom w:val="single" w:sz="8" w:color="E6E6E6"/>
            </w:tcBorders>
          </w:tcPr>
          <w:p>
            <w:pPr>
              <w:spacing w:after="0"/>
              <w:rPr>
                <w:sz w:val="23"/>
                <w:szCs w:val="23"/>
                <w:color w:val="auto"/>
              </w:rPr>
            </w:pPr>
          </w:p>
        </w:tc>
        <w:tc>
          <w:tcPr>
            <w:tcW w:w="1640" w:type="dxa"/>
            <w:vAlign w:val="bottom"/>
            <w:tcBorders>
              <w:bottom w:val="single" w:sz="8" w:color="E6E6E6"/>
            </w:tcBorders>
          </w:tcPr>
          <w:p>
            <w:pPr>
              <w:spacing w:after="0"/>
              <w:rPr>
                <w:sz w:val="23"/>
                <w:szCs w:val="23"/>
                <w:color w:val="auto"/>
              </w:rPr>
            </w:pPr>
          </w:p>
        </w:tc>
        <w:tc>
          <w:tcPr>
            <w:tcW w:w="60" w:type="dxa"/>
            <w:vAlign w:val="bottom"/>
            <w:tcBorders>
              <w:bottom w:val="single" w:sz="8" w:color="E6E6E6"/>
            </w:tcBorders>
          </w:tcPr>
          <w:p>
            <w:pPr>
              <w:spacing w:after="0"/>
              <w:rPr>
                <w:sz w:val="23"/>
                <w:szCs w:val="23"/>
                <w:color w:val="auto"/>
              </w:rPr>
            </w:pPr>
          </w:p>
        </w:tc>
        <w:tc>
          <w:tcPr>
            <w:tcW w:w="960" w:type="dxa"/>
            <w:vAlign w:val="bottom"/>
            <w:tcBorders>
              <w:bottom w:val="single" w:sz="8" w:color="E6E6E6"/>
            </w:tcBorders>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3020" w:type="dxa"/>
            <w:vAlign w:val="bottom"/>
            <w:gridSpan w:val="4"/>
            <w:shd w:val="clear" w:color="auto" w:fill="E6E6E6"/>
          </w:tcPr>
          <w:p>
            <w:pPr>
              <w:ind w:left="400"/>
              <w:spacing w:after="0"/>
              <w:rPr>
                <w:sz w:val="20"/>
                <w:szCs w:val="20"/>
                <w:color w:val="auto"/>
              </w:rPr>
            </w:pPr>
            <w:r>
              <w:rPr>
                <w:rFonts w:ascii="Arial" w:cs="Arial" w:eastAsia="Arial" w:hAnsi="Arial"/>
                <w:sz w:val="18"/>
                <w:szCs w:val="18"/>
                <w:b w:val="1"/>
                <w:bCs w:val="1"/>
                <w:i w:val="1"/>
                <w:iCs w:val="1"/>
                <w:color w:val="auto"/>
              </w:rPr>
              <w:t>Total Utility Scale Solar</w:t>
            </w:r>
          </w:p>
        </w:tc>
        <w:tc>
          <w:tcPr>
            <w:tcW w:w="6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3,432</w:t>
            </w:r>
          </w:p>
        </w:tc>
        <w:tc>
          <w:tcPr>
            <w:tcW w:w="740" w:type="dxa"/>
            <w:vAlign w:val="bottom"/>
            <w:gridSpan w:val="3"/>
            <w:shd w:val="clear" w:color="auto" w:fill="E6E6E6"/>
          </w:tcPr>
          <w:p>
            <w:pPr>
              <w:jc w:val="right"/>
              <w:spacing w:after="0"/>
              <w:rPr>
                <w:sz w:val="20"/>
                <w:szCs w:val="20"/>
                <w:color w:val="auto"/>
              </w:rPr>
            </w:pPr>
            <w:r>
              <w:rPr>
                <w:rFonts w:ascii="Arial" w:cs="Arial" w:eastAsia="Arial" w:hAnsi="Arial"/>
                <w:sz w:val="16"/>
                <w:szCs w:val="16"/>
                <w:color w:val="auto"/>
              </w:rPr>
              <w:t>1,989</w:t>
            </w:r>
          </w:p>
        </w:tc>
        <w:tc>
          <w:tcPr>
            <w:tcW w:w="80" w:type="dxa"/>
            <w:vAlign w:val="bottom"/>
            <w:shd w:val="clear" w:color="auto" w:fill="E6E6E6"/>
          </w:tcPr>
          <w:p>
            <w:pPr>
              <w:spacing w:after="0"/>
              <w:rPr>
                <w:sz w:val="23"/>
                <w:szCs w:val="23"/>
                <w:color w:val="auto"/>
              </w:rPr>
            </w:pPr>
          </w:p>
        </w:tc>
        <w:tc>
          <w:tcPr>
            <w:tcW w:w="72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94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120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164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960" w:type="dxa"/>
            <w:vAlign w:val="bottom"/>
            <w:shd w:val="clear" w:color="auto" w:fill="E6E6E6"/>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-7413625</wp:posOffset>
            </wp:positionV>
            <wp:extent cx="65081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extLst>
                        <a:ext uri="{28A0092B-C50C-407E-A947-70E740481C1C}"/>
                      </a:extLst>
                    </a:blip>
                    <a:srcRect/>
                    <a:stretch>
                      <a:fillRect/>
                    </a:stretch>
                  </pic:blipFill>
                  <pic:spPr bwMode="auto">
                    <a:xfrm>
                      <a:off x="0" y="0"/>
                      <a:ext cx="6508115" cy="25400"/>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-5850255</wp:posOffset>
            </wp:positionV>
            <wp:extent cx="88773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extLst>
                    </a:blip>
                    <a:srcRect/>
                    <a:stretch>
                      <a:fillRect/>
                    </a:stretch>
                  </pic:blipFill>
                  <pic:spPr bwMode="auto">
                    <a:xfrm>
                      <a:off x="0" y="0"/>
                      <a:ext cx="887730" cy="25400"/>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-192405</wp:posOffset>
            </wp:positionV>
            <wp:extent cx="88773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extLst>
                        <a:ext uri="{28A0092B-C50C-407E-A947-70E740481C1C}"/>
                      </a:extLst>
                    </a:blip>
                    <a:srcRect/>
                    <a:stretch>
                      <a:fillRect/>
                    </a:stretch>
                  </pic:blipFill>
                  <pic:spPr bwMode="auto">
                    <a:xfrm>
                      <a:off x="0" y="0"/>
                      <a:ext cx="887730" cy="25400"/>
                    </a:xfrm>
                    <a:prstGeom prst="rect">
                      <a:avLst/>
                    </a:prstGeom>
                    <a:noFill/>
                  </pic:spPr>
                </pic:pic>
              </a:graphicData>
            </a:graphic>
          </wp:anchor>
        </w:drawing>
      </w:r>
    </w:p>
    <w:p>
      <w:pPr>
        <w:sectPr>
          <w:pgSz w:w="11880" w:h="15480" w:orient="portrait"/>
          <w:cols w:equalWidth="0" w:num="1">
            <w:col w:w="10200"/>
          </w:cols>
          <w:pgMar w:left="840" w:top="404"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880" w:h="15480" w:orient="portrait"/>
          <w:cols w:equalWidth="0" w:num="1">
            <w:col w:w="10200"/>
          </w:cols>
          <w:pgMar w:left="840" w:top="404" w:right="840" w:bottom="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242"/>
        </w:trPr>
        <w:tc>
          <w:tcPr>
            <w:tcW w:w="1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Borders>
              <w:bottom w:val="single" w:sz="8" w:color="auto"/>
            </w:tcBorders>
            <w:gridSpan w:val="4"/>
          </w:tcPr>
          <w:p>
            <w:pPr>
              <w:jc w:val="right"/>
              <w:ind w:right="266"/>
              <w:spacing w:after="0"/>
              <w:rPr>
                <w:sz w:val="20"/>
                <w:szCs w:val="20"/>
                <w:color w:val="auto"/>
              </w:rPr>
            </w:pPr>
            <w:r>
              <w:rPr>
                <w:rFonts w:ascii="Arial" w:cs="Arial" w:eastAsia="Arial" w:hAnsi="Arial"/>
                <w:sz w:val="18"/>
                <w:szCs w:val="18"/>
                <w:b w:val="1"/>
                <w:bCs w:val="1"/>
                <w:color w:val="auto"/>
              </w:rPr>
              <w:t>Capacity</w:t>
            </w: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Rated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vMerge w:val="restart"/>
          </w:tcPr>
          <w:p>
            <w:pPr>
              <w:jc w:val="right"/>
              <w:ind w:right="126"/>
              <w:spacing w:after="0"/>
              <w:rPr>
                <w:sz w:val="20"/>
                <w:szCs w:val="20"/>
                <w:color w:val="auto"/>
              </w:rPr>
            </w:pPr>
            <w:r>
              <w:rPr>
                <w:rFonts w:ascii="Arial" w:cs="Arial" w:eastAsia="Arial" w:hAnsi="Arial"/>
                <w:sz w:val="18"/>
                <w:szCs w:val="18"/>
                <w:b w:val="1"/>
                <w:bCs w:val="1"/>
                <w:color w:val="auto"/>
              </w:rPr>
              <w:t>Net</w:t>
            </w:r>
          </w:p>
        </w:tc>
        <w:tc>
          <w:tcPr>
            <w:tcW w:w="80" w:type="dxa"/>
            <w:vAlign w:val="bottom"/>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6"/>
              </w:rPr>
              <w:t>Owners</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6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b w:val="1"/>
                <w:bCs w:val="1"/>
                <w:color w:val="auto"/>
              </w:rPr>
              <w:t>Long-term Contract Terms</w:t>
            </w:r>
          </w:p>
        </w:tc>
        <w:tc>
          <w:tcPr>
            <w:tcW w:w="0" w:type="dxa"/>
            <w:vAlign w:val="bottom"/>
          </w:tcPr>
          <w:p>
            <w:pPr>
              <w:spacing w:after="0"/>
              <w:rPr>
                <w:sz w:val="1"/>
                <w:szCs w:val="1"/>
                <w:color w:val="auto"/>
              </w:rPr>
            </w:pPr>
          </w:p>
        </w:tc>
      </w:tr>
      <w:tr>
        <w:trPr>
          <w:trHeight w:val="26"/>
        </w:trPr>
        <w:tc>
          <w:tcPr>
            <w:tcW w:w="16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80" w:type="dxa"/>
            <w:vAlign w:val="bottom"/>
          </w:tcPr>
          <w:p>
            <w:pPr>
              <w:spacing w:after="0"/>
              <w:rPr>
                <w:sz w:val="2"/>
                <w:szCs w:val="2"/>
                <w:color w:val="auto"/>
              </w:rPr>
            </w:pPr>
          </w:p>
        </w:tc>
        <w:tc>
          <w:tcPr>
            <w:tcW w:w="1300" w:type="dxa"/>
            <w:vAlign w:val="bottom"/>
            <w:gridSpan w:val="2"/>
            <w:vMerge w:val="restart"/>
          </w:tcPr>
          <w:p>
            <w:pPr>
              <w:ind w:left="280"/>
              <w:spacing w:after="0"/>
              <w:rPr>
                <w:sz w:val="20"/>
                <w:szCs w:val="20"/>
                <w:color w:val="auto"/>
              </w:rPr>
            </w:pPr>
            <w:r>
              <w:rPr>
                <w:rFonts w:ascii="Arial" w:cs="Arial" w:eastAsia="Arial" w:hAnsi="Arial"/>
                <w:sz w:val="18"/>
                <w:szCs w:val="18"/>
                <w:b w:val="1"/>
                <w:bCs w:val="1"/>
                <w:color w:val="auto"/>
              </w:rPr>
              <w:t>Location</w:t>
            </w:r>
          </w:p>
        </w:tc>
        <w:tc>
          <w:tcPr>
            <w:tcW w:w="62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vMerge w:val="restart"/>
          </w:tcPr>
          <w:p>
            <w:pPr>
              <w:ind w:left="300"/>
              <w:spacing w:after="0"/>
              <w:rPr>
                <w:sz w:val="20"/>
                <w:szCs w:val="20"/>
                <w:color w:val="auto"/>
              </w:rPr>
            </w:pPr>
            <w:r>
              <w:rPr>
                <w:rFonts w:ascii="Arial" w:cs="Arial" w:eastAsia="Arial" w:hAnsi="Arial"/>
                <w:sz w:val="18"/>
                <w:szCs w:val="18"/>
                <w:b w:val="1"/>
                <w:bCs w:val="1"/>
                <w:color w:val="auto"/>
              </w:rPr>
              <w:t>Fuel</w:t>
            </w:r>
          </w:p>
        </w:tc>
        <w:tc>
          <w:tcPr>
            <w:tcW w:w="80" w:type="dxa"/>
            <w:vAlign w:val="bottom"/>
          </w:tcPr>
          <w:p>
            <w:pPr>
              <w:spacing w:after="0"/>
              <w:rPr>
                <w:sz w:val="2"/>
                <w:szCs w:val="2"/>
                <w:color w:val="auto"/>
              </w:rPr>
            </w:pPr>
          </w:p>
        </w:tc>
        <w:tc>
          <w:tcPr>
            <w:tcW w:w="1260" w:type="dxa"/>
            <w:vAlign w:val="bottom"/>
            <w:gridSpan w:val="2"/>
            <w:vMerge w:val="restart"/>
          </w:tcPr>
          <w:p>
            <w:pPr>
              <w:ind w:left="400"/>
              <w:spacing w:after="0"/>
              <w:rPr>
                <w:sz w:val="20"/>
                <w:szCs w:val="20"/>
                <w:color w:val="auto"/>
              </w:rPr>
            </w:pPr>
            <w:r>
              <w:rPr>
                <w:rFonts w:ascii="Arial" w:cs="Arial" w:eastAsia="Arial" w:hAnsi="Arial"/>
                <w:sz w:val="18"/>
                <w:szCs w:val="18"/>
                <w:b w:val="1"/>
                <w:bCs w:val="1"/>
                <w:color w:val="auto"/>
              </w:rPr>
              <w:t>COD</w:t>
            </w:r>
          </w:p>
        </w:tc>
        <w:tc>
          <w:tcPr>
            <w:tcW w:w="1640" w:type="dxa"/>
            <w:vAlign w:val="bottom"/>
            <w:vMerge w:val="restart"/>
          </w:tcPr>
          <w:p>
            <w:pPr>
              <w:ind w:left="300"/>
              <w:spacing w:after="0"/>
              <w:rPr>
                <w:sz w:val="20"/>
                <w:szCs w:val="20"/>
                <w:color w:val="auto"/>
              </w:rPr>
            </w:pPr>
            <w:r>
              <w:rPr>
                <w:rFonts w:ascii="Arial" w:cs="Arial" w:eastAsia="Arial" w:hAnsi="Arial"/>
                <w:sz w:val="18"/>
                <w:szCs w:val="18"/>
                <w:b w:val="1"/>
                <w:bCs w:val="1"/>
                <w:color w:val="auto"/>
              </w:rPr>
              <w:t>Counterparty</w:t>
            </w:r>
          </w:p>
        </w:tc>
        <w:tc>
          <w:tcPr>
            <w:tcW w:w="60" w:type="dxa"/>
            <w:vAlign w:val="bottom"/>
          </w:tcPr>
          <w:p>
            <w:pPr>
              <w:spacing w:after="0"/>
              <w:rPr>
                <w:sz w:val="2"/>
                <w:szCs w:val="2"/>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Expiration</w:t>
            </w:r>
          </w:p>
        </w:tc>
        <w:tc>
          <w:tcPr>
            <w:tcW w:w="0" w:type="dxa"/>
            <w:vAlign w:val="bottom"/>
          </w:tcPr>
          <w:p>
            <w:pPr>
              <w:spacing w:after="0" w:line="20" w:lineRule="exact"/>
              <w:rPr>
                <w:sz w:val="1"/>
                <w:szCs w:val="1"/>
                <w:color w:val="auto"/>
              </w:rPr>
            </w:pPr>
          </w:p>
        </w:tc>
      </w:tr>
      <w:tr>
        <w:trPr>
          <w:trHeight w:val="238"/>
        </w:trPr>
        <w:tc>
          <w:tcPr>
            <w:tcW w:w="16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620" w:type="dxa"/>
            <w:vAlign w:val="bottom"/>
          </w:tcPr>
          <w:p>
            <w:pPr>
              <w:jc w:val="right"/>
              <w:ind w:right="60"/>
              <w:spacing w:after="0"/>
              <w:rPr>
                <w:sz w:val="20"/>
                <w:szCs w:val="20"/>
                <w:color w:val="auto"/>
              </w:rPr>
            </w:pPr>
            <w:r>
              <w:rPr>
                <w:rFonts w:ascii="Arial" w:cs="Arial" w:eastAsia="Arial" w:hAnsi="Arial"/>
                <w:sz w:val="18"/>
                <w:szCs w:val="18"/>
                <w:b w:val="1"/>
                <w:bCs w:val="1"/>
                <w:color w:val="auto"/>
              </w:rPr>
              <w:t>MW</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jc w:val="right"/>
              <w:ind w:right="26"/>
              <w:spacing w:after="0" w:line="237" w:lineRule="exact"/>
              <w:rPr>
                <w:sz w:val="20"/>
                <w:szCs w:val="20"/>
                <w:color w:val="auto"/>
              </w:rPr>
            </w:pPr>
            <w:r>
              <w:rPr>
                <w:rFonts w:ascii="Arial" w:cs="Arial" w:eastAsia="Arial" w:hAnsi="Arial"/>
                <w:sz w:val="27"/>
                <w:szCs w:val="27"/>
                <w:b w:val="1"/>
                <w:bCs w:val="1"/>
                <w:color w:val="auto"/>
                <w:vertAlign w:val="subscript"/>
              </w:rPr>
              <w:t>MW</w:t>
            </w:r>
            <w:r>
              <w:rPr>
                <w:rFonts w:ascii="Arial" w:cs="Arial" w:eastAsia="Arial" w:hAnsi="Arial"/>
                <w:sz w:val="10"/>
                <w:szCs w:val="10"/>
                <w:b w:val="1"/>
                <w:bCs w:val="1"/>
                <w:color w:val="auto"/>
              </w:rPr>
              <w:t>(a)</w:t>
            </w:r>
          </w:p>
        </w:tc>
        <w:tc>
          <w:tcPr>
            <w:tcW w:w="80" w:type="dxa"/>
            <w:vAlign w:val="bottom"/>
          </w:tcPr>
          <w:p>
            <w:pPr>
              <w:spacing w:after="0"/>
              <w:rPr>
                <w:sz w:val="20"/>
                <w:szCs w:val="20"/>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b w:val="1"/>
                <w:bCs w:val="1"/>
                <w:color w:val="auto"/>
              </w:rPr>
              <w:t>hip</w:t>
            </w:r>
          </w:p>
        </w:tc>
        <w:tc>
          <w:tcPr>
            <w:tcW w:w="8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16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16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i w:val="1"/>
                <w:iCs w:val="1"/>
                <w:color w:val="auto"/>
              </w:rPr>
              <w:t>Distributed Solar</w:t>
            </w:r>
          </w:p>
        </w:tc>
        <w:tc>
          <w:tcPr>
            <w:tcW w:w="8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64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1640" w:type="dxa"/>
            <w:vAlign w:val="bottom"/>
            <w:vMerge w:val="restart"/>
            <w:shd w:val="clear" w:color="auto" w:fill="E6E6E6"/>
          </w:tcPr>
          <w:p>
            <w:pPr>
              <w:ind w:left="40"/>
              <w:spacing w:after="0"/>
              <w:rPr>
                <w:sz w:val="20"/>
                <w:szCs w:val="20"/>
                <w:color w:val="auto"/>
              </w:rPr>
            </w:pPr>
            <w:r>
              <w:rPr>
                <w:rFonts w:ascii="Arial" w:cs="Arial" w:eastAsia="Arial" w:hAnsi="Arial"/>
                <w:sz w:val="16"/>
                <w:szCs w:val="16"/>
                <w:color w:val="auto"/>
                <w:w w:val="93"/>
              </w:rPr>
              <w:t xml:space="preserve">DGPV Fund Projects </w:t>
            </w:r>
            <w:r>
              <w:rPr>
                <w:rFonts w:ascii="Arial" w:cs="Arial" w:eastAsia="Arial" w:hAnsi="Arial"/>
                <w:sz w:val="20"/>
                <w:szCs w:val="20"/>
                <w:color w:val="auto"/>
                <w:w w:val="93"/>
                <w:vertAlign w:val="superscript"/>
              </w:rPr>
              <w:t>(b)</w:t>
            </w:r>
          </w:p>
        </w:tc>
        <w:tc>
          <w:tcPr>
            <w:tcW w:w="80" w:type="dxa"/>
            <w:vAlign w:val="bottom"/>
            <w:shd w:val="clear" w:color="auto" w:fill="E6E6E6"/>
          </w:tcPr>
          <w:p>
            <w:pPr>
              <w:spacing w:after="0"/>
              <w:rPr>
                <w:sz w:val="17"/>
                <w:szCs w:val="17"/>
                <w:color w:val="auto"/>
              </w:rPr>
            </w:pPr>
          </w:p>
        </w:tc>
        <w:tc>
          <w:tcPr>
            <w:tcW w:w="1300" w:type="dxa"/>
            <w:vAlign w:val="bottom"/>
            <w:gridSpan w:val="2"/>
            <w:vMerge w:val="restart"/>
            <w:shd w:val="clear" w:color="auto" w:fill="E6E6E6"/>
          </w:tcPr>
          <w:p>
            <w:pPr>
              <w:ind w:left="40"/>
              <w:spacing w:after="0"/>
              <w:rPr>
                <w:sz w:val="20"/>
                <w:szCs w:val="20"/>
                <w:color w:val="auto"/>
              </w:rPr>
            </w:pPr>
            <w:r>
              <w:rPr>
                <w:rFonts w:ascii="Arial" w:cs="Arial" w:eastAsia="Arial" w:hAnsi="Arial"/>
                <w:sz w:val="16"/>
                <w:szCs w:val="16"/>
                <w:color w:val="auto"/>
              </w:rPr>
              <w:t>Various</w:t>
            </w:r>
          </w:p>
        </w:tc>
        <w:tc>
          <w:tcPr>
            <w:tcW w:w="62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286</w:t>
            </w:r>
          </w:p>
        </w:tc>
        <w:tc>
          <w:tcPr>
            <w:tcW w:w="740" w:type="dxa"/>
            <w:vAlign w:val="bottom"/>
            <w:gridSpan w:val="3"/>
            <w:vMerge w:val="restart"/>
            <w:shd w:val="clear" w:color="auto" w:fill="E6E6E6"/>
          </w:tcPr>
          <w:p>
            <w:pPr>
              <w:jc w:val="right"/>
              <w:spacing w:after="0"/>
              <w:rPr>
                <w:sz w:val="20"/>
                <w:szCs w:val="20"/>
                <w:color w:val="auto"/>
              </w:rPr>
            </w:pPr>
            <w:r>
              <w:rPr>
                <w:rFonts w:ascii="Arial" w:cs="Arial" w:eastAsia="Arial" w:hAnsi="Arial"/>
                <w:sz w:val="16"/>
                <w:szCs w:val="16"/>
                <w:color w:val="auto"/>
              </w:rPr>
              <w:t>286</w:t>
            </w:r>
          </w:p>
        </w:tc>
        <w:tc>
          <w:tcPr>
            <w:tcW w:w="800" w:type="dxa"/>
            <w:vAlign w:val="bottom"/>
            <w:gridSpan w:val="2"/>
            <w:vMerge w:val="restart"/>
            <w:shd w:val="clear" w:color="auto" w:fill="E6E6E6"/>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E6E6E6"/>
          </w:tcPr>
          <w:p>
            <w:pPr>
              <w:spacing w:after="0"/>
              <w:rPr>
                <w:sz w:val="17"/>
                <w:szCs w:val="17"/>
                <w:color w:val="auto"/>
              </w:rPr>
            </w:pPr>
          </w:p>
        </w:tc>
        <w:tc>
          <w:tcPr>
            <w:tcW w:w="940" w:type="dxa"/>
            <w:vAlign w:val="bottom"/>
            <w:vMerge w:val="restart"/>
            <w:shd w:val="clear" w:color="auto" w:fill="E6E6E6"/>
          </w:tcPr>
          <w:p>
            <w:pPr>
              <w:ind w:left="60"/>
              <w:spacing w:after="0"/>
              <w:rPr>
                <w:sz w:val="20"/>
                <w:szCs w:val="20"/>
                <w:color w:val="auto"/>
              </w:rPr>
            </w:pPr>
            <w:r>
              <w:rPr>
                <w:rFonts w:ascii="Arial" w:cs="Arial" w:eastAsia="Arial" w:hAnsi="Arial"/>
                <w:sz w:val="16"/>
                <w:szCs w:val="16"/>
                <w:color w:val="auto"/>
              </w:rPr>
              <w:t>Solar</w:t>
            </w:r>
          </w:p>
        </w:tc>
        <w:tc>
          <w:tcPr>
            <w:tcW w:w="80" w:type="dxa"/>
            <w:vAlign w:val="bottom"/>
            <w:shd w:val="clear" w:color="auto" w:fill="E6E6E6"/>
          </w:tcPr>
          <w:p>
            <w:pPr>
              <w:spacing w:after="0"/>
              <w:rPr>
                <w:sz w:val="17"/>
                <w:szCs w:val="17"/>
                <w:color w:val="auto"/>
              </w:rPr>
            </w:pPr>
          </w:p>
        </w:tc>
        <w:tc>
          <w:tcPr>
            <w:tcW w:w="1260" w:type="dxa"/>
            <w:vAlign w:val="bottom"/>
            <w:gridSpan w:val="2"/>
            <w:shd w:val="clear" w:color="auto" w:fill="E6E6E6"/>
          </w:tcPr>
          <w:p>
            <w:pPr>
              <w:ind w:left="60"/>
              <w:spacing w:after="0"/>
              <w:rPr>
                <w:sz w:val="20"/>
                <w:szCs w:val="20"/>
                <w:color w:val="auto"/>
              </w:rPr>
            </w:pPr>
            <w:r>
              <w:rPr>
                <w:rFonts w:ascii="Arial" w:cs="Arial" w:eastAsia="Arial" w:hAnsi="Arial"/>
                <w:sz w:val="16"/>
                <w:szCs w:val="16"/>
                <w:color w:val="auto"/>
                <w:w w:val="99"/>
              </w:rPr>
              <w:t>September 2015</w:t>
            </w:r>
          </w:p>
        </w:tc>
        <w:tc>
          <w:tcPr>
            <w:tcW w:w="1640" w:type="dxa"/>
            <w:vAlign w:val="bottom"/>
            <w:vMerge w:val="restart"/>
            <w:shd w:val="clear" w:color="auto" w:fill="E6E6E6"/>
          </w:tcPr>
          <w:p>
            <w:pPr>
              <w:ind w:left="60"/>
              <w:spacing w:after="0"/>
              <w:rPr>
                <w:sz w:val="20"/>
                <w:szCs w:val="20"/>
                <w:color w:val="auto"/>
              </w:rPr>
            </w:pPr>
            <w:r>
              <w:rPr>
                <w:rFonts w:ascii="Arial" w:cs="Arial" w:eastAsia="Arial" w:hAnsi="Arial"/>
                <w:sz w:val="16"/>
                <w:szCs w:val="16"/>
                <w:color w:val="auto"/>
              </w:rPr>
              <w:t>Various</w:t>
            </w:r>
          </w:p>
        </w:tc>
        <w:tc>
          <w:tcPr>
            <w:tcW w:w="1020" w:type="dxa"/>
            <w:vAlign w:val="bottom"/>
            <w:gridSpan w:val="2"/>
            <w:vMerge w:val="restart"/>
            <w:shd w:val="clear" w:color="auto" w:fill="E6E6E6"/>
          </w:tcPr>
          <w:p>
            <w:pPr>
              <w:jc w:val="right"/>
              <w:spacing w:after="0"/>
              <w:rPr>
                <w:sz w:val="20"/>
                <w:szCs w:val="20"/>
                <w:color w:val="auto"/>
              </w:rPr>
            </w:pPr>
            <w:r>
              <w:rPr>
                <w:rFonts w:ascii="Arial" w:cs="Arial" w:eastAsia="Arial" w:hAnsi="Arial"/>
                <w:sz w:val="16"/>
                <w:szCs w:val="16"/>
                <w:color w:val="auto"/>
              </w:rPr>
              <w:t>2030 - 2044</w:t>
            </w:r>
          </w:p>
        </w:tc>
        <w:tc>
          <w:tcPr>
            <w:tcW w:w="0" w:type="dxa"/>
            <w:vAlign w:val="bottom"/>
          </w:tcPr>
          <w:p>
            <w:pPr>
              <w:spacing w:after="0"/>
              <w:rPr>
                <w:sz w:val="1"/>
                <w:szCs w:val="1"/>
                <w:color w:val="auto"/>
              </w:rPr>
            </w:pPr>
          </w:p>
        </w:tc>
      </w:tr>
      <w:tr>
        <w:trPr>
          <w:trHeight w:val="223"/>
        </w:trPr>
        <w:tc>
          <w:tcPr>
            <w:tcW w:w="1640" w:type="dxa"/>
            <w:vAlign w:val="bottom"/>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300" w:type="dxa"/>
            <w:vAlign w:val="bottom"/>
            <w:gridSpan w:val="2"/>
            <w:vMerge w:val="continue"/>
            <w:shd w:val="clear" w:color="auto" w:fill="E6E6E6"/>
          </w:tcPr>
          <w:p>
            <w:pPr>
              <w:spacing w:after="0"/>
              <w:rPr>
                <w:sz w:val="19"/>
                <w:szCs w:val="19"/>
                <w:color w:val="auto"/>
              </w:rPr>
            </w:pPr>
          </w:p>
        </w:tc>
        <w:tc>
          <w:tcPr>
            <w:tcW w:w="620" w:type="dxa"/>
            <w:vAlign w:val="bottom"/>
            <w:vMerge w:val="continue"/>
            <w:shd w:val="clear" w:color="auto" w:fill="E6E6E6"/>
          </w:tcPr>
          <w:p>
            <w:pPr>
              <w:spacing w:after="0"/>
              <w:rPr>
                <w:sz w:val="19"/>
                <w:szCs w:val="19"/>
                <w:color w:val="auto"/>
              </w:rPr>
            </w:pPr>
          </w:p>
        </w:tc>
        <w:tc>
          <w:tcPr>
            <w:tcW w:w="740" w:type="dxa"/>
            <w:vAlign w:val="bottom"/>
            <w:gridSpan w:val="3"/>
            <w:vMerge w:val="continue"/>
            <w:shd w:val="clear" w:color="auto" w:fill="E6E6E6"/>
          </w:tcPr>
          <w:p>
            <w:pPr>
              <w:spacing w:after="0"/>
              <w:rPr>
                <w:sz w:val="19"/>
                <w:szCs w:val="19"/>
                <w:color w:val="auto"/>
              </w:rPr>
            </w:pPr>
          </w:p>
        </w:tc>
        <w:tc>
          <w:tcPr>
            <w:tcW w:w="800" w:type="dxa"/>
            <w:vAlign w:val="bottom"/>
            <w:gridSpan w:val="2"/>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940" w:type="dxa"/>
            <w:vAlign w:val="bottom"/>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260" w:type="dxa"/>
            <w:vAlign w:val="bottom"/>
            <w:gridSpan w:val="2"/>
            <w:shd w:val="clear" w:color="auto" w:fill="E6E6E6"/>
          </w:tcPr>
          <w:p>
            <w:pPr>
              <w:ind w:left="60"/>
              <w:spacing w:after="0"/>
              <w:rPr>
                <w:sz w:val="20"/>
                <w:szCs w:val="20"/>
                <w:color w:val="auto"/>
              </w:rPr>
            </w:pPr>
            <w:r>
              <w:rPr>
                <w:rFonts w:ascii="Arial" w:cs="Arial" w:eastAsia="Arial" w:hAnsi="Arial"/>
                <w:sz w:val="16"/>
                <w:szCs w:val="16"/>
                <w:color w:val="auto"/>
              </w:rPr>
              <w:t>- March 2019</w:t>
            </w:r>
          </w:p>
        </w:tc>
        <w:tc>
          <w:tcPr>
            <w:tcW w:w="1640" w:type="dxa"/>
            <w:vAlign w:val="bottom"/>
            <w:vMerge w:val="continue"/>
            <w:shd w:val="clear" w:color="auto" w:fill="E6E6E6"/>
          </w:tcPr>
          <w:p>
            <w:pPr>
              <w:spacing w:after="0"/>
              <w:rPr>
                <w:sz w:val="19"/>
                <w:szCs w:val="19"/>
                <w:color w:val="auto"/>
              </w:rPr>
            </w:pPr>
          </w:p>
        </w:tc>
        <w:tc>
          <w:tcPr>
            <w:tcW w:w="1020" w:type="dxa"/>
            <w:vAlign w:val="bottom"/>
            <w:gridSpan w:val="2"/>
            <w:vMerge w:val="continue"/>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640" w:type="dxa"/>
            <w:vAlign w:val="bottom"/>
          </w:tcPr>
          <w:p>
            <w:pPr>
              <w:ind w:left="40"/>
              <w:spacing w:after="0"/>
              <w:rPr>
                <w:sz w:val="20"/>
                <w:szCs w:val="20"/>
                <w:color w:val="auto"/>
              </w:rPr>
            </w:pPr>
            <w:r>
              <w:rPr>
                <w:rFonts w:ascii="Arial" w:cs="Arial" w:eastAsia="Arial" w:hAnsi="Arial"/>
                <w:sz w:val="16"/>
                <w:szCs w:val="16"/>
                <w:color w:val="auto"/>
              </w:rPr>
              <w:t>Solar Power Partners</w:t>
            </w:r>
          </w:p>
        </w:tc>
        <w:tc>
          <w:tcPr>
            <w:tcW w:w="80" w:type="dxa"/>
            <w:vAlign w:val="bottom"/>
          </w:tcPr>
          <w:p>
            <w:pPr>
              <w:spacing w:after="0"/>
              <w:rPr>
                <w:sz w:val="16"/>
                <w:szCs w:val="16"/>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6"/>
                <w:szCs w:val="16"/>
                <w:color w:val="auto"/>
              </w:rPr>
              <w:t>Various</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25</w:t>
            </w:r>
          </w:p>
        </w:tc>
        <w:tc>
          <w:tcPr>
            <w:tcW w:w="740" w:type="dxa"/>
            <w:vAlign w:val="bottom"/>
            <w:gridSpan w:val="3"/>
            <w:vMerge w:val="restart"/>
          </w:tcPr>
          <w:p>
            <w:pPr>
              <w:jc w:val="right"/>
              <w:spacing w:after="0"/>
              <w:rPr>
                <w:sz w:val="20"/>
                <w:szCs w:val="20"/>
                <w:color w:val="auto"/>
              </w:rPr>
            </w:pPr>
            <w:r>
              <w:rPr>
                <w:rFonts w:ascii="Arial" w:cs="Arial" w:eastAsia="Arial" w:hAnsi="Arial"/>
                <w:sz w:val="16"/>
                <w:szCs w:val="16"/>
                <w:color w:val="auto"/>
              </w:rPr>
              <w:t>25</w:t>
            </w:r>
          </w:p>
        </w:tc>
        <w:tc>
          <w:tcPr>
            <w:tcW w:w="800" w:type="dxa"/>
            <w:vAlign w:val="bottom"/>
            <w:gridSpan w:val="2"/>
            <w:vMerge w:val="restart"/>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16"/>
                <w:szCs w:val="16"/>
                <w:color w:val="auto"/>
              </w:rPr>
            </w:pPr>
          </w:p>
        </w:tc>
        <w:tc>
          <w:tcPr>
            <w:tcW w:w="940" w:type="dxa"/>
            <w:vAlign w:val="bottom"/>
            <w:vMerge w:val="restart"/>
          </w:tcPr>
          <w:p>
            <w:pPr>
              <w:ind w:left="60"/>
              <w:spacing w:after="0"/>
              <w:rPr>
                <w:sz w:val="20"/>
                <w:szCs w:val="20"/>
                <w:color w:val="auto"/>
              </w:rPr>
            </w:pPr>
            <w:r>
              <w:rPr>
                <w:rFonts w:ascii="Arial" w:cs="Arial" w:eastAsia="Arial" w:hAnsi="Arial"/>
                <w:sz w:val="16"/>
                <w:szCs w:val="16"/>
                <w:color w:val="auto"/>
              </w:rPr>
              <w:t>Solar</w:t>
            </w:r>
          </w:p>
        </w:tc>
        <w:tc>
          <w:tcPr>
            <w:tcW w:w="8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w w:val="95"/>
              </w:rPr>
              <w:t>June 2008 - June</w:t>
            </w:r>
          </w:p>
        </w:tc>
        <w:tc>
          <w:tcPr>
            <w:tcW w:w="1640" w:type="dxa"/>
            <w:vAlign w:val="bottom"/>
            <w:vMerge w:val="restart"/>
          </w:tcPr>
          <w:p>
            <w:pPr>
              <w:ind w:left="60"/>
              <w:spacing w:after="0"/>
              <w:rPr>
                <w:sz w:val="20"/>
                <w:szCs w:val="20"/>
                <w:color w:val="auto"/>
              </w:rPr>
            </w:pPr>
            <w:r>
              <w:rPr>
                <w:rFonts w:ascii="Arial" w:cs="Arial" w:eastAsia="Arial" w:hAnsi="Arial"/>
                <w:sz w:val="16"/>
                <w:szCs w:val="16"/>
                <w:color w:val="auto"/>
              </w:rPr>
              <w:t>Various</w:t>
            </w: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color w:val="auto"/>
              </w:rPr>
              <w:t>2024 - 2037</w:t>
            </w:r>
          </w:p>
        </w:tc>
        <w:tc>
          <w:tcPr>
            <w:tcW w:w="0" w:type="dxa"/>
            <w:vAlign w:val="bottom"/>
          </w:tcPr>
          <w:p>
            <w:pPr>
              <w:spacing w:after="0"/>
              <w:rPr>
                <w:sz w:val="1"/>
                <w:szCs w:val="1"/>
                <w:color w:val="auto"/>
              </w:rPr>
            </w:pPr>
          </w:p>
        </w:tc>
      </w:tr>
      <w:tr>
        <w:trPr>
          <w:trHeight w:val="216"/>
        </w:trPr>
        <w:tc>
          <w:tcPr>
            <w:tcW w:w="1640" w:type="dxa"/>
            <w:vAlign w:val="bottom"/>
          </w:tcPr>
          <w:p>
            <w:pPr>
              <w:ind w:left="40"/>
              <w:spacing w:after="0"/>
              <w:rPr>
                <w:sz w:val="20"/>
                <w:szCs w:val="20"/>
                <w:color w:val="auto"/>
              </w:rPr>
            </w:pPr>
            <w:r>
              <w:rPr>
                <w:rFonts w:ascii="Arial" w:cs="Arial" w:eastAsia="Arial" w:hAnsi="Arial"/>
                <w:sz w:val="16"/>
                <w:szCs w:val="16"/>
                <w:color w:val="auto"/>
              </w:rPr>
              <w:t>(SPP) Projects</w:t>
            </w:r>
          </w:p>
        </w:tc>
        <w:tc>
          <w:tcPr>
            <w:tcW w:w="8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740" w:type="dxa"/>
            <w:vAlign w:val="bottom"/>
            <w:gridSpan w:val="3"/>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80" w:type="dxa"/>
            <w:vAlign w:val="bottom"/>
            <w:gridSpan w:val="2"/>
          </w:tcPr>
          <w:p>
            <w:pPr>
              <w:ind w:left="140"/>
              <w:spacing w:after="0"/>
              <w:rPr>
                <w:sz w:val="20"/>
                <w:szCs w:val="20"/>
                <w:color w:val="auto"/>
              </w:rPr>
            </w:pPr>
            <w:r>
              <w:rPr>
                <w:rFonts w:ascii="Arial" w:cs="Arial" w:eastAsia="Arial" w:hAnsi="Arial"/>
                <w:sz w:val="16"/>
                <w:szCs w:val="16"/>
                <w:color w:val="auto"/>
              </w:rPr>
              <w:t>2012</w:t>
            </w:r>
          </w:p>
        </w:tc>
        <w:tc>
          <w:tcPr>
            <w:tcW w:w="6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640" w:type="dxa"/>
            <w:vAlign w:val="bottom"/>
            <w:vMerge w:val="restart"/>
            <w:shd w:val="clear" w:color="auto" w:fill="E6E6E6"/>
          </w:tcPr>
          <w:p>
            <w:pPr>
              <w:ind w:left="40"/>
              <w:spacing w:after="0"/>
              <w:rPr>
                <w:sz w:val="20"/>
                <w:szCs w:val="20"/>
                <w:color w:val="auto"/>
              </w:rPr>
            </w:pPr>
            <w:r>
              <w:rPr>
                <w:rFonts w:ascii="Arial" w:cs="Arial" w:eastAsia="Arial" w:hAnsi="Arial"/>
                <w:sz w:val="16"/>
                <w:szCs w:val="16"/>
                <w:color w:val="auto"/>
              </w:rPr>
              <w:t>Other DG Projects</w:t>
            </w:r>
          </w:p>
        </w:tc>
        <w:tc>
          <w:tcPr>
            <w:tcW w:w="80" w:type="dxa"/>
            <w:vAlign w:val="bottom"/>
            <w:shd w:val="clear" w:color="auto" w:fill="E6E6E6"/>
          </w:tcPr>
          <w:p>
            <w:pPr>
              <w:spacing w:after="0"/>
              <w:rPr>
                <w:sz w:val="17"/>
                <w:szCs w:val="17"/>
                <w:color w:val="auto"/>
              </w:rPr>
            </w:pPr>
          </w:p>
        </w:tc>
        <w:tc>
          <w:tcPr>
            <w:tcW w:w="1300" w:type="dxa"/>
            <w:vAlign w:val="bottom"/>
            <w:gridSpan w:val="2"/>
            <w:vMerge w:val="restart"/>
            <w:shd w:val="clear" w:color="auto" w:fill="E6E6E6"/>
          </w:tcPr>
          <w:p>
            <w:pPr>
              <w:ind w:left="40"/>
              <w:spacing w:after="0"/>
              <w:rPr>
                <w:sz w:val="20"/>
                <w:szCs w:val="20"/>
                <w:color w:val="auto"/>
              </w:rPr>
            </w:pPr>
            <w:r>
              <w:rPr>
                <w:rFonts w:ascii="Arial" w:cs="Arial" w:eastAsia="Arial" w:hAnsi="Arial"/>
                <w:sz w:val="16"/>
                <w:szCs w:val="16"/>
                <w:color w:val="auto"/>
              </w:rPr>
              <w:t>Various</w:t>
            </w:r>
          </w:p>
        </w:tc>
        <w:tc>
          <w:tcPr>
            <w:tcW w:w="62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21</w:t>
            </w:r>
          </w:p>
        </w:tc>
        <w:tc>
          <w:tcPr>
            <w:tcW w:w="100" w:type="dxa"/>
            <w:vAlign w:val="bottom"/>
            <w:gridSpan w:val="2"/>
            <w:vMerge w:val="restart"/>
            <w:shd w:val="clear" w:color="auto" w:fill="E6E6E6"/>
          </w:tcPr>
          <w:p>
            <w:pPr>
              <w:spacing w:after="0"/>
              <w:rPr>
                <w:sz w:val="17"/>
                <w:szCs w:val="17"/>
                <w:color w:val="auto"/>
              </w:rPr>
            </w:pPr>
          </w:p>
        </w:tc>
        <w:tc>
          <w:tcPr>
            <w:tcW w:w="64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21</w:t>
            </w:r>
          </w:p>
        </w:tc>
        <w:tc>
          <w:tcPr>
            <w:tcW w:w="800" w:type="dxa"/>
            <w:vAlign w:val="bottom"/>
            <w:gridSpan w:val="2"/>
            <w:vMerge w:val="restart"/>
            <w:shd w:val="clear" w:color="auto" w:fill="E6E6E6"/>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E6E6E6"/>
          </w:tcPr>
          <w:p>
            <w:pPr>
              <w:spacing w:after="0"/>
              <w:rPr>
                <w:sz w:val="17"/>
                <w:szCs w:val="17"/>
                <w:color w:val="auto"/>
              </w:rPr>
            </w:pPr>
          </w:p>
        </w:tc>
        <w:tc>
          <w:tcPr>
            <w:tcW w:w="940" w:type="dxa"/>
            <w:vAlign w:val="bottom"/>
            <w:vMerge w:val="restart"/>
            <w:shd w:val="clear" w:color="auto" w:fill="E6E6E6"/>
          </w:tcPr>
          <w:p>
            <w:pPr>
              <w:ind w:left="60"/>
              <w:spacing w:after="0"/>
              <w:rPr>
                <w:sz w:val="20"/>
                <w:szCs w:val="20"/>
                <w:color w:val="auto"/>
              </w:rPr>
            </w:pPr>
            <w:r>
              <w:rPr>
                <w:rFonts w:ascii="Arial" w:cs="Arial" w:eastAsia="Arial" w:hAnsi="Arial"/>
                <w:sz w:val="16"/>
                <w:szCs w:val="16"/>
                <w:color w:val="auto"/>
              </w:rPr>
              <w:t>Solar</w:t>
            </w:r>
          </w:p>
        </w:tc>
        <w:tc>
          <w:tcPr>
            <w:tcW w:w="80" w:type="dxa"/>
            <w:vAlign w:val="bottom"/>
            <w:shd w:val="clear" w:color="auto" w:fill="E6E6E6"/>
          </w:tcPr>
          <w:p>
            <w:pPr>
              <w:spacing w:after="0"/>
              <w:rPr>
                <w:sz w:val="17"/>
                <w:szCs w:val="17"/>
                <w:color w:val="auto"/>
              </w:rPr>
            </w:pPr>
          </w:p>
        </w:tc>
        <w:tc>
          <w:tcPr>
            <w:tcW w:w="1260" w:type="dxa"/>
            <w:vAlign w:val="bottom"/>
            <w:gridSpan w:val="2"/>
            <w:shd w:val="clear" w:color="auto" w:fill="E6E6E6"/>
          </w:tcPr>
          <w:p>
            <w:pPr>
              <w:ind w:left="60"/>
              <w:spacing w:after="0"/>
              <w:rPr>
                <w:sz w:val="20"/>
                <w:szCs w:val="20"/>
                <w:color w:val="auto"/>
              </w:rPr>
            </w:pPr>
            <w:r>
              <w:rPr>
                <w:rFonts w:ascii="Arial" w:cs="Arial" w:eastAsia="Arial" w:hAnsi="Arial"/>
                <w:sz w:val="16"/>
                <w:szCs w:val="16"/>
                <w:color w:val="auto"/>
              </w:rPr>
              <w:t>December 2010</w:t>
            </w:r>
          </w:p>
        </w:tc>
        <w:tc>
          <w:tcPr>
            <w:tcW w:w="1640" w:type="dxa"/>
            <w:vAlign w:val="bottom"/>
            <w:vMerge w:val="restart"/>
            <w:shd w:val="clear" w:color="auto" w:fill="E6E6E6"/>
          </w:tcPr>
          <w:p>
            <w:pPr>
              <w:ind w:left="60"/>
              <w:spacing w:after="0"/>
              <w:rPr>
                <w:sz w:val="20"/>
                <w:szCs w:val="20"/>
                <w:color w:val="auto"/>
              </w:rPr>
            </w:pPr>
            <w:r>
              <w:rPr>
                <w:rFonts w:ascii="Arial" w:cs="Arial" w:eastAsia="Arial" w:hAnsi="Arial"/>
                <w:sz w:val="16"/>
                <w:szCs w:val="16"/>
                <w:color w:val="auto"/>
              </w:rPr>
              <w:t>Various</w:t>
            </w:r>
          </w:p>
        </w:tc>
        <w:tc>
          <w:tcPr>
            <w:tcW w:w="1020" w:type="dxa"/>
            <w:vAlign w:val="bottom"/>
            <w:gridSpan w:val="2"/>
            <w:vMerge w:val="restart"/>
            <w:shd w:val="clear" w:color="auto" w:fill="E6E6E6"/>
          </w:tcPr>
          <w:p>
            <w:pPr>
              <w:jc w:val="right"/>
              <w:spacing w:after="0"/>
              <w:rPr>
                <w:sz w:val="20"/>
                <w:szCs w:val="20"/>
                <w:color w:val="auto"/>
              </w:rPr>
            </w:pPr>
            <w:r>
              <w:rPr>
                <w:rFonts w:ascii="Arial" w:cs="Arial" w:eastAsia="Arial" w:hAnsi="Arial"/>
                <w:sz w:val="16"/>
                <w:szCs w:val="16"/>
                <w:color w:val="auto"/>
              </w:rPr>
              <w:t>2025 - 2039</w:t>
            </w:r>
          </w:p>
        </w:tc>
        <w:tc>
          <w:tcPr>
            <w:tcW w:w="0" w:type="dxa"/>
            <w:vAlign w:val="bottom"/>
          </w:tcPr>
          <w:p>
            <w:pPr>
              <w:spacing w:after="0"/>
              <w:rPr>
                <w:sz w:val="1"/>
                <w:szCs w:val="1"/>
                <w:color w:val="auto"/>
              </w:rPr>
            </w:pPr>
          </w:p>
        </w:tc>
      </w:tr>
      <w:tr>
        <w:trPr>
          <w:trHeight w:val="231"/>
        </w:trPr>
        <w:tc>
          <w:tcPr>
            <w:tcW w:w="1640" w:type="dxa"/>
            <w:vAlign w:val="bottom"/>
            <w:tcBorders>
              <w:bottom w:val="single" w:sz="8" w:color="E6E6E6"/>
            </w:tcBorders>
            <w:vMerge w:val="continue"/>
            <w:shd w:val="clear" w:color="auto" w:fill="E6E6E6"/>
          </w:tcPr>
          <w:p>
            <w:pPr>
              <w:spacing w:after="0"/>
              <w:rPr>
                <w:sz w:val="20"/>
                <w:szCs w:val="20"/>
                <w:color w:val="auto"/>
              </w:rPr>
            </w:pPr>
          </w:p>
        </w:tc>
        <w:tc>
          <w:tcPr>
            <w:tcW w:w="80" w:type="dxa"/>
            <w:vAlign w:val="bottom"/>
            <w:tcBorders>
              <w:bottom w:val="single" w:sz="8" w:color="E6E6E6"/>
            </w:tcBorders>
            <w:shd w:val="clear" w:color="auto" w:fill="E6E6E6"/>
          </w:tcPr>
          <w:p>
            <w:pPr>
              <w:spacing w:after="0"/>
              <w:rPr>
                <w:sz w:val="20"/>
                <w:szCs w:val="20"/>
                <w:color w:val="auto"/>
              </w:rPr>
            </w:pPr>
          </w:p>
        </w:tc>
        <w:tc>
          <w:tcPr>
            <w:tcW w:w="1300" w:type="dxa"/>
            <w:vAlign w:val="bottom"/>
            <w:tcBorders>
              <w:bottom w:val="single" w:sz="8" w:color="E6E6E6"/>
            </w:tcBorders>
            <w:gridSpan w:val="2"/>
            <w:vMerge w:val="continue"/>
            <w:shd w:val="clear" w:color="auto" w:fill="E6E6E6"/>
          </w:tcPr>
          <w:p>
            <w:pPr>
              <w:spacing w:after="0"/>
              <w:rPr>
                <w:sz w:val="20"/>
                <w:szCs w:val="20"/>
                <w:color w:val="auto"/>
              </w:rPr>
            </w:pPr>
          </w:p>
        </w:tc>
        <w:tc>
          <w:tcPr>
            <w:tcW w:w="620" w:type="dxa"/>
            <w:vAlign w:val="bottom"/>
            <w:tcBorders>
              <w:bottom w:val="single" w:sz="8" w:color="auto"/>
            </w:tcBorders>
            <w:vMerge w:val="continue"/>
            <w:shd w:val="clear" w:color="auto" w:fill="E6E6E6"/>
          </w:tcPr>
          <w:p>
            <w:pPr>
              <w:spacing w:after="0"/>
              <w:rPr>
                <w:sz w:val="20"/>
                <w:szCs w:val="20"/>
                <w:color w:val="auto"/>
              </w:rPr>
            </w:pPr>
          </w:p>
        </w:tc>
        <w:tc>
          <w:tcPr>
            <w:tcW w:w="100" w:type="dxa"/>
            <w:vAlign w:val="bottom"/>
            <w:tcBorders>
              <w:bottom w:val="single" w:sz="8" w:color="E6E6E6"/>
            </w:tcBorders>
            <w:gridSpan w:val="2"/>
            <w:vMerge w:val="continue"/>
            <w:shd w:val="clear" w:color="auto" w:fill="E6E6E6"/>
          </w:tcPr>
          <w:p>
            <w:pPr>
              <w:spacing w:after="0"/>
              <w:rPr>
                <w:sz w:val="20"/>
                <w:szCs w:val="20"/>
                <w:color w:val="auto"/>
              </w:rPr>
            </w:pPr>
          </w:p>
        </w:tc>
        <w:tc>
          <w:tcPr>
            <w:tcW w:w="640" w:type="dxa"/>
            <w:vAlign w:val="bottom"/>
            <w:tcBorders>
              <w:bottom w:val="single" w:sz="8" w:color="auto"/>
            </w:tcBorders>
            <w:vMerge w:val="continue"/>
            <w:shd w:val="clear" w:color="auto" w:fill="E6E6E6"/>
          </w:tcPr>
          <w:p>
            <w:pPr>
              <w:spacing w:after="0"/>
              <w:rPr>
                <w:sz w:val="20"/>
                <w:szCs w:val="20"/>
                <w:color w:val="auto"/>
              </w:rPr>
            </w:pPr>
          </w:p>
        </w:tc>
        <w:tc>
          <w:tcPr>
            <w:tcW w:w="800" w:type="dxa"/>
            <w:vAlign w:val="bottom"/>
            <w:tcBorders>
              <w:bottom w:val="single" w:sz="8" w:color="E6E6E6"/>
            </w:tcBorders>
            <w:gridSpan w:val="2"/>
            <w:vMerge w:val="continue"/>
            <w:shd w:val="clear" w:color="auto" w:fill="E6E6E6"/>
          </w:tcPr>
          <w:p>
            <w:pPr>
              <w:spacing w:after="0"/>
              <w:rPr>
                <w:sz w:val="20"/>
                <w:szCs w:val="20"/>
                <w:color w:val="auto"/>
              </w:rPr>
            </w:pPr>
          </w:p>
        </w:tc>
        <w:tc>
          <w:tcPr>
            <w:tcW w:w="80" w:type="dxa"/>
            <w:vAlign w:val="bottom"/>
            <w:tcBorders>
              <w:bottom w:val="single" w:sz="8" w:color="E6E6E6"/>
            </w:tcBorders>
            <w:shd w:val="clear" w:color="auto" w:fill="E6E6E6"/>
          </w:tcPr>
          <w:p>
            <w:pPr>
              <w:spacing w:after="0"/>
              <w:rPr>
                <w:sz w:val="20"/>
                <w:szCs w:val="20"/>
                <w:color w:val="auto"/>
              </w:rPr>
            </w:pPr>
          </w:p>
        </w:tc>
        <w:tc>
          <w:tcPr>
            <w:tcW w:w="940" w:type="dxa"/>
            <w:vAlign w:val="bottom"/>
            <w:tcBorders>
              <w:bottom w:val="single" w:sz="8" w:color="E6E6E6"/>
            </w:tcBorders>
            <w:vMerge w:val="continue"/>
            <w:shd w:val="clear" w:color="auto" w:fill="E6E6E6"/>
          </w:tcPr>
          <w:p>
            <w:pPr>
              <w:spacing w:after="0"/>
              <w:rPr>
                <w:sz w:val="20"/>
                <w:szCs w:val="20"/>
                <w:color w:val="auto"/>
              </w:rPr>
            </w:pPr>
          </w:p>
        </w:tc>
        <w:tc>
          <w:tcPr>
            <w:tcW w:w="80" w:type="dxa"/>
            <w:vAlign w:val="bottom"/>
            <w:tcBorders>
              <w:bottom w:val="single" w:sz="8" w:color="E6E6E6"/>
            </w:tcBorders>
            <w:shd w:val="clear" w:color="auto" w:fill="E6E6E6"/>
          </w:tcPr>
          <w:p>
            <w:pPr>
              <w:spacing w:after="0"/>
              <w:rPr>
                <w:sz w:val="20"/>
                <w:szCs w:val="20"/>
                <w:color w:val="auto"/>
              </w:rPr>
            </w:pPr>
          </w:p>
        </w:tc>
        <w:tc>
          <w:tcPr>
            <w:tcW w:w="1260" w:type="dxa"/>
            <w:vAlign w:val="bottom"/>
            <w:tcBorders>
              <w:bottom w:val="single" w:sz="8" w:color="E6E6E6"/>
            </w:tcBorders>
            <w:gridSpan w:val="2"/>
            <w:shd w:val="clear" w:color="auto" w:fill="E6E6E6"/>
          </w:tcPr>
          <w:p>
            <w:pPr>
              <w:ind w:left="60"/>
              <w:spacing w:after="0"/>
              <w:rPr>
                <w:sz w:val="20"/>
                <w:szCs w:val="20"/>
                <w:color w:val="auto"/>
              </w:rPr>
            </w:pPr>
            <w:r>
              <w:rPr>
                <w:rFonts w:ascii="Arial" w:cs="Arial" w:eastAsia="Arial" w:hAnsi="Arial"/>
                <w:sz w:val="16"/>
                <w:szCs w:val="16"/>
                <w:color w:val="auto"/>
              </w:rPr>
              <w:t>- October 2015</w:t>
            </w:r>
          </w:p>
        </w:tc>
        <w:tc>
          <w:tcPr>
            <w:tcW w:w="1640" w:type="dxa"/>
            <w:vAlign w:val="bottom"/>
            <w:tcBorders>
              <w:bottom w:val="single" w:sz="8" w:color="E6E6E6"/>
            </w:tcBorders>
            <w:vMerge w:val="continue"/>
            <w:shd w:val="clear" w:color="auto" w:fill="E6E6E6"/>
          </w:tcPr>
          <w:p>
            <w:pPr>
              <w:spacing w:after="0"/>
              <w:rPr>
                <w:sz w:val="20"/>
                <w:szCs w:val="20"/>
                <w:color w:val="auto"/>
              </w:rPr>
            </w:pPr>
          </w:p>
        </w:tc>
        <w:tc>
          <w:tcPr>
            <w:tcW w:w="1020" w:type="dxa"/>
            <w:vAlign w:val="bottom"/>
            <w:tcBorders>
              <w:bottom w:val="single" w:sz="8" w:color="E6E6E6"/>
            </w:tcBorders>
            <w:gridSpan w:val="2"/>
            <w:vMerge w:val="continue"/>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020" w:type="dxa"/>
            <w:vAlign w:val="bottom"/>
            <w:gridSpan w:val="4"/>
          </w:tcPr>
          <w:p>
            <w:pPr>
              <w:ind w:left="400"/>
              <w:spacing w:after="0"/>
              <w:rPr>
                <w:sz w:val="20"/>
                <w:szCs w:val="20"/>
                <w:color w:val="auto"/>
              </w:rPr>
            </w:pPr>
            <w:r>
              <w:rPr>
                <w:rFonts w:ascii="Arial" w:cs="Arial" w:eastAsia="Arial" w:hAnsi="Arial"/>
                <w:sz w:val="18"/>
                <w:szCs w:val="18"/>
                <w:b w:val="1"/>
                <w:bCs w:val="1"/>
                <w:i w:val="1"/>
                <w:iCs w:val="1"/>
                <w:color w:val="auto"/>
              </w:rPr>
              <w:t>Total Distributed Solar</w:t>
            </w:r>
          </w:p>
        </w:tc>
        <w:tc>
          <w:tcPr>
            <w:tcW w:w="620" w:type="dxa"/>
            <w:vAlign w:val="bottom"/>
          </w:tcPr>
          <w:p>
            <w:pPr>
              <w:jc w:val="right"/>
              <w:spacing w:after="0"/>
              <w:rPr>
                <w:sz w:val="20"/>
                <w:szCs w:val="20"/>
                <w:color w:val="auto"/>
              </w:rPr>
            </w:pPr>
            <w:r>
              <w:rPr>
                <w:rFonts w:ascii="Arial" w:cs="Arial" w:eastAsia="Arial" w:hAnsi="Arial"/>
                <w:sz w:val="16"/>
                <w:szCs w:val="16"/>
                <w:color w:val="auto"/>
              </w:rPr>
              <w:t>332</w:t>
            </w: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332</w:t>
            </w: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1640" w:type="dxa"/>
            <w:vAlign w:val="bottom"/>
            <w:shd w:val="clear" w:color="auto" w:fill="E6E6E6"/>
          </w:tcPr>
          <w:p>
            <w:pPr>
              <w:ind w:left="40"/>
              <w:spacing w:after="0"/>
              <w:rPr>
                <w:sz w:val="20"/>
                <w:szCs w:val="20"/>
                <w:color w:val="auto"/>
              </w:rPr>
            </w:pPr>
            <w:r>
              <w:rPr>
                <w:rFonts w:ascii="Arial" w:cs="Arial" w:eastAsia="Arial" w:hAnsi="Arial"/>
                <w:sz w:val="18"/>
                <w:szCs w:val="18"/>
                <w:b w:val="1"/>
                <w:bCs w:val="1"/>
                <w:i w:val="1"/>
                <w:iCs w:val="1"/>
                <w:color w:val="auto"/>
              </w:rPr>
              <w:t>Wind</w:t>
            </w:r>
          </w:p>
        </w:tc>
        <w:tc>
          <w:tcPr>
            <w:tcW w:w="80" w:type="dxa"/>
            <w:vAlign w:val="bottom"/>
            <w:shd w:val="clear" w:color="auto" w:fill="E6E6E6"/>
          </w:tcPr>
          <w:p>
            <w:pPr>
              <w:spacing w:after="0"/>
              <w:rPr>
                <w:sz w:val="24"/>
                <w:szCs w:val="24"/>
                <w:color w:val="auto"/>
              </w:rPr>
            </w:pPr>
          </w:p>
        </w:tc>
        <w:tc>
          <w:tcPr>
            <w:tcW w:w="12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62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64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72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94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12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6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640" w:type="dxa"/>
            <w:vAlign w:val="bottom"/>
          </w:tcPr>
          <w:p>
            <w:pPr>
              <w:ind w:left="40"/>
              <w:spacing w:after="0"/>
              <w:rPr>
                <w:sz w:val="20"/>
                <w:szCs w:val="20"/>
                <w:color w:val="auto"/>
              </w:rPr>
            </w:pPr>
            <w:r>
              <w:rPr>
                <w:rFonts w:ascii="Arial" w:cs="Arial" w:eastAsia="Arial" w:hAnsi="Arial"/>
                <w:sz w:val="16"/>
                <w:szCs w:val="16"/>
                <w:color w:val="auto"/>
              </w:rPr>
              <w:t>Alta I</w:t>
            </w:r>
          </w:p>
        </w:tc>
        <w:tc>
          <w:tcPr>
            <w:tcW w:w="80" w:type="dxa"/>
            <w:vAlign w:val="bottom"/>
          </w:tcPr>
          <w:p>
            <w:pPr>
              <w:spacing w:after="0"/>
              <w:rPr>
                <w:sz w:val="21"/>
                <w:szCs w:val="21"/>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color w:val="auto"/>
              </w:rPr>
              <w:t>Tehachapi, CA</w:t>
            </w:r>
          </w:p>
        </w:tc>
        <w:tc>
          <w:tcPr>
            <w:tcW w:w="620" w:type="dxa"/>
            <w:vAlign w:val="bottom"/>
          </w:tcPr>
          <w:p>
            <w:pPr>
              <w:jc w:val="right"/>
              <w:spacing w:after="0"/>
              <w:rPr>
                <w:sz w:val="20"/>
                <w:szCs w:val="20"/>
                <w:color w:val="auto"/>
              </w:rPr>
            </w:pPr>
            <w:r>
              <w:rPr>
                <w:rFonts w:ascii="Arial" w:cs="Arial" w:eastAsia="Arial" w:hAnsi="Arial"/>
                <w:sz w:val="16"/>
                <w:szCs w:val="16"/>
                <w:color w:val="auto"/>
              </w:rPr>
              <w:t>150</w:t>
            </w: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150</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21"/>
                <w:szCs w:val="21"/>
                <w:color w:val="auto"/>
              </w:rPr>
            </w:pPr>
          </w:p>
        </w:tc>
        <w:tc>
          <w:tcPr>
            <w:tcW w:w="940" w:type="dxa"/>
            <w:vAlign w:val="bottom"/>
          </w:tcPr>
          <w:p>
            <w:pPr>
              <w:ind w:left="60"/>
              <w:spacing w:after="0"/>
              <w:rPr>
                <w:sz w:val="20"/>
                <w:szCs w:val="20"/>
                <w:color w:val="auto"/>
              </w:rPr>
            </w:pPr>
            <w:r>
              <w:rPr>
                <w:rFonts w:ascii="Arial" w:cs="Arial" w:eastAsia="Arial" w:hAnsi="Arial"/>
                <w:sz w:val="16"/>
                <w:szCs w:val="16"/>
                <w:color w:val="auto"/>
              </w:rPr>
              <w:t>Wind</w:t>
            </w:r>
          </w:p>
        </w:tc>
        <w:tc>
          <w:tcPr>
            <w:tcW w:w="80" w:type="dxa"/>
            <w:vAlign w:val="bottom"/>
          </w:tcPr>
          <w:p>
            <w:pPr>
              <w:spacing w:after="0"/>
              <w:rPr>
                <w:sz w:val="21"/>
                <w:szCs w:val="21"/>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December 2010</w:t>
            </w:r>
          </w:p>
        </w:tc>
        <w:tc>
          <w:tcPr>
            <w:tcW w:w="1640" w:type="dxa"/>
            <w:vAlign w:val="bottom"/>
          </w:tcPr>
          <w:p>
            <w:pPr>
              <w:ind w:left="60"/>
              <w:spacing w:after="0"/>
              <w:rPr>
                <w:sz w:val="20"/>
                <w:szCs w:val="20"/>
                <w:color w:val="auto"/>
              </w:rPr>
            </w:pPr>
            <w:r>
              <w:rPr>
                <w:rFonts w:ascii="Arial" w:cs="Arial" w:eastAsia="Arial" w:hAnsi="Arial"/>
                <w:sz w:val="16"/>
                <w:szCs w:val="16"/>
                <w:color w:val="auto"/>
              </w:rPr>
              <w:t>SCE</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2035</w:t>
            </w:r>
          </w:p>
        </w:tc>
        <w:tc>
          <w:tcPr>
            <w:tcW w:w="0" w:type="dxa"/>
            <w:vAlign w:val="bottom"/>
          </w:tcPr>
          <w:p>
            <w:pPr>
              <w:spacing w:after="0"/>
              <w:rPr>
                <w:sz w:val="1"/>
                <w:szCs w:val="1"/>
                <w:color w:val="auto"/>
              </w:rPr>
            </w:pPr>
          </w:p>
        </w:tc>
      </w:tr>
      <w:tr>
        <w:trPr>
          <w:trHeight w:val="262"/>
        </w:trPr>
        <w:tc>
          <w:tcPr>
            <w:tcW w:w="1640" w:type="dxa"/>
            <w:vAlign w:val="bottom"/>
            <w:shd w:val="clear" w:color="auto" w:fill="E6E6E6"/>
          </w:tcPr>
          <w:p>
            <w:pPr>
              <w:ind w:left="40"/>
              <w:spacing w:after="0"/>
              <w:rPr>
                <w:sz w:val="20"/>
                <w:szCs w:val="20"/>
                <w:color w:val="auto"/>
              </w:rPr>
            </w:pPr>
            <w:r>
              <w:rPr>
                <w:rFonts w:ascii="Arial" w:cs="Arial" w:eastAsia="Arial" w:hAnsi="Arial"/>
                <w:sz w:val="16"/>
                <w:szCs w:val="16"/>
                <w:color w:val="auto"/>
              </w:rPr>
              <w:t>Alta II</w:t>
            </w:r>
          </w:p>
        </w:tc>
        <w:tc>
          <w:tcPr>
            <w:tcW w:w="80" w:type="dxa"/>
            <w:vAlign w:val="bottom"/>
            <w:shd w:val="clear" w:color="auto" w:fill="E6E6E6"/>
          </w:tcPr>
          <w:p>
            <w:pPr>
              <w:spacing w:after="0"/>
              <w:rPr>
                <w:sz w:val="22"/>
                <w:szCs w:val="22"/>
                <w:color w:val="auto"/>
              </w:rPr>
            </w:pPr>
          </w:p>
        </w:tc>
        <w:tc>
          <w:tcPr>
            <w:tcW w:w="1300" w:type="dxa"/>
            <w:vAlign w:val="bottom"/>
            <w:gridSpan w:val="2"/>
            <w:shd w:val="clear" w:color="auto" w:fill="E6E6E6"/>
          </w:tcPr>
          <w:p>
            <w:pPr>
              <w:ind w:left="40"/>
              <w:spacing w:after="0"/>
              <w:rPr>
                <w:sz w:val="20"/>
                <w:szCs w:val="20"/>
                <w:color w:val="auto"/>
              </w:rPr>
            </w:pPr>
            <w:r>
              <w:rPr>
                <w:rFonts w:ascii="Arial" w:cs="Arial" w:eastAsia="Arial" w:hAnsi="Arial"/>
                <w:sz w:val="16"/>
                <w:szCs w:val="16"/>
                <w:color w:val="auto"/>
              </w:rPr>
              <w:t>Tehachapi, CA</w:t>
            </w:r>
          </w:p>
        </w:tc>
        <w:tc>
          <w:tcPr>
            <w:tcW w:w="6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150</w:t>
            </w:r>
          </w:p>
        </w:tc>
        <w:tc>
          <w:tcPr>
            <w:tcW w:w="740" w:type="dxa"/>
            <w:vAlign w:val="bottom"/>
            <w:gridSpan w:val="3"/>
            <w:shd w:val="clear" w:color="auto" w:fill="E6E6E6"/>
          </w:tcPr>
          <w:p>
            <w:pPr>
              <w:jc w:val="right"/>
              <w:spacing w:after="0"/>
              <w:rPr>
                <w:sz w:val="20"/>
                <w:szCs w:val="20"/>
                <w:color w:val="auto"/>
              </w:rPr>
            </w:pPr>
            <w:r>
              <w:rPr>
                <w:rFonts w:ascii="Arial" w:cs="Arial" w:eastAsia="Arial" w:hAnsi="Arial"/>
                <w:sz w:val="16"/>
                <w:szCs w:val="16"/>
                <w:color w:val="auto"/>
              </w:rPr>
              <w:t>150</w:t>
            </w:r>
          </w:p>
        </w:tc>
        <w:tc>
          <w:tcPr>
            <w:tcW w:w="80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E6E6E6"/>
          </w:tcPr>
          <w:p>
            <w:pPr>
              <w:spacing w:after="0"/>
              <w:rPr>
                <w:sz w:val="22"/>
                <w:szCs w:val="22"/>
                <w:color w:val="auto"/>
              </w:rPr>
            </w:pPr>
          </w:p>
        </w:tc>
        <w:tc>
          <w:tcPr>
            <w:tcW w:w="940" w:type="dxa"/>
            <w:vAlign w:val="bottom"/>
            <w:shd w:val="clear" w:color="auto" w:fill="E6E6E6"/>
          </w:tcPr>
          <w:p>
            <w:pPr>
              <w:ind w:left="60"/>
              <w:spacing w:after="0"/>
              <w:rPr>
                <w:sz w:val="20"/>
                <w:szCs w:val="20"/>
                <w:color w:val="auto"/>
              </w:rPr>
            </w:pPr>
            <w:r>
              <w:rPr>
                <w:rFonts w:ascii="Arial" w:cs="Arial" w:eastAsia="Arial" w:hAnsi="Arial"/>
                <w:sz w:val="16"/>
                <w:szCs w:val="16"/>
                <w:color w:val="auto"/>
              </w:rPr>
              <w:t>Wind</w:t>
            </w:r>
          </w:p>
        </w:tc>
        <w:tc>
          <w:tcPr>
            <w:tcW w:w="80" w:type="dxa"/>
            <w:vAlign w:val="bottom"/>
            <w:shd w:val="clear" w:color="auto" w:fill="E6E6E6"/>
          </w:tcPr>
          <w:p>
            <w:pPr>
              <w:spacing w:after="0"/>
              <w:rPr>
                <w:sz w:val="22"/>
                <w:szCs w:val="22"/>
                <w:color w:val="auto"/>
              </w:rPr>
            </w:pPr>
          </w:p>
        </w:tc>
        <w:tc>
          <w:tcPr>
            <w:tcW w:w="1260" w:type="dxa"/>
            <w:vAlign w:val="bottom"/>
            <w:gridSpan w:val="2"/>
            <w:shd w:val="clear" w:color="auto" w:fill="E6E6E6"/>
          </w:tcPr>
          <w:p>
            <w:pPr>
              <w:ind w:left="60"/>
              <w:spacing w:after="0"/>
              <w:rPr>
                <w:sz w:val="20"/>
                <w:szCs w:val="20"/>
                <w:color w:val="auto"/>
              </w:rPr>
            </w:pPr>
            <w:r>
              <w:rPr>
                <w:rFonts w:ascii="Arial" w:cs="Arial" w:eastAsia="Arial" w:hAnsi="Arial"/>
                <w:sz w:val="16"/>
                <w:szCs w:val="16"/>
                <w:color w:val="auto"/>
              </w:rPr>
              <w:t>December 2010</w:t>
            </w:r>
          </w:p>
        </w:tc>
        <w:tc>
          <w:tcPr>
            <w:tcW w:w="1640" w:type="dxa"/>
            <w:vAlign w:val="bottom"/>
            <w:shd w:val="clear" w:color="auto" w:fill="E6E6E6"/>
          </w:tcPr>
          <w:p>
            <w:pPr>
              <w:ind w:left="60"/>
              <w:spacing w:after="0"/>
              <w:rPr>
                <w:sz w:val="20"/>
                <w:szCs w:val="20"/>
                <w:color w:val="auto"/>
              </w:rPr>
            </w:pPr>
            <w:r>
              <w:rPr>
                <w:rFonts w:ascii="Arial" w:cs="Arial" w:eastAsia="Arial" w:hAnsi="Arial"/>
                <w:sz w:val="16"/>
                <w:szCs w:val="16"/>
                <w:color w:val="auto"/>
              </w:rPr>
              <w:t>SCE</w:t>
            </w:r>
          </w:p>
        </w:tc>
        <w:tc>
          <w:tcPr>
            <w:tcW w:w="102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2035</w:t>
            </w:r>
          </w:p>
        </w:tc>
        <w:tc>
          <w:tcPr>
            <w:tcW w:w="0" w:type="dxa"/>
            <w:vAlign w:val="bottom"/>
          </w:tcPr>
          <w:p>
            <w:pPr>
              <w:spacing w:after="0"/>
              <w:rPr>
                <w:sz w:val="1"/>
                <w:szCs w:val="1"/>
                <w:color w:val="auto"/>
              </w:rPr>
            </w:pPr>
          </w:p>
        </w:tc>
      </w:tr>
      <w:tr>
        <w:trPr>
          <w:trHeight w:val="246"/>
        </w:trPr>
        <w:tc>
          <w:tcPr>
            <w:tcW w:w="1640" w:type="dxa"/>
            <w:vAlign w:val="bottom"/>
          </w:tcPr>
          <w:p>
            <w:pPr>
              <w:ind w:left="40"/>
              <w:spacing w:after="0"/>
              <w:rPr>
                <w:sz w:val="20"/>
                <w:szCs w:val="20"/>
                <w:color w:val="auto"/>
              </w:rPr>
            </w:pPr>
            <w:r>
              <w:rPr>
                <w:rFonts w:ascii="Arial" w:cs="Arial" w:eastAsia="Arial" w:hAnsi="Arial"/>
                <w:sz w:val="16"/>
                <w:szCs w:val="16"/>
                <w:color w:val="auto"/>
              </w:rPr>
              <w:t>Alta III</w:t>
            </w:r>
          </w:p>
        </w:tc>
        <w:tc>
          <w:tcPr>
            <w:tcW w:w="80" w:type="dxa"/>
            <w:vAlign w:val="bottom"/>
          </w:tcPr>
          <w:p>
            <w:pPr>
              <w:spacing w:after="0"/>
              <w:rPr>
                <w:sz w:val="21"/>
                <w:szCs w:val="21"/>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color w:val="auto"/>
              </w:rPr>
              <w:t>Tehachapi, CA</w:t>
            </w:r>
          </w:p>
        </w:tc>
        <w:tc>
          <w:tcPr>
            <w:tcW w:w="620" w:type="dxa"/>
            <w:vAlign w:val="bottom"/>
          </w:tcPr>
          <w:p>
            <w:pPr>
              <w:jc w:val="right"/>
              <w:spacing w:after="0"/>
              <w:rPr>
                <w:sz w:val="20"/>
                <w:szCs w:val="20"/>
                <w:color w:val="auto"/>
              </w:rPr>
            </w:pPr>
            <w:r>
              <w:rPr>
                <w:rFonts w:ascii="Arial" w:cs="Arial" w:eastAsia="Arial" w:hAnsi="Arial"/>
                <w:sz w:val="16"/>
                <w:szCs w:val="16"/>
                <w:color w:val="auto"/>
              </w:rPr>
              <w:t>150</w:t>
            </w: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150</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21"/>
                <w:szCs w:val="21"/>
                <w:color w:val="auto"/>
              </w:rPr>
            </w:pPr>
          </w:p>
        </w:tc>
        <w:tc>
          <w:tcPr>
            <w:tcW w:w="940" w:type="dxa"/>
            <w:vAlign w:val="bottom"/>
          </w:tcPr>
          <w:p>
            <w:pPr>
              <w:ind w:left="60"/>
              <w:spacing w:after="0"/>
              <w:rPr>
                <w:sz w:val="20"/>
                <w:szCs w:val="20"/>
                <w:color w:val="auto"/>
              </w:rPr>
            </w:pPr>
            <w:r>
              <w:rPr>
                <w:rFonts w:ascii="Arial" w:cs="Arial" w:eastAsia="Arial" w:hAnsi="Arial"/>
                <w:sz w:val="16"/>
                <w:szCs w:val="16"/>
                <w:color w:val="auto"/>
              </w:rPr>
              <w:t>Wind</w:t>
            </w:r>
          </w:p>
        </w:tc>
        <w:tc>
          <w:tcPr>
            <w:tcW w:w="80" w:type="dxa"/>
            <w:vAlign w:val="bottom"/>
          </w:tcPr>
          <w:p>
            <w:pPr>
              <w:spacing w:after="0"/>
              <w:rPr>
                <w:sz w:val="21"/>
                <w:szCs w:val="21"/>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February 2011</w:t>
            </w:r>
          </w:p>
        </w:tc>
        <w:tc>
          <w:tcPr>
            <w:tcW w:w="1640" w:type="dxa"/>
            <w:vAlign w:val="bottom"/>
          </w:tcPr>
          <w:p>
            <w:pPr>
              <w:ind w:left="60"/>
              <w:spacing w:after="0"/>
              <w:rPr>
                <w:sz w:val="20"/>
                <w:szCs w:val="20"/>
                <w:color w:val="auto"/>
              </w:rPr>
            </w:pPr>
            <w:r>
              <w:rPr>
                <w:rFonts w:ascii="Arial" w:cs="Arial" w:eastAsia="Arial" w:hAnsi="Arial"/>
                <w:sz w:val="16"/>
                <w:szCs w:val="16"/>
                <w:color w:val="auto"/>
              </w:rPr>
              <w:t>SCE</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2035</w:t>
            </w:r>
          </w:p>
        </w:tc>
        <w:tc>
          <w:tcPr>
            <w:tcW w:w="0" w:type="dxa"/>
            <w:vAlign w:val="bottom"/>
          </w:tcPr>
          <w:p>
            <w:pPr>
              <w:spacing w:after="0"/>
              <w:rPr>
                <w:sz w:val="1"/>
                <w:szCs w:val="1"/>
                <w:color w:val="auto"/>
              </w:rPr>
            </w:pPr>
          </w:p>
        </w:tc>
      </w:tr>
      <w:tr>
        <w:trPr>
          <w:trHeight w:val="262"/>
        </w:trPr>
        <w:tc>
          <w:tcPr>
            <w:tcW w:w="1640" w:type="dxa"/>
            <w:vAlign w:val="bottom"/>
            <w:shd w:val="clear" w:color="auto" w:fill="E6E6E6"/>
          </w:tcPr>
          <w:p>
            <w:pPr>
              <w:ind w:left="40"/>
              <w:spacing w:after="0"/>
              <w:rPr>
                <w:sz w:val="20"/>
                <w:szCs w:val="20"/>
                <w:color w:val="auto"/>
              </w:rPr>
            </w:pPr>
            <w:r>
              <w:rPr>
                <w:rFonts w:ascii="Arial" w:cs="Arial" w:eastAsia="Arial" w:hAnsi="Arial"/>
                <w:sz w:val="16"/>
                <w:szCs w:val="16"/>
                <w:color w:val="auto"/>
              </w:rPr>
              <w:t>Alta IV</w:t>
            </w:r>
          </w:p>
        </w:tc>
        <w:tc>
          <w:tcPr>
            <w:tcW w:w="80" w:type="dxa"/>
            <w:vAlign w:val="bottom"/>
            <w:shd w:val="clear" w:color="auto" w:fill="E6E6E6"/>
          </w:tcPr>
          <w:p>
            <w:pPr>
              <w:spacing w:after="0"/>
              <w:rPr>
                <w:sz w:val="22"/>
                <w:szCs w:val="22"/>
                <w:color w:val="auto"/>
              </w:rPr>
            </w:pPr>
          </w:p>
        </w:tc>
        <w:tc>
          <w:tcPr>
            <w:tcW w:w="1300" w:type="dxa"/>
            <w:vAlign w:val="bottom"/>
            <w:gridSpan w:val="2"/>
            <w:shd w:val="clear" w:color="auto" w:fill="E6E6E6"/>
          </w:tcPr>
          <w:p>
            <w:pPr>
              <w:ind w:left="40"/>
              <w:spacing w:after="0"/>
              <w:rPr>
                <w:sz w:val="20"/>
                <w:szCs w:val="20"/>
                <w:color w:val="auto"/>
              </w:rPr>
            </w:pPr>
            <w:r>
              <w:rPr>
                <w:rFonts w:ascii="Arial" w:cs="Arial" w:eastAsia="Arial" w:hAnsi="Arial"/>
                <w:sz w:val="16"/>
                <w:szCs w:val="16"/>
                <w:color w:val="auto"/>
              </w:rPr>
              <w:t>Tehachapi, CA</w:t>
            </w:r>
          </w:p>
        </w:tc>
        <w:tc>
          <w:tcPr>
            <w:tcW w:w="6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102</w:t>
            </w:r>
          </w:p>
        </w:tc>
        <w:tc>
          <w:tcPr>
            <w:tcW w:w="740" w:type="dxa"/>
            <w:vAlign w:val="bottom"/>
            <w:gridSpan w:val="3"/>
            <w:shd w:val="clear" w:color="auto" w:fill="E6E6E6"/>
          </w:tcPr>
          <w:p>
            <w:pPr>
              <w:jc w:val="right"/>
              <w:spacing w:after="0"/>
              <w:rPr>
                <w:sz w:val="20"/>
                <w:szCs w:val="20"/>
                <w:color w:val="auto"/>
              </w:rPr>
            </w:pPr>
            <w:r>
              <w:rPr>
                <w:rFonts w:ascii="Arial" w:cs="Arial" w:eastAsia="Arial" w:hAnsi="Arial"/>
                <w:sz w:val="16"/>
                <w:szCs w:val="16"/>
                <w:color w:val="auto"/>
              </w:rPr>
              <w:t>102</w:t>
            </w:r>
          </w:p>
        </w:tc>
        <w:tc>
          <w:tcPr>
            <w:tcW w:w="80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E6E6E6"/>
          </w:tcPr>
          <w:p>
            <w:pPr>
              <w:spacing w:after="0"/>
              <w:rPr>
                <w:sz w:val="22"/>
                <w:szCs w:val="22"/>
                <w:color w:val="auto"/>
              </w:rPr>
            </w:pPr>
          </w:p>
        </w:tc>
        <w:tc>
          <w:tcPr>
            <w:tcW w:w="940" w:type="dxa"/>
            <w:vAlign w:val="bottom"/>
            <w:shd w:val="clear" w:color="auto" w:fill="E6E6E6"/>
          </w:tcPr>
          <w:p>
            <w:pPr>
              <w:ind w:left="60"/>
              <w:spacing w:after="0"/>
              <w:rPr>
                <w:sz w:val="20"/>
                <w:szCs w:val="20"/>
                <w:color w:val="auto"/>
              </w:rPr>
            </w:pPr>
            <w:r>
              <w:rPr>
                <w:rFonts w:ascii="Arial" w:cs="Arial" w:eastAsia="Arial" w:hAnsi="Arial"/>
                <w:sz w:val="16"/>
                <w:szCs w:val="16"/>
                <w:color w:val="auto"/>
              </w:rPr>
              <w:t>Wind</w:t>
            </w:r>
          </w:p>
        </w:tc>
        <w:tc>
          <w:tcPr>
            <w:tcW w:w="80" w:type="dxa"/>
            <w:vAlign w:val="bottom"/>
            <w:shd w:val="clear" w:color="auto" w:fill="E6E6E6"/>
          </w:tcPr>
          <w:p>
            <w:pPr>
              <w:spacing w:after="0"/>
              <w:rPr>
                <w:sz w:val="22"/>
                <w:szCs w:val="22"/>
                <w:color w:val="auto"/>
              </w:rPr>
            </w:pPr>
          </w:p>
        </w:tc>
        <w:tc>
          <w:tcPr>
            <w:tcW w:w="1260" w:type="dxa"/>
            <w:vAlign w:val="bottom"/>
            <w:gridSpan w:val="2"/>
            <w:shd w:val="clear" w:color="auto" w:fill="E6E6E6"/>
          </w:tcPr>
          <w:p>
            <w:pPr>
              <w:ind w:left="60"/>
              <w:spacing w:after="0"/>
              <w:rPr>
                <w:sz w:val="20"/>
                <w:szCs w:val="20"/>
                <w:color w:val="auto"/>
              </w:rPr>
            </w:pPr>
            <w:r>
              <w:rPr>
                <w:rFonts w:ascii="Arial" w:cs="Arial" w:eastAsia="Arial" w:hAnsi="Arial"/>
                <w:sz w:val="16"/>
                <w:szCs w:val="16"/>
                <w:color w:val="auto"/>
              </w:rPr>
              <w:t>March 2011</w:t>
            </w:r>
          </w:p>
        </w:tc>
        <w:tc>
          <w:tcPr>
            <w:tcW w:w="1640" w:type="dxa"/>
            <w:vAlign w:val="bottom"/>
            <w:shd w:val="clear" w:color="auto" w:fill="E6E6E6"/>
          </w:tcPr>
          <w:p>
            <w:pPr>
              <w:ind w:left="60"/>
              <w:spacing w:after="0"/>
              <w:rPr>
                <w:sz w:val="20"/>
                <w:szCs w:val="20"/>
                <w:color w:val="auto"/>
              </w:rPr>
            </w:pPr>
            <w:r>
              <w:rPr>
                <w:rFonts w:ascii="Arial" w:cs="Arial" w:eastAsia="Arial" w:hAnsi="Arial"/>
                <w:sz w:val="16"/>
                <w:szCs w:val="16"/>
                <w:color w:val="auto"/>
              </w:rPr>
              <w:t>SCE</w:t>
            </w:r>
          </w:p>
        </w:tc>
        <w:tc>
          <w:tcPr>
            <w:tcW w:w="102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2035</w:t>
            </w:r>
          </w:p>
        </w:tc>
        <w:tc>
          <w:tcPr>
            <w:tcW w:w="0" w:type="dxa"/>
            <w:vAlign w:val="bottom"/>
          </w:tcPr>
          <w:p>
            <w:pPr>
              <w:spacing w:after="0"/>
              <w:rPr>
                <w:sz w:val="1"/>
                <w:szCs w:val="1"/>
                <w:color w:val="auto"/>
              </w:rPr>
            </w:pPr>
          </w:p>
        </w:tc>
      </w:tr>
      <w:tr>
        <w:trPr>
          <w:trHeight w:val="246"/>
        </w:trPr>
        <w:tc>
          <w:tcPr>
            <w:tcW w:w="1640" w:type="dxa"/>
            <w:vAlign w:val="bottom"/>
          </w:tcPr>
          <w:p>
            <w:pPr>
              <w:ind w:left="40"/>
              <w:spacing w:after="0"/>
              <w:rPr>
                <w:sz w:val="20"/>
                <w:szCs w:val="20"/>
                <w:color w:val="auto"/>
              </w:rPr>
            </w:pPr>
            <w:r>
              <w:rPr>
                <w:rFonts w:ascii="Arial" w:cs="Arial" w:eastAsia="Arial" w:hAnsi="Arial"/>
                <w:sz w:val="16"/>
                <w:szCs w:val="16"/>
                <w:color w:val="auto"/>
              </w:rPr>
              <w:t>Alta V</w:t>
            </w:r>
          </w:p>
        </w:tc>
        <w:tc>
          <w:tcPr>
            <w:tcW w:w="80" w:type="dxa"/>
            <w:vAlign w:val="bottom"/>
          </w:tcPr>
          <w:p>
            <w:pPr>
              <w:spacing w:after="0"/>
              <w:rPr>
                <w:sz w:val="21"/>
                <w:szCs w:val="21"/>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color w:val="auto"/>
              </w:rPr>
              <w:t>Tehachapi, CA</w:t>
            </w:r>
          </w:p>
        </w:tc>
        <w:tc>
          <w:tcPr>
            <w:tcW w:w="620" w:type="dxa"/>
            <w:vAlign w:val="bottom"/>
          </w:tcPr>
          <w:p>
            <w:pPr>
              <w:jc w:val="right"/>
              <w:spacing w:after="0"/>
              <w:rPr>
                <w:sz w:val="20"/>
                <w:szCs w:val="20"/>
                <w:color w:val="auto"/>
              </w:rPr>
            </w:pPr>
            <w:r>
              <w:rPr>
                <w:rFonts w:ascii="Arial" w:cs="Arial" w:eastAsia="Arial" w:hAnsi="Arial"/>
                <w:sz w:val="16"/>
                <w:szCs w:val="16"/>
                <w:color w:val="auto"/>
              </w:rPr>
              <w:t>168</w:t>
            </w: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168</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21"/>
                <w:szCs w:val="21"/>
                <w:color w:val="auto"/>
              </w:rPr>
            </w:pPr>
          </w:p>
        </w:tc>
        <w:tc>
          <w:tcPr>
            <w:tcW w:w="940" w:type="dxa"/>
            <w:vAlign w:val="bottom"/>
          </w:tcPr>
          <w:p>
            <w:pPr>
              <w:ind w:left="60"/>
              <w:spacing w:after="0"/>
              <w:rPr>
                <w:sz w:val="20"/>
                <w:szCs w:val="20"/>
                <w:color w:val="auto"/>
              </w:rPr>
            </w:pPr>
            <w:r>
              <w:rPr>
                <w:rFonts w:ascii="Arial" w:cs="Arial" w:eastAsia="Arial" w:hAnsi="Arial"/>
                <w:sz w:val="16"/>
                <w:szCs w:val="16"/>
                <w:color w:val="auto"/>
              </w:rPr>
              <w:t>Wind</w:t>
            </w:r>
          </w:p>
        </w:tc>
        <w:tc>
          <w:tcPr>
            <w:tcW w:w="80" w:type="dxa"/>
            <w:vAlign w:val="bottom"/>
          </w:tcPr>
          <w:p>
            <w:pPr>
              <w:spacing w:after="0"/>
              <w:rPr>
                <w:sz w:val="21"/>
                <w:szCs w:val="21"/>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April 2011</w:t>
            </w:r>
          </w:p>
        </w:tc>
        <w:tc>
          <w:tcPr>
            <w:tcW w:w="1640" w:type="dxa"/>
            <w:vAlign w:val="bottom"/>
          </w:tcPr>
          <w:p>
            <w:pPr>
              <w:ind w:left="60"/>
              <w:spacing w:after="0"/>
              <w:rPr>
                <w:sz w:val="20"/>
                <w:szCs w:val="20"/>
                <w:color w:val="auto"/>
              </w:rPr>
            </w:pPr>
            <w:r>
              <w:rPr>
                <w:rFonts w:ascii="Arial" w:cs="Arial" w:eastAsia="Arial" w:hAnsi="Arial"/>
                <w:sz w:val="16"/>
                <w:szCs w:val="16"/>
                <w:color w:val="auto"/>
              </w:rPr>
              <w:t>SCE</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2035</w:t>
            </w:r>
          </w:p>
        </w:tc>
        <w:tc>
          <w:tcPr>
            <w:tcW w:w="0" w:type="dxa"/>
            <w:vAlign w:val="bottom"/>
          </w:tcPr>
          <w:p>
            <w:pPr>
              <w:spacing w:after="0"/>
              <w:rPr>
                <w:sz w:val="1"/>
                <w:szCs w:val="1"/>
                <w:color w:val="auto"/>
              </w:rPr>
            </w:pPr>
          </w:p>
        </w:tc>
      </w:tr>
      <w:tr>
        <w:trPr>
          <w:trHeight w:val="262"/>
        </w:trPr>
        <w:tc>
          <w:tcPr>
            <w:tcW w:w="1640" w:type="dxa"/>
            <w:vAlign w:val="bottom"/>
            <w:shd w:val="clear" w:color="auto" w:fill="E6E6E6"/>
          </w:tcPr>
          <w:p>
            <w:pPr>
              <w:ind w:left="40"/>
              <w:spacing w:after="0"/>
              <w:rPr>
                <w:sz w:val="20"/>
                <w:szCs w:val="20"/>
                <w:color w:val="auto"/>
              </w:rPr>
            </w:pPr>
            <w:r>
              <w:rPr>
                <w:rFonts w:ascii="Arial" w:cs="Arial" w:eastAsia="Arial" w:hAnsi="Arial"/>
                <w:sz w:val="16"/>
                <w:szCs w:val="16"/>
                <w:color w:val="auto"/>
              </w:rPr>
              <w:t>Alta X</w:t>
            </w:r>
          </w:p>
        </w:tc>
        <w:tc>
          <w:tcPr>
            <w:tcW w:w="80" w:type="dxa"/>
            <w:vAlign w:val="bottom"/>
            <w:shd w:val="clear" w:color="auto" w:fill="E6E6E6"/>
          </w:tcPr>
          <w:p>
            <w:pPr>
              <w:spacing w:after="0"/>
              <w:rPr>
                <w:sz w:val="22"/>
                <w:szCs w:val="22"/>
                <w:color w:val="auto"/>
              </w:rPr>
            </w:pPr>
          </w:p>
        </w:tc>
        <w:tc>
          <w:tcPr>
            <w:tcW w:w="1300" w:type="dxa"/>
            <w:vAlign w:val="bottom"/>
            <w:gridSpan w:val="2"/>
            <w:shd w:val="clear" w:color="auto" w:fill="E6E6E6"/>
          </w:tcPr>
          <w:p>
            <w:pPr>
              <w:ind w:left="40"/>
              <w:spacing w:after="0"/>
              <w:rPr>
                <w:sz w:val="20"/>
                <w:szCs w:val="20"/>
                <w:color w:val="auto"/>
              </w:rPr>
            </w:pPr>
            <w:r>
              <w:rPr>
                <w:rFonts w:ascii="Arial" w:cs="Arial" w:eastAsia="Arial" w:hAnsi="Arial"/>
                <w:sz w:val="16"/>
                <w:szCs w:val="16"/>
                <w:color w:val="auto"/>
              </w:rPr>
              <w:t>Tehachapi, CA</w:t>
            </w:r>
          </w:p>
        </w:tc>
        <w:tc>
          <w:tcPr>
            <w:tcW w:w="6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137</w:t>
            </w:r>
          </w:p>
        </w:tc>
        <w:tc>
          <w:tcPr>
            <w:tcW w:w="740" w:type="dxa"/>
            <w:vAlign w:val="bottom"/>
            <w:gridSpan w:val="3"/>
            <w:shd w:val="clear" w:color="auto" w:fill="E6E6E6"/>
          </w:tcPr>
          <w:p>
            <w:pPr>
              <w:jc w:val="right"/>
              <w:spacing w:after="0"/>
              <w:rPr>
                <w:sz w:val="20"/>
                <w:szCs w:val="20"/>
                <w:color w:val="auto"/>
              </w:rPr>
            </w:pPr>
            <w:r>
              <w:rPr>
                <w:rFonts w:ascii="Arial" w:cs="Arial" w:eastAsia="Arial" w:hAnsi="Arial"/>
                <w:sz w:val="16"/>
                <w:szCs w:val="16"/>
                <w:color w:val="auto"/>
              </w:rPr>
              <w:t>137</w:t>
            </w:r>
          </w:p>
        </w:tc>
        <w:tc>
          <w:tcPr>
            <w:tcW w:w="80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E6E6E6"/>
          </w:tcPr>
          <w:p>
            <w:pPr>
              <w:spacing w:after="0"/>
              <w:rPr>
                <w:sz w:val="22"/>
                <w:szCs w:val="22"/>
                <w:color w:val="auto"/>
              </w:rPr>
            </w:pPr>
          </w:p>
        </w:tc>
        <w:tc>
          <w:tcPr>
            <w:tcW w:w="940" w:type="dxa"/>
            <w:vAlign w:val="bottom"/>
            <w:shd w:val="clear" w:color="auto" w:fill="E6E6E6"/>
          </w:tcPr>
          <w:p>
            <w:pPr>
              <w:ind w:left="60"/>
              <w:spacing w:after="0"/>
              <w:rPr>
                <w:sz w:val="20"/>
                <w:szCs w:val="20"/>
                <w:color w:val="auto"/>
              </w:rPr>
            </w:pPr>
            <w:r>
              <w:rPr>
                <w:rFonts w:ascii="Arial" w:cs="Arial" w:eastAsia="Arial" w:hAnsi="Arial"/>
                <w:sz w:val="16"/>
                <w:szCs w:val="16"/>
                <w:color w:val="auto"/>
              </w:rPr>
              <w:t>Wind</w:t>
            </w:r>
          </w:p>
        </w:tc>
        <w:tc>
          <w:tcPr>
            <w:tcW w:w="80" w:type="dxa"/>
            <w:vAlign w:val="bottom"/>
            <w:shd w:val="clear" w:color="auto" w:fill="E6E6E6"/>
          </w:tcPr>
          <w:p>
            <w:pPr>
              <w:spacing w:after="0"/>
              <w:rPr>
                <w:sz w:val="22"/>
                <w:szCs w:val="22"/>
                <w:color w:val="auto"/>
              </w:rPr>
            </w:pPr>
          </w:p>
        </w:tc>
        <w:tc>
          <w:tcPr>
            <w:tcW w:w="1260" w:type="dxa"/>
            <w:vAlign w:val="bottom"/>
            <w:gridSpan w:val="2"/>
            <w:shd w:val="clear" w:color="auto" w:fill="E6E6E6"/>
          </w:tcPr>
          <w:p>
            <w:pPr>
              <w:ind w:left="60"/>
              <w:spacing w:after="0"/>
              <w:rPr>
                <w:sz w:val="20"/>
                <w:szCs w:val="20"/>
                <w:color w:val="auto"/>
              </w:rPr>
            </w:pPr>
            <w:r>
              <w:rPr>
                <w:rFonts w:ascii="Arial" w:cs="Arial" w:eastAsia="Arial" w:hAnsi="Arial"/>
                <w:sz w:val="16"/>
                <w:szCs w:val="16"/>
                <w:color w:val="auto"/>
              </w:rPr>
              <w:t>February 2014</w:t>
            </w:r>
          </w:p>
        </w:tc>
        <w:tc>
          <w:tcPr>
            <w:tcW w:w="1640" w:type="dxa"/>
            <w:vAlign w:val="bottom"/>
            <w:shd w:val="clear" w:color="auto" w:fill="E6E6E6"/>
          </w:tcPr>
          <w:p>
            <w:pPr>
              <w:ind w:left="60"/>
              <w:spacing w:after="0"/>
              <w:rPr>
                <w:sz w:val="20"/>
                <w:szCs w:val="20"/>
                <w:color w:val="auto"/>
              </w:rPr>
            </w:pPr>
            <w:r>
              <w:rPr>
                <w:rFonts w:ascii="Arial" w:cs="Arial" w:eastAsia="Arial" w:hAnsi="Arial"/>
                <w:sz w:val="16"/>
                <w:szCs w:val="16"/>
                <w:color w:val="auto"/>
              </w:rPr>
              <w:t>SCE</w:t>
            </w:r>
          </w:p>
        </w:tc>
        <w:tc>
          <w:tcPr>
            <w:tcW w:w="102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2038</w:t>
            </w:r>
          </w:p>
        </w:tc>
        <w:tc>
          <w:tcPr>
            <w:tcW w:w="0" w:type="dxa"/>
            <w:vAlign w:val="bottom"/>
          </w:tcPr>
          <w:p>
            <w:pPr>
              <w:spacing w:after="0"/>
              <w:rPr>
                <w:sz w:val="1"/>
                <w:szCs w:val="1"/>
                <w:color w:val="auto"/>
              </w:rPr>
            </w:pPr>
          </w:p>
        </w:tc>
      </w:tr>
      <w:tr>
        <w:trPr>
          <w:trHeight w:val="246"/>
        </w:trPr>
        <w:tc>
          <w:tcPr>
            <w:tcW w:w="1640" w:type="dxa"/>
            <w:vAlign w:val="bottom"/>
          </w:tcPr>
          <w:p>
            <w:pPr>
              <w:ind w:left="40"/>
              <w:spacing w:after="0"/>
              <w:rPr>
                <w:sz w:val="20"/>
                <w:szCs w:val="20"/>
                <w:color w:val="auto"/>
              </w:rPr>
            </w:pPr>
            <w:r>
              <w:rPr>
                <w:rFonts w:ascii="Arial" w:cs="Arial" w:eastAsia="Arial" w:hAnsi="Arial"/>
                <w:sz w:val="16"/>
                <w:szCs w:val="16"/>
                <w:color w:val="auto"/>
              </w:rPr>
              <w:t>Alta XI</w:t>
            </w:r>
          </w:p>
        </w:tc>
        <w:tc>
          <w:tcPr>
            <w:tcW w:w="80" w:type="dxa"/>
            <w:vAlign w:val="bottom"/>
          </w:tcPr>
          <w:p>
            <w:pPr>
              <w:spacing w:after="0"/>
              <w:rPr>
                <w:sz w:val="21"/>
                <w:szCs w:val="21"/>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color w:val="auto"/>
              </w:rPr>
              <w:t>Tehachapi, CA</w:t>
            </w:r>
          </w:p>
        </w:tc>
        <w:tc>
          <w:tcPr>
            <w:tcW w:w="620" w:type="dxa"/>
            <w:vAlign w:val="bottom"/>
          </w:tcPr>
          <w:p>
            <w:pPr>
              <w:jc w:val="right"/>
              <w:spacing w:after="0"/>
              <w:rPr>
                <w:sz w:val="20"/>
                <w:szCs w:val="20"/>
                <w:color w:val="auto"/>
              </w:rPr>
            </w:pPr>
            <w:r>
              <w:rPr>
                <w:rFonts w:ascii="Arial" w:cs="Arial" w:eastAsia="Arial" w:hAnsi="Arial"/>
                <w:sz w:val="16"/>
                <w:szCs w:val="16"/>
                <w:color w:val="auto"/>
              </w:rPr>
              <w:t>90</w:t>
            </w: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90</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21"/>
                <w:szCs w:val="21"/>
                <w:color w:val="auto"/>
              </w:rPr>
            </w:pPr>
          </w:p>
        </w:tc>
        <w:tc>
          <w:tcPr>
            <w:tcW w:w="940" w:type="dxa"/>
            <w:vAlign w:val="bottom"/>
          </w:tcPr>
          <w:p>
            <w:pPr>
              <w:ind w:left="60"/>
              <w:spacing w:after="0"/>
              <w:rPr>
                <w:sz w:val="20"/>
                <w:szCs w:val="20"/>
                <w:color w:val="auto"/>
              </w:rPr>
            </w:pPr>
            <w:r>
              <w:rPr>
                <w:rFonts w:ascii="Arial" w:cs="Arial" w:eastAsia="Arial" w:hAnsi="Arial"/>
                <w:sz w:val="16"/>
                <w:szCs w:val="16"/>
                <w:color w:val="auto"/>
              </w:rPr>
              <w:t>Wind</w:t>
            </w:r>
          </w:p>
        </w:tc>
        <w:tc>
          <w:tcPr>
            <w:tcW w:w="80" w:type="dxa"/>
            <w:vAlign w:val="bottom"/>
          </w:tcPr>
          <w:p>
            <w:pPr>
              <w:spacing w:after="0"/>
              <w:rPr>
                <w:sz w:val="21"/>
                <w:szCs w:val="21"/>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February 2014</w:t>
            </w:r>
          </w:p>
        </w:tc>
        <w:tc>
          <w:tcPr>
            <w:tcW w:w="1640" w:type="dxa"/>
            <w:vAlign w:val="bottom"/>
          </w:tcPr>
          <w:p>
            <w:pPr>
              <w:ind w:left="60"/>
              <w:spacing w:after="0"/>
              <w:rPr>
                <w:sz w:val="20"/>
                <w:szCs w:val="20"/>
                <w:color w:val="auto"/>
              </w:rPr>
            </w:pPr>
            <w:r>
              <w:rPr>
                <w:rFonts w:ascii="Arial" w:cs="Arial" w:eastAsia="Arial" w:hAnsi="Arial"/>
                <w:sz w:val="16"/>
                <w:szCs w:val="16"/>
                <w:color w:val="auto"/>
              </w:rPr>
              <w:t>SCE</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2038</w:t>
            </w:r>
          </w:p>
        </w:tc>
        <w:tc>
          <w:tcPr>
            <w:tcW w:w="0" w:type="dxa"/>
            <w:vAlign w:val="bottom"/>
          </w:tcPr>
          <w:p>
            <w:pPr>
              <w:spacing w:after="0"/>
              <w:rPr>
                <w:sz w:val="1"/>
                <w:szCs w:val="1"/>
                <w:color w:val="auto"/>
              </w:rPr>
            </w:pPr>
          </w:p>
        </w:tc>
      </w:tr>
      <w:tr>
        <w:trPr>
          <w:trHeight w:val="208"/>
        </w:trPr>
        <w:tc>
          <w:tcPr>
            <w:tcW w:w="164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1300" w:type="dxa"/>
            <w:vAlign w:val="bottom"/>
            <w:gridSpan w:val="2"/>
            <w:shd w:val="clear" w:color="auto" w:fill="E6E6E6"/>
          </w:tcPr>
          <w:p>
            <w:pPr>
              <w:ind w:left="40"/>
              <w:spacing w:after="0"/>
              <w:rPr>
                <w:sz w:val="20"/>
                <w:szCs w:val="20"/>
                <w:color w:val="auto"/>
              </w:rPr>
            </w:pPr>
            <w:r>
              <w:rPr>
                <w:rFonts w:ascii="Arial" w:cs="Arial" w:eastAsia="Arial" w:hAnsi="Arial"/>
                <w:sz w:val="16"/>
                <w:szCs w:val="16"/>
                <w:color w:val="auto"/>
              </w:rPr>
              <w:t>Mineral and</w:t>
            </w:r>
          </w:p>
        </w:tc>
        <w:tc>
          <w:tcPr>
            <w:tcW w:w="6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64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7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94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1200" w:type="dxa"/>
            <w:vAlign w:val="bottom"/>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1640" w:type="dxa"/>
            <w:vAlign w:val="bottom"/>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96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1640" w:type="dxa"/>
            <w:vAlign w:val="bottom"/>
            <w:vMerge w:val="restart"/>
            <w:shd w:val="clear" w:color="auto" w:fill="E6E6E6"/>
          </w:tcPr>
          <w:p>
            <w:pPr>
              <w:ind w:left="40"/>
              <w:spacing w:after="0"/>
              <w:rPr>
                <w:sz w:val="20"/>
                <w:szCs w:val="20"/>
                <w:color w:val="auto"/>
              </w:rPr>
            </w:pPr>
            <w:r>
              <w:rPr>
                <w:rFonts w:ascii="Arial" w:cs="Arial" w:eastAsia="Arial" w:hAnsi="Arial"/>
                <w:sz w:val="16"/>
                <w:szCs w:val="16"/>
                <w:color w:val="auto"/>
              </w:rPr>
              <w:t xml:space="preserve">Black Rock </w:t>
            </w:r>
            <w:r>
              <w:rPr>
                <w:rFonts w:ascii="Arial" w:cs="Arial" w:eastAsia="Arial" w:hAnsi="Arial"/>
                <w:sz w:val="20"/>
                <w:szCs w:val="20"/>
                <w:color w:val="auto"/>
                <w:vertAlign w:val="superscript"/>
              </w:rPr>
              <w:t>(b)</w:t>
            </w:r>
          </w:p>
        </w:tc>
        <w:tc>
          <w:tcPr>
            <w:tcW w:w="80" w:type="dxa"/>
            <w:vAlign w:val="bottom"/>
            <w:shd w:val="clear" w:color="auto" w:fill="E6E6E6"/>
          </w:tcPr>
          <w:p>
            <w:pPr>
              <w:spacing w:after="0"/>
              <w:rPr>
                <w:sz w:val="13"/>
                <w:szCs w:val="13"/>
                <w:color w:val="auto"/>
              </w:rPr>
            </w:pPr>
          </w:p>
        </w:tc>
        <w:tc>
          <w:tcPr>
            <w:tcW w:w="1300" w:type="dxa"/>
            <w:vAlign w:val="bottom"/>
            <w:gridSpan w:val="2"/>
            <w:shd w:val="clear" w:color="auto" w:fill="E6E6E6"/>
          </w:tcPr>
          <w:p>
            <w:pPr>
              <w:ind w:left="40"/>
              <w:spacing w:after="0" w:line="159" w:lineRule="exact"/>
              <w:rPr>
                <w:sz w:val="20"/>
                <w:szCs w:val="20"/>
                <w:color w:val="auto"/>
              </w:rPr>
            </w:pPr>
            <w:r>
              <w:rPr>
                <w:rFonts w:ascii="Arial" w:cs="Arial" w:eastAsia="Arial" w:hAnsi="Arial"/>
                <w:sz w:val="16"/>
                <w:szCs w:val="16"/>
                <w:color w:val="auto"/>
              </w:rPr>
              <w:t>Grant Counties,</w:t>
            </w:r>
          </w:p>
        </w:tc>
        <w:tc>
          <w:tcPr>
            <w:tcW w:w="62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115</w:t>
            </w:r>
          </w:p>
        </w:tc>
        <w:tc>
          <w:tcPr>
            <w:tcW w:w="740" w:type="dxa"/>
            <w:vAlign w:val="bottom"/>
            <w:gridSpan w:val="3"/>
            <w:vMerge w:val="restart"/>
            <w:shd w:val="clear" w:color="auto" w:fill="E6E6E6"/>
          </w:tcPr>
          <w:p>
            <w:pPr>
              <w:jc w:val="right"/>
              <w:spacing w:after="0"/>
              <w:rPr>
                <w:sz w:val="20"/>
                <w:szCs w:val="20"/>
                <w:color w:val="auto"/>
              </w:rPr>
            </w:pPr>
            <w:r>
              <w:rPr>
                <w:rFonts w:ascii="Arial" w:cs="Arial" w:eastAsia="Arial" w:hAnsi="Arial"/>
                <w:sz w:val="16"/>
                <w:szCs w:val="16"/>
                <w:color w:val="auto"/>
              </w:rPr>
              <w:t>58</w:t>
            </w:r>
          </w:p>
        </w:tc>
        <w:tc>
          <w:tcPr>
            <w:tcW w:w="800" w:type="dxa"/>
            <w:vAlign w:val="bottom"/>
            <w:gridSpan w:val="2"/>
            <w:vMerge w:val="restart"/>
            <w:shd w:val="clear" w:color="auto" w:fill="E6E6E6"/>
          </w:tcPr>
          <w:p>
            <w:pPr>
              <w:jc w:val="right"/>
              <w:spacing w:after="0"/>
              <w:rPr>
                <w:sz w:val="20"/>
                <w:szCs w:val="20"/>
                <w:color w:val="auto"/>
              </w:rPr>
            </w:pPr>
            <w:r>
              <w:rPr>
                <w:rFonts w:ascii="Arial" w:cs="Arial" w:eastAsia="Arial" w:hAnsi="Arial"/>
                <w:sz w:val="16"/>
                <w:szCs w:val="16"/>
                <w:color w:val="auto"/>
              </w:rPr>
              <w:t>50 %</w:t>
            </w:r>
          </w:p>
        </w:tc>
        <w:tc>
          <w:tcPr>
            <w:tcW w:w="80" w:type="dxa"/>
            <w:vAlign w:val="bottom"/>
            <w:shd w:val="clear" w:color="auto" w:fill="E6E6E6"/>
          </w:tcPr>
          <w:p>
            <w:pPr>
              <w:spacing w:after="0"/>
              <w:rPr>
                <w:sz w:val="13"/>
                <w:szCs w:val="13"/>
                <w:color w:val="auto"/>
              </w:rPr>
            </w:pPr>
          </w:p>
        </w:tc>
        <w:tc>
          <w:tcPr>
            <w:tcW w:w="940" w:type="dxa"/>
            <w:vAlign w:val="bottom"/>
            <w:vMerge w:val="restart"/>
            <w:shd w:val="clear" w:color="auto" w:fill="E6E6E6"/>
          </w:tcPr>
          <w:p>
            <w:pPr>
              <w:ind w:left="60"/>
              <w:spacing w:after="0"/>
              <w:rPr>
                <w:sz w:val="20"/>
                <w:szCs w:val="20"/>
                <w:color w:val="auto"/>
              </w:rPr>
            </w:pPr>
            <w:r>
              <w:rPr>
                <w:rFonts w:ascii="Arial" w:cs="Arial" w:eastAsia="Arial" w:hAnsi="Arial"/>
                <w:sz w:val="16"/>
                <w:szCs w:val="16"/>
                <w:color w:val="auto"/>
              </w:rPr>
              <w:t>Wind</w:t>
            </w:r>
          </w:p>
        </w:tc>
        <w:tc>
          <w:tcPr>
            <w:tcW w:w="80" w:type="dxa"/>
            <w:vAlign w:val="bottom"/>
            <w:shd w:val="clear" w:color="auto" w:fill="E6E6E6"/>
          </w:tcPr>
          <w:p>
            <w:pPr>
              <w:spacing w:after="0"/>
              <w:rPr>
                <w:sz w:val="13"/>
                <w:szCs w:val="13"/>
                <w:color w:val="auto"/>
              </w:rPr>
            </w:pPr>
          </w:p>
        </w:tc>
        <w:tc>
          <w:tcPr>
            <w:tcW w:w="1260" w:type="dxa"/>
            <w:vAlign w:val="bottom"/>
            <w:gridSpan w:val="2"/>
            <w:vMerge w:val="restart"/>
            <w:shd w:val="clear" w:color="auto" w:fill="E6E6E6"/>
          </w:tcPr>
          <w:p>
            <w:pPr>
              <w:ind w:left="60"/>
              <w:spacing w:after="0"/>
              <w:rPr>
                <w:sz w:val="20"/>
                <w:szCs w:val="20"/>
                <w:color w:val="auto"/>
              </w:rPr>
            </w:pPr>
            <w:r>
              <w:rPr>
                <w:rFonts w:ascii="Arial" w:cs="Arial" w:eastAsia="Arial" w:hAnsi="Arial"/>
                <w:sz w:val="16"/>
                <w:szCs w:val="16"/>
                <w:color w:val="auto"/>
              </w:rPr>
              <w:t>December 2021</w:t>
            </w:r>
          </w:p>
        </w:tc>
        <w:tc>
          <w:tcPr>
            <w:tcW w:w="1640" w:type="dxa"/>
            <w:vAlign w:val="bottom"/>
            <w:vMerge w:val="restart"/>
            <w:shd w:val="clear" w:color="auto" w:fill="E6E6E6"/>
          </w:tcPr>
          <w:p>
            <w:pPr>
              <w:ind w:left="60"/>
              <w:spacing w:after="0"/>
              <w:rPr>
                <w:sz w:val="20"/>
                <w:szCs w:val="20"/>
                <w:color w:val="auto"/>
              </w:rPr>
            </w:pPr>
            <w:r>
              <w:rPr>
                <w:rFonts w:ascii="Arial" w:cs="Arial" w:eastAsia="Arial" w:hAnsi="Arial"/>
                <w:sz w:val="16"/>
                <w:szCs w:val="16"/>
                <w:color w:val="auto"/>
              </w:rPr>
              <w:t>Toyota and AEP</w:t>
            </w:r>
          </w:p>
        </w:tc>
        <w:tc>
          <w:tcPr>
            <w:tcW w:w="1020" w:type="dxa"/>
            <w:vAlign w:val="bottom"/>
            <w:gridSpan w:val="2"/>
            <w:vMerge w:val="restart"/>
            <w:shd w:val="clear" w:color="auto" w:fill="E6E6E6"/>
          </w:tcPr>
          <w:p>
            <w:pPr>
              <w:jc w:val="right"/>
              <w:spacing w:after="0"/>
              <w:rPr>
                <w:sz w:val="20"/>
                <w:szCs w:val="20"/>
                <w:color w:val="auto"/>
              </w:rPr>
            </w:pPr>
            <w:r>
              <w:rPr>
                <w:rFonts w:ascii="Arial" w:cs="Arial" w:eastAsia="Arial" w:hAnsi="Arial"/>
                <w:sz w:val="16"/>
                <w:szCs w:val="16"/>
                <w:color w:val="auto"/>
              </w:rPr>
              <w:t>2036</w:t>
            </w:r>
          </w:p>
        </w:tc>
        <w:tc>
          <w:tcPr>
            <w:tcW w:w="0" w:type="dxa"/>
            <w:vAlign w:val="bottom"/>
          </w:tcPr>
          <w:p>
            <w:pPr>
              <w:spacing w:after="0"/>
              <w:rPr>
                <w:sz w:val="1"/>
                <w:szCs w:val="1"/>
                <w:color w:val="auto"/>
              </w:rPr>
            </w:pPr>
          </w:p>
        </w:tc>
      </w:tr>
      <w:tr>
        <w:trPr>
          <w:trHeight w:val="223"/>
        </w:trPr>
        <w:tc>
          <w:tcPr>
            <w:tcW w:w="1640" w:type="dxa"/>
            <w:vAlign w:val="bottom"/>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300" w:type="dxa"/>
            <w:vAlign w:val="bottom"/>
            <w:gridSpan w:val="2"/>
            <w:shd w:val="clear" w:color="auto" w:fill="E6E6E6"/>
          </w:tcPr>
          <w:p>
            <w:pPr>
              <w:ind w:left="40"/>
              <w:spacing w:after="0"/>
              <w:rPr>
                <w:sz w:val="20"/>
                <w:szCs w:val="20"/>
                <w:color w:val="auto"/>
              </w:rPr>
            </w:pPr>
            <w:r>
              <w:rPr>
                <w:rFonts w:ascii="Arial" w:cs="Arial" w:eastAsia="Arial" w:hAnsi="Arial"/>
                <w:sz w:val="16"/>
                <w:szCs w:val="16"/>
                <w:color w:val="auto"/>
              </w:rPr>
              <w:t>WV</w:t>
            </w:r>
          </w:p>
        </w:tc>
        <w:tc>
          <w:tcPr>
            <w:tcW w:w="620" w:type="dxa"/>
            <w:vAlign w:val="bottom"/>
            <w:vMerge w:val="continue"/>
            <w:shd w:val="clear" w:color="auto" w:fill="E6E6E6"/>
          </w:tcPr>
          <w:p>
            <w:pPr>
              <w:spacing w:after="0"/>
              <w:rPr>
                <w:sz w:val="19"/>
                <w:szCs w:val="19"/>
                <w:color w:val="auto"/>
              </w:rPr>
            </w:pPr>
          </w:p>
        </w:tc>
        <w:tc>
          <w:tcPr>
            <w:tcW w:w="740" w:type="dxa"/>
            <w:vAlign w:val="bottom"/>
            <w:gridSpan w:val="3"/>
            <w:vMerge w:val="continue"/>
            <w:shd w:val="clear" w:color="auto" w:fill="E6E6E6"/>
          </w:tcPr>
          <w:p>
            <w:pPr>
              <w:spacing w:after="0"/>
              <w:rPr>
                <w:sz w:val="19"/>
                <w:szCs w:val="19"/>
                <w:color w:val="auto"/>
              </w:rPr>
            </w:pPr>
          </w:p>
        </w:tc>
        <w:tc>
          <w:tcPr>
            <w:tcW w:w="800" w:type="dxa"/>
            <w:vAlign w:val="bottom"/>
            <w:gridSpan w:val="2"/>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940" w:type="dxa"/>
            <w:vAlign w:val="bottom"/>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260" w:type="dxa"/>
            <w:vAlign w:val="bottom"/>
            <w:gridSpan w:val="2"/>
            <w:vMerge w:val="continue"/>
            <w:shd w:val="clear" w:color="auto" w:fill="E6E6E6"/>
          </w:tcPr>
          <w:p>
            <w:pPr>
              <w:spacing w:after="0"/>
              <w:rPr>
                <w:sz w:val="19"/>
                <w:szCs w:val="19"/>
                <w:color w:val="auto"/>
              </w:rPr>
            </w:pPr>
          </w:p>
        </w:tc>
        <w:tc>
          <w:tcPr>
            <w:tcW w:w="1640" w:type="dxa"/>
            <w:vAlign w:val="bottom"/>
            <w:vMerge w:val="continue"/>
            <w:shd w:val="clear" w:color="auto" w:fill="E6E6E6"/>
          </w:tcPr>
          <w:p>
            <w:pPr>
              <w:spacing w:after="0"/>
              <w:rPr>
                <w:sz w:val="19"/>
                <w:szCs w:val="19"/>
                <w:color w:val="auto"/>
              </w:rPr>
            </w:pPr>
          </w:p>
        </w:tc>
        <w:tc>
          <w:tcPr>
            <w:tcW w:w="1020" w:type="dxa"/>
            <w:vAlign w:val="bottom"/>
            <w:gridSpan w:val="2"/>
            <w:vMerge w:val="continue"/>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640" w:type="dxa"/>
            <w:vAlign w:val="bottom"/>
            <w:vMerge w:val="restart"/>
          </w:tcPr>
          <w:p>
            <w:pPr>
              <w:ind w:left="40"/>
              <w:spacing w:after="0"/>
              <w:rPr>
                <w:sz w:val="20"/>
                <w:szCs w:val="20"/>
                <w:color w:val="auto"/>
              </w:rPr>
            </w:pPr>
            <w:r>
              <w:rPr>
                <w:rFonts w:ascii="Arial" w:cs="Arial" w:eastAsia="Arial" w:hAnsi="Arial"/>
                <w:sz w:val="16"/>
                <w:szCs w:val="16"/>
                <w:color w:val="auto"/>
              </w:rPr>
              <w:t>Broken Bow</w:t>
            </w:r>
          </w:p>
        </w:tc>
        <w:tc>
          <w:tcPr>
            <w:tcW w:w="8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color w:val="auto"/>
              </w:rPr>
              <w:t>Custer County,</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80</w:t>
            </w:r>
          </w:p>
        </w:tc>
        <w:tc>
          <w:tcPr>
            <w:tcW w:w="740" w:type="dxa"/>
            <w:vAlign w:val="bottom"/>
            <w:gridSpan w:val="3"/>
            <w:vMerge w:val="restart"/>
          </w:tcPr>
          <w:p>
            <w:pPr>
              <w:jc w:val="right"/>
              <w:spacing w:after="0"/>
              <w:rPr>
                <w:sz w:val="20"/>
                <w:szCs w:val="20"/>
                <w:color w:val="auto"/>
              </w:rPr>
            </w:pPr>
            <w:r>
              <w:rPr>
                <w:rFonts w:ascii="Arial" w:cs="Arial" w:eastAsia="Arial" w:hAnsi="Arial"/>
                <w:sz w:val="16"/>
                <w:szCs w:val="16"/>
                <w:color w:val="auto"/>
              </w:rPr>
              <w:t>80</w:t>
            </w:r>
          </w:p>
        </w:tc>
        <w:tc>
          <w:tcPr>
            <w:tcW w:w="800" w:type="dxa"/>
            <w:vAlign w:val="bottom"/>
            <w:gridSpan w:val="2"/>
            <w:vMerge w:val="restart"/>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16"/>
                <w:szCs w:val="16"/>
                <w:color w:val="auto"/>
              </w:rPr>
            </w:pPr>
          </w:p>
        </w:tc>
        <w:tc>
          <w:tcPr>
            <w:tcW w:w="940" w:type="dxa"/>
            <w:vAlign w:val="bottom"/>
            <w:vMerge w:val="restart"/>
          </w:tcPr>
          <w:p>
            <w:pPr>
              <w:ind w:left="60"/>
              <w:spacing w:after="0"/>
              <w:rPr>
                <w:sz w:val="20"/>
                <w:szCs w:val="20"/>
                <w:color w:val="auto"/>
              </w:rPr>
            </w:pPr>
            <w:r>
              <w:rPr>
                <w:rFonts w:ascii="Arial" w:cs="Arial" w:eastAsia="Arial" w:hAnsi="Arial"/>
                <w:sz w:val="16"/>
                <w:szCs w:val="16"/>
                <w:color w:val="auto"/>
              </w:rPr>
              <w:t>Wind</w:t>
            </w:r>
          </w:p>
        </w:tc>
        <w:tc>
          <w:tcPr>
            <w:tcW w:w="80" w:type="dxa"/>
            <w:vAlign w:val="bottom"/>
          </w:tcPr>
          <w:p>
            <w:pPr>
              <w:spacing w:after="0"/>
              <w:rPr>
                <w:sz w:val="16"/>
                <w:szCs w:val="16"/>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6"/>
                <w:szCs w:val="16"/>
                <w:color w:val="auto"/>
              </w:rPr>
              <w:t>December 2012</w:t>
            </w:r>
          </w:p>
        </w:tc>
        <w:tc>
          <w:tcPr>
            <w:tcW w:w="1640" w:type="dxa"/>
            <w:vAlign w:val="bottom"/>
          </w:tcPr>
          <w:p>
            <w:pPr>
              <w:ind w:left="60"/>
              <w:spacing w:after="0"/>
              <w:rPr>
                <w:sz w:val="20"/>
                <w:szCs w:val="20"/>
                <w:color w:val="auto"/>
              </w:rPr>
            </w:pPr>
            <w:r>
              <w:rPr>
                <w:rFonts w:ascii="Arial" w:cs="Arial" w:eastAsia="Arial" w:hAnsi="Arial"/>
                <w:sz w:val="16"/>
                <w:szCs w:val="16"/>
                <w:color w:val="auto"/>
                <w:w w:val="93"/>
              </w:rPr>
              <w:t>Nebraska Public Power</w:t>
            </w: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color w:val="auto"/>
              </w:rPr>
              <w:t>2032</w:t>
            </w:r>
          </w:p>
        </w:tc>
        <w:tc>
          <w:tcPr>
            <w:tcW w:w="0" w:type="dxa"/>
            <w:vAlign w:val="bottom"/>
          </w:tcPr>
          <w:p>
            <w:pPr>
              <w:spacing w:after="0"/>
              <w:rPr>
                <w:sz w:val="1"/>
                <w:szCs w:val="1"/>
                <w:color w:val="auto"/>
              </w:rPr>
            </w:pPr>
          </w:p>
        </w:tc>
      </w:tr>
      <w:tr>
        <w:trPr>
          <w:trHeight w:val="216"/>
        </w:trPr>
        <w:tc>
          <w:tcPr>
            <w:tcW w:w="1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color w:val="auto"/>
              </w:rPr>
              <w:t>NE</w:t>
            </w:r>
          </w:p>
        </w:tc>
        <w:tc>
          <w:tcPr>
            <w:tcW w:w="620" w:type="dxa"/>
            <w:vAlign w:val="bottom"/>
            <w:vMerge w:val="continue"/>
          </w:tcPr>
          <w:p>
            <w:pPr>
              <w:spacing w:after="0"/>
              <w:rPr>
                <w:sz w:val="18"/>
                <w:szCs w:val="18"/>
                <w:color w:val="auto"/>
              </w:rPr>
            </w:pPr>
          </w:p>
        </w:tc>
        <w:tc>
          <w:tcPr>
            <w:tcW w:w="740" w:type="dxa"/>
            <w:vAlign w:val="bottom"/>
            <w:gridSpan w:val="3"/>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640" w:type="dxa"/>
            <w:vAlign w:val="bottom"/>
          </w:tcPr>
          <w:p>
            <w:pPr>
              <w:ind w:left="60"/>
              <w:spacing w:after="0"/>
              <w:rPr>
                <w:sz w:val="20"/>
                <w:szCs w:val="20"/>
                <w:color w:val="auto"/>
              </w:rPr>
            </w:pPr>
            <w:r>
              <w:rPr>
                <w:rFonts w:ascii="Arial" w:cs="Arial" w:eastAsia="Arial" w:hAnsi="Arial"/>
                <w:sz w:val="16"/>
                <w:szCs w:val="16"/>
                <w:color w:val="auto"/>
              </w:rPr>
              <w:t>District</w:t>
            </w: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640" w:type="dxa"/>
            <w:vAlign w:val="bottom"/>
            <w:vMerge w:val="restart"/>
            <w:shd w:val="clear" w:color="auto" w:fill="E6E6E6"/>
          </w:tcPr>
          <w:p>
            <w:pPr>
              <w:ind w:left="40"/>
              <w:spacing w:after="0"/>
              <w:rPr>
                <w:sz w:val="20"/>
                <w:szCs w:val="20"/>
                <w:color w:val="auto"/>
              </w:rPr>
            </w:pPr>
            <w:r>
              <w:rPr>
                <w:rFonts w:ascii="Arial" w:cs="Arial" w:eastAsia="Arial" w:hAnsi="Arial"/>
                <w:sz w:val="16"/>
                <w:szCs w:val="16"/>
                <w:color w:val="auto"/>
              </w:rPr>
              <w:t>Buffalo Bear</w:t>
            </w:r>
          </w:p>
        </w:tc>
        <w:tc>
          <w:tcPr>
            <w:tcW w:w="80" w:type="dxa"/>
            <w:vAlign w:val="bottom"/>
            <w:shd w:val="clear" w:color="auto" w:fill="E6E6E6"/>
          </w:tcPr>
          <w:p>
            <w:pPr>
              <w:spacing w:after="0"/>
              <w:rPr>
                <w:sz w:val="17"/>
                <w:szCs w:val="17"/>
                <w:color w:val="auto"/>
              </w:rPr>
            </w:pPr>
          </w:p>
        </w:tc>
        <w:tc>
          <w:tcPr>
            <w:tcW w:w="1300" w:type="dxa"/>
            <w:vAlign w:val="bottom"/>
            <w:gridSpan w:val="2"/>
            <w:vMerge w:val="restart"/>
            <w:shd w:val="clear" w:color="auto" w:fill="E6E6E6"/>
          </w:tcPr>
          <w:p>
            <w:pPr>
              <w:ind w:left="40"/>
              <w:spacing w:after="0"/>
              <w:rPr>
                <w:sz w:val="20"/>
                <w:szCs w:val="20"/>
                <w:color w:val="auto"/>
              </w:rPr>
            </w:pPr>
            <w:r>
              <w:rPr>
                <w:rFonts w:ascii="Arial" w:cs="Arial" w:eastAsia="Arial" w:hAnsi="Arial"/>
                <w:sz w:val="16"/>
                <w:szCs w:val="16"/>
                <w:color w:val="auto"/>
              </w:rPr>
              <w:t>Buffalo, OK</w:t>
            </w:r>
          </w:p>
        </w:tc>
        <w:tc>
          <w:tcPr>
            <w:tcW w:w="62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19</w:t>
            </w:r>
          </w:p>
        </w:tc>
        <w:tc>
          <w:tcPr>
            <w:tcW w:w="740" w:type="dxa"/>
            <w:vAlign w:val="bottom"/>
            <w:gridSpan w:val="3"/>
            <w:vMerge w:val="restart"/>
            <w:shd w:val="clear" w:color="auto" w:fill="E6E6E6"/>
          </w:tcPr>
          <w:p>
            <w:pPr>
              <w:jc w:val="right"/>
              <w:spacing w:after="0"/>
              <w:rPr>
                <w:sz w:val="20"/>
                <w:szCs w:val="20"/>
                <w:color w:val="auto"/>
              </w:rPr>
            </w:pPr>
            <w:r>
              <w:rPr>
                <w:rFonts w:ascii="Arial" w:cs="Arial" w:eastAsia="Arial" w:hAnsi="Arial"/>
                <w:sz w:val="16"/>
                <w:szCs w:val="16"/>
                <w:color w:val="auto"/>
              </w:rPr>
              <w:t>19</w:t>
            </w:r>
          </w:p>
        </w:tc>
        <w:tc>
          <w:tcPr>
            <w:tcW w:w="800" w:type="dxa"/>
            <w:vAlign w:val="bottom"/>
            <w:gridSpan w:val="2"/>
            <w:vMerge w:val="restart"/>
            <w:shd w:val="clear" w:color="auto" w:fill="E6E6E6"/>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E6E6E6"/>
          </w:tcPr>
          <w:p>
            <w:pPr>
              <w:spacing w:after="0"/>
              <w:rPr>
                <w:sz w:val="17"/>
                <w:szCs w:val="17"/>
                <w:color w:val="auto"/>
              </w:rPr>
            </w:pPr>
          </w:p>
        </w:tc>
        <w:tc>
          <w:tcPr>
            <w:tcW w:w="940" w:type="dxa"/>
            <w:vAlign w:val="bottom"/>
            <w:vMerge w:val="restart"/>
            <w:shd w:val="clear" w:color="auto" w:fill="E6E6E6"/>
          </w:tcPr>
          <w:p>
            <w:pPr>
              <w:ind w:left="60"/>
              <w:spacing w:after="0"/>
              <w:rPr>
                <w:sz w:val="20"/>
                <w:szCs w:val="20"/>
                <w:color w:val="auto"/>
              </w:rPr>
            </w:pPr>
            <w:r>
              <w:rPr>
                <w:rFonts w:ascii="Arial" w:cs="Arial" w:eastAsia="Arial" w:hAnsi="Arial"/>
                <w:sz w:val="16"/>
                <w:szCs w:val="16"/>
                <w:color w:val="auto"/>
              </w:rPr>
              <w:t>Wind</w:t>
            </w:r>
          </w:p>
        </w:tc>
        <w:tc>
          <w:tcPr>
            <w:tcW w:w="80" w:type="dxa"/>
            <w:vAlign w:val="bottom"/>
            <w:shd w:val="clear" w:color="auto" w:fill="E6E6E6"/>
          </w:tcPr>
          <w:p>
            <w:pPr>
              <w:spacing w:after="0"/>
              <w:rPr>
                <w:sz w:val="17"/>
                <w:szCs w:val="17"/>
                <w:color w:val="auto"/>
              </w:rPr>
            </w:pPr>
          </w:p>
        </w:tc>
        <w:tc>
          <w:tcPr>
            <w:tcW w:w="1260" w:type="dxa"/>
            <w:vAlign w:val="bottom"/>
            <w:gridSpan w:val="2"/>
            <w:vMerge w:val="restart"/>
            <w:shd w:val="clear" w:color="auto" w:fill="E6E6E6"/>
          </w:tcPr>
          <w:p>
            <w:pPr>
              <w:ind w:left="60"/>
              <w:spacing w:after="0"/>
              <w:rPr>
                <w:sz w:val="20"/>
                <w:szCs w:val="20"/>
                <w:color w:val="auto"/>
              </w:rPr>
            </w:pPr>
            <w:r>
              <w:rPr>
                <w:rFonts w:ascii="Arial" w:cs="Arial" w:eastAsia="Arial" w:hAnsi="Arial"/>
                <w:sz w:val="16"/>
                <w:szCs w:val="16"/>
                <w:color w:val="auto"/>
              </w:rPr>
              <w:t>December 2008</w:t>
            </w:r>
          </w:p>
        </w:tc>
        <w:tc>
          <w:tcPr>
            <w:tcW w:w="1640" w:type="dxa"/>
            <w:vAlign w:val="bottom"/>
            <w:shd w:val="clear" w:color="auto" w:fill="E6E6E6"/>
          </w:tcPr>
          <w:p>
            <w:pPr>
              <w:ind w:left="60"/>
              <w:spacing w:after="0"/>
              <w:rPr>
                <w:sz w:val="20"/>
                <w:szCs w:val="20"/>
                <w:color w:val="auto"/>
              </w:rPr>
            </w:pPr>
            <w:r>
              <w:rPr>
                <w:rFonts w:ascii="Arial" w:cs="Arial" w:eastAsia="Arial" w:hAnsi="Arial"/>
                <w:sz w:val="16"/>
                <w:szCs w:val="16"/>
                <w:color w:val="auto"/>
              </w:rPr>
              <w:t>Western Farmers</w:t>
            </w:r>
          </w:p>
        </w:tc>
        <w:tc>
          <w:tcPr>
            <w:tcW w:w="1020" w:type="dxa"/>
            <w:vAlign w:val="bottom"/>
            <w:gridSpan w:val="2"/>
            <w:vMerge w:val="restart"/>
            <w:shd w:val="clear" w:color="auto" w:fill="E6E6E6"/>
          </w:tcPr>
          <w:p>
            <w:pPr>
              <w:jc w:val="right"/>
              <w:spacing w:after="0"/>
              <w:rPr>
                <w:sz w:val="20"/>
                <w:szCs w:val="20"/>
                <w:color w:val="auto"/>
              </w:rPr>
            </w:pPr>
            <w:r>
              <w:rPr>
                <w:rFonts w:ascii="Arial" w:cs="Arial" w:eastAsia="Arial" w:hAnsi="Arial"/>
                <w:sz w:val="16"/>
                <w:szCs w:val="16"/>
                <w:color w:val="auto"/>
              </w:rPr>
              <w:t>2033</w:t>
            </w:r>
          </w:p>
        </w:tc>
        <w:tc>
          <w:tcPr>
            <w:tcW w:w="0" w:type="dxa"/>
            <w:vAlign w:val="bottom"/>
          </w:tcPr>
          <w:p>
            <w:pPr>
              <w:spacing w:after="0"/>
              <w:rPr>
                <w:sz w:val="1"/>
                <w:szCs w:val="1"/>
                <w:color w:val="auto"/>
              </w:rPr>
            </w:pPr>
          </w:p>
        </w:tc>
      </w:tr>
      <w:tr>
        <w:trPr>
          <w:trHeight w:val="223"/>
        </w:trPr>
        <w:tc>
          <w:tcPr>
            <w:tcW w:w="1640" w:type="dxa"/>
            <w:vAlign w:val="bottom"/>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300" w:type="dxa"/>
            <w:vAlign w:val="bottom"/>
            <w:gridSpan w:val="2"/>
            <w:vMerge w:val="continue"/>
            <w:shd w:val="clear" w:color="auto" w:fill="E6E6E6"/>
          </w:tcPr>
          <w:p>
            <w:pPr>
              <w:spacing w:after="0"/>
              <w:rPr>
                <w:sz w:val="19"/>
                <w:szCs w:val="19"/>
                <w:color w:val="auto"/>
              </w:rPr>
            </w:pPr>
          </w:p>
        </w:tc>
        <w:tc>
          <w:tcPr>
            <w:tcW w:w="620" w:type="dxa"/>
            <w:vAlign w:val="bottom"/>
            <w:vMerge w:val="continue"/>
            <w:shd w:val="clear" w:color="auto" w:fill="E6E6E6"/>
          </w:tcPr>
          <w:p>
            <w:pPr>
              <w:spacing w:after="0"/>
              <w:rPr>
                <w:sz w:val="19"/>
                <w:szCs w:val="19"/>
                <w:color w:val="auto"/>
              </w:rPr>
            </w:pPr>
          </w:p>
        </w:tc>
        <w:tc>
          <w:tcPr>
            <w:tcW w:w="740" w:type="dxa"/>
            <w:vAlign w:val="bottom"/>
            <w:gridSpan w:val="3"/>
            <w:vMerge w:val="continue"/>
            <w:shd w:val="clear" w:color="auto" w:fill="E6E6E6"/>
          </w:tcPr>
          <w:p>
            <w:pPr>
              <w:spacing w:after="0"/>
              <w:rPr>
                <w:sz w:val="19"/>
                <w:szCs w:val="19"/>
                <w:color w:val="auto"/>
              </w:rPr>
            </w:pPr>
          </w:p>
        </w:tc>
        <w:tc>
          <w:tcPr>
            <w:tcW w:w="800" w:type="dxa"/>
            <w:vAlign w:val="bottom"/>
            <w:gridSpan w:val="2"/>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940" w:type="dxa"/>
            <w:vAlign w:val="bottom"/>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260" w:type="dxa"/>
            <w:vAlign w:val="bottom"/>
            <w:gridSpan w:val="2"/>
            <w:vMerge w:val="continue"/>
            <w:shd w:val="clear" w:color="auto" w:fill="E6E6E6"/>
          </w:tcPr>
          <w:p>
            <w:pPr>
              <w:spacing w:after="0"/>
              <w:rPr>
                <w:sz w:val="19"/>
                <w:szCs w:val="19"/>
                <w:color w:val="auto"/>
              </w:rPr>
            </w:pPr>
          </w:p>
        </w:tc>
        <w:tc>
          <w:tcPr>
            <w:tcW w:w="1640" w:type="dxa"/>
            <w:vAlign w:val="bottom"/>
            <w:shd w:val="clear" w:color="auto" w:fill="E6E6E6"/>
          </w:tcPr>
          <w:p>
            <w:pPr>
              <w:ind w:left="60"/>
              <w:spacing w:after="0"/>
              <w:rPr>
                <w:sz w:val="20"/>
                <w:szCs w:val="20"/>
                <w:color w:val="auto"/>
              </w:rPr>
            </w:pPr>
            <w:r>
              <w:rPr>
                <w:rFonts w:ascii="Arial" w:cs="Arial" w:eastAsia="Arial" w:hAnsi="Arial"/>
                <w:sz w:val="16"/>
                <w:szCs w:val="16"/>
                <w:color w:val="auto"/>
              </w:rPr>
              <w:t>Electric Co-operative</w:t>
            </w:r>
          </w:p>
        </w:tc>
        <w:tc>
          <w:tcPr>
            <w:tcW w:w="1020" w:type="dxa"/>
            <w:vAlign w:val="bottom"/>
            <w:gridSpan w:val="2"/>
            <w:vMerge w:val="continue"/>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640" w:type="dxa"/>
            <w:vAlign w:val="bottom"/>
            <w:vMerge w:val="restart"/>
          </w:tcPr>
          <w:p>
            <w:pPr>
              <w:ind w:left="40"/>
              <w:spacing w:after="0"/>
              <w:rPr>
                <w:sz w:val="20"/>
                <w:szCs w:val="20"/>
                <w:color w:val="auto"/>
              </w:rPr>
            </w:pPr>
            <w:r>
              <w:rPr>
                <w:rFonts w:ascii="Arial" w:cs="Arial" w:eastAsia="Arial" w:hAnsi="Arial"/>
                <w:sz w:val="16"/>
                <w:szCs w:val="16"/>
                <w:color w:val="auto"/>
              </w:rPr>
              <w:t>Cedro Hill</w:t>
            </w:r>
          </w:p>
        </w:tc>
        <w:tc>
          <w:tcPr>
            <w:tcW w:w="8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color w:val="auto"/>
              </w:rPr>
              <w:t>Webb County,</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150</w:t>
            </w:r>
          </w:p>
        </w:tc>
        <w:tc>
          <w:tcPr>
            <w:tcW w:w="740" w:type="dxa"/>
            <w:vAlign w:val="bottom"/>
            <w:gridSpan w:val="3"/>
            <w:vMerge w:val="restart"/>
          </w:tcPr>
          <w:p>
            <w:pPr>
              <w:jc w:val="right"/>
              <w:spacing w:after="0"/>
              <w:rPr>
                <w:sz w:val="20"/>
                <w:szCs w:val="20"/>
                <w:color w:val="auto"/>
              </w:rPr>
            </w:pPr>
            <w:r>
              <w:rPr>
                <w:rFonts w:ascii="Arial" w:cs="Arial" w:eastAsia="Arial" w:hAnsi="Arial"/>
                <w:sz w:val="16"/>
                <w:szCs w:val="16"/>
                <w:color w:val="auto"/>
              </w:rPr>
              <w:t>150</w:t>
            </w:r>
          </w:p>
        </w:tc>
        <w:tc>
          <w:tcPr>
            <w:tcW w:w="800" w:type="dxa"/>
            <w:vAlign w:val="bottom"/>
            <w:gridSpan w:val="2"/>
            <w:vMerge w:val="restart"/>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16"/>
                <w:szCs w:val="16"/>
                <w:color w:val="auto"/>
              </w:rPr>
            </w:pPr>
          </w:p>
        </w:tc>
        <w:tc>
          <w:tcPr>
            <w:tcW w:w="940" w:type="dxa"/>
            <w:vAlign w:val="bottom"/>
            <w:vMerge w:val="restart"/>
          </w:tcPr>
          <w:p>
            <w:pPr>
              <w:ind w:left="60"/>
              <w:spacing w:after="0"/>
              <w:rPr>
                <w:sz w:val="20"/>
                <w:szCs w:val="20"/>
                <w:color w:val="auto"/>
              </w:rPr>
            </w:pPr>
            <w:r>
              <w:rPr>
                <w:rFonts w:ascii="Arial" w:cs="Arial" w:eastAsia="Arial" w:hAnsi="Arial"/>
                <w:sz w:val="16"/>
                <w:szCs w:val="16"/>
                <w:color w:val="auto"/>
              </w:rPr>
              <w:t>Wind</w:t>
            </w:r>
          </w:p>
        </w:tc>
        <w:tc>
          <w:tcPr>
            <w:tcW w:w="80" w:type="dxa"/>
            <w:vAlign w:val="bottom"/>
          </w:tcPr>
          <w:p>
            <w:pPr>
              <w:spacing w:after="0"/>
              <w:rPr>
                <w:sz w:val="16"/>
                <w:szCs w:val="16"/>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6"/>
                <w:szCs w:val="16"/>
                <w:color w:val="auto"/>
              </w:rPr>
              <w:t>November 2010</w:t>
            </w:r>
          </w:p>
        </w:tc>
        <w:tc>
          <w:tcPr>
            <w:tcW w:w="1640" w:type="dxa"/>
            <w:vAlign w:val="bottom"/>
            <w:vMerge w:val="restart"/>
          </w:tcPr>
          <w:p>
            <w:pPr>
              <w:ind w:left="60"/>
              <w:spacing w:after="0"/>
              <w:rPr>
                <w:sz w:val="20"/>
                <w:szCs w:val="20"/>
                <w:color w:val="auto"/>
              </w:rPr>
            </w:pPr>
            <w:r>
              <w:rPr>
                <w:rFonts w:ascii="Arial" w:cs="Arial" w:eastAsia="Arial" w:hAnsi="Arial"/>
                <w:sz w:val="16"/>
                <w:szCs w:val="16"/>
                <w:color w:val="auto"/>
              </w:rPr>
              <w:t>CPS Energy</w:t>
            </w: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color w:val="auto"/>
              </w:rPr>
              <w:t>2030</w:t>
            </w:r>
          </w:p>
        </w:tc>
        <w:tc>
          <w:tcPr>
            <w:tcW w:w="0" w:type="dxa"/>
            <w:vAlign w:val="bottom"/>
          </w:tcPr>
          <w:p>
            <w:pPr>
              <w:spacing w:after="0"/>
              <w:rPr>
                <w:sz w:val="1"/>
                <w:szCs w:val="1"/>
                <w:color w:val="auto"/>
              </w:rPr>
            </w:pPr>
          </w:p>
        </w:tc>
      </w:tr>
      <w:tr>
        <w:trPr>
          <w:trHeight w:val="216"/>
        </w:trPr>
        <w:tc>
          <w:tcPr>
            <w:tcW w:w="1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color w:val="auto"/>
              </w:rPr>
              <w:t>TX</w:t>
            </w:r>
          </w:p>
        </w:tc>
        <w:tc>
          <w:tcPr>
            <w:tcW w:w="620" w:type="dxa"/>
            <w:vAlign w:val="bottom"/>
            <w:vMerge w:val="continue"/>
          </w:tcPr>
          <w:p>
            <w:pPr>
              <w:spacing w:after="0"/>
              <w:rPr>
                <w:sz w:val="18"/>
                <w:szCs w:val="18"/>
                <w:color w:val="auto"/>
              </w:rPr>
            </w:pPr>
          </w:p>
        </w:tc>
        <w:tc>
          <w:tcPr>
            <w:tcW w:w="740" w:type="dxa"/>
            <w:vAlign w:val="bottom"/>
            <w:gridSpan w:val="3"/>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640" w:type="dxa"/>
            <w:vAlign w:val="bottom"/>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640" w:type="dxa"/>
            <w:vAlign w:val="bottom"/>
            <w:vMerge w:val="restart"/>
            <w:shd w:val="clear" w:color="auto" w:fill="E6E6E6"/>
          </w:tcPr>
          <w:p>
            <w:pPr>
              <w:ind w:left="40"/>
              <w:spacing w:after="0"/>
              <w:rPr>
                <w:sz w:val="20"/>
                <w:szCs w:val="20"/>
                <w:color w:val="auto"/>
              </w:rPr>
            </w:pPr>
            <w:r>
              <w:rPr>
                <w:rFonts w:ascii="Arial" w:cs="Arial" w:eastAsia="Arial" w:hAnsi="Arial"/>
                <w:sz w:val="16"/>
                <w:szCs w:val="16"/>
                <w:color w:val="auto"/>
              </w:rPr>
              <w:t>Crofton Bluffs</w:t>
            </w:r>
          </w:p>
        </w:tc>
        <w:tc>
          <w:tcPr>
            <w:tcW w:w="80" w:type="dxa"/>
            <w:vAlign w:val="bottom"/>
            <w:shd w:val="clear" w:color="auto" w:fill="E6E6E6"/>
          </w:tcPr>
          <w:p>
            <w:pPr>
              <w:spacing w:after="0"/>
              <w:rPr>
                <w:sz w:val="17"/>
                <w:szCs w:val="17"/>
                <w:color w:val="auto"/>
              </w:rPr>
            </w:pPr>
          </w:p>
        </w:tc>
        <w:tc>
          <w:tcPr>
            <w:tcW w:w="1300" w:type="dxa"/>
            <w:vAlign w:val="bottom"/>
            <w:gridSpan w:val="2"/>
            <w:shd w:val="clear" w:color="auto" w:fill="E6E6E6"/>
          </w:tcPr>
          <w:p>
            <w:pPr>
              <w:ind w:left="40"/>
              <w:spacing w:after="0"/>
              <w:rPr>
                <w:sz w:val="20"/>
                <w:szCs w:val="20"/>
                <w:color w:val="auto"/>
              </w:rPr>
            </w:pPr>
            <w:r>
              <w:rPr>
                <w:rFonts w:ascii="Arial" w:cs="Arial" w:eastAsia="Arial" w:hAnsi="Arial"/>
                <w:sz w:val="16"/>
                <w:szCs w:val="16"/>
                <w:color w:val="auto"/>
              </w:rPr>
              <w:t>Knox County,</w:t>
            </w:r>
          </w:p>
        </w:tc>
        <w:tc>
          <w:tcPr>
            <w:tcW w:w="62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42</w:t>
            </w:r>
          </w:p>
        </w:tc>
        <w:tc>
          <w:tcPr>
            <w:tcW w:w="740" w:type="dxa"/>
            <w:vAlign w:val="bottom"/>
            <w:gridSpan w:val="3"/>
            <w:vMerge w:val="restart"/>
            <w:shd w:val="clear" w:color="auto" w:fill="E6E6E6"/>
          </w:tcPr>
          <w:p>
            <w:pPr>
              <w:jc w:val="right"/>
              <w:spacing w:after="0"/>
              <w:rPr>
                <w:sz w:val="20"/>
                <w:szCs w:val="20"/>
                <w:color w:val="auto"/>
              </w:rPr>
            </w:pPr>
            <w:r>
              <w:rPr>
                <w:rFonts w:ascii="Arial" w:cs="Arial" w:eastAsia="Arial" w:hAnsi="Arial"/>
                <w:sz w:val="16"/>
                <w:szCs w:val="16"/>
                <w:color w:val="auto"/>
              </w:rPr>
              <w:t>42</w:t>
            </w:r>
          </w:p>
        </w:tc>
        <w:tc>
          <w:tcPr>
            <w:tcW w:w="800" w:type="dxa"/>
            <w:vAlign w:val="bottom"/>
            <w:gridSpan w:val="2"/>
            <w:vMerge w:val="restart"/>
            <w:shd w:val="clear" w:color="auto" w:fill="E6E6E6"/>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E6E6E6"/>
          </w:tcPr>
          <w:p>
            <w:pPr>
              <w:spacing w:after="0"/>
              <w:rPr>
                <w:sz w:val="17"/>
                <w:szCs w:val="17"/>
                <w:color w:val="auto"/>
              </w:rPr>
            </w:pPr>
          </w:p>
        </w:tc>
        <w:tc>
          <w:tcPr>
            <w:tcW w:w="940" w:type="dxa"/>
            <w:vAlign w:val="bottom"/>
            <w:vMerge w:val="restart"/>
            <w:shd w:val="clear" w:color="auto" w:fill="E6E6E6"/>
          </w:tcPr>
          <w:p>
            <w:pPr>
              <w:ind w:left="60"/>
              <w:spacing w:after="0"/>
              <w:rPr>
                <w:sz w:val="20"/>
                <w:szCs w:val="20"/>
                <w:color w:val="auto"/>
              </w:rPr>
            </w:pPr>
            <w:r>
              <w:rPr>
                <w:rFonts w:ascii="Arial" w:cs="Arial" w:eastAsia="Arial" w:hAnsi="Arial"/>
                <w:sz w:val="16"/>
                <w:szCs w:val="16"/>
                <w:color w:val="auto"/>
              </w:rPr>
              <w:t>Wind</w:t>
            </w:r>
          </w:p>
        </w:tc>
        <w:tc>
          <w:tcPr>
            <w:tcW w:w="80" w:type="dxa"/>
            <w:vAlign w:val="bottom"/>
            <w:shd w:val="clear" w:color="auto" w:fill="E6E6E6"/>
          </w:tcPr>
          <w:p>
            <w:pPr>
              <w:spacing w:after="0"/>
              <w:rPr>
                <w:sz w:val="17"/>
                <w:szCs w:val="17"/>
                <w:color w:val="auto"/>
              </w:rPr>
            </w:pPr>
          </w:p>
        </w:tc>
        <w:tc>
          <w:tcPr>
            <w:tcW w:w="1260" w:type="dxa"/>
            <w:vAlign w:val="bottom"/>
            <w:gridSpan w:val="2"/>
            <w:vMerge w:val="restart"/>
            <w:shd w:val="clear" w:color="auto" w:fill="E6E6E6"/>
          </w:tcPr>
          <w:p>
            <w:pPr>
              <w:ind w:left="60"/>
              <w:spacing w:after="0"/>
              <w:rPr>
                <w:sz w:val="20"/>
                <w:szCs w:val="20"/>
                <w:color w:val="auto"/>
              </w:rPr>
            </w:pPr>
            <w:r>
              <w:rPr>
                <w:rFonts w:ascii="Arial" w:cs="Arial" w:eastAsia="Arial" w:hAnsi="Arial"/>
                <w:sz w:val="16"/>
                <w:szCs w:val="16"/>
                <w:color w:val="auto"/>
              </w:rPr>
              <w:t>November 2012</w:t>
            </w:r>
          </w:p>
        </w:tc>
        <w:tc>
          <w:tcPr>
            <w:tcW w:w="1640" w:type="dxa"/>
            <w:vAlign w:val="bottom"/>
            <w:shd w:val="clear" w:color="auto" w:fill="E6E6E6"/>
          </w:tcPr>
          <w:p>
            <w:pPr>
              <w:ind w:left="60"/>
              <w:spacing w:after="0"/>
              <w:rPr>
                <w:sz w:val="20"/>
                <w:szCs w:val="20"/>
                <w:color w:val="auto"/>
              </w:rPr>
            </w:pPr>
            <w:r>
              <w:rPr>
                <w:rFonts w:ascii="Arial" w:cs="Arial" w:eastAsia="Arial" w:hAnsi="Arial"/>
                <w:sz w:val="16"/>
                <w:szCs w:val="16"/>
                <w:color w:val="auto"/>
                <w:w w:val="93"/>
              </w:rPr>
              <w:t>Nebraska Public Power</w:t>
            </w:r>
          </w:p>
        </w:tc>
        <w:tc>
          <w:tcPr>
            <w:tcW w:w="1020" w:type="dxa"/>
            <w:vAlign w:val="bottom"/>
            <w:gridSpan w:val="2"/>
            <w:vMerge w:val="restart"/>
            <w:shd w:val="clear" w:color="auto" w:fill="E6E6E6"/>
          </w:tcPr>
          <w:p>
            <w:pPr>
              <w:jc w:val="right"/>
              <w:spacing w:after="0"/>
              <w:rPr>
                <w:sz w:val="20"/>
                <w:szCs w:val="20"/>
                <w:color w:val="auto"/>
              </w:rPr>
            </w:pPr>
            <w:r>
              <w:rPr>
                <w:rFonts w:ascii="Arial" w:cs="Arial" w:eastAsia="Arial" w:hAnsi="Arial"/>
                <w:sz w:val="16"/>
                <w:szCs w:val="16"/>
                <w:color w:val="auto"/>
              </w:rPr>
              <w:t>2032</w:t>
            </w:r>
          </w:p>
        </w:tc>
        <w:tc>
          <w:tcPr>
            <w:tcW w:w="0" w:type="dxa"/>
            <w:vAlign w:val="bottom"/>
          </w:tcPr>
          <w:p>
            <w:pPr>
              <w:spacing w:after="0"/>
              <w:rPr>
                <w:sz w:val="1"/>
                <w:szCs w:val="1"/>
                <w:color w:val="auto"/>
              </w:rPr>
            </w:pPr>
          </w:p>
        </w:tc>
      </w:tr>
      <w:tr>
        <w:trPr>
          <w:trHeight w:val="223"/>
        </w:trPr>
        <w:tc>
          <w:tcPr>
            <w:tcW w:w="1640" w:type="dxa"/>
            <w:vAlign w:val="bottom"/>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300" w:type="dxa"/>
            <w:vAlign w:val="bottom"/>
            <w:gridSpan w:val="2"/>
            <w:shd w:val="clear" w:color="auto" w:fill="E6E6E6"/>
          </w:tcPr>
          <w:p>
            <w:pPr>
              <w:ind w:left="40"/>
              <w:spacing w:after="0"/>
              <w:rPr>
                <w:sz w:val="20"/>
                <w:szCs w:val="20"/>
                <w:color w:val="auto"/>
              </w:rPr>
            </w:pPr>
            <w:r>
              <w:rPr>
                <w:rFonts w:ascii="Arial" w:cs="Arial" w:eastAsia="Arial" w:hAnsi="Arial"/>
                <w:sz w:val="16"/>
                <w:szCs w:val="16"/>
                <w:color w:val="auto"/>
              </w:rPr>
              <w:t>NE</w:t>
            </w:r>
          </w:p>
        </w:tc>
        <w:tc>
          <w:tcPr>
            <w:tcW w:w="620" w:type="dxa"/>
            <w:vAlign w:val="bottom"/>
            <w:vMerge w:val="continue"/>
            <w:shd w:val="clear" w:color="auto" w:fill="E6E6E6"/>
          </w:tcPr>
          <w:p>
            <w:pPr>
              <w:spacing w:after="0"/>
              <w:rPr>
                <w:sz w:val="19"/>
                <w:szCs w:val="19"/>
                <w:color w:val="auto"/>
              </w:rPr>
            </w:pPr>
          </w:p>
        </w:tc>
        <w:tc>
          <w:tcPr>
            <w:tcW w:w="740" w:type="dxa"/>
            <w:vAlign w:val="bottom"/>
            <w:gridSpan w:val="3"/>
            <w:vMerge w:val="continue"/>
            <w:shd w:val="clear" w:color="auto" w:fill="E6E6E6"/>
          </w:tcPr>
          <w:p>
            <w:pPr>
              <w:spacing w:after="0"/>
              <w:rPr>
                <w:sz w:val="19"/>
                <w:szCs w:val="19"/>
                <w:color w:val="auto"/>
              </w:rPr>
            </w:pPr>
          </w:p>
        </w:tc>
        <w:tc>
          <w:tcPr>
            <w:tcW w:w="800" w:type="dxa"/>
            <w:vAlign w:val="bottom"/>
            <w:gridSpan w:val="2"/>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940" w:type="dxa"/>
            <w:vAlign w:val="bottom"/>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260" w:type="dxa"/>
            <w:vAlign w:val="bottom"/>
            <w:gridSpan w:val="2"/>
            <w:vMerge w:val="continue"/>
            <w:shd w:val="clear" w:color="auto" w:fill="E6E6E6"/>
          </w:tcPr>
          <w:p>
            <w:pPr>
              <w:spacing w:after="0"/>
              <w:rPr>
                <w:sz w:val="19"/>
                <w:szCs w:val="19"/>
                <w:color w:val="auto"/>
              </w:rPr>
            </w:pPr>
          </w:p>
        </w:tc>
        <w:tc>
          <w:tcPr>
            <w:tcW w:w="1640" w:type="dxa"/>
            <w:vAlign w:val="bottom"/>
            <w:shd w:val="clear" w:color="auto" w:fill="E6E6E6"/>
          </w:tcPr>
          <w:p>
            <w:pPr>
              <w:ind w:left="60"/>
              <w:spacing w:after="0"/>
              <w:rPr>
                <w:sz w:val="20"/>
                <w:szCs w:val="20"/>
                <w:color w:val="auto"/>
              </w:rPr>
            </w:pPr>
            <w:r>
              <w:rPr>
                <w:rFonts w:ascii="Arial" w:cs="Arial" w:eastAsia="Arial" w:hAnsi="Arial"/>
                <w:sz w:val="16"/>
                <w:szCs w:val="16"/>
                <w:color w:val="auto"/>
              </w:rPr>
              <w:t>District</w:t>
            </w:r>
          </w:p>
        </w:tc>
        <w:tc>
          <w:tcPr>
            <w:tcW w:w="1020" w:type="dxa"/>
            <w:vAlign w:val="bottom"/>
            <w:gridSpan w:val="2"/>
            <w:vMerge w:val="continue"/>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640" w:type="dxa"/>
            <w:vAlign w:val="bottom"/>
            <w:vMerge w:val="restart"/>
          </w:tcPr>
          <w:p>
            <w:pPr>
              <w:ind w:left="40"/>
              <w:spacing w:after="0"/>
              <w:rPr>
                <w:sz w:val="20"/>
                <w:szCs w:val="20"/>
                <w:color w:val="auto"/>
              </w:rPr>
            </w:pPr>
            <w:r>
              <w:rPr>
                <w:rFonts w:ascii="Arial" w:cs="Arial" w:eastAsia="Arial" w:hAnsi="Arial"/>
                <w:sz w:val="16"/>
                <w:szCs w:val="16"/>
                <w:color w:val="auto"/>
              </w:rPr>
              <w:t xml:space="preserve">Elbow Creek </w:t>
            </w:r>
            <w:r>
              <w:rPr>
                <w:rFonts w:ascii="Arial" w:cs="Arial" w:eastAsia="Arial" w:hAnsi="Arial"/>
                <w:sz w:val="20"/>
                <w:szCs w:val="20"/>
                <w:color w:val="auto"/>
                <w:vertAlign w:val="superscript"/>
              </w:rPr>
              <w:t>(b)</w:t>
            </w:r>
          </w:p>
        </w:tc>
        <w:tc>
          <w:tcPr>
            <w:tcW w:w="8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color w:val="auto"/>
              </w:rPr>
              <w:t>Howard County,</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122</w:t>
            </w:r>
          </w:p>
        </w:tc>
        <w:tc>
          <w:tcPr>
            <w:tcW w:w="740" w:type="dxa"/>
            <w:vAlign w:val="bottom"/>
            <w:gridSpan w:val="3"/>
            <w:vMerge w:val="restart"/>
          </w:tcPr>
          <w:p>
            <w:pPr>
              <w:jc w:val="right"/>
              <w:spacing w:after="0"/>
              <w:rPr>
                <w:sz w:val="20"/>
                <w:szCs w:val="20"/>
                <w:color w:val="auto"/>
              </w:rPr>
            </w:pPr>
            <w:r>
              <w:rPr>
                <w:rFonts w:ascii="Arial" w:cs="Arial" w:eastAsia="Arial" w:hAnsi="Arial"/>
                <w:sz w:val="16"/>
                <w:szCs w:val="16"/>
                <w:color w:val="auto"/>
              </w:rPr>
              <w:t>122</w:t>
            </w:r>
          </w:p>
        </w:tc>
        <w:tc>
          <w:tcPr>
            <w:tcW w:w="800" w:type="dxa"/>
            <w:vAlign w:val="bottom"/>
            <w:gridSpan w:val="2"/>
            <w:vMerge w:val="restart"/>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16"/>
                <w:szCs w:val="16"/>
                <w:color w:val="auto"/>
              </w:rPr>
            </w:pPr>
          </w:p>
        </w:tc>
        <w:tc>
          <w:tcPr>
            <w:tcW w:w="940" w:type="dxa"/>
            <w:vAlign w:val="bottom"/>
            <w:vMerge w:val="restart"/>
          </w:tcPr>
          <w:p>
            <w:pPr>
              <w:ind w:left="60"/>
              <w:spacing w:after="0"/>
              <w:rPr>
                <w:sz w:val="20"/>
                <w:szCs w:val="20"/>
                <w:color w:val="auto"/>
              </w:rPr>
            </w:pPr>
            <w:r>
              <w:rPr>
                <w:rFonts w:ascii="Arial" w:cs="Arial" w:eastAsia="Arial" w:hAnsi="Arial"/>
                <w:sz w:val="16"/>
                <w:szCs w:val="16"/>
                <w:color w:val="auto"/>
              </w:rPr>
              <w:t>Wind</w:t>
            </w:r>
          </w:p>
        </w:tc>
        <w:tc>
          <w:tcPr>
            <w:tcW w:w="80" w:type="dxa"/>
            <w:vAlign w:val="bottom"/>
          </w:tcPr>
          <w:p>
            <w:pPr>
              <w:spacing w:after="0"/>
              <w:rPr>
                <w:sz w:val="16"/>
                <w:szCs w:val="16"/>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6"/>
                <w:szCs w:val="16"/>
                <w:color w:val="auto"/>
              </w:rPr>
              <w:t>November 2019</w:t>
            </w:r>
          </w:p>
        </w:tc>
        <w:tc>
          <w:tcPr>
            <w:tcW w:w="1640" w:type="dxa"/>
            <w:vAlign w:val="bottom"/>
            <w:vMerge w:val="restart"/>
          </w:tcPr>
          <w:p>
            <w:pPr>
              <w:ind w:left="60"/>
              <w:spacing w:after="0"/>
              <w:rPr>
                <w:sz w:val="20"/>
                <w:szCs w:val="20"/>
                <w:color w:val="auto"/>
              </w:rPr>
            </w:pPr>
            <w:r>
              <w:rPr>
                <w:rFonts w:ascii="Arial" w:cs="Arial" w:eastAsia="Arial" w:hAnsi="Arial"/>
                <w:sz w:val="16"/>
                <w:szCs w:val="16"/>
                <w:color w:val="auto"/>
              </w:rPr>
              <w:t>Various</w:t>
            </w: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color w:val="auto"/>
              </w:rPr>
              <w:t>2029</w:t>
            </w:r>
          </w:p>
        </w:tc>
        <w:tc>
          <w:tcPr>
            <w:tcW w:w="0" w:type="dxa"/>
            <w:vAlign w:val="bottom"/>
          </w:tcPr>
          <w:p>
            <w:pPr>
              <w:spacing w:after="0"/>
              <w:rPr>
                <w:sz w:val="1"/>
                <w:szCs w:val="1"/>
                <w:color w:val="auto"/>
              </w:rPr>
            </w:pPr>
          </w:p>
        </w:tc>
      </w:tr>
      <w:tr>
        <w:trPr>
          <w:trHeight w:val="223"/>
        </w:trPr>
        <w:tc>
          <w:tcPr>
            <w:tcW w:w="1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color w:val="auto"/>
              </w:rPr>
              <w:t>TX</w:t>
            </w:r>
          </w:p>
        </w:tc>
        <w:tc>
          <w:tcPr>
            <w:tcW w:w="620" w:type="dxa"/>
            <w:vAlign w:val="bottom"/>
            <w:vMerge w:val="continue"/>
          </w:tcPr>
          <w:p>
            <w:pPr>
              <w:spacing w:after="0"/>
              <w:rPr>
                <w:sz w:val="19"/>
                <w:szCs w:val="19"/>
                <w:color w:val="auto"/>
              </w:rPr>
            </w:pPr>
          </w:p>
        </w:tc>
        <w:tc>
          <w:tcPr>
            <w:tcW w:w="740" w:type="dxa"/>
            <w:vAlign w:val="bottom"/>
            <w:gridSpan w:val="3"/>
            <w:vMerge w:val="continue"/>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640" w:type="dxa"/>
            <w:vAlign w:val="bottom"/>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640" w:type="dxa"/>
            <w:vAlign w:val="bottom"/>
            <w:vMerge w:val="restart"/>
            <w:shd w:val="clear" w:color="auto" w:fill="E6E6E6"/>
          </w:tcPr>
          <w:p>
            <w:pPr>
              <w:ind w:left="40"/>
              <w:spacing w:after="0"/>
              <w:rPr>
                <w:sz w:val="20"/>
                <w:szCs w:val="20"/>
                <w:color w:val="auto"/>
              </w:rPr>
            </w:pPr>
            <w:r>
              <w:rPr>
                <w:rFonts w:ascii="Arial" w:cs="Arial" w:eastAsia="Arial" w:hAnsi="Arial"/>
                <w:sz w:val="16"/>
                <w:szCs w:val="16"/>
                <w:color w:val="auto"/>
              </w:rPr>
              <w:t>Elkhorn Ridge</w:t>
            </w:r>
          </w:p>
        </w:tc>
        <w:tc>
          <w:tcPr>
            <w:tcW w:w="80" w:type="dxa"/>
            <w:vAlign w:val="bottom"/>
            <w:shd w:val="clear" w:color="auto" w:fill="E6E6E6"/>
          </w:tcPr>
          <w:p>
            <w:pPr>
              <w:spacing w:after="0"/>
              <w:rPr>
                <w:sz w:val="16"/>
                <w:szCs w:val="16"/>
                <w:color w:val="auto"/>
              </w:rPr>
            </w:pPr>
          </w:p>
        </w:tc>
        <w:tc>
          <w:tcPr>
            <w:tcW w:w="1300" w:type="dxa"/>
            <w:vAlign w:val="bottom"/>
            <w:gridSpan w:val="2"/>
            <w:vMerge w:val="restart"/>
            <w:shd w:val="clear" w:color="auto" w:fill="E6E6E6"/>
          </w:tcPr>
          <w:p>
            <w:pPr>
              <w:ind w:left="40"/>
              <w:spacing w:after="0"/>
              <w:rPr>
                <w:sz w:val="20"/>
                <w:szCs w:val="20"/>
                <w:color w:val="auto"/>
              </w:rPr>
            </w:pPr>
            <w:r>
              <w:rPr>
                <w:rFonts w:ascii="Arial" w:cs="Arial" w:eastAsia="Arial" w:hAnsi="Arial"/>
                <w:sz w:val="16"/>
                <w:szCs w:val="16"/>
                <w:color w:val="auto"/>
              </w:rPr>
              <w:t>Bloomfield, NE</w:t>
            </w:r>
          </w:p>
        </w:tc>
        <w:tc>
          <w:tcPr>
            <w:tcW w:w="62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81</w:t>
            </w:r>
          </w:p>
        </w:tc>
        <w:tc>
          <w:tcPr>
            <w:tcW w:w="740" w:type="dxa"/>
            <w:vAlign w:val="bottom"/>
            <w:gridSpan w:val="3"/>
            <w:vMerge w:val="restart"/>
            <w:shd w:val="clear" w:color="auto" w:fill="E6E6E6"/>
          </w:tcPr>
          <w:p>
            <w:pPr>
              <w:jc w:val="right"/>
              <w:spacing w:after="0"/>
              <w:rPr>
                <w:sz w:val="20"/>
                <w:szCs w:val="20"/>
                <w:color w:val="auto"/>
              </w:rPr>
            </w:pPr>
            <w:r>
              <w:rPr>
                <w:rFonts w:ascii="Arial" w:cs="Arial" w:eastAsia="Arial" w:hAnsi="Arial"/>
                <w:sz w:val="16"/>
                <w:szCs w:val="16"/>
                <w:color w:val="auto"/>
              </w:rPr>
              <w:t>54</w:t>
            </w:r>
          </w:p>
        </w:tc>
        <w:tc>
          <w:tcPr>
            <w:tcW w:w="800" w:type="dxa"/>
            <w:vAlign w:val="bottom"/>
            <w:gridSpan w:val="2"/>
            <w:vMerge w:val="restart"/>
            <w:shd w:val="clear" w:color="auto" w:fill="E6E6E6"/>
          </w:tcPr>
          <w:p>
            <w:pPr>
              <w:jc w:val="right"/>
              <w:spacing w:after="0"/>
              <w:rPr>
                <w:sz w:val="20"/>
                <w:szCs w:val="20"/>
                <w:color w:val="auto"/>
              </w:rPr>
            </w:pPr>
            <w:r>
              <w:rPr>
                <w:rFonts w:ascii="Arial" w:cs="Arial" w:eastAsia="Arial" w:hAnsi="Arial"/>
                <w:sz w:val="16"/>
                <w:szCs w:val="16"/>
                <w:color w:val="auto"/>
              </w:rPr>
              <w:t>66.7 %</w:t>
            </w:r>
          </w:p>
        </w:tc>
        <w:tc>
          <w:tcPr>
            <w:tcW w:w="80" w:type="dxa"/>
            <w:vAlign w:val="bottom"/>
            <w:shd w:val="clear" w:color="auto" w:fill="E6E6E6"/>
          </w:tcPr>
          <w:p>
            <w:pPr>
              <w:spacing w:after="0"/>
              <w:rPr>
                <w:sz w:val="16"/>
                <w:szCs w:val="16"/>
                <w:color w:val="auto"/>
              </w:rPr>
            </w:pPr>
          </w:p>
        </w:tc>
        <w:tc>
          <w:tcPr>
            <w:tcW w:w="940" w:type="dxa"/>
            <w:vAlign w:val="bottom"/>
            <w:vMerge w:val="restart"/>
            <w:shd w:val="clear" w:color="auto" w:fill="E6E6E6"/>
          </w:tcPr>
          <w:p>
            <w:pPr>
              <w:ind w:left="60"/>
              <w:spacing w:after="0"/>
              <w:rPr>
                <w:sz w:val="20"/>
                <w:szCs w:val="20"/>
                <w:color w:val="auto"/>
              </w:rPr>
            </w:pPr>
            <w:r>
              <w:rPr>
                <w:rFonts w:ascii="Arial" w:cs="Arial" w:eastAsia="Arial" w:hAnsi="Arial"/>
                <w:sz w:val="16"/>
                <w:szCs w:val="16"/>
                <w:color w:val="auto"/>
              </w:rPr>
              <w:t>Wind</w:t>
            </w:r>
          </w:p>
        </w:tc>
        <w:tc>
          <w:tcPr>
            <w:tcW w:w="80" w:type="dxa"/>
            <w:vAlign w:val="bottom"/>
            <w:shd w:val="clear" w:color="auto" w:fill="E6E6E6"/>
          </w:tcPr>
          <w:p>
            <w:pPr>
              <w:spacing w:after="0"/>
              <w:rPr>
                <w:sz w:val="16"/>
                <w:szCs w:val="16"/>
                <w:color w:val="auto"/>
              </w:rPr>
            </w:pPr>
          </w:p>
        </w:tc>
        <w:tc>
          <w:tcPr>
            <w:tcW w:w="1260" w:type="dxa"/>
            <w:vAlign w:val="bottom"/>
            <w:gridSpan w:val="2"/>
            <w:vMerge w:val="restart"/>
            <w:shd w:val="clear" w:color="auto" w:fill="E6E6E6"/>
          </w:tcPr>
          <w:p>
            <w:pPr>
              <w:ind w:left="60"/>
              <w:spacing w:after="0"/>
              <w:rPr>
                <w:sz w:val="20"/>
                <w:szCs w:val="20"/>
                <w:color w:val="auto"/>
              </w:rPr>
            </w:pPr>
            <w:r>
              <w:rPr>
                <w:rFonts w:ascii="Arial" w:cs="Arial" w:eastAsia="Arial" w:hAnsi="Arial"/>
                <w:sz w:val="16"/>
                <w:szCs w:val="16"/>
                <w:color w:val="auto"/>
              </w:rPr>
              <w:t>March 2009</w:t>
            </w:r>
          </w:p>
        </w:tc>
        <w:tc>
          <w:tcPr>
            <w:tcW w:w="1640" w:type="dxa"/>
            <w:vAlign w:val="bottom"/>
            <w:shd w:val="clear" w:color="auto" w:fill="E6E6E6"/>
          </w:tcPr>
          <w:p>
            <w:pPr>
              <w:ind w:left="60"/>
              <w:spacing w:after="0"/>
              <w:rPr>
                <w:sz w:val="20"/>
                <w:szCs w:val="20"/>
                <w:color w:val="auto"/>
              </w:rPr>
            </w:pPr>
            <w:r>
              <w:rPr>
                <w:rFonts w:ascii="Arial" w:cs="Arial" w:eastAsia="Arial" w:hAnsi="Arial"/>
                <w:sz w:val="16"/>
                <w:szCs w:val="16"/>
                <w:color w:val="auto"/>
                <w:w w:val="93"/>
              </w:rPr>
              <w:t>Nebraska Public Power</w:t>
            </w:r>
          </w:p>
        </w:tc>
        <w:tc>
          <w:tcPr>
            <w:tcW w:w="1020" w:type="dxa"/>
            <w:vAlign w:val="bottom"/>
            <w:gridSpan w:val="2"/>
            <w:vMerge w:val="restart"/>
            <w:shd w:val="clear" w:color="auto" w:fill="E6E6E6"/>
          </w:tcPr>
          <w:p>
            <w:pPr>
              <w:jc w:val="right"/>
              <w:spacing w:after="0"/>
              <w:rPr>
                <w:sz w:val="20"/>
                <w:szCs w:val="20"/>
                <w:color w:val="auto"/>
              </w:rPr>
            </w:pPr>
            <w:r>
              <w:rPr>
                <w:rFonts w:ascii="Arial" w:cs="Arial" w:eastAsia="Arial" w:hAnsi="Arial"/>
                <w:sz w:val="16"/>
                <w:szCs w:val="16"/>
                <w:color w:val="auto"/>
              </w:rPr>
              <w:t>2029</w:t>
            </w:r>
          </w:p>
        </w:tc>
        <w:tc>
          <w:tcPr>
            <w:tcW w:w="0" w:type="dxa"/>
            <w:vAlign w:val="bottom"/>
          </w:tcPr>
          <w:p>
            <w:pPr>
              <w:spacing w:after="0"/>
              <w:rPr>
                <w:sz w:val="1"/>
                <w:szCs w:val="1"/>
                <w:color w:val="auto"/>
              </w:rPr>
            </w:pPr>
          </w:p>
        </w:tc>
      </w:tr>
      <w:tr>
        <w:trPr>
          <w:trHeight w:val="223"/>
        </w:trPr>
        <w:tc>
          <w:tcPr>
            <w:tcW w:w="1640" w:type="dxa"/>
            <w:vAlign w:val="bottom"/>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300" w:type="dxa"/>
            <w:vAlign w:val="bottom"/>
            <w:gridSpan w:val="2"/>
            <w:vMerge w:val="continue"/>
            <w:shd w:val="clear" w:color="auto" w:fill="E6E6E6"/>
          </w:tcPr>
          <w:p>
            <w:pPr>
              <w:spacing w:after="0"/>
              <w:rPr>
                <w:sz w:val="19"/>
                <w:szCs w:val="19"/>
                <w:color w:val="auto"/>
              </w:rPr>
            </w:pPr>
          </w:p>
        </w:tc>
        <w:tc>
          <w:tcPr>
            <w:tcW w:w="620" w:type="dxa"/>
            <w:vAlign w:val="bottom"/>
            <w:vMerge w:val="continue"/>
            <w:shd w:val="clear" w:color="auto" w:fill="E6E6E6"/>
          </w:tcPr>
          <w:p>
            <w:pPr>
              <w:spacing w:after="0"/>
              <w:rPr>
                <w:sz w:val="19"/>
                <w:szCs w:val="19"/>
                <w:color w:val="auto"/>
              </w:rPr>
            </w:pPr>
          </w:p>
        </w:tc>
        <w:tc>
          <w:tcPr>
            <w:tcW w:w="740" w:type="dxa"/>
            <w:vAlign w:val="bottom"/>
            <w:gridSpan w:val="3"/>
            <w:vMerge w:val="continue"/>
            <w:shd w:val="clear" w:color="auto" w:fill="E6E6E6"/>
          </w:tcPr>
          <w:p>
            <w:pPr>
              <w:spacing w:after="0"/>
              <w:rPr>
                <w:sz w:val="19"/>
                <w:szCs w:val="19"/>
                <w:color w:val="auto"/>
              </w:rPr>
            </w:pPr>
          </w:p>
        </w:tc>
        <w:tc>
          <w:tcPr>
            <w:tcW w:w="800" w:type="dxa"/>
            <w:vAlign w:val="bottom"/>
            <w:gridSpan w:val="2"/>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940" w:type="dxa"/>
            <w:vAlign w:val="bottom"/>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260" w:type="dxa"/>
            <w:vAlign w:val="bottom"/>
            <w:gridSpan w:val="2"/>
            <w:vMerge w:val="continue"/>
            <w:shd w:val="clear" w:color="auto" w:fill="E6E6E6"/>
          </w:tcPr>
          <w:p>
            <w:pPr>
              <w:spacing w:after="0"/>
              <w:rPr>
                <w:sz w:val="19"/>
                <w:szCs w:val="19"/>
                <w:color w:val="auto"/>
              </w:rPr>
            </w:pPr>
          </w:p>
        </w:tc>
        <w:tc>
          <w:tcPr>
            <w:tcW w:w="1640" w:type="dxa"/>
            <w:vAlign w:val="bottom"/>
            <w:shd w:val="clear" w:color="auto" w:fill="E6E6E6"/>
          </w:tcPr>
          <w:p>
            <w:pPr>
              <w:ind w:left="60"/>
              <w:spacing w:after="0"/>
              <w:rPr>
                <w:sz w:val="20"/>
                <w:szCs w:val="20"/>
                <w:color w:val="auto"/>
              </w:rPr>
            </w:pPr>
            <w:r>
              <w:rPr>
                <w:rFonts w:ascii="Arial" w:cs="Arial" w:eastAsia="Arial" w:hAnsi="Arial"/>
                <w:sz w:val="16"/>
                <w:szCs w:val="16"/>
                <w:color w:val="auto"/>
              </w:rPr>
              <w:t>District</w:t>
            </w:r>
          </w:p>
        </w:tc>
        <w:tc>
          <w:tcPr>
            <w:tcW w:w="1020" w:type="dxa"/>
            <w:vAlign w:val="bottom"/>
            <w:gridSpan w:val="2"/>
            <w:vMerge w:val="continue"/>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640" w:type="dxa"/>
            <w:vAlign w:val="bottom"/>
            <w:vMerge w:val="restart"/>
          </w:tcPr>
          <w:p>
            <w:pPr>
              <w:ind w:left="40"/>
              <w:spacing w:after="0"/>
              <w:rPr>
                <w:sz w:val="20"/>
                <w:szCs w:val="20"/>
                <w:color w:val="auto"/>
              </w:rPr>
            </w:pPr>
            <w:r>
              <w:rPr>
                <w:rFonts w:ascii="Arial" w:cs="Arial" w:eastAsia="Arial" w:hAnsi="Arial"/>
                <w:sz w:val="16"/>
                <w:szCs w:val="16"/>
                <w:color w:val="auto"/>
              </w:rPr>
              <w:t>Forward</w:t>
            </w:r>
          </w:p>
        </w:tc>
        <w:tc>
          <w:tcPr>
            <w:tcW w:w="80" w:type="dxa"/>
            <w:vAlign w:val="bottom"/>
          </w:tcPr>
          <w:p>
            <w:pPr>
              <w:spacing w:after="0"/>
              <w:rPr>
                <w:sz w:val="16"/>
                <w:szCs w:val="16"/>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6"/>
                <w:szCs w:val="16"/>
                <w:color w:val="auto"/>
              </w:rPr>
              <w:t>Berlin, PA</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29</w:t>
            </w:r>
          </w:p>
        </w:tc>
        <w:tc>
          <w:tcPr>
            <w:tcW w:w="740" w:type="dxa"/>
            <w:vAlign w:val="bottom"/>
            <w:gridSpan w:val="3"/>
            <w:vMerge w:val="restart"/>
          </w:tcPr>
          <w:p>
            <w:pPr>
              <w:jc w:val="right"/>
              <w:spacing w:after="0"/>
              <w:rPr>
                <w:sz w:val="20"/>
                <w:szCs w:val="20"/>
                <w:color w:val="auto"/>
              </w:rPr>
            </w:pPr>
            <w:r>
              <w:rPr>
                <w:rFonts w:ascii="Arial" w:cs="Arial" w:eastAsia="Arial" w:hAnsi="Arial"/>
                <w:sz w:val="16"/>
                <w:szCs w:val="16"/>
                <w:color w:val="auto"/>
              </w:rPr>
              <w:t>29</w:t>
            </w:r>
          </w:p>
        </w:tc>
        <w:tc>
          <w:tcPr>
            <w:tcW w:w="800" w:type="dxa"/>
            <w:vAlign w:val="bottom"/>
            <w:gridSpan w:val="2"/>
            <w:vMerge w:val="restart"/>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16"/>
                <w:szCs w:val="16"/>
                <w:color w:val="auto"/>
              </w:rPr>
            </w:pPr>
          </w:p>
        </w:tc>
        <w:tc>
          <w:tcPr>
            <w:tcW w:w="940" w:type="dxa"/>
            <w:vAlign w:val="bottom"/>
            <w:vMerge w:val="restart"/>
          </w:tcPr>
          <w:p>
            <w:pPr>
              <w:ind w:left="60"/>
              <w:spacing w:after="0"/>
              <w:rPr>
                <w:sz w:val="20"/>
                <w:szCs w:val="20"/>
                <w:color w:val="auto"/>
              </w:rPr>
            </w:pPr>
            <w:r>
              <w:rPr>
                <w:rFonts w:ascii="Arial" w:cs="Arial" w:eastAsia="Arial" w:hAnsi="Arial"/>
                <w:sz w:val="16"/>
                <w:szCs w:val="16"/>
                <w:color w:val="auto"/>
              </w:rPr>
              <w:t>Wind</w:t>
            </w:r>
          </w:p>
        </w:tc>
        <w:tc>
          <w:tcPr>
            <w:tcW w:w="80" w:type="dxa"/>
            <w:vAlign w:val="bottom"/>
          </w:tcPr>
          <w:p>
            <w:pPr>
              <w:spacing w:after="0"/>
              <w:rPr>
                <w:sz w:val="16"/>
                <w:szCs w:val="16"/>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6"/>
                <w:szCs w:val="16"/>
                <w:color w:val="auto"/>
              </w:rPr>
              <w:t>April 2008</w:t>
            </w:r>
          </w:p>
        </w:tc>
        <w:tc>
          <w:tcPr>
            <w:tcW w:w="1640" w:type="dxa"/>
            <w:vAlign w:val="bottom"/>
          </w:tcPr>
          <w:p>
            <w:pPr>
              <w:ind w:left="60"/>
              <w:spacing w:after="0"/>
              <w:rPr>
                <w:sz w:val="20"/>
                <w:szCs w:val="20"/>
                <w:color w:val="auto"/>
              </w:rPr>
            </w:pPr>
            <w:r>
              <w:rPr>
                <w:rFonts w:ascii="Arial" w:cs="Arial" w:eastAsia="Arial" w:hAnsi="Arial"/>
                <w:sz w:val="16"/>
                <w:szCs w:val="16"/>
                <w:color w:val="auto"/>
              </w:rPr>
              <w:t>Constellation</w:t>
            </w: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color w:val="auto"/>
              </w:rPr>
              <w:t>2025</w:t>
            </w:r>
          </w:p>
        </w:tc>
        <w:tc>
          <w:tcPr>
            <w:tcW w:w="0" w:type="dxa"/>
            <w:vAlign w:val="bottom"/>
          </w:tcPr>
          <w:p>
            <w:pPr>
              <w:spacing w:after="0"/>
              <w:rPr>
                <w:sz w:val="1"/>
                <w:szCs w:val="1"/>
                <w:color w:val="auto"/>
              </w:rPr>
            </w:pPr>
          </w:p>
        </w:tc>
      </w:tr>
      <w:tr>
        <w:trPr>
          <w:trHeight w:val="216"/>
        </w:trPr>
        <w:tc>
          <w:tcPr>
            <w:tcW w:w="1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740" w:type="dxa"/>
            <w:vAlign w:val="bottom"/>
            <w:gridSpan w:val="3"/>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640" w:type="dxa"/>
            <w:vAlign w:val="bottom"/>
          </w:tcPr>
          <w:p>
            <w:pPr>
              <w:ind w:left="60"/>
              <w:spacing w:after="0"/>
              <w:rPr>
                <w:sz w:val="20"/>
                <w:szCs w:val="20"/>
                <w:color w:val="auto"/>
              </w:rPr>
            </w:pPr>
            <w:r>
              <w:rPr>
                <w:rFonts w:ascii="Arial" w:cs="Arial" w:eastAsia="Arial" w:hAnsi="Arial"/>
                <w:sz w:val="16"/>
                <w:szCs w:val="16"/>
                <w:color w:val="auto"/>
              </w:rPr>
              <w:t>NewEnergy, Inc.</w:t>
            </w: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640" w:type="dxa"/>
            <w:vAlign w:val="bottom"/>
            <w:vMerge w:val="restart"/>
            <w:shd w:val="clear" w:color="auto" w:fill="E6E6E6"/>
          </w:tcPr>
          <w:p>
            <w:pPr>
              <w:ind w:left="40"/>
              <w:spacing w:after="0"/>
              <w:rPr>
                <w:sz w:val="20"/>
                <w:szCs w:val="20"/>
                <w:color w:val="auto"/>
              </w:rPr>
            </w:pPr>
            <w:r>
              <w:rPr>
                <w:rFonts w:ascii="Arial" w:cs="Arial" w:eastAsia="Arial" w:hAnsi="Arial"/>
                <w:sz w:val="16"/>
                <w:szCs w:val="16"/>
                <w:color w:val="auto"/>
              </w:rPr>
              <w:t>Goat Wind</w:t>
            </w:r>
          </w:p>
        </w:tc>
        <w:tc>
          <w:tcPr>
            <w:tcW w:w="80" w:type="dxa"/>
            <w:vAlign w:val="bottom"/>
            <w:shd w:val="clear" w:color="auto" w:fill="E6E6E6"/>
          </w:tcPr>
          <w:p>
            <w:pPr>
              <w:spacing w:after="0"/>
              <w:rPr>
                <w:sz w:val="17"/>
                <w:szCs w:val="17"/>
                <w:color w:val="auto"/>
              </w:rPr>
            </w:pPr>
          </w:p>
        </w:tc>
        <w:tc>
          <w:tcPr>
            <w:tcW w:w="1300" w:type="dxa"/>
            <w:vAlign w:val="bottom"/>
            <w:gridSpan w:val="2"/>
            <w:vMerge w:val="restart"/>
            <w:shd w:val="clear" w:color="auto" w:fill="E6E6E6"/>
          </w:tcPr>
          <w:p>
            <w:pPr>
              <w:ind w:left="40"/>
              <w:spacing w:after="0"/>
              <w:rPr>
                <w:sz w:val="20"/>
                <w:szCs w:val="20"/>
                <w:color w:val="auto"/>
              </w:rPr>
            </w:pPr>
            <w:r>
              <w:rPr>
                <w:rFonts w:ascii="Arial" w:cs="Arial" w:eastAsia="Arial" w:hAnsi="Arial"/>
                <w:sz w:val="16"/>
                <w:szCs w:val="16"/>
                <w:color w:val="auto"/>
              </w:rPr>
              <w:t>Sterling City, TX</w:t>
            </w:r>
          </w:p>
        </w:tc>
        <w:tc>
          <w:tcPr>
            <w:tcW w:w="62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150</w:t>
            </w:r>
          </w:p>
        </w:tc>
        <w:tc>
          <w:tcPr>
            <w:tcW w:w="740" w:type="dxa"/>
            <w:vAlign w:val="bottom"/>
            <w:gridSpan w:val="3"/>
            <w:vMerge w:val="restart"/>
            <w:shd w:val="clear" w:color="auto" w:fill="E6E6E6"/>
          </w:tcPr>
          <w:p>
            <w:pPr>
              <w:jc w:val="right"/>
              <w:spacing w:after="0"/>
              <w:rPr>
                <w:sz w:val="20"/>
                <w:szCs w:val="20"/>
                <w:color w:val="auto"/>
              </w:rPr>
            </w:pPr>
            <w:r>
              <w:rPr>
                <w:rFonts w:ascii="Arial" w:cs="Arial" w:eastAsia="Arial" w:hAnsi="Arial"/>
                <w:sz w:val="16"/>
                <w:szCs w:val="16"/>
                <w:color w:val="auto"/>
              </w:rPr>
              <w:t>150</w:t>
            </w:r>
          </w:p>
        </w:tc>
        <w:tc>
          <w:tcPr>
            <w:tcW w:w="800" w:type="dxa"/>
            <w:vAlign w:val="bottom"/>
            <w:gridSpan w:val="2"/>
            <w:vMerge w:val="restart"/>
            <w:shd w:val="clear" w:color="auto" w:fill="E6E6E6"/>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E6E6E6"/>
          </w:tcPr>
          <w:p>
            <w:pPr>
              <w:spacing w:after="0"/>
              <w:rPr>
                <w:sz w:val="17"/>
                <w:szCs w:val="17"/>
                <w:color w:val="auto"/>
              </w:rPr>
            </w:pPr>
          </w:p>
        </w:tc>
        <w:tc>
          <w:tcPr>
            <w:tcW w:w="940" w:type="dxa"/>
            <w:vAlign w:val="bottom"/>
            <w:vMerge w:val="restart"/>
            <w:shd w:val="clear" w:color="auto" w:fill="E6E6E6"/>
          </w:tcPr>
          <w:p>
            <w:pPr>
              <w:ind w:left="60"/>
              <w:spacing w:after="0"/>
              <w:rPr>
                <w:sz w:val="20"/>
                <w:szCs w:val="20"/>
                <w:color w:val="auto"/>
              </w:rPr>
            </w:pPr>
            <w:r>
              <w:rPr>
                <w:rFonts w:ascii="Arial" w:cs="Arial" w:eastAsia="Arial" w:hAnsi="Arial"/>
                <w:sz w:val="16"/>
                <w:szCs w:val="16"/>
                <w:color w:val="auto"/>
              </w:rPr>
              <w:t>Wind</w:t>
            </w:r>
          </w:p>
        </w:tc>
        <w:tc>
          <w:tcPr>
            <w:tcW w:w="80" w:type="dxa"/>
            <w:vAlign w:val="bottom"/>
            <w:shd w:val="clear" w:color="auto" w:fill="E6E6E6"/>
          </w:tcPr>
          <w:p>
            <w:pPr>
              <w:spacing w:after="0"/>
              <w:rPr>
                <w:sz w:val="17"/>
                <w:szCs w:val="17"/>
                <w:color w:val="auto"/>
              </w:rPr>
            </w:pPr>
          </w:p>
        </w:tc>
        <w:tc>
          <w:tcPr>
            <w:tcW w:w="1260" w:type="dxa"/>
            <w:vAlign w:val="bottom"/>
            <w:gridSpan w:val="2"/>
            <w:shd w:val="clear" w:color="auto" w:fill="E6E6E6"/>
          </w:tcPr>
          <w:p>
            <w:pPr>
              <w:ind w:left="60"/>
              <w:spacing w:after="0"/>
              <w:rPr>
                <w:sz w:val="20"/>
                <w:szCs w:val="20"/>
                <w:color w:val="auto"/>
              </w:rPr>
            </w:pPr>
            <w:r>
              <w:rPr>
                <w:rFonts w:ascii="Arial" w:cs="Arial" w:eastAsia="Arial" w:hAnsi="Arial"/>
                <w:sz w:val="16"/>
                <w:szCs w:val="16"/>
                <w:color w:val="auto"/>
              </w:rPr>
              <w:t>April 2008/June</w:t>
            </w:r>
          </w:p>
        </w:tc>
        <w:tc>
          <w:tcPr>
            <w:tcW w:w="1640" w:type="dxa"/>
            <w:vAlign w:val="bottom"/>
            <w:shd w:val="clear" w:color="auto" w:fill="E6E6E6"/>
          </w:tcPr>
          <w:p>
            <w:pPr>
              <w:ind w:left="60"/>
              <w:spacing w:after="0"/>
              <w:rPr>
                <w:sz w:val="20"/>
                <w:szCs w:val="20"/>
                <w:color w:val="auto"/>
              </w:rPr>
            </w:pPr>
            <w:r>
              <w:rPr>
                <w:rFonts w:ascii="Arial" w:cs="Arial" w:eastAsia="Arial" w:hAnsi="Arial"/>
                <w:sz w:val="16"/>
                <w:szCs w:val="16"/>
                <w:color w:val="auto"/>
              </w:rPr>
              <w:t>Dow Pipeline</w:t>
            </w:r>
          </w:p>
        </w:tc>
        <w:tc>
          <w:tcPr>
            <w:tcW w:w="1020" w:type="dxa"/>
            <w:vAlign w:val="bottom"/>
            <w:gridSpan w:val="2"/>
            <w:vMerge w:val="restart"/>
            <w:shd w:val="clear" w:color="auto" w:fill="E6E6E6"/>
          </w:tcPr>
          <w:p>
            <w:pPr>
              <w:jc w:val="right"/>
              <w:spacing w:after="0"/>
              <w:rPr>
                <w:sz w:val="20"/>
                <w:szCs w:val="20"/>
                <w:color w:val="auto"/>
              </w:rPr>
            </w:pPr>
            <w:r>
              <w:rPr>
                <w:rFonts w:ascii="Arial" w:cs="Arial" w:eastAsia="Arial" w:hAnsi="Arial"/>
                <w:sz w:val="16"/>
                <w:szCs w:val="16"/>
                <w:color w:val="auto"/>
              </w:rPr>
              <w:t>2025</w:t>
            </w:r>
          </w:p>
        </w:tc>
        <w:tc>
          <w:tcPr>
            <w:tcW w:w="0" w:type="dxa"/>
            <w:vAlign w:val="bottom"/>
          </w:tcPr>
          <w:p>
            <w:pPr>
              <w:spacing w:after="0"/>
              <w:rPr>
                <w:sz w:val="1"/>
                <w:szCs w:val="1"/>
                <w:color w:val="auto"/>
              </w:rPr>
            </w:pPr>
          </w:p>
        </w:tc>
      </w:tr>
      <w:tr>
        <w:trPr>
          <w:trHeight w:val="223"/>
        </w:trPr>
        <w:tc>
          <w:tcPr>
            <w:tcW w:w="1640" w:type="dxa"/>
            <w:vAlign w:val="bottom"/>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300" w:type="dxa"/>
            <w:vAlign w:val="bottom"/>
            <w:gridSpan w:val="2"/>
            <w:vMerge w:val="continue"/>
            <w:shd w:val="clear" w:color="auto" w:fill="E6E6E6"/>
          </w:tcPr>
          <w:p>
            <w:pPr>
              <w:spacing w:after="0"/>
              <w:rPr>
                <w:sz w:val="19"/>
                <w:szCs w:val="19"/>
                <w:color w:val="auto"/>
              </w:rPr>
            </w:pPr>
          </w:p>
        </w:tc>
        <w:tc>
          <w:tcPr>
            <w:tcW w:w="620" w:type="dxa"/>
            <w:vAlign w:val="bottom"/>
            <w:vMerge w:val="continue"/>
            <w:shd w:val="clear" w:color="auto" w:fill="E6E6E6"/>
          </w:tcPr>
          <w:p>
            <w:pPr>
              <w:spacing w:after="0"/>
              <w:rPr>
                <w:sz w:val="19"/>
                <w:szCs w:val="19"/>
                <w:color w:val="auto"/>
              </w:rPr>
            </w:pPr>
          </w:p>
        </w:tc>
        <w:tc>
          <w:tcPr>
            <w:tcW w:w="740" w:type="dxa"/>
            <w:vAlign w:val="bottom"/>
            <w:gridSpan w:val="3"/>
            <w:vMerge w:val="continue"/>
            <w:shd w:val="clear" w:color="auto" w:fill="E6E6E6"/>
          </w:tcPr>
          <w:p>
            <w:pPr>
              <w:spacing w:after="0"/>
              <w:rPr>
                <w:sz w:val="19"/>
                <w:szCs w:val="19"/>
                <w:color w:val="auto"/>
              </w:rPr>
            </w:pPr>
          </w:p>
        </w:tc>
        <w:tc>
          <w:tcPr>
            <w:tcW w:w="800" w:type="dxa"/>
            <w:vAlign w:val="bottom"/>
            <w:gridSpan w:val="2"/>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940" w:type="dxa"/>
            <w:vAlign w:val="bottom"/>
            <w:vMerge w:val="continue"/>
            <w:shd w:val="clear" w:color="auto" w:fill="E6E6E6"/>
          </w:tcPr>
          <w:p>
            <w:pPr>
              <w:spacing w:after="0"/>
              <w:rPr>
                <w:sz w:val="19"/>
                <w:szCs w:val="19"/>
                <w:color w:val="auto"/>
              </w:rPr>
            </w:pPr>
          </w:p>
        </w:tc>
        <w:tc>
          <w:tcPr>
            <w:tcW w:w="1280" w:type="dxa"/>
            <w:vAlign w:val="bottom"/>
            <w:gridSpan w:val="2"/>
            <w:shd w:val="clear" w:color="auto" w:fill="E6E6E6"/>
          </w:tcPr>
          <w:p>
            <w:pPr>
              <w:ind w:left="140"/>
              <w:spacing w:after="0"/>
              <w:rPr>
                <w:sz w:val="20"/>
                <w:szCs w:val="20"/>
                <w:color w:val="auto"/>
              </w:rPr>
            </w:pPr>
            <w:r>
              <w:rPr>
                <w:rFonts w:ascii="Arial" w:cs="Arial" w:eastAsia="Arial" w:hAnsi="Arial"/>
                <w:sz w:val="16"/>
                <w:szCs w:val="16"/>
                <w:color w:val="auto"/>
              </w:rPr>
              <w:t>2009</w:t>
            </w:r>
          </w:p>
        </w:tc>
        <w:tc>
          <w:tcPr>
            <w:tcW w:w="60" w:type="dxa"/>
            <w:vAlign w:val="bottom"/>
            <w:shd w:val="clear" w:color="auto" w:fill="E6E6E6"/>
          </w:tcPr>
          <w:p>
            <w:pPr>
              <w:spacing w:after="0"/>
              <w:rPr>
                <w:sz w:val="19"/>
                <w:szCs w:val="19"/>
                <w:color w:val="auto"/>
              </w:rPr>
            </w:pPr>
          </w:p>
        </w:tc>
        <w:tc>
          <w:tcPr>
            <w:tcW w:w="1640" w:type="dxa"/>
            <w:vAlign w:val="bottom"/>
            <w:shd w:val="clear" w:color="auto" w:fill="E6E6E6"/>
          </w:tcPr>
          <w:p>
            <w:pPr>
              <w:ind w:left="60"/>
              <w:spacing w:after="0"/>
              <w:rPr>
                <w:sz w:val="20"/>
                <w:szCs w:val="20"/>
                <w:color w:val="auto"/>
              </w:rPr>
            </w:pPr>
            <w:r>
              <w:rPr>
                <w:rFonts w:ascii="Arial" w:cs="Arial" w:eastAsia="Arial" w:hAnsi="Arial"/>
                <w:sz w:val="16"/>
                <w:szCs w:val="16"/>
                <w:color w:val="auto"/>
              </w:rPr>
              <w:t>Company</w:t>
            </w:r>
          </w:p>
        </w:tc>
        <w:tc>
          <w:tcPr>
            <w:tcW w:w="1020" w:type="dxa"/>
            <w:vAlign w:val="bottom"/>
            <w:gridSpan w:val="2"/>
            <w:vMerge w:val="continue"/>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1640" w:type="dxa"/>
            <w:vAlign w:val="bottom"/>
          </w:tcPr>
          <w:p>
            <w:pPr>
              <w:ind w:left="40"/>
              <w:spacing w:after="0"/>
              <w:rPr>
                <w:sz w:val="20"/>
                <w:szCs w:val="20"/>
                <w:color w:val="auto"/>
              </w:rPr>
            </w:pPr>
            <w:r>
              <w:rPr>
                <w:rFonts w:ascii="Arial" w:cs="Arial" w:eastAsia="Arial" w:hAnsi="Arial"/>
                <w:sz w:val="16"/>
                <w:szCs w:val="16"/>
                <w:color w:val="auto"/>
              </w:rPr>
              <w:t xml:space="preserve">Langford </w:t>
            </w:r>
            <w:r>
              <w:rPr>
                <w:rFonts w:ascii="Arial" w:cs="Arial" w:eastAsia="Arial" w:hAnsi="Arial"/>
                <w:sz w:val="20"/>
                <w:szCs w:val="20"/>
                <w:color w:val="auto"/>
                <w:vertAlign w:val="superscript"/>
              </w:rPr>
              <w:t>(b)</w:t>
            </w:r>
          </w:p>
        </w:tc>
        <w:tc>
          <w:tcPr>
            <w:tcW w:w="80" w:type="dxa"/>
            <w:vAlign w:val="bottom"/>
          </w:tcPr>
          <w:p>
            <w:pPr>
              <w:spacing w:after="0"/>
              <w:rPr>
                <w:sz w:val="22"/>
                <w:szCs w:val="22"/>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color w:val="auto"/>
              </w:rPr>
              <w:t>Christoval, TX</w:t>
            </w:r>
          </w:p>
        </w:tc>
        <w:tc>
          <w:tcPr>
            <w:tcW w:w="620" w:type="dxa"/>
            <w:vAlign w:val="bottom"/>
          </w:tcPr>
          <w:p>
            <w:pPr>
              <w:jc w:val="right"/>
              <w:spacing w:after="0"/>
              <w:rPr>
                <w:sz w:val="20"/>
                <w:szCs w:val="20"/>
                <w:color w:val="auto"/>
              </w:rPr>
            </w:pPr>
            <w:r>
              <w:rPr>
                <w:rFonts w:ascii="Arial" w:cs="Arial" w:eastAsia="Arial" w:hAnsi="Arial"/>
                <w:sz w:val="16"/>
                <w:szCs w:val="16"/>
                <w:color w:val="auto"/>
              </w:rPr>
              <w:t>160</w:t>
            </w: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160</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22"/>
                <w:szCs w:val="22"/>
                <w:color w:val="auto"/>
              </w:rPr>
            </w:pPr>
          </w:p>
        </w:tc>
        <w:tc>
          <w:tcPr>
            <w:tcW w:w="940" w:type="dxa"/>
            <w:vAlign w:val="bottom"/>
          </w:tcPr>
          <w:p>
            <w:pPr>
              <w:ind w:left="60"/>
              <w:spacing w:after="0"/>
              <w:rPr>
                <w:sz w:val="20"/>
                <w:szCs w:val="20"/>
                <w:color w:val="auto"/>
              </w:rPr>
            </w:pPr>
            <w:r>
              <w:rPr>
                <w:rFonts w:ascii="Arial" w:cs="Arial" w:eastAsia="Arial" w:hAnsi="Arial"/>
                <w:sz w:val="16"/>
                <w:szCs w:val="16"/>
                <w:color w:val="auto"/>
              </w:rPr>
              <w:t>Wind</w:t>
            </w:r>
          </w:p>
        </w:tc>
        <w:tc>
          <w:tcPr>
            <w:tcW w:w="8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November 2020</w:t>
            </w:r>
          </w:p>
        </w:tc>
        <w:tc>
          <w:tcPr>
            <w:tcW w:w="1640" w:type="dxa"/>
            <w:vAlign w:val="bottom"/>
          </w:tcPr>
          <w:p>
            <w:pPr>
              <w:ind w:left="60"/>
              <w:spacing w:after="0"/>
              <w:rPr>
                <w:sz w:val="20"/>
                <w:szCs w:val="20"/>
                <w:color w:val="auto"/>
              </w:rPr>
            </w:pPr>
            <w:r>
              <w:rPr>
                <w:rFonts w:ascii="Arial" w:cs="Arial" w:eastAsia="Arial" w:hAnsi="Arial"/>
                <w:sz w:val="16"/>
                <w:szCs w:val="16"/>
                <w:color w:val="auto"/>
              </w:rPr>
              <w:t>Goldman Sachs</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2033</w:t>
            </w:r>
          </w:p>
        </w:tc>
        <w:tc>
          <w:tcPr>
            <w:tcW w:w="0" w:type="dxa"/>
            <w:vAlign w:val="bottom"/>
          </w:tcPr>
          <w:p>
            <w:pPr>
              <w:spacing w:after="0"/>
              <w:rPr>
                <w:sz w:val="1"/>
                <w:szCs w:val="1"/>
                <w:color w:val="auto"/>
              </w:rPr>
            </w:pPr>
          </w:p>
        </w:tc>
      </w:tr>
      <w:tr>
        <w:trPr>
          <w:trHeight w:val="195"/>
        </w:trPr>
        <w:tc>
          <w:tcPr>
            <w:tcW w:w="1640" w:type="dxa"/>
            <w:vAlign w:val="bottom"/>
            <w:vMerge w:val="restart"/>
            <w:shd w:val="clear" w:color="auto" w:fill="E6E6E6"/>
          </w:tcPr>
          <w:p>
            <w:pPr>
              <w:ind w:left="40"/>
              <w:spacing w:after="0"/>
              <w:rPr>
                <w:sz w:val="20"/>
                <w:szCs w:val="20"/>
                <w:color w:val="auto"/>
              </w:rPr>
            </w:pPr>
            <w:r>
              <w:rPr>
                <w:rFonts w:ascii="Arial" w:cs="Arial" w:eastAsia="Arial" w:hAnsi="Arial"/>
                <w:sz w:val="16"/>
                <w:szCs w:val="16"/>
                <w:color w:val="auto"/>
              </w:rPr>
              <w:t>Laredo Ridge</w:t>
            </w:r>
          </w:p>
        </w:tc>
        <w:tc>
          <w:tcPr>
            <w:tcW w:w="80" w:type="dxa"/>
            <w:vAlign w:val="bottom"/>
            <w:shd w:val="clear" w:color="auto" w:fill="E6E6E6"/>
          </w:tcPr>
          <w:p>
            <w:pPr>
              <w:spacing w:after="0"/>
              <w:rPr>
                <w:sz w:val="16"/>
                <w:szCs w:val="16"/>
                <w:color w:val="auto"/>
              </w:rPr>
            </w:pPr>
          </w:p>
        </w:tc>
        <w:tc>
          <w:tcPr>
            <w:tcW w:w="1300" w:type="dxa"/>
            <w:vAlign w:val="bottom"/>
            <w:gridSpan w:val="2"/>
            <w:vMerge w:val="restart"/>
            <w:shd w:val="clear" w:color="auto" w:fill="E6E6E6"/>
          </w:tcPr>
          <w:p>
            <w:pPr>
              <w:ind w:left="40"/>
              <w:spacing w:after="0"/>
              <w:rPr>
                <w:sz w:val="20"/>
                <w:szCs w:val="20"/>
                <w:color w:val="auto"/>
              </w:rPr>
            </w:pPr>
            <w:r>
              <w:rPr>
                <w:rFonts w:ascii="Arial" w:cs="Arial" w:eastAsia="Arial" w:hAnsi="Arial"/>
                <w:sz w:val="16"/>
                <w:szCs w:val="16"/>
                <w:color w:val="auto"/>
              </w:rPr>
              <w:t>Petersburg, NE</w:t>
            </w:r>
          </w:p>
        </w:tc>
        <w:tc>
          <w:tcPr>
            <w:tcW w:w="62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81</w:t>
            </w:r>
          </w:p>
        </w:tc>
        <w:tc>
          <w:tcPr>
            <w:tcW w:w="740" w:type="dxa"/>
            <w:vAlign w:val="bottom"/>
            <w:gridSpan w:val="3"/>
            <w:vMerge w:val="restart"/>
            <w:shd w:val="clear" w:color="auto" w:fill="E6E6E6"/>
          </w:tcPr>
          <w:p>
            <w:pPr>
              <w:jc w:val="right"/>
              <w:spacing w:after="0"/>
              <w:rPr>
                <w:sz w:val="20"/>
                <w:szCs w:val="20"/>
                <w:color w:val="auto"/>
              </w:rPr>
            </w:pPr>
            <w:r>
              <w:rPr>
                <w:rFonts w:ascii="Arial" w:cs="Arial" w:eastAsia="Arial" w:hAnsi="Arial"/>
                <w:sz w:val="16"/>
                <w:szCs w:val="16"/>
                <w:color w:val="auto"/>
              </w:rPr>
              <w:t>81</w:t>
            </w:r>
          </w:p>
        </w:tc>
        <w:tc>
          <w:tcPr>
            <w:tcW w:w="800" w:type="dxa"/>
            <w:vAlign w:val="bottom"/>
            <w:gridSpan w:val="2"/>
            <w:vMerge w:val="restart"/>
            <w:shd w:val="clear" w:color="auto" w:fill="E6E6E6"/>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E6E6E6"/>
          </w:tcPr>
          <w:p>
            <w:pPr>
              <w:spacing w:after="0"/>
              <w:rPr>
                <w:sz w:val="16"/>
                <w:szCs w:val="16"/>
                <w:color w:val="auto"/>
              </w:rPr>
            </w:pPr>
          </w:p>
        </w:tc>
        <w:tc>
          <w:tcPr>
            <w:tcW w:w="940" w:type="dxa"/>
            <w:vAlign w:val="bottom"/>
            <w:vMerge w:val="restart"/>
            <w:shd w:val="clear" w:color="auto" w:fill="E6E6E6"/>
          </w:tcPr>
          <w:p>
            <w:pPr>
              <w:ind w:left="60"/>
              <w:spacing w:after="0"/>
              <w:rPr>
                <w:sz w:val="20"/>
                <w:szCs w:val="20"/>
                <w:color w:val="auto"/>
              </w:rPr>
            </w:pPr>
            <w:r>
              <w:rPr>
                <w:rFonts w:ascii="Arial" w:cs="Arial" w:eastAsia="Arial" w:hAnsi="Arial"/>
                <w:sz w:val="16"/>
                <w:szCs w:val="16"/>
                <w:color w:val="auto"/>
              </w:rPr>
              <w:t>Wind</w:t>
            </w:r>
          </w:p>
        </w:tc>
        <w:tc>
          <w:tcPr>
            <w:tcW w:w="80" w:type="dxa"/>
            <w:vAlign w:val="bottom"/>
            <w:shd w:val="clear" w:color="auto" w:fill="E6E6E6"/>
          </w:tcPr>
          <w:p>
            <w:pPr>
              <w:spacing w:after="0"/>
              <w:rPr>
                <w:sz w:val="16"/>
                <w:szCs w:val="16"/>
                <w:color w:val="auto"/>
              </w:rPr>
            </w:pPr>
          </w:p>
        </w:tc>
        <w:tc>
          <w:tcPr>
            <w:tcW w:w="1260" w:type="dxa"/>
            <w:vAlign w:val="bottom"/>
            <w:gridSpan w:val="2"/>
            <w:vMerge w:val="restart"/>
            <w:shd w:val="clear" w:color="auto" w:fill="E6E6E6"/>
          </w:tcPr>
          <w:p>
            <w:pPr>
              <w:ind w:left="60"/>
              <w:spacing w:after="0"/>
              <w:rPr>
                <w:sz w:val="20"/>
                <w:szCs w:val="20"/>
                <w:color w:val="auto"/>
              </w:rPr>
            </w:pPr>
            <w:r>
              <w:rPr>
                <w:rFonts w:ascii="Arial" w:cs="Arial" w:eastAsia="Arial" w:hAnsi="Arial"/>
                <w:sz w:val="16"/>
                <w:szCs w:val="16"/>
                <w:color w:val="auto"/>
              </w:rPr>
              <w:t>February 2011</w:t>
            </w:r>
          </w:p>
        </w:tc>
        <w:tc>
          <w:tcPr>
            <w:tcW w:w="1640" w:type="dxa"/>
            <w:vAlign w:val="bottom"/>
            <w:shd w:val="clear" w:color="auto" w:fill="E6E6E6"/>
          </w:tcPr>
          <w:p>
            <w:pPr>
              <w:ind w:left="60"/>
              <w:spacing w:after="0"/>
              <w:rPr>
                <w:sz w:val="20"/>
                <w:szCs w:val="20"/>
                <w:color w:val="auto"/>
              </w:rPr>
            </w:pPr>
            <w:r>
              <w:rPr>
                <w:rFonts w:ascii="Arial" w:cs="Arial" w:eastAsia="Arial" w:hAnsi="Arial"/>
                <w:sz w:val="16"/>
                <w:szCs w:val="16"/>
                <w:color w:val="auto"/>
                <w:w w:val="93"/>
              </w:rPr>
              <w:t>Nebraska Public Power</w:t>
            </w:r>
          </w:p>
        </w:tc>
        <w:tc>
          <w:tcPr>
            <w:tcW w:w="1020" w:type="dxa"/>
            <w:vAlign w:val="bottom"/>
            <w:gridSpan w:val="2"/>
            <w:vMerge w:val="restart"/>
            <w:shd w:val="clear" w:color="auto" w:fill="E6E6E6"/>
          </w:tcPr>
          <w:p>
            <w:pPr>
              <w:jc w:val="right"/>
              <w:spacing w:after="0"/>
              <w:rPr>
                <w:sz w:val="20"/>
                <w:szCs w:val="20"/>
                <w:color w:val="auto"/>
              </w:rPr>
            </w:pPr>
            <w:r>
              <w:rPr>
                <w:rFonts w:ascii="Arial" w:cs="Arial" w:eastAsia="Arial" w:hAnsi="Arial"/>
                <w:sz w:val="16"/>
                <w:szCs w:val="16"/>
                <w:color w:val="auto"/>
              </w:rPr>
              <w:t>2031</w:t>
            </w:r>
          </w:p>
        </w:tc>
        <w:tc>
          <w:tcPr>
            <w:tcW w:w="0" w:type="dxa"/>
            <w:vAlign w:val="bottom"/>
          </w:tcPr>
          <w:p>
            <w:pPr>
              <w:spacing w:after="0"/>
              <w:rPr>
                <w:sz w:val="1"/>
                <w:szCs w:val="1"/>
                <w:color w:val="auto"/>
              </w:rPr>
            </w:pPr>
          </w:p>
        </w:tc>
      </w:tr>
      <w:tr>
        <w:trPr>
          <w:trHeight w:val="223"/>
        </w:trPr>
        <w:tc>
          <w:tcPr>
            <w:tcW w:w="1640" w:type="dxa"/>
            <w:vAlign w:val="bottom"/>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300" w:type="dxa"/>
            <w:vAlign w:val="bottom"/>
            <w:gridSpan w:val="2"/>
            <w:vMerge w:val="continue"/>
            <w:shd w:val="clear" w:color="auto" w:fill="E6E6E6"/>
          </w:tcPr>
          <w:p>
            <w:pPr>
              <w:spacing w:after="0"/>
              <w:rPr>
                <w:sz w:val="19"/>
                <w:szCs w:val="19"/>
                <w:color w:val="auto"/>
              </w:rPr>
            </w:pPr>
          </w:p>
        </w:tc>
        <w:tc>
          <w:tcPr>
            <w:tcW w:w="620" w:type="dxa"/>
            <w:vAlign w:val="bottom"/>
            <w:vMerge w:val="continue"/>
            <w:shd w:val="clear" w:color="auto" w:fill="E6E6E6"/>
          </w:tcPr>
          <w:p>
            <w:pPr>
              <w:spacing w:after="0"/>
              <w:rPr>
                <w:sz w:val="19"/>
                <w:szCs w:val="19"/>
                <w:color w:val="auto"/>
              </w:rPr>
            </w:pPr>
          </w:p>
        </w:tc>
        <w:tc>
          <w:tcPr>
            <w:tcW w:w="740" w:type="dxa"/>
            <w:vAlign w:val="bottom"/>
            <w:gridSpan w:val="3"/>
            <w:vMerge w:val="continue"/>
            <w:shd w:val="clear" w:color="auto" w:fill="E6E6E6"/>
          </w:tcPr>
          <w:p>
            <w:pPr>
              <w:spacing w:after="0"/>
              <w:rPr>
                <w:sz w:val="19"/>
                <w:szCs w:val="19"/>
                <w:color w:val="auto"/>
              </w:rPr>
            </w:pPr>
          </w:p>
        </w:tc>
        <w:tc>
          <w:tcPr>
            <w:tcW w:w="800" w:type="dxa"/>
            <w:vAlign w:val="bottom"/>
            <w:gridSpan w:val="2"/>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940" w:type="dxa"/>
            <w:vAlign w:val="bottom"/>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260" w:type="dxa"/>
            <w:vAlign w:val="bottom"/>
            <w:gridSpan w:val="2"/>
            <w:vMerge w:val="continue"/>
            <w:shd w:val="clear" w:color="auto" w:fill="E6E6E6"/>
          </w:tcPr>
          <w:p>
            <w:pPr>
              <w:spacing w:after="0"/>
              <w:rPr>
                <w:sz w:val="19"/>
                <w:szCs w:val="19"/>
                <w:color w:val="auto"/>
              </w:rPr>
            </w:pPr>
          </w:p>
        </w:tc>
        <w:tc>
          <w:tcPr>
            <w:tcW w:w="1640" w:type="dxa"/>
            <w:vAlign w:val="bottom"/>
            <w:shd w:val="clear" w:color="auto" w:fill="E6E6E6"/>
          </w:tcPr>
          <w:p>
            <w:pPr>
              <w:ind w:left="60"/>
              <w:spacing w:after="0"/>
              <w:rPr>
                <w:sz w:val="20"/>
                <w:szCs w:val="20"/>
                <w:color w:val="auto"/>
              </w:rPr>
            </w:pPr>
            <w:r>
              <w:rPr>
                <w:rFonts w:ascii="Arial" w:cs="Arial" w:eastAsia="Arial" w:hAnsi="Arial"/>
                <w:sz w:val="16"/>
                <w:szCs w:val="16"/>
                <w:color w:val="auto"/>
              </w:rPr>
              <w:t>District</w:t>
            </w:r>
          </w:p>
        </w:tc>
        <w:tc>
          <w:tcPr>
            <w:tcW w:w="1020" w:type="dxa"/>
            <w:vAlign w:val="bottom"/>
            <w:gridSpan w:val="2"/>
            <w:vMerge w:val="continue"/>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640" w:type="dxa"/>
            <w:vAlign w:val="bottom"/>
            <w:vMerge w:val="restart"/>
          </w:tcPr>
          <w:p>
            <w:pPr>
              <w:ind w:left="40"/>
              <w:spacing w:after="0"/>
              <w:rPr>
                <w:sz w:val="20"/>
                <w:szCs w:val="20"/>
                <w:color w:val="auto"/>
              </w:rPr>
            </w:pPr>
            <w:r>
              <w:rPr>
                <w:rFonts w:ascii="Arial" w:cs="Arial" w:eastAsia="Arial" w:hAnsi="Arial"/>
                <w:sz w:val="16"/>
                <w:szCs w:val="16"/>
                <w:color w:val="auto"/>
              </w:rPr>
              <w:t>Lookout</w:t>
            </w:r>
          </w:p>
        </w:tc>
        <w:tc>
          <w:tcPr>
            <w:tcW w:w="80" w:type="dxa"/>
            <w:vAlign w:val="bottom"/>
          </w:tcPr>
          <w:p>
            <w:pPr>
              <w:spacing w:after="0"/>
              <w:rPr>
                <w:sz w:val="16"/>
                <w:szCs w:val="16"/>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6"/>
                <w:szCs w:val="16"/>
                <w:color w:val="auto"/>
              </w:rPr>
              <w:t>Berlin, PA</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38</w:t>
            </w:r>
          </w:p>
        </w:tc>
        <w:tc>
          <w:tcPr>
            <w:tcW w:w="740" w:type="dxa"/>
            <w:vAlign w:val="bottom"/>
            <w:gridSpan w:val="3"/>
            <w:vMerge w:val="restart"/>
          </w:tcPr>
          <w:p>
            <w:pPr>
              <w:jc w:val="right"/>
              <w:spacing w:after="0"/>
              <w:rPr>
                <w:sz w:val="20"/>
                <w:szCs w:val="20"/>
                <w:color w:val="auto"/>
              </w:rPr>
            </w:pPr>
            <w:r>
              <w:rPr>
                <w:rFonts w:ascii="Arial" w:cs="Arial" w:eastAsia="Arial" w:hAnsi="Arial"/>
                <w:sz w:val="16"/>
                <w:szCs w:val="16"/>
                <w:color w:val="auto"/>
              </w:rPr>
              <w:t>38</w:t>
            </w:r>
          </w:p>
        </w:tc>
        <w:tc>
          <w:tcPr>
            <w:tcW w:w="800" w:type="dxa"/>
            <w:vAlign w:val="bottom"/>
            <w:gridSpan w:val="2"/>
            <w:vMerge w:val="restart"/>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16"/>
                <w:szCs w:val="16"/>
                <w:color w:val="auto"/>
              </w:rPr>
            </w:pPr>
          </w:p>
        </w:tc>
        <w:tc>
          <w:tcPr>
            <w:tcW w:w="940" w:type="dxa"/>
            <w:vAlign w:val="bottom"/>
            <w:vMerge w:val="restart"/>
          </w:tcPr>
          <w:p>
            <w:pPr>
              <w:ind w:left="60"/>
              <w:spacing w:after="0"/>
              <w:rPr>
                <w:sz w:val="20"/>
                <w:szCs w:val="20"/>
                <w:color w:val="auto"/>
              </w:rPr>
            </w:pPr>
            <w:r>
              <w:rPr>
                <w:rFonts w:ascii="Arial" w:cs="Arial" w:eastAsia="Arial" w:hAnsi="Arial"/>
                <w:sz w:val="16"/>
                <w:szCs w:val="16"/>
                <w:color w:val="auto"/>
              </w:rPr>
              <w:t>Wind</w:t>
            </w:r>
          </w:p>
        </w:tc>
        <w:tc>
          <w:tcPr>
            <w:tcW w:w="80" w:type="dxa"/>
            <w:vAlign w:val="bottom"/>
          </w:tcPr>
          <w:p>
            <w:pPr>
              <w:spacing w:after="0"/>
              <w:rPr>
                <w:sz w:val="16"/>
                <w:szCs w:val="16"/>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6"/>
                <w:szCs w:val="16"/>
                <w:color w:val="auto"/>
              </w:rPr>
              <w:t>October 2008</w:t>
            </w:r>
          </w:p>
        </w:tc>
        <w:tc>
          <w:tcPr>
            <w:tcW w:w="1640" w:type="dxa"/>
            <w:vAlign w:val="bottom"/>
          </w:tcPr>
          <w:p>
            <w:pPr>
              <w:ind w:left="60"/>
              <w:spacing w:after="0"/>
              <w:rPr>
                <w:sz w:val="20"/>
                <w:szCs w:val="20"/>
                <w:color w:val="auto"/>
              </w:rPr>
            </w:pPr>
            <w:r>
              <w:rPr>
                <w:rFonts w:ascii="Arial" w:cs="Arial" w:eastAsia="Arial" w:hAnsi="Arial"/>
                <w:sz w:val="16"/>
                <w:szCs w:val="16"/>
                <w:color w:val="auto"/>
              </w:rPr>
              <w:t>Southern Maryland</w:t>
            </w: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color w:val="auto"/>
              </w:rPr>
              <w:t>2030</w:t>
            </w:r>
          </w:p>
        </w:tc>
        <w:tc>
          <w:tcPr>
            <w:tcW w:w="0" w:type="dxa"/>
            <w:vAlign w:val="bottom"/>
          </w:tcPr>
          <w:p>
            <w:pPr>
              <w:spacing w:after="0"/>
              <w:rPr>
                <w:sz w:val="1"/>
                <w:szCs w:val="1"/>
                <w:color w:val="auto"/>
              </w:rPr>
            </w:pPr>
          </w:p>
        </w:tc>
      </w:tr>
      <w:tr>
        <w:trPr>
          <w:trHeight w:val="216"/>
        </w:trPr>
        <w:tc>
          <w:tcPr>
            <w:tcW w:w="1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740" w:type="dxa"/>
            <w:vAlign w:val="bottom"/>
            <w:gridSpan w:val="3"/>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640" w:type="dxa"/>
            <w:vAlign w:val="bottom"/>
          </w:tcPr>
          <w:p>
            <w:pPr>
              <w:ind w:left="60"/>
              <w:spacing w:after="0"/>
              <w:rPr>
                <w:sz w:val="20"/>
                <w:szCs w:val="20"/>
                <w:color w:val="auto"/>
              </w:rPr>
            </w:pPr>
            <w:r>
              <w:rPr>
                <w:rFonts w:ascii="Arial" w:cs="Arial" w:eastAsia="Arial" w:hAnsi="Arial"/>
                <w:sz w:val="16"/>
                <w:szCs w:val="16"/>
                <w:color w:val="auto"/>
              </w:rPr>
              <w:t>Electric Cooperative</w:t>
            </w: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640" w:type="dxa"/>
            <w:vAlign w:val="bottom"/>
            <w:vMerge w:val="restart"/>
            <w:shd w:val="clear" w:color="auto" w:fill="E6E6E6"/>
          </w:tcPr>
          <w:p>
            <w:pPr>
              <w:ind w:left="40"/>
              <w:spacing w:after="0"/>
              <w:rPr>
                <w:sz w:val="20"/>
                <w:szCs w:val="20"/>
                <w:color w:val="auto"/>
              </w:rPr>
            </w:pPr>
            <w:r>
              <w:rPr>
                <w:rFonts w:ascii="Arial" w:cs="Arial" w:eastAsia="Arial" w:hAnsi="Arial"/>
                <w:sz w:val="16"/>
                <w:szCs w:val="16"/>
                <w:color w:val="auto"/>
              </w:rPr>
              <w:t xml:space="preserve">Mesquite Sky </w:t>
            </w:r>
            <w:r>
              <w:rPr>
                <w:rFonts w:ascii="Arial" w:cs="Arial" w:eastAsia="Arial" w:hAnsi="Arial"/>
                <w:sz w:val="20"/>
                <w:szCs w:val="20"/>
                <w:color w:val="auto"/>
                <w:vertAlign w:val="superscript"/>
              </w:rPr>
              <w:t>(b)</w:t>
            </w:r>
          </w:p>
        </w:tc>
        <w:tc>
          <w:tcPr>
            <w:tcW w:w="80" w:type="dxa"/>
            <w:vAlign w:val="bottom"/>
            <w:shd w:val="clear" w:color="auto" w:fill="E6E6E6"/>
          </w:tcPr>
          <w:p>
            <w:pPr>
              <w:spacing w:after="0"/>
              <w:rPr>
                <w:sz w:val="17"/>
                <w:szCs w:val="17"/>
                <w:color w:val="auto"/>
              </w:rPr>
            </w:pPr>
          </w:p>
        </w:tc>
        <w:tc>
          <w:tcPr>
            <w:tcW w:w="1300" w:type="dxa"/>
            <w:vAlign w:val="bottom"/>
            <w:gridSpan w:val="2"/>
            <w:shd w:val="clear" w:color="auto" w:fill="E6E6E6"/>
          </w:tcPr>
          <w:p>
            <w:pPr>
              <w:ind w:left="40"/>
              <w:spacing w:after="0"/>
              <w:rPr>
                <w:sz w:val="20"/>
                <w:szCs w:val="20"/>
                <w:color w:val="auto"/>
              </w:rPr>
            </w:pPr>
            <w:r>
              <w:rPr>
                <w:rFonts w:ascii="Arial" w:cs="Arial" w:eastAsia="Arial" w:hAnsi="Arial"/>
                <w:sz w:val="16"/>
                <w:szCs w:val="16"/>
                <w:color w:val="auto"/>
              </w:rPr>
              <w:t>Callahan County,</w:t>
            </w:r>
          </w:p>
        </w:tc>
        <w:tc>
          <w:tcPr>
            <w:tcW w:w="62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340</w:t>
            </w:r>
          </w:p>
        </w:tc>
        <w:tc>
          <w:tcPr>
            <w:tcW w:w="740" w:type="dxa"/>
            <w:vAlign w:val="bottom"/>
            <w:gridSpan w:val="3"/>
            <w:vMerge w:val="restart"/>
            <w:shd w:val="clear" w:color="auto" w:fill="E6E6E6"/>
          </w:tcPr>
          <w:p>
            <w:pPr>
              <w:jc w:val="right"/>
              <w:spacing w:after="0"/>
              <w:rPr>
                <w:sz w:val="20"/>
                <w:szCs w:val="20"/>
                <w:color w:val="auto"/>
              </w:rPr>
            </w:pPr>
            <w:r>
              <w:rPr>
                <w:rFonts w:ascii="Arial" w:cs="Arial" w:eastAsia="Arial" w:hAnsi="Arial"/>
                <w:sz w:val="16"/>
                <w:szCs w:val="16"/>
                <w:color w:val="auto"/>
              </w:rPr>
              <w:t>170</w:t>
            </w:r>
          </w:p>
        </w:tc>
        <w:tc>
          <w:tcPr>
            <w:tcW w:w="800" w:type="dxa"/>
            <w:vAlign w:val="bottom"/>
            <w:gridSpan w:val="2"/>
            <w:vMerge w:val="restart"/>
            <w:shd w:val="clear" w:color="auto" w:fill="E6E6E6"/>
          </w:tcPr>
          <w:p>
            <w:pPr>
              <w:jc w:val="right"/>
              <w:spacing w:after="0"/>
              <w:rPr>
                <w:sz w:val="20"/>
                <w:szCs w:val="20"/>
                <w:color w:val="auto"/>
              </w:rPr>
            </w:pPr>
            <w:r>
              <w:rPr>
                <w:rFonts w:ascii="Arial" w:cs="Arial" w:eastAsia="Arial" w:hAnsi="Arial"/>
                <w:sz w:val="16"/>
                <w:szCs w:val="16"/>
                <w:color w:val="auto"/>
              </w:rPr>
              <w:t>50 %</w:t>
            </w:r>
          </w:p>
        </w:tc>
        <w:tc>
          <w:tcPr>
            <w:tcW w:w="80" w:type="dxa"/>
            <w:vAlign w:val="bottom"/>
            <w:shd w:val="clear" w:color="auto" w:fill="E6E6E6"/>
          </w:tcPr>
          <w:p>
            <w:pPr>
              <w:spacing w:after="0"/>
              <w:rPr>
                <w:sz w:val="17"/>
                <w:szCs w:val="17"/>
                <w:color w:val="auto"/>
              </w:rPr>
            </w:pPr>
          </w:p>
        </w:tc>
        <w:tc>
          <w:tcPr>
            <w:tcW w:w="940" w:type="dxa"/>
            <w:vAlign w:val="bottom"/>
            <w:vMerge w:val="restart"/>
            <w:shd w:val="clear" w:color="auto" w:fill="E6E6E6"/>
          </w:tcPr>
          <w:p>
            <w:pPr>
              <w:ind w:left="60"/>
              <w:spacing w:after="0"/>
              <w:rPr>
                <w:sz w:val="20"/>
                <w:szCs w:val="20"/>
                <w:color w:val="auto"/>
              </w:rPr>
            </w:pPr>
            <w:r>
              <w:rPr>
                <w:rFonts w:ascii="Arial" w:cs="Arial" w:eastAsia="Arial" w:hAnsi="Arial"/>
                <w:sz w:val="16"/>
                <w:szCs w:val="16"/>
                <w:color w:val="auto"/>
              </w:rPr>
              <w:t>Wind</w:t>
            </w:r>
          </w:p>
        </w:tc>
        <w:tc>
          <w:tcPr>
            <w:tcW w:w="80" w:type="dxa"/>
            <w:vAlign w:val="bottom"/>
            <w:shd w:val="clear" w:color="auto" w:fill="E6E6E6"/>
          </w:tcPr>
          <w:p>
            <w:pPr>
              <w:spacing w:after="0"/>
              <w:rPr>
                <w:sz w:val="17"/>
                <w:szCs w:val="17"/>
                <w:color w:val="auto"/>
              </w:rPr>
            </w:pPr>
          </w:p>
        </w:tc>
        <w:tc>
          <w:tcPr>
            <w:tcW w:w="1260" w:type="dxa"/>
            <w:vAlign w:val="bottom"/>
            <w:gridSpan w:val="2"/>
            <w:vMerge w:val="restart"/>
            <w:shd w:val="clear" w:color="auto" w:fill="E6E6E6"/>
          </w:tcPr>
          <w:p>
            <w:pPr>
              <w:ind w:left="60"/>
              <w:spacing w:after="0"/>
              <w:rPr>
                <w:sz w:val="20"/>
                <w:szCs w:val="20"/>
                <w:color w:val="auto"/>
              </w:rPr>
            </w:pPr>
            <w:r>
              <w:rPr>
                <w:rFonts w:ascii="Arial" w:cs="Arial" w:eastAsia="Arial" w:hAnsi="Arial"/>
                <w:sz w:val="16"/>
                <w:szCs w:val="16"/>
                <w:color w:val="auto"/>
              </w:rPr>
              <w:t>December 2021</w:t>
            </w:r>
          </w:p>
        </w:tc>
        <w:tc>
          <w:tcPr>
            <w:tcW w:w="1640" w:type="dxa"/>
            <w:vAlign w:val="bottom"/>
            <w:vMerge w:val="restart"/>
            <w:shd w:val="clear" w:color="auto" w:fill="E6E6E6"/>
          </w:tcPr>
          <w:p>
            <w:pPr>
              <w:ind w:left="60"/>
              <w:spacing w:after="0"/>
              <w:rPr>
                <w:sz w:val="20"/>
                <w:szCs w:val="20"/>
                <w:color w:val="auto"/>
              </w:rPr>
            </w:pPr>
            <w:r>
              <w:rPr>
                <w:rFonts w:ascii="Arial" w:cs="Arial" w:eastAsia="Arial" w:hAnsi="Arial"/>
                <w:sz w:val="16"/>
                <w:szCs w:val="16"/>
                <w:color w:val="auto"/>
              </w:rPr>
              <w:t>Various</w:t>
            </w:r>
          </w:p>
        </w:tc>
        <w:tc>
          <w:tcPr>
            <w:tcW w:w="1020" w:type="dxa"/>
            <w:vAlign w:val="bottom"/>
            <w:gridSpan w:val="2"/>
            <w:vMerge w:val="restart"/>
            <w:shd w:val="clear" w:color="auto" w:fill="E6E6E6"/>
          </w:tcPr>
          <w:p>
            <w:pPr>
              <w:jc w:val="right"/>
              <w:spacing w:after="0"/>
              <w:rPr>
                <w:sz w:val="20"/>
                <w:szCs w:val="20"/>
                <w:color w:val="auto"/>
              </w:rPr>
            </w:pPr>
            <w:r>
              <w:rPr>
                <w:rFonts w:ascii="Arial" w:cs="Arial" w:eastAsia="Arial" w:hAnsi="Arial"/>
                <w:sz w:val="16"/>
                <w:szCs w:val="16"/>
                <w:color w:val="auto"/>
              </w:rPr>
              <w:t>2033 - 2036</w:t>
            </w:r>
          </w:p>
        </w:tc>
        <w:tc>
          <w:tcPr>
            <w:tcW w:w="0" w:type="dxa"/>
            <w:vAlign w:val="bottom"/>
          </w:tcPr>
          <w:p>
            <w:pPr>
              <w:spacing w:after="0"/>
              <w:rPr>
                <w:sz w:val="1"/>
                <w:szCs w:val="1"/>
                <w:color w:val="auto"/>
              </w:rPr>
            </w:pPr>
          </w:p>
        </w:tc>
      </w:tr>
      <w:tr>
        <w:trPr>
          <w:trHeight w:val="223"/>
        </w:trPr>
        <w:tc>
          <w:tcPr>
            <w:tcW w:w="1640" w:type="dxa"/>
            <w:vAlign w:val="bottom"/>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300" w:type="dxa"/>
            <w:vAlign w:val="bottom"/>
            <w:gridSpan w:val="2"/>
            <w:shd w:val="clear" w:color="auto" w:fill="E6E6E6"/>
          </w:tcPr>
          <w:p>
            <w:pPr>
              <w:ind w:left="40"/>
              <w:spacing w:after="0"/>
              <w:rPr>
                <w:sz w:val="20"/>
                <w:szCs w:val="20"/>
                <w:color w:val="auto"/>
              </w:rPr>
            </w:pPr>
            <w:r>
              <w:rPr>
                <w:rFonts w:ascii="Arial" w:cs="Arial" w:eastAsia="Arial" w:hAnsi="Arial"/>
                <w:sz w:val="16"/>
                <w:szCs w:val="16"/>
                <w:color w:val="auto"/>
              </w:rPr>
              <w:t>TX</w:t>
            </w:r>
          </w:p>
        </w:tc>
        <w:tc>
          <w:tcPr>
            <w:tcW w:w="620" w:type="dxa"/>
            <w:vAlign w:val="bottom"/>
            <w:vMerge w:val="continue"/>
            <w:shd w:val="clear" w:color="auto" w:fill="E6E6E6"/>
          </w:tcPr>
          <w:p>
            <w:pPr>
              <w:spacing w:after="0"/>
              <w:rPr>
                <w:sz w:val="19"/>
                <w:szCs w:val="19"/>
                <w:color w:val="auto"/>
              </w:rPr>
            </w:pPr>
          </w:p>
        </w:tc>
        <w:tc>
          <w:tcPr>
            <w:tcW w:w="740" w:type="dxa"/>
            <w:vAlign w:val="bottom"/>
            <w:gridSpan w:val="3"/>
            <w:vMerge w:val="continue"/>
            <w:shd w:val="clear" w:color="auto" w:fill="E6E6E6"/>
          </w:tcPr>
          <w:p>
            <w:pPr>
              <w:spacing w:after="0"/>
              <w:rPr>
                <w:sz w:val="19"/>
                <w:szCs w:val="19"/>
                <w:color w:val="auto"/>
              </w:rPr>
            </w:pPr>
          </w:p>
        </w:tc>
        <w:tc>
          <w:tcPr>
            <w:tcW w:w="800" w:type="dxa"/>
            <w:vAlign w:val="bottom"/>
            <w:gridSpan w:val="2"/>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940" w:type="dxa"/>
            <w:vAlign w:val="bottom"/>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260" w:type="dxa"/>
            <w:vAlign w:val="bottom"/>
            <w:gridSpan w:val="2"/>
            <w:vMerge w:val="continue"/>
            <w:shd w:val="clear" w:color="auto" w:fill="E6E6E6"/>
          </w:tcPr>
          <w:p>
            <w:pPr>
              <w:spacing w:after="0"/>
              <w:rPr>
                <w:sz w:val="19"/>
                <w:szCs w:val="19"/>
                <w:color w:val="auto"/>
              </w:rPr>
            </w:pPr>
          </w:p>
        </w:tc>
        <w:tc>
          <w:tcPr>
            <w:tcW w:w="1640" w:type="dxa"/>
            <w:vAlign w:val="bottom"/>
            <w:vMerge w:val="continue"/>
            <w:shd w:val="clear" w:color="auto" w:fill="E6E6E6"/>
          </w:tcPr>
          <w:p>
            <w:pPr>
              <w:spacing w:after="0"/>
              <w:rPr>
                <w:sz w:val="19"/>
                <w:szCs w:val="19"/>
                <w:color w:val="auto"/>
              </w:rPr>
            </w:pPr>
          </w:p>
        </w:tc>
        <w:tc>
          <w:tcPr>
            <w:tcW w:w="1020" w:type="dxa"/>
            <w:vAlign w:val="bottom"/>
            <w:gridSpan w:val="2"/>
            <w:vMerge w:val="continue"/>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640" w:type="dxa"/>
            <w:vAlign w:val="bottom"/>
            <w:vMerge w:val="restart"/>
          </w:tcPr>
          <w:p>
            <w:pPr>
              <w:ind w:left="40"/>
              <w:spacing w:after="0"/>
              <w:rPr>
                <w:sz w:val="20"/>
                <w:szCs w:val="20"/>
                <w:color w:val="auto"/>
              </w:rPr>
            </w:pPr>
            <w:r>
              <w:rPr>
                <w:rFonts w:ascii="Arial" w:cs="Arial" w:eastAsia="Arial" w:hAnsi="Arial"/>
                <w:sz w:val="16"/>
                <w:szCs w:val="16"/>
                <w:color w:val="auto"/>
              </w:rPr>
              <w:t xml:space="preserve">Mesquite Star </w:t>
            </w:r>
            <w:r>
              <w:rPr>
                <w:rFonts w:ascii="Arial" w:cs="Arial" w:eastAsia="Arial" w:hAnsi="Arial"/>
                <w:sz w:val="20"/>
                <w:szCs w:val="20"/>
                <w:color w:val="auto"/>
                <w:vertAlign w:val="superscript"/>
              </w:rPr>
              <w:t>(b)</w:t>
            </w:r>
          </w:p>
        </w:tc>
        <w:tc>
          <w:tcPr>
            <w:tcW w:w="8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color w:val="auto"/>
              </w:rPr>
              <w:t>Fisher County,</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419</w:t>
            </w:r>
          </w:p>
        </w:tc>
        <w:tc>
          <w:tcPr>
            <w:tcW w:w="740" w:type="dxa"/>
            <w:vAlign w:val="bottom"/>
            <w:gridSpan w:val="3"/>
            <w:vMerge w:val="restart"/>
          </w:tcPr>
          <w:p>
            <w:pPr>
              <w:jc w:val="right"/>
              <w:spacing w:after="0"/>
              <w:rPr>
                <w:sz w:val="20"/>
                <w:szCs w:val="20"/>
                <w:color w:val="auto"/>
              </w:rPr>
            </w:pPr>
            <w:r>
              <w:rPr>
                <w:rFonts w:ascii="Arial" w:cs="Arial" w:eastAsia="Arial" w:hAnsi="Arial"/>
                <w:sz w:val="16"/>
                <w:szCs w:val="16"/>
                <w:color w:val="auto"/>
              </w:rPr>
              <w:t>210</w:t>
            </w:r>
          </w:p>
        </w:tc>
        <w:tc>
          <w:tcPr>
            <w:tcW w:w="800" w:type="dxa"/>
            <w:vAlign w:val="bottom"/>
            <w:gridSpan w:val="2"/>
            <w:vMerge w:val="restart"/>
          </w:tcPr>
          <w:p>
            <w:pPr>
              <w:jc w:val="right"/>
              <w:spacing w:after="0"/>
              <w:rPr>
                <w:sz w:val="20"/>
                <w:szCs w:val="20"/>
                <w:color w:val="auto"/>
              </w:rPr>
            </w:pPr>
            <w:r>
              <w:rPr>
                <w:rFonts w:ascii="Arial" w:cs="Arial" w:eastAsia="Arial" w:hAnsi="Arial"/>
                <w:sz w:val="16"/>
                <w:szCs w:val="16"/>
                <w:color w:val="auto"/>
              </w:rPr>
              <w:t>50 %</w:t>
            </w:r>
          </w:p>
        </w:tc>
        <w:tc>
          <w:tcPr>
            <w:tcW w:w="80" w:type="dxa"/>
            <w:vAlign w:val="bottom"/>
          </w:tcPr>
          <w:p>
            <w:pPr>
              <w:spacing w:after="0"/>
              <w:rPr>
                <w:sz w:val="16"/>
                <w:szCs w:val="16"/>
                <w:color w:val="auto"/>
              </w:rPr>
            </w:pPr>
          </w:p>
        </w:tc>
        <w:tc>
          <w:tcPr>
            <w:tcW w:w="940" w:type="dxa"/>
            <w:vAlign w:val="bottom"/>
            <w:vMerge w:val="restart"/>
          </w:tcPr>
          <w:p>
            <w:pPr>
              <w:ind w:left="60"/>
              <w:spacing w:after="0"/>
              <w:rPr>
                <w:sz w:val="20"/>
                <w:szCs w:val="20"/>
                <w:color w:val="auto"/>
              </w:rPr>
            </w:pPr>
            <w:r>
              <w:rPr>
                <w:rFonts w:ascii="Arial" w:cs="Arial" w:eastAsia="Arial" w:hAnsi="Arial"/>
                <w:sz w:val="16"/>
                <w:szCs w:val="16"/>
                <w:color w:val="auto"/>
              </w:rPr>
              <w:t>Wind</w:t>
            </w:r>
          </w:p>
        </w:tc>
        <w:tc>
          <w:tcPr>
            <w:tcW w:w="80" w:type="dxa"/>
            <w:vAlign w:val="bottom"/>
          </w:tcPr>
          <w:p>
            <w:pPr>
              <w:spacing w:after="0"/>
              <w:rPr>
                <w:sz w:val="16"/>
                <w:szCs w:val="16"/>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6"/>
                <w:szCs w:val="16"/>
                <w:color w:val="auto"/>
              </w:rPr>
              <w:t>May 2020</w:t>
            </w:r>
          </w:p>
        </w:tc>
        <w:tc>
          <w:tcPr>
            <w:tcW w:w="1640" w:type="dxa"/>
            <w:vAlign w:val="bottom"/>
            <w:vMerge w:val="restart"/>
          </w:tcPr>
          <w:p>
            <w:pPr>
              <w:ind w:left="60"/>
              <w:spacing w:after="0"/>
              <w:rPr>
                <w:sz w:val="20"/>
                <w:szCs w:val="20"/>
                <w:color w:val="auto"/>
              </w:rPr>
            </w:pPr>
            <w:r>
              <w:rPr>
                <w:rFonts w:ascii="Arial" w:cs="Arial" w:eastAsia="Arial" w:hAnsi="Arial"/>
                <w:sz w:val="16"/>
                <w:szCs w:val="16"/>
                <w:color w:val="auto"/>
              </w:rPr>
              <w:t>Various</w:t>
            </w: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color w:val="auto"/>
              </w:rPr>
              <w:t>2032 - 2035</w:t>
            </w:r>
          </w:p>
        </w:tc>
        <w:tc>
          <w:tcPr>
            <w:tcW w:w="0" w:type="dxa"/>
            <w:vAlign w:val="bottom"/>
          </w:tcPr>
          <w:p>
            <w:pPr>
              <w:spacing w:after="0"/>
              <w:rPr>
                <w:sz w:val="1"/>
                <w:szCs w:val="1"/>
                <w:color w:val="auto"/>
              </w:rPr>
            </w:pPr>
          </w:p>
        </w:tc>
      </w:tr>
      <w:tr>
        <w:trPr>
          <w:trHeight w:val="223"/>
        </w:trPr>
        <w:tc>
          <w:tcPr>
            <w:tcW w:w="1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color w:val="auto"/>
              </w:rPr>
              <w:t>TX</w:t>
            </w:r>
          </w:p>
        </w:tc>
        <w:tc>
          <w:tcPr>
            <w:tcW w:w="620" w:type="dxa"/>
            <w:vAlign w:val="bottom"/>
            <w:vMerge w:val="continue"/>
          </w:tcPr>
          <w:p>
            <w:pPr>
              <w:spacing w:after="0"/>
              <w:rPr>
                <w:sz w:val="19"/>
                <w:szCs w:val="19"/>
                <w:color w:val="auto"/>
              </w:rPr>
            </w:pPr>
          </w:p>
        </w:tc>
        <w:tc>
          <w:tcPr>
            <w:tcW w:w="740" w:type="dxa"/>
            <w:vAlign w:val="bottom"/>
            <w:gridSpan w:val="3"/>
            <w:vMerge w:val="continue"/>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640" w:type="dxa"/>
            <w:vAlign w:val="bottom"/>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640" w:type="dxa"/>
            <w:vAlign w:val="bottom"/>
            <w:vMerge w:val="restart"/>
            <w:shd w:val="clear" w:color="auto" w:fill="E6E6E6"/>
          </w:tcPr>
          <w:p>
            <w:pPr>
              <w:ind w:left="40"/>
              <w:spacing w:after="0"/>
              <w:rPr>
                <w:sz w:val="20"/>
                <w:szCs w:val="20"/>
                <w:color w:val="auto"/>
              </w:rPr>
            </w:pPr>
            <w:r>
              <w:rPr>
                <w:rFonts w:ascii="Arial" w:cs="Arial" w:eastAsia="Arial" w:hAnsi="Arial"/>
                <w:sz w:val="16"/>
                <w:szCs w:val="16"/>
                <w:color w:val="auto"/>
              </w:rPr>
              <w:t>Mountain Wind 1</w:t>
            </w:r>
          </w:p>
        </w:tc>
        <w:tc>
          <w:tcPr>
            <w:tcW w:w="80" w:type="dxa"/>
            <w:vAlign w:val="bottom"/>
            <w:shd w:val="clear" w:color="auto" w:fill="E6E6E6"/>
          </w:tcPr>
          <w:p>
            <w:pPr>
              <w:spacing w:after="0"/>
              <w:rPr>
                <w:sz w:val="16"/>
                <w:szCs w:val="16"/>
                <w:color w:val="auto"/>
              </w:rPr>
            </w:pPr>
          </w:p>
        </w:tc>
        <w:tc>
          <w:tcPr>
            <w:tcW w:w="1300" w:type="dxa"/>
            <w:vAlign w:val="bottom"/>
            <w:gridSpan w:val="2"/>
            <w:shd w:val="clear" w:color="auto" w:fill="E6E6E6"/>
          </w:tcPr>
          <w:p>
            <w:pPr>
              <w:ind w:left="40"/>
              <w:spacing w:after="0"/>
              <w:rPr>
                <w:sz w:val="20"/>
                <w:szCs w:val="20"/>
                <w:color w:val="auto"/>
              </w:rPr>
            </w:pPr>
            <w:r>
              <w:rPr>
                <w:rFonts w:ascii="Arial" w:cs="Arial" w:eastAsia="Arial" w:hAnsi="Arial"/>
                <w:sz w:val="16"/>
                <w:szCs w:val="16"/>
                <w:color w:val="auto"/>
              </w:rPr>
              <w:t>Uinta County,</w:t>
            </w:r>
          </w:p>
        </w:tc>
        <w:tc>
          <w:tcPr>
            <w:tcW w:w="62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61</w:t>
            </w:r>
          </w:p>
        </w:tc>
        <w:tc>
          <w:tcPr>
            <w:tcW w:w="740" w:type="dxa"/>
            <w:vAlign w:val="bottom"/>
            <w:gridSpan w:val="3"/>
            <w:vMerge w:val="restart"/>
            <w:shd w:val="clear" w:color="auto" w:fill="E6E6E6"/>
          </w:tcPr>
          <w:p>
            <w:pPr>
              <w:jc w:val="right"/>
              <w:spacing w:after="0"/>
              <w:rPr>
                <w:sz w:val="20"/>
                <w:szCs w:val="20"/>
                <w:color w:val="auto"/>
              </w:rPr>
            </w:pPr>
            <w:r>
              <w:rPr>
                <w:rFonts w:ascii="Arial" w:cs="Arial" w:eastAsia="Arial" w:hAnsi="Arial"/>
                <w:sz w:val="16"/>
                <w:szCs w:val="16"/>
                <w:color w:val="auto"/>
              </w:rPr>
              <w:t>61</w:t>
            </w:r>
          </w:p>
        </w:tc>
        <w:tc>
          <w:tcPr>
            <w:tcW w:w="800" w:type="dxa"/>
            <w:vAlign w:val="bottom"/>
            <w:gridSpan w:val="2"/>
            <w:vMerge w:val="restart"/>
            <w:shd w:val="clear" w:color="auto" w:fill="E6E6E6"/>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E6E6E6"/>
          </w:tcPr>
          <w:p>
            <w:pPr>
              <w:spacing w:after="0"/>
              <w:rPr>
                <w:sz w:val="16"/>
                <w:szCs w:val="16"/>
                <w:color w:val="auto"/>
              </w:rPr>
            </w:pPr>
          </w:p>
        </w:tc>
        <w:tc>
          <w:tcPr>
            <w:tcW w:w="940" w:type="dxa"/>
            <w:vAlign w:val="bottom"/>
            <w:vMerge w:val="restart"/>
            <w:shd w:val="clear" w:color="auto" w:fill="E6E6E6"/>
          </w:tcPr>
          <w:p>
            <w:pPr>
              <w:ind w:left="60"/>
              <w:spacing w:after="0"/>
              <w:rPr>
                <w:sz w:val="20"/>
                <w:szCs w:val="20"/>
                <w:color w:val="auto"/>
              </w:rPr>
            </w:pPr>
            <w:r>
              <w:rPr>
                <w:rFonts w:ascii="Arial" w:cs="Arial" w:eastAsia="Arial" w:hAnsi="Arial"/>
                <w:sz w:val="16"/>
                <w:szCs w:val="16"/>
                <w:color w:val="auto"/>
              </w:rPr>
              <w:t>Wind</w:t>
            </w:r>
          </w:p>
        </w:tc>
        <w:tc>
          <w:tcPr>
            <w:tcW w:w="80" w:type="dxa"/>
            <w:vAlign w:val="bottom"/>
            <w:shd w:val="clear" w:color="auto" w:fill="E6E6E6"/>
          </w:tcPr>
          <w:p>
            <w:pPr>
              <w:spacing w:after="0"/>
              <w:rPr>
                <w:sz w:val="16"/>
                <w:szCs w:val="16"/>
                <w:color w:val="auto"/>
              </w:rPr>
            </w:pPr>
          </w:p>
        </w:tc>
        <w:tc>
          <w:tcPr>
            <w:tcW w:w="1260" w:type="dxa"/>
            <w:vAlign w:val="bottom"/>
            <w:gridSpan w:val="2"/>
            <w:vMerge w:val="restart"/>
            <w:shd w:val="clear" w:color="auto" w:fill="E6E6E6"/>
          </w:tcPr>
          <w:p>
            <w:pPr>
              <w:ind w:left="60"/>
              <w:spacing w:after="0"/>
              <w:rPr>
                <w:sz w:val="20"/>
                <w:szCs w:val="20"/>
                <w:color w:val="auto"/>
              </w:rPr>
            </w:pPr>
            <w:r>
              <w:rPr>
                <w:rFonts w:ascii="Arial" w:cs="Arial" w:eastAsia="Arial" w:hAnsi="Arial"/>
                <w:sz w:val="16"/>
                <w:szCs w:val="16"/>
                <w:color w:val="auto"/>
              </w:rPr>
              <w:t>July 2008</w:t>
            </w:r>
          </w:p>
        </w:tc>
        <w:tc>
          <w:tcPr>
            <w:tcW w:w="1640" w:type="dxa"/>
            <w:vAlign w:val="bottom"/>
            <w:vMerge w:val="restart"/>
            <w:shd w:val="clear" w:color="auto" w:fill="E6E6E6"/>
          </w:tcPr>
          <w:p>
            <w:pPr>
              <w:ind w:left="60"/>
              <w:spacing w:after="0"/>
              <w:rPr>
                <w:sz w:val="20"/>
                <w:szCs w:val="20"/>
                <w:color w:val="auto"/>
              </w:rPr>
            </w:pPr>
            <w:r>
              <w:rPr>
                <w:rFonts w:ascii="Arial" w:cs="Arial" w:eastAsia="Arial" w:hAnsi="Arial"/>
                <w:sz w:val="16"/>
                <w:szCs w:val="16"/>
                <w:color w:val="auto"/>
              </w:rPr>
              <w:t>PacifiCorp</w:t>
            </w:r>
          </w:p>
        </w:tc>
        <w:tc>
          <w:tcPr>
            <w:tcW w:w="1020" w:type="dxa"/>
            <w:vAlign w:val="bottom"/>
            <w:gridSpan w:val="2"/>
            <w:vMerge w:val="restart"/>
            <w:shd w:val="clear" w:color="auto" w:fill="E6E6E6"/>
          </w:tcPr>
          <w:p>
            <w:pPr>
              <w:jc w:val="right"/>
              <w:spacing w:after="0"/>
              <w:rPr>
                <w:sz w:val="20"/>
                <w:szCs w:val="20"/>
                <w:color w:val="auto"/>
              </w:rPr>
            </w:pPr>
            <w:r>
              <w:rPr>
                <w:rFonts w:ascii="Arial" w:cs="Arial" w:eastAsia="Arial" w:hAnsi="Arial"/>
                <w:sz w:val="16"/>
                <w:szCs w:val="16"/>
                <w:color w:val="auto"/>
              </w:rPr>
              <w:t>2033</w:t>
            </w:r>
          </w:p>
        </w:tc>
        <w:tc>
          <w:tcPr>
            <w:tcW w:w="0" w:type="dxa"/>
            <w:vAlign w:val="bottom"/>
          </w:tcPr>
          <w:p>
            <w:pPr>
              <w:spacing w:after="0"/>
              <w:rPr>
                <w:sz w:val="1"/>
                <w:szCs w:val="1"/>
                <w:color w:val="auto"/>
              </w:rPr>
            </w:pPr>
          </w:p>
        </w:tc>
      </w:tr>
      <w:tr>
        <w:trPr>
          <w:trHeight w:val="223"/>
        </w:trPr>
        <w:tc>
          <w:tcPr>
            <w:tcW w:w="1640" w:type="dxa"/>
            <w:vAlign w:val="bottom"/>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300" w:type="dxa"/>
            <w:vAlign w:val="bottom"/>
            <w:gridSpan w:val="2"/>
            <w:shd w:val="clear" w:color="auto" w:fill="E6E6E6"/>
          </w:tcPr>
          <w:p>
            <w:pPr>
              <w:ind w:left="40"/>
              <w:spacing w:after="0"/>
              <w:rPr>
                <w:sz w:val="20"/>
                <w:szCs w:val="20"/>
                <w:color w:val="auto"/>
              </w:rPr>
            </w:pPr>
            <w:r>
              <w:rPr>
                <w:rFonts w:ascii="Arial" w:cs="Arial" w:eastAsia="Arial" w:hAnsi="Arial"/>
                <w:sz w:val="16"/>
                <w:szCs w:val="16"/>
                <w:color w:val="auto"/>
              </w:rPr>
              <w:t>Wyoming</w:t>
            </w:r>
          </w:p>
        </w:tc>
        <w:tc>
          <w:tcPr>
            <w:tcW w:w="620" w:type="dxa"/>
            <w:vAlign w:val="bottom"/>
            <w:vMerge w:val="continue"/>
            <w:shd w:val="clear" w:color="auto" w:fill="E6E6E6"/>
          </w:tcPr>
          <w:p>
            <w:pPr>
              <w:spacing w:after="0"/>
              <w:rPr>
                <w:sz w:val="19"/>
                <w:szCs w:val="19"/>
                <w:color w:val="auto"/>
              </w:rPr>
            </w:pPr>
          </w:p>
        </w:tc>
        <w:tc>
          <w:tcPr>
            <w:tcW w:w="740" w:type="dxa"/>
            <w:vAlign w:val="bottom"/>
            <w:gridSpan w:val="3"/>
            <w:vMerge w:val="continue"/>
            <w:shd w:val="clear" w:color="auto" w:fill="E6E6E6"/>
          </w:tcPr>
          <w:p>
            <w:pPr>
              <w:spacing w:after="0"/>
              <w:rPr>
                <w:sz w:val="19"/>
                <w:szCs w:val="19"/>
                <w:color w:val="auto"/>
              </w:rPr>
            </w:pPr>
          </w:p>
        </w:tc>
        <w:tc>
          <w:tcPr>
            <w:tcW w:w="800" w:type="dxa"/>
            <w:vAlign w:val="bottom"/>
            <w:gridSpan w:val="2"/>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940" w:type="dxa"/>
            <w:vAlign w:val="bottom"/>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260" w:type="dxa"/>
            <w:vAlign w:val="bottom"/>
            <w:gridSpan w:val="2"/>
            <w:vMerge w:val="continue"/>
            <w:shd w:val="clear" w:color="auto" w:fill="E6E6E6"/>
          </w:tcPr>
          <w:p>
            <w:pPr>
              <w:spacing w:after="0"/>
              <w:rPr>
                <w:sz w:val="19"/>
                <w:szCs w:val="19"/>
                <w:color w:val="auto"/>
              </w:rPr>
            </w:pPr>
          </w:p>
        </w:tc>
        <w:tc>
          <w:tcPr>
            <w:tcW w:w="1640" w:type="dxa"/>
            <w:vAlign w:val="bottom"/>
            <w:vMerge w:val="continue"/>
            <w:shd w:val="clear" w:color="auto" w:fill="E6E6E6"/>
          </w:tcPr>
          <w:p>
            <w:pPr>
              <w:spacing w:after="0"/>
              <w:rPr>
                <w:sz w:val="19"/>
                <w:szCs w:val="19"/>
                <w:color w:val="auto"/>
              </w:rPr>
            </w:pPr>
          </w:p>
        </w:tc>
        <w:tc>
          <w:tcPr>
            <w:tcW w:w="1020" w:type="dxa"/>
            <w:vAlign w:val="bottom"/>
            <w:gridSpan w:val="2"/>
            <w:vMerge w:val="continue"/>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640" w:type="dxa"/>
            <w:vAlign w:val="bottom"/>
            <w:vMerge w:val="restart"/>
          </w:tcPr>
          <w:p>
            <w:pPr>
              <w:ind w:left="40"/>
              <w:spacing w:after="0"/>
              <w:rPr>
                <w:sz w:val="20"/>
                <w:szCs w:val="20"/>
                <w:color w:val="auto"/>
              </w:rPr>
            </w:pPr>
            <w:r>
              <w:rPr>
                <w:rFonts w:ascii="Arial" w:cs="Arial" w:eastAsia="Arial" w:hAnsi="Arial"/>
                <w:sz w:val="16"/>
                <w:szCs w:val="16"/>
                <w:color w:val="auto"/>
              </w:rPr>
              <w:t>Mountain Wind 2</w:t>
            </w:r>
          </w:p>
        </w:tc>
        <w:tc>
          <w:tcPr>
            <w:tcW w:w="8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color w:val="auto"/>
              </w:rPr>
              <w:t>Uinta County,</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80</w:t>
            </w:r>
          </w:p>
        </w:tc>
        <w:tc>
          <w:tcPr>
            <w:tcW w:w="740" w:type="dxa"/>
            <w:vAlign w:val="bottom"/>
            <w:gridSpan w:val="3"/>
            <w:vMerge w:val="restart"/>
          </w:tcPr>
          <w:p>
            <w:pPr>
              <w:jc w:val="right"/>
              <w:spacing w:after="0"/>
              <w:rPr>
                <w:sz w:val="20"/>
                <w:szCs w:val="20"/>
                <w:color w:val="auto"/>
              </w:rPr>
            </w:pPr>
            <w:r>
              <w:rPr>
                <w:rFonts w:ascii="Arial" w:cs="Arial" w:eastAsia="Arial" w:hAnsi="Arial"/>
                <w:sz w:val="16"/>
                <w:szCs w:val="16"/>
                <w:color w:val="auto"/>
              </w:rPr>
              <w:t>80</w:t>
            </w:r>
          </w:p>
        </w:tc>
        <w:tc>
          <w:tcPr>
            <w:tcW w:w="800" w:type="dxa"/>
            <w:vAlign w:val="bottom"/>
            <w:gridSpan w:val="2"/>
            <w:vMerge w:val="restart"/>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16"/>
                <w:szCs w:val="16"/>
                <w:color w:val="auto"/>
              </w:rPr>
            </w:pPr>
          </w:p>
        </w:tc>
        <w:tc>
          <w:tcPr>
            <w:tcW w:w="940" w:type="dxa"/>
            <w:vAlign w:val="bottom"/>
            <w:vMerge w:val="restart"/>
          </w:tcPr>
          <w:p>
            <w:pPr>
              <w:ind w:left="60"/>
              <w:spacing w:after="0"/>
              <w:rPr>
                <w:sz w:val="20"/>
                <w:szCs w:val="20"/>
                <w:color w:val="auto"/>
              </w:rPr>
            </w:pPr>
            <w:r>
              <w:rPr>
                <w:rFonts w:ascii="Arial" w:cs="Arial" w:eastAsia="Arial" w:hAnsi="Arial"/>
                <w:sz w:val="16"/>
                <w:szCs w:val="16"/>
                <w:color w:val="auto"/>
              </w:rPr>
              <w:t>Wind</w:t>
            </w:r>
          </w:p>
        </w:tc>
        <w:tc>
          <w:tcPr>
            <w:tcW w:w="80" w:type="dxa"/>
            <w:vAlign w:val="bottom"/>
          </w:tcPr>
          <w:p>
            <w:pPr>
              <w:spacing w:after="0"/>
              <w:rPr>
                <w:sz w:val="16"/>
                <w:szCs w:val="16"/>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6"/>
                <w:szCs w:val="16"/>
                <w:color w:val="auto"/>
                <w:w w:val="99"/>
              </w:rPr>
              <w:t>September 2008</w:t>
            </w:r>
          </w:p>
        </w:tc>
        <w:tc>
          <w:tcPr>
            <w:tcW w:w="1640" w:type="dxa"/>
            <w:vAlign w:val="bottom"/>
            <w:vMerge w:val="restart"/>
          </w:tcPr>
          <w:p>
            <w:pPr>
              <w:ind w:left="60"/>
              <w:spacing w:after="0"/>
              <w:rPr>
                <w:sz w:val="20"/>
                <w:szCs w:val="20"/>
                <w:color w:val="auto"/>
              </w:rPr>
            </w:pPr>
            <w:r>
              <w:rPr>
                <w:rFonts w:ascii="Arial" w:cs="Arial" w:eastAsia="Arial" w:hAnsi="Arial"/>
                <w:sz w:val="16"/>
                <w:szCs w:val="16"/>
                <w:color w:val="auto"/>
              </w:rPr>
              <w:t>PacifiCorp</w:t>
            </w: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color w:val="auto"/>
              </w:rPr>
              <w:t>2033</w:t>
            </w:r>
          </w:p>
        </w:tc>
        <w:tc>
          <w:tcPr>
            <w:tcW w:w="0" w:type="dxa"/>
            <w:vAlign w:val="bottom"/>
          </w:tcPr>
          <w:p>
            <w:pPr>
              <w:spacing w:after="0"/>
              <w:rPr>
                <w:sz w:val="1"/>
                <w:szCs w:val="1"/>
                <w:color w:val="auto"/>
              </w:rPr>
            </w:pPr>
          </w:p>
        </w:tc>
      </w:tr>
      <w:tr>
        <w:trPr>
          <w:trHeight w:val="216"/>
        </w:trPr>
        <w:tc>
          <w:tcPr>
            <w:tcW w:w="1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color w:val="auto"/>
              </w:rPr>
              <w:t>Wyoming</w:t>
            </w:r>
          </w:p>
        </w:tc>
        <w:tc>
          <w:tcPr>
            <w:tcW w:w="620" w:type="dxa"/>
            <w:vAlign w:val="bottom"/>
            <w:vMerge w:val="continue"/>
          </w:tcPr>
          <w:p>
            <w:pPr>
              <w:spacing w:after="0"/>
              <w:rPr>
                <w:sz w:val="18"/>
                <w:szCs w:val="18"/>
                <w:color w:val="auto"/>
              </w:rPr>
            </w:pPr>
          </w:p>
        </w:tc>
        <w:tc>
          <w:tcPr>
            <w:tcW w:w="740" w:type="dxa"/>
            <w:vAlign w:val="bottom"/>
            <w:gridSpan w:val="3"/>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640" w:type="dxa"/>
            <w:vAlign w:val="bottom"/>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640" w:type="dxa"/>
            <w:vAlign w:val="bottom"/>
            <w:vMerge w:val="restart"/>
            <w:shd w:val="clear" w:color="auto" w:fill="E6E6E6"/>
          </w:tcPr>
          <w:p>
            <w:pPr>
              <w:ind w:left="40"/>
              <w:spacing w:after="0"/>
              <w:rPr>
                <w:sz w:val="20"/>
                <w:szCs w:val="20"/>
                <w:color w:val="auto"/>
              </w:rPr>
            </w:pPr>
            <w:r>
              <w:rPr>
                <w:rFonts w:ascii="Arial" w:cs="Arial" w:eastAsia="Arial" w:hAnsi="Arial"/>
                <w:sz w:val="16"/>
                <w:szCs w:val="16"/>
                <w:color w:val="auto"/>
              </w:rPr>
              <w:t>Mt. Storm</w:t>
            </w:r>
          </w:p>
        </w:tc>
        <w:tc>
          <w:tcPr>
            <w:tcW w:w="80" w:type="dxa"/>
            <w:vAlign w:val="bottom"/>
            <w:shd w:val="clear" w:color="auto" w:fill="E6E6E6"/>
          </w:tcPr>
          <w:p>
            <w:pPr>
              <w:spacing w:after="0"/>
              <w:rPr>
                <w:sz w:val="17"/>
                <w:szCs w:val="17"/>
                <w:color w:val="auto"/>
              </w:rPr>
            </w:pPr>
          </w:p>
        </w:tc>
        <w:tc>
          <w:tcPr>
            <w:tcW w:w="1300" w:type="dxa"/>
            <w:vAlign w:val="bottom"/>
            <w:gridSpan w:val="2"/>
            <w:shd w:val="clear" w:color="auto" w:fill="E6E6E6"/>
          </w:tcPr>
          <w:p>
            <w:pPr>
              <w:ind w:left="40"/>
              <w:spacing w:after="0"/>
              <w:rPr>
                <w:sz w:val="20"/>
                <w:szCs w:val="20"/>
                <w:color w:val="auto"/>
              </w:rPr>
            </w:pPr>
            <w:r>
              <w:rPr>
                <w:rFonts w:ascii="Arial" w:cs="Arial" w:eastAsia="Arial" w:hAnsi="Arial"/>
                <w:sz w:val="16"/>
                <w:szCs w:val="16"/>
                <w:color w:val="auto"/>
              </w:rPr>
              <w:t>Grant County,</w:t>
            </w:r>
          </w:p>
        </w:tc>
        <w:tc>
          <w:tcPr>
            <w:tcW w:w="62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264</w:t>
            </w:r>
          </w:p>
        </w:tc>
        <w:tc>
          <w:tcPr>
            <w:tcW w:w="740" w:type="dxa"/>
            <w:vAlign w:val="bottom"/>
            <w:gridSpan w:val="3"/>
            <w:vMerge w:val="restart"/>
            <w:shd w:val="clear" w:color="auto" w:fill="E6E6E6"/>
          </w:tcPr>
          <w:p>
            <w:pPr>
              <w:jc w:val="right"/>
              <w:spacing w:after="0"/>
              <w:rPr>
                <w:sz w:val="20"/>
                <w:szCs w:val="20"/>
                <w:color w:val="auto"/>
              </w:rPr>
            </w:pPr>
            <w:r>
              <w:rPr>
                <w:rFonts w:ascii="Arial" w:cs="Arial" w:eastAsia="Arial" w:hAnsi="Arial"/>
                <w:sz w:val="16"/>
                <w:szCs w:val="16"/>
                <w:color w:val="auto"/>
              </w:rPr>
              <w:t>264</w:t>
            </w:r>
          </w:p>
        </w:tc>
        <w:tc>
          <w:tcPr>
            <w:tcW w:w="800" w:type="dxa"/>
            <w:vAlign w:val="bottom"/>
            <w:gridSpan w:val="2"/>
            <w:vMerge w:val="restart"/>
            <w:shd w:val="clear" w:color="auto" w:fill="E6E6E6"/>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E6E6E6"/>
          </w:tcPr>
          <w:p>
            <w:pPr>
              <w:spacing w:after="0"/>
              <w:rPr>
                <w:sz w:val="17"/>
                <w:szCs w:val="17"/>
                <w:color w:val="auto"/>
              </w:rPr>
            </w:pPr>
          </w:p>
        </w:tc>
        <w:tc>
          <w:tcPr>
            <w:tcW w:w="940" w:type="dxa"/>
            <w:vAlign w:val="bottom"/>
            <w:vMerge w:val="restart"/>
            <w:shd w:val="clear" w:color="auto" w:fill="E6E6E6"/>
          </w:tcPr>
          <w:p>
            <w:pPr>
              <w:ind w:left="60"/>
              <w:spacing w:after="0"/>
              <w:rPr>
                <w:sz w:val="20"/>
                <w:szCs w:val="20"/>
                <w:color w:val="auto"/>
              </w:rPr>
            </w:pPr>
            <w:r>
              <w:rPr>
                <w:rFonts w:ascii="Arial" w:cs="Arial" w:eastAsia="Arial" w:hAnsi="Arial"/>
                <w:sz w:val="16"/>
                <w:szCs w:val="16"/>
                <w:color w:val="auto"/>
              </w:rPr>
              <w:t>Wind</w:t>
            </w:r>
          </w:p>
        </w:tc>
        <w:tc>
          <w:tcPr>
            <w:tcW w:w="80" w:type="dxa"/>
            <w:vAlign w:val="bottom"/>
            <w:shd w:val="clear" w:color="auto" w:fill="E6E6E6"/>
          </w:tcPr>
          <w:p>
            <w:pPr>
              <w:spacing w:after="0"/>
              <w:rPr>
                <w:sz w:val="17"/>
                <w:szCs w:val="17"/>
                <w:color w:val="auto"/>
              </w:rPr>
            </w:pPr>
          </w:p>
        </w:tc>
        <w:tc>
          <w:tcPr>
            <w:tcW w:w="1260" w:type="dxa"/>
            <w:vAlign w:val="bottom"/>
            <w:gridSpan w:val="2"/>
            <w:vMerge w:val="restart"/>
            <w:shd w:val="clear" w:color="auto" w:fill="E6E6E6"/>
          </w:tcPr>
          <w:p>
            <w:pPr>
              <w:ind w:left="60"/>
              <w:spacing w:after="0"/>
              <w:rPr>
                <w:sz w:val="20"/>
                <w:szCs w:val="20"/>
                <w:color w:val="auto"/>
              </w:rPr>
            </w:pPr>
            <w:r>
              <w:rPr>
                <w:rFonts w:ascii="Arial" w:cs="Arial" w:eastAsia="Arial" w:hAnsi="Arial"/>
                <w:sz w:val="16"/>
                <w:szCs w:val="16"/>
                <w:color w:val="auto"/>
              </w:rPr>
              <w:t>October 2008</w:t>
            </w:r>
          </w:p>
        </w:tc>
        <w:tc>
          <w:tcPr>
            <w:tcW w:w="1640" w:type="dxa"/>
            <w:vAlign w:val="bottom"/>
            <w:vMerge w:val="restart"/>
            <w:shd w:val="clear" w:color="auto" w:fill="E6E6E6"/>
          </w:tcPr>
          <w:p>
            <w:pPr>
              <w:ind w:left="60"/>
              <w:spacing w:after="0"/>
              <w:rPr>
                <w:sz w:val="20"/>
                <w:szCs w:val="20"/>
                <w:color w:val="auto"/>
              </w:rPr>
            </w:pPr>
            <w:r>
              <w:rPr>
                <w:rFonts w:ascii="Arial" w:cs="Arial" w:eastAsia="Arial" w:hAnsi="Arial"/>
                <w:sz w:val="16"/>
                <w:szCs w:val="16"/>
                <w:color w:val="auto"/>
              </w:rPr>
              <w:t>Citigroup</w:t>
            </w:r>
          </w:p>
        </w:tc>
        <w:tc>
          <w:tcPr>
            <w:tcW w:w="1020" w:type="dxa"/>
            <w:vAlign w:val="bottom"/>
            <w:gridSpan w:val="2"/>
            <w:vMerge w:val="restart"/>
            <w:shd w:val="clear" w:color="auto" w:fill="E6E6E6"/>
          </w:tcPr>
          <w:p>
            <w:pPr>
              <w:jc w:val="right"/>
              <w:spacing w:after="0"/>
              <w:rPr>
                <w:sz w:val="20"/>
                <w:szCs w:val="20"/>
                <w:color w:val="auto"/>
              </w:rPr>
            </w:pPr>
            <w:r>
              <w:rPr>
                <w:rFonts w:ascii="Arial" w:cs="Arial" w:eastAsia="Arial" w:hAnsi="Arial"/>
                <w:sz w:val="16"/>
                <w:szCs w:val="16"/>
                <w:color w:val="auto"/>
              </w:rPr>
              <w:t>2031</w:t>
            </w:r>
          </w:p>
        </w:tc>
        <w:tc>
          <w:tcPr>
            <w:tcW w:w="0" w:type="dxa"/>
            <w:vAlign w:val="bottom"/>
          </w:tcPr>
          <w:p>
            <w:pPr>
              <w:spacing w:after="0"/>
              <w:rPr>
                <w:sz w:val="1"/>
                <w:szCs w:val="1"/>
                <w:color w:val="auto"/>
              </w:rPr>
            </w:pPr>
          </w:p>
        </w:tc>
      </w:tr>
      <w:tr>
        <w:trPr>
          <w:trHeight w:val="223"/>
        </w:trPr>
        <w:tc>
          <w:tcPr>
            <w:tcW w:w="1640" w:type="dxa"/>
            <w:vAlign w:val="bottom"/>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300" w:type="dxa"/>
            <w:vAlign w:val="bottom"/>
            <w:gridSpan w:val="2"/>
            <w:shd w:val="clear" w:color="auto" w:fill="E6E6E6"/>
          </w:tcPr>
          <w:p>
            <w:pPr>
              <w:ind w:left="40"/>
              <w:spacing w:after="0"/>
              <w:rPr>
                <w:sz w:val="20"/>
                <w:szCs w:val="20"/>
                <w:color w:val="auto"/>
              </w:rPr>
            </w:pPr>
            <w:r>
              <w:rPr>
                <w:rFonts w:ascii="Arial" w:cs="Arial" w:eastAsia="Arial" w:hAnsi="Arial"/>
                <w:sz w:val="16"/>
                <w:szCs w:val="16"/>
                <w:color w:val="auto"/>
              </w:rPr>
              <w:t>WV</w:t>
            </w:r>
          </w:p>
        </w:tc>
        <w:tc>
          <w:tcPr>
            <w:tcW w:w="620" w:type="dxa"/>
            <w:vAlign w:val="bottom"/>
            <w:vMerge w:val="continue"/>
            <w:shd w:val="clear" w:color="auto" w:fill="E6E6E6"/>
          </w:tcPr>
          <w:p>
            <w:pPr>
              <w:spacing w:after="0"/>
              <w:rPr>
                <w:sz w:val="19"/>
                <w:szCs w:val="19"/>
                <w:color w:val="auto"/>
              </w:rPr>
            </w:pPr>
          </w:p>
        </w:tc>
        <w:tc>
          <w:tcPr>
            <w:tcW w:w="740" w:type="dxa"/>
            <w:vAlign w:val="bottom"/>
            <w:gridSpan w:val="3"/>
            <w:vMerge w:val="continue"/>
            <w:shd w:val="clear" w:color="auto" w:fill="E6E6E6"/>
          </w:tcPr>
          <w:p>
            <w:pPr>
              <w:spacing w:after="0"/>
              <w:rPr>
                <w:sz w:val="19"/>
                <w:szCs w:val="19"/>
                <w:color w:val="auto"/>
              </w:rPr>
            </w:pPr>
          </w:p>
        </w:tc>
        <w:tc>
          <w:tcPr>
            <w:tcW w:w="800" w:type="dxa"/>
            <w:vAlign w:val="bottom"/>
            <w:gridSpan w:val="2"/>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940" w:type="dxa"/>
            <w:vAlign w:val="bottom"/>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260" w:type="dxa"/>
            <w:vAlign w:val="bottom"/>
            <w:gridSpan w:val="2"/>
            <w:vMerge w:val="continue"/>
            <w:shd w:val="clear" w:color="auto" w:fill="E6E6E6"/>
          </w:tcPr>
          <w:p>
            <w:pPr>
              <w:spacing w:after="0"/>
              <w:rPr>
                <w:sz w:val="19"/>
                <w:szCs w:val="19"/>
                <w:color w:val="auto"/>
              </w:rPr>
            </w:pPr>
          </w:p>
        </w:tc>
        <w:tc>
          <w:tcPr>
            <w:tcW w:w="1640" w:type="dxa"/>
            <w:vAlign w:val="bottom"/>
            <w:vMerge w:val="continue"/>
            <w:shd w:val="clear" w:color="auto" w:fill="E6E6E6"/>
          </w:tcPr>
          <w:p>
            <w:pPr>
              <w:spacing w:after="0"/>
              <w:rPr>
                <w:sz w:val="19"/>
                <w:szCs w:val="19"/>
                <w:color w:val="auto"/>
              </w:rPr>
            </w:pPr>
          </w:p>
        </w:tc>
        <w:tc>
          <w:tcPr>
            <w:tcW w:w="1020" w:type="dxa"/>
            <w:vAlign w:val="bottom"/>
            <w:gridSpan w:val="2"/>
            <w:vMerge w:val="continue"/>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640" w:type="dxa"/>
            <w:vAlign w:val="bottom"/>
          </w:tcPr>
          <w:p>
            <w:pPr>
              <w:ind w:left="40"/>
              <w:spacing w:after="0"/>
              <w:rPr>
                <w:sz w:val="20"/>
                <w:szCs w:val="20"/>
                <w:color w:val="auto"/>
              </w:rPr>
            </w:pPr>
            <w:r>
              <w:rPr>
                <w:rFonts w:ascii="Arial" w:cs="Arial" w:eastAsia="Arial" w:hAnsi="Arial"/>
                <w:sz w:val="16"/>
                <w:szCs w:val="16"/>
                <w:color w:val="auto"/>
              </w:rPr>
              <w:t>Ocotillo</w:t>
            </w:r>
          </w:p>
        </w:tc>
        <w:tc>
          <w:tcPr>
            <w:tcW w:w="80" w:type="dxa"/>
            <w:vAlign w:val="bottom"/>
          </w:tcPr>
          <w:p>
            <w:pPr>
              <w:spacing w:after="0"/>
              <w:rPr>
                <w:sz w:val="21"/>
                <w:szCs w:val="21"/>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color w:val="auto"/>
              </w:rPr>
              <w:t>Forsan, TX</w:t>
            </w:r>
          </w:p>
        </w:tc>
        <w:tc>
          <w:tcPr>
            <w:tcW w:w="620" w:type="dxa"/>
            <w:vAlign w:val="bottom"/>
          </w:tcPr>
          <w:p>
            <w:pPr>
              <w:jc w:val="right"/>
              <w:spacing w:after="0"/>
              <w:rPr>
                <w:sz w:val="20"/>
                <w:szCs w:val="20"/>
                <w:color w:val="auto"/>
              </w:rPr>
            </w:pPr>
            <w:r>
              <w:rPr>
                <w:rFonts w:ascii="Arial" w:cs="Arial" w:eastAsia="Arial" w:hAnsi="Arial"/>
                <w:sz w:val="16"/>
                <w:szCs w:val="16"/>
                <w:color w:val="auto"/>
              </w:rPr>
              <w:t>55</w:t>
            </w: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55</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21"/>
                <w:szCs w:val="21"/>
                <w:color w:val="auto"/>
              </w:rPr>
            </w:pPr>
          </w:p>
        </w:tc>
        <w:tc>
          <w:tcPr>
            <w:tcW w:w="940" w:type="dxa"/>
            <w:vAlign w:val="bottom"/>
          </w:tcPr>
          <w:p>
            <w:pPr>
              <w:ind w:left="60"/>
              <w:spacing w:after="0"/>
              <w:rPr>
                <w:sz w:val="20"/>
                <w:szCs w:val="20"/>
                <w:color w:val="auto"/>
              </w:rPr>
            </w:pPr>
            <w:r>
              <w:rPr>
                <w:rFonts w:ascii="Arial" w:cs="Arial" w:eastAsia="Arial" w:hAnsi="Arial"/>
                <w:sz w:val="16"/>
                <w:szCs w:val="16"/>
                <w:color w:val="auto"/>
              </w:rPr>
              <w:t>Wind</w:t>
            </w:r>
          </w:p>
        </w:tc>
        <w:tc>
          <w:tcPr>
            <w:tcW w:w="80" w:type="dxa"/>
            <w:vAlign w:val="bottom"/>
          </w:tcPr>
          <w:p>
            <w:pPr>
              <w:spacing w:after="0"/>
              <w:rPr>
                <w:sz w:val="21"/>
                <w:szCs w:val="21"/>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December 2023</w:t>
            </w:r>
          </w:p>
        </w:tc>
        <w:tc>
          <w:tcPr>
            <w:tcW w:w="1640" w:type="dxa"/>
            <w:vAlign w:val="bottom"/>
          </w:tcPr>
          <w:p>
            <w:pPr>
              <w:ind w:left="60"/>
              <w:spacing w:after="0"/>
              <w:rPr>
                <w:sz w:val="20"/>
                <w:szCs w:val="20"/>
                <w:color w:val="auto"/>
              </w:rPr>
            </w:pPr>
            <w:r>
              <w:rPr>
                <w:rFonts w:ascii="Arial" w:cs="Arial" w:eastAsia="Arial" w:hAnsi="Arial"/>
                <w:sz w:val="16"/>
                <w:szCs w:val="16"/>
                <w:color w:val="auto"/>
              </w:rPr>
              <w:t>N/A</w:t>
            </w: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640" w:type="dxa"/>
            <w:vAlign w:val="bottom"/>
            <w:vMerge w:val="restart"/>
            <w:shd w:val="clear" w:color="auto" w:fill="E6E6E6"/>
          </w:tcPr>
          <w:p>
            <w:pPr>
              <w:ind w:left="40"/>
              <w:spacing w:after="0"/>
              <w:rPr>
                <w:sz w:val="20"/>
                <w:szCs w:val="20"/>
                <w:color w:val="auto"/>
              </w:rPr>
            </w:pPr>
            <w:r>
              <w:rPr>
                <w:rFonts w:ascii="Arial" w:cs="Arial" w:eastAsia="Arial" w:hAnsi="Arial"/>
                <w:sz w:val="16"/>
                <w:szCs w:val="16"/>
                <w:color w:val="auto"/>
              </w:rPr>
              <w:t>Odin</w:t>
            </w:r>
          </w:p>
        </w:tc>
        <w:tc>
          <w:tcPr>
            <w:tcW w:w="80" w:type="dxa"/>
            <w:vAlign w:val="bottom"/>
            <w:shd w:val="clear" w:color="auto" w:fill="E6E6E6"/>
          </w:tcPr>
          <w:p>
            <w:pPr>
              <w:spacing w:after="0"/>
              <w:rPr>
                <w:sz w:val="17"/>
                <w:szCs w:val="17"/>
                <w:color w:val="auto"/>
              </w:rPr>
            </w:pPr>
          </w:p>
        </w:tc>
        <w:tc>
          <w:tcPr>
            <w:tcW w:w="1300" w:type="dxa"/>
            <w:vAlign w:val="bottom"/>
            <w:gridSpan w:val="2"/>
            <w:shd w:val="clear" w:color="auto" w:fill="E6E6E6"/>
          </w:tcPr>
          <w:p>
            <w:pPr>
              <w:ind w:left="40"/>
              <w:spacing w:after="0"/>
              <w:rPr>
                <w:sz w:val="20"/>
                <w:szCs w:val="20"/>
                <w:color w:val="auto"/>
              </w:rPr>
            </w:pPr>
            <w:r>
              <w:rPr>
                <w:rFonts w:ascii="Arial" w:cs="Arial" w:eastAsia="Arial" w:hAnsi="Arial"/>
                <w:sz w:val="16"/>
                <w:szCs w:val="16"/>
                <w:color w:val="auto"/>
              </w:rPr>
              <w:t>Mountain Lake,</w:t>
            </w:r>
          </w:p>
        </w:tc>
        <w:tc>
          <w:tcPr>
            <w:tcW w:w="62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21</w:t>
            </w:r>
          </w:p>
        </w:tc>
        <w:tc>
          <w:tcPr>
            <w:tcW w:w="740" w:type="dxa"/>
            <w:vAlign w:val="bottom"/>
            <w:gridSpan w:val="3"/>
            <w:vMerge w:val="restart"/>
            <w:shd w:val="clear" w:color="auto" w:fill="E6E6E6"/>
          </w:tcPr>
          <w:p>
            <w:pPr>
              <w:jc w:val="right"/>
              <w:spacing w:after="0"/>
              <w:rPr>
                <w:sz w:val="20"/>
                <w:szCs w:val="20"/>
                <w:color w:val="auto"/>
              </w:rPr>
            </w:pPr>
            <w:r>
              <w:rPr>
                <w:rFonts w:ascii="Arial" w:cs="Arial" w:eastAsia="Arial" w:hAnsi="Arial"/>
                <w:sz w:val="16"/>
                <w:szCs w:val="16"/>
                <w:color w:val="auto"/>
              </w:rPr>
              <w:t>21</w:t>
            </w:r>
          </w:p>
        </w:tc>
        <w:tc>
          <w:tcPr>
            <w:tcW w:w="800" w:type="dxa"/>
            <w:vAlign w:val="bottom"/>
            <w:gridSpan w:val="2"/>
            <w:vMerge w:val="restart"/>
            <w:shd w:val="clear" w:color="auto" w:fill="E6E6E6"/>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E6E6E6"/>
          </w:tcPr>
          <w:p>
            <w:pPr>
              <w:spacing w:after="0"/>
              <w:rPr>
                <w:sz w:val="17"/>
                <w:szCs w:val="17"/>
                <w:color w:val="auto"/>
              </w:rPr>
            </w:pPr>
          </w:p>
        </w:tc>
        <w:tc>
          <w:tcPr>
            <w:tcW w:w="940" w:type="dxa"/>
            <w:vAlign w:val="bottom"/>
            <w:vMerge w:val="restart"/>
            <w:shd w:val="clear" w:color="auto" w:fill="E6E6E6"/>
          </w:tcPr>
          <w:p>
            <w:pPr>
              <w:ind w:left="60"/>
              <w:spacing w:after="0"/>
              <w:rPr>
                <w:sz w:val="20"/>
                <w:szCs w:val="20"/>
                <w:color w:val="auto"/>
              </w:rPr>
            </w:pPr>
            <w:r>
              <w:rPr>
                <w:rFonts w:ascii="Arial" w:cs="Arial" w:eastAsia="Arial" w:hAnsi="Arial"/>
                <w:sz w:val="16"/>
                <w:szCs w:val="16"/>
                <w:color w:val="auto"/>
              </w:rPr>
              <w:t>Wind</w:t>
            </w:r>
          </w:p>
        </w:tc>
        <w:tc>
          <w:tcPr>
            <w:tcW w:w="80" w:type="dxa"/>
            <w:vAlign w:val="bottom"/>
            <w:shd w:val="clear" w:color="auto" w:fill="E6E6E6"/>
          </w:tcPr>
          <w:p>
            <w:pPr>
              <w:spacing w:after="0"/>
              <w:rPr>
                <w:sz w:val="17"/>
                <w:szCs w:val="17"/>
                <w:color w:val="auto"/>
              </w:rPr>
            </w:pPr>
          </w:p>
        </w:tc>
        <w:tc>
          <w:tcPr>
            <w:tcW w:w="1260" w:type="dxa"/>
            <w:vAlign w:val="bottom"/>
            <w:gridSpan w:val="2"/>
            <w:vMerge w:val="restart"/>
            <w:shd w:val="clear" w:color="auto" w:fill="E6E6E6"/>
          </w:tcPr>
          <w:p>
            <w:pPr>
              <w:ind w:left="60"/>
              <w:spacing w:after="0"/>
              <w:rPr>
                <w:sz w:val="20"/>
                <w:szCs w:val="20"/>
                <w:color w:val="auto"/>
              </w:rPr>
            </w:pPr>
            <w:r>
              <w:rPr>
                <w:rFonts w:ascii="Arial" w:cs="Arial" w:eastAsia="Arial" w:hAnsi="Arial"/>
                <w:sz w:val="16"/>
                <w:szCs w:val="16"/>
                <w:color w:val="auto"/>
              </w:rPr>
              <w:t>June 2008</w:t>
            </w:r>
          </w:p>
        </w:tc>
        <w:tc>
          <w:tcPr>
            <w:tcW w:w="1640" w:type="dxa"/>
            <w:vAlign w:val="bottom"/>
            <w:shd w:val="clear" w:color="auto" w:fill="E6E6E6"/>
          </w:tcPr>
          <w:p>
            <w:pPr>
              <w:ind w:left="60"/>
              <w:spacing w:after="0"/>
              <w:rPr>
                <w:sz w:val="20"/>
                <w:szCs w:val="20"/>
                <w:color w:val="auto"/>
              </w:rPr>
            </w:pPr>
            <w:r>
              <w:rPr>
                <w:rFonts w:ascii="Arial" w:cs="Arial" w:eastAsia="Arial" w:hAnsi="Arial"/>
                <w:sz w:val="16"/>
                <w:szCs w:val="16"/>
                <w:color w:val="auto"/>
                <w:w w:val="99"/>
              </w:rPr>
              <w:t>Missouri River Energy</w:t>
            </w:r>
          </w:p>
        </w:tc>
        <w:tc>
          <w:tcPr>
            <w:tcW w:w="1020" w:type="dxa"/>
            <w:vAlign w:val="bottom"/>
            <w:gridSpan w:val="2"/>
            <w:vMerge w:val="restart"/>
            <w:shd w:val="clear" w:color="auto" w:fill="E6E6E6"/>
          </w:tcPr>
          <w:p>
            <w:pPr>
              <w:jc w:val="right"/>
              <w:spacing w:after="0"/>
              <w:rPr>
                <w:sz w:val="20"/>
                <w:szCs w:val="20"/>
                <w:color w:val="auto"/>
              </w:rPr>
            </w:pPr>
            <w:r>
              <w:rPr>
                <w:rFonts w:ascii="Arial" w:cs="Arial" w:eastAsia="Arial" w:hAnsi="Arial"/>
                <w:sz w:val="16"/>
                <w:szCs w:val="16"/>
                <w:color w:val="auto"/>
              </w:rPr>
              <w:t>2028</w:t>
            </w:r>
          </w:p>
        </w:tc>
        <w:tc>
          <w:tcPr>
            <w:tcW w:w="0" w:type="dxa"/>
            <w:vAlign w:val="bottom"/>
          </w:tcPr>
          <w:p>
            <w:pPr>
              <w:spacing w:after="0"/>
              <w:rPr>
                <w:sz w:val="1"/>
                <w:szCs w:val="1"/>
                <w:color w:val="auto"/>
              </w:rPr>
            </w:pPr>
          </w:p>
        </w:tc>
      </w:tr>
      <w:tr>
        <w:trPr>
          <w:trHeight w:val="223"/>
        </w:trPr>
        <w:tc>
          <w:tcPr>
            <w:tcW w:w="1640" w:type="dxa"/>
            <w:vAlign w:val="bottom"/>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300" w:type="dxa"/>
            <w:vAlign w:val="bottom"/>
            <w:gridSpan w:val="2"/>
            <w:shd w:val="clear" w:color="auto" w:fill="E6E6E6"/>
          </w:tcPr>
          <w:p>
            <w:pPr>
              <w:ind w:left="40"/>
              <w:spacing w:after="0"/>
              <w:rPr>
                <w:sz w:val="20"/>
                <w:szCs w:val="20"/>
                <w:color w:val="auto"/>
              </w:rPr>
            </w:pPr>
            <w:r>
              <w:rPr>
                <w:rFonts w:ascii="Arial" w:cs="Arial" w:eastAsia="Arial" w:hAnsi="Arial"/>
                <w:sz w:val="16"/>
                <w:szCs w:val="16"/>
                <w:color w:val="auto"/>
              </w:rPr>
              <w:t>MN</w:t>
            </w:r>
          </w:p>
        </w:tc>
        <w:tc>
          <w:tcPr>
            <w:tcW w:w="620" w:type="dxa"/>
            <w:vAlign w:val="bottom"/>
            <w:vMerge w:val="continue"/>
            <w:shd w:val="clear" w:color="auto" w:fill="E6E6E6"/>
          </w:tcPr>
          <w:p>
            <w:pPr>
              <w:spacing w:after="0"/>
              <w:rPr>
                <w:sz w:val="19"/>
                <w:szCs w:val="19"/>
                <w:color w:val="auto"/>
              </w:rPr>
            </w:pPr>
          </w:p>
        </w:tc>
        <w:tc>
          <w:tcPr>
            <w:tcW w:w="740" w:type="dxa"/>
            <w:vAlign w:val="bottom"/>
            <w:gridSpan w:val="3"/>
            <w:vMerge w:val="continue"/>
            <w:shd w:val="clear" w:color="auto" w:fill="E6E6E6"/>
          </w:tcPr>
          <w:p>
            <w:pPr>
              <w:spacing w:after="0"/>
              <w:rPr>
                <w:sz w:val="19"/>
                <w:szCs w:val="19"/>
                <w:color w:val="auto"/>
              </w:rPr>
            </w:pPr>
          </w:p>
        </w:tc>
        <w:tc>
          <w:tcPr>
            <w:tcW w:w="800" w:type="dxa"/>
            <w:vAlign w:val="bottom"/>
            <w:gridSpan w:val="2"/>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940" w:type="dxa"/>
            <w:vAlign w:val="bottom"/>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260" w:type="dxa"/>
            <w:vAlign w:val="bottom"/>
            <w:gridSpan w:val="2"/>
            <w:vMerge w:val="continue"/>
            <w:shd w:val="clear" w:color="auto" w:fill="E6E6E6"/>
          </w:tcPr>
          <w:p>
            <w:pPr>
              <w:spacing w:after="0"/>
              <w:rPr>
                <w:sz w:val="19"/>
                <w:szCs w:val="19"/>
                <w:color w:val="auto"/>
              </w:rPr>
            </w:pPr>
          </w:p>
        </w:tc>
        <w:tc>
          <w:tcPr>
            <w:tcW w:w="1640" w:type="dxa"/>
            <w:vAlign w:val="bottom"/>
            <w:shd w:val="clear" w:color="auto" w:fill="E6E6E6"/>
          </w:tcPr>
          <w:p>
            <w:pPr>
              <w:ind w:left="60"/>
              <w:spacing w:after="0"/>
              <w:rPr>
                <w:sz w:val="20"/>
                <w:szCs w:val="20"/>
                <w:color w:val="auto"/>
              </w:rPr>
            </w:pPr>
            <w:r>
              <w:rPr>
                <w:rFonts w:ascii="Arial" w:cs="Arial" w:eastAsia="Arial" w:hAnsi="Arial"/>
                <w:sz w:val="16"/>
                <w:szCs w:val="16"/>
                <w:color w:val="auto"/>
              </w:rPr>
              <w:t>Services</w:t>
            </w:r>
          </w:p>
        </w:tc>
        <w:tc>
          <w:tcPr>
            <w:tcW w:w="1020" w:type="dxa"/>
            <w:vAlign w:val="bottom"/>
            <w:gridSpan w:val="2"/>
            <w:vMerge w:val="continue"/>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40" w:type="dxa"/>
            <w:vAlign w:val="bottom"/>
          </w:tcPr>
          <w:p>
            <w:pPr>
              <w:ind w:left="60"/>
              <w:spacing w:after="0"/>
              <w:rPr>
                <w:sz w:val="20"/>
                <w:szCs w:val="20"/>
                <w:color w:val="auto"/>
              </w:rPr>
            </w:pPr>
            <w:r>
              <w:rPr>
                <w:rFonts w:ascii="Arial" w:cs="Arial" w:eastAsia="Arial" w:hAnsi="Arial"/>
                <w:sz w:val="16"/>
                <w:szCs w:val="16"/>
                <w:color w:val="auto"/>
              </w:rPr>
              <w:t>Maryland Department</w:t>
            </w: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40" w:type="dxa"/>
            <w:vAlign w:val="bottom"/>
          </w:tcPr>
          <w:p>
            <w:pPr>
              <w:ind w:left="60"/>
              <w:spacing w:after="0" w:line="159" w:lineRule="exact"/>
              <w:rPr>
                <w:sz w:val="20"/>
                <w:szCs w:val="20"/>
                <w:color w:val="auto"/>
              </w:rPr>
            </w:pPr>
            <w:r>
              <w:rPr>
                <w:rFonts w:ascii="Arial" w:cs="Arial" w:eastAsia="Arial" w:hAnsi="Arial"/>
                <w:sz w:val="16"/>
                <w:szCs w:val="16"/>
                <w:color w:val="auto"/>
              </w:rPr>
              <w:t>of General Services</w:t>
            </w: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640" w:type="dxa"/>
            <w:vAlign w:val="bottom"/>
            <w:vMerge w:val="restart"/>
          </w:tcPr>
          <w:p>
            <w:pPr>
              <w:ind w:left="40"/>
              <w:spacing w:after="0"/>
              <w:rPr>
                <w:sz w:val="20"/>
                <w:szCs w:val="20"/>
                <w:color w:val="auto"/>
              </w:rPr>
            </w:pPr>
            <w:r>
              <w:rPr>
                <w:rFonts w:ascii="Arial" w:cs="Arial" w:eastAsia="Arial" w:hAnsi="Arial"/>
                <w:sz w:val="16"/>
                <w:szCs w:val="16"/>
                <w:color w:val="auto"/>
              </w:rPr>
              <w:t xml:space="preserve">Pinnacle </w:t>
            </w:r>
            <w:r>
              <w:rPr>
                <w:rFonts w:ascii="Arial" w:cs="Arial" w:eastAsia="Arial" w:hAnsi="Arial"/>
                <w:sz w:val="20"/>
                <w:szCs w:val="20"/>
                <w:color w:val="auto"/>
                <w:vertAlign w:val="superscript"/>
              </w:rPr>
              <w:t>(b)</w:t>
            </w:r>
          </w:p>
        </w:tc>
        <w:tc>
          <w:tcPr>
            <w:tcW w:w="80" w:type="dxa"/>
            <w:vAlign w:val="bottom"/>
          </w:tcPr>
          <w:p>
            <w:pPr>
              <w:spacing w:after="0"/>
              <w:rPr>
                <w:sz w:val="13"/>
                <w:szCs w:val="13"/>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6"/>
                <w:szCs w:val="16"/>
                <w:color w:val="auto"/>
              </w:rPr>
              <w:t>Keyser, WV</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54</w:t>
            </w:r>
          </w:p>
        </w:tc>
        <w:tc>
          <w:tcPr>
            <w:tcW w:w="740" w:type="dxa"/>
            <w:vAlign w:val="bottom"/>
            <w:gridSpan w:val="3"/>
            <w:vMerge w:val="restart"/>
          </w:tcPr>
          <w:p>
            <w:pPr>
              <w:jc w:val="right"/>
              <w:spacing w:after="0"/>
              <w:rPr>
                <w:sz w:val="20"/>
                <w:szCs w:val="20"/>
                <w:color w:val="auto"/>
              </w:rPr>
            </w:pPr>
            <w:r>
              <w:rPr>
                <w:rFonts w:ascii="Arial" w:cs="Arial" w:eastAsia="Arial" w:hAnsi="Arial"/>
                <w:sz w:val="16"/>
                <w:szCs w:val="16"/>
                <w:color w:val="auto"/>
              </w:rPr>
              <w:t>54</w:t>
            </w:r>
          </w:p>
        </w:tc>
        <w:tc>
          <w:tcPr>
            <w:tcW w:w="800" w:type="dxa"/>
            <w:vAlign w:val="bottom"/>
            <w:gridSpan w:val="2"/>
            <w:vMerge w:val="restart"/>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13"/>
                <w:szCs w:val="13"/>
                <w:color w:val="auto"/>
              </w:rPr>
            </w:pPr>
          </w:p>
        </w:tc>
        <w:tc>
          <w:tcPr>
            <w:tcW w:w="940" w:type="dxa"/>
            <w:vAlign w:val="bottom"/>
            <w:vMerge w:val="restart"/>
          </w:tcPr>
          <w:p>
            <w:pPr>
              <w:ind w:left="60"/>
              <w:spacing w:after="0"/>
              <w:rPr>
                <w:sz w:val="20"/>
                <w:szCs w:val="20"/>
                <w:color w:val="auto"/>
              </w:rPr>
            </w:pPr>
            <w:r>
              <w:rPr>
                <w:rFonts w:ascii="Arial" w:cs="Arial" w:eastAsia="Arial" w:hAnsi="Arial"/>
                <w:sz w:val="16"/>
                <w:szCs w:val="16"/>
                <w:color w:val="auto"/>
              </w:rPr>
              <w:t>Wind</w:t>
            </w:r>
          </w:p>
        </w:tc>
        <w:tc>
          <w:tcPr>
            <w:tcW w:w="80" w:type="dxa"/>
            <w:vAlign w:val="bottom"/>
          </w:tcPr>
          <w:p>
            <w:pPr>
              <w:spacing w:after="0"/>
              <w:rPr>
                <w:sz w:val="13"/>
                <w:szCs w:val="13"/>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6"/>
                <w:szCs w:val="16"/>
                <w:color w:val="auto"/>
              </w:rPr>
              <w:t>December 2021</w:t>
            </w:r>
          </w:p>
        </w:tc>
        <w:tc>
          <w:tcPr>
            <w:tcW w:w="1640" w:type="dxa"/>
            <w:vAlign w:val="bottom"/>
          </w:tcPr>
          <w:p>
            <w:pPr>
              <w:ind w:left="60"/>
              <w:spacing w:after="0" w:line="159" w:lineRule="exact"/>
              <w:rPr>
                <w:sz w:val="20"/>
                <w:szCs w:val="20"/>
                <w:color w:val="auto"/>
              </w:rPr>
            </w:pPr>
            <w:r>
              <w:rPr>
                <w:rFonts w:ascii="Arial" w:cs="Arial" w:eastAsia="Arial" w:hAnsi="Arial"/>
                <w:sz w:val="16"/>
                <w:szCs w:val="16"/>
                <w:color w:val="auto"/>
                <w:w w:val="97"/>
              </w:rPr>
              <w:t>and University System</w:t>
            </w: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color w:val="auto"/>
              </w:rPr>
              <w:t>2031</w:t>
            </w:r>
          </w:p>
        </w:tc>
        <w:tc>
          <w:tcPr>
            <w:tcW w:w="0" w:type="dxa"/>
            <w:vAlign w:val="bottom"/>
          </w:tcPr>
          <w:p>
            <w:pPr>
              <w:spacing w:after="0"/>
              <w:rPr>
                <w:sz w:val="1"/>
                <w:szCs w:val="1"/>
                <w:color w:val="auto"/>
              </w:rPr>
            </w:pPr>
          </w:p>
        </w:tc>
      </w:tr>
      <w:tr>
        <w:trPr>
          <w:trHeight w:val="223"/>
        </w:trPr>
        <w:tc>
          <w:tcPr>
            <w:tcW w:w="1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740" w:type="dxa"/>
            <w:vAlign w:val="bottom"/>
            <w:gridSpan w:val="3"/>
            <w:vMerge w:val="continue"/>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640" w:type="dxa"/>
            <w:vAlign w:val="bottom"/>
          </w:tcPr>
          <w:p>
            <w:pPr>
              <w:ind w:left="60"/>
              <w:spacing w:after="0"/>
              <w:rPr>
                <w:sz w:val="20"/>
                <w:szCs w:val="20"/>
                <w:color w:val="auto"/>
              </w:rPr>
            </w:pPr>
            <w:r>
              <w:rPr>
                <w:rFonts w:ascii="Arial" w:cs="Arial" w:eastAsia="Arial" w:hAnsi="Arial"/>
                <w:sz w:val="16"/>
                <w:szCs w:val="16"/>
                <w:color w:val="auto"/>
              </w:rPr>
              <w:t>of Maryland</w:t>
            </w:r>
          </w:p>
        </w:tc>
        <w:tc>
          <w:tcPr>
            <w:tcW w:w="10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1640" w:type="dxa"/>
            <w:vAlign w:val="bottom"/>
            <w:shd w:val="clear" w:color="auto" w:fill="E6E6E6"/>
          </w:tcPr>
          <w:p>
            <w:pPr>
              <w:ind w:left="40"/>
              <w:spacing w:after="0"/>
              <w:rPr>
                <w:sz w:val="20"/>
                <w:szCs w:val="20"/>
                <w:color w:val="auto"/>
              </w:rPr>
            </w:pPr>
            <w:r>
              <w:rPr>
                <w:rFonts w:ascii="Arial" w:cs="Arial" w:eastAsia="Arial" w:hAnsi="Arial"/>
                <w:sz w:val="16"/>
                <w:szCs w:val="16"/>
                <w:color w:val="auto"/>
              </w:rPr>
              <w:t xml:space="preserve">Rattlesnake </w:t>
            </w:r>
            <w:r>
              <w:rPr>
                <w:rFonts w:ascii="Arial" w:cs="Arial" w:eastAsia="Arial" w:hAnsi="Arial"/>
                <w:sz w:val="20"/>
                <w:szCs w:val="20"/>
                <w:color w:val="auto"/>
                <w:vertAlign w:val="superscript"/>
              </w:rPr>
              <w:t>(b) (c)</w:t>
            </w:r>
          </w:p>
        </w:tc>
        <w:tc>
          <w:tcPr>
            <w:tcW w:w="80" w:type="dxa"/>
            <w:vAlign w:val="bottom"/>
            <w:shd w:val="clear" w:color="auto" w:fill="E6E6E6"/>
          </w:tcPr>
          <w:p>
            <w:pPr>
              <w:spacing w:after="0"/>
              <w:rPr>
                <w:sz w:val="22"/>
                <w:szCs w:val="22"/>
                <w:color w:val="auto"/>
              </w:rPr>
            </w:pPr>
          </w:p>
        </w:tc>
        <w:tc>
          <w:tcPr>
            <w:tcW w:w="1300" w:type="dxa"/>
            <w:vAlign w:val="bottom"/>
            <w:gridSpan w:val="2"/>
            <w:shd w:val="clear" w:color="auto" w:fill="E6E6E6"/>
          </w:tcPr>
          <w:p>
            <w:pPr>
              <w:ind w:left="40"/>
              <w:spacing w:after="0"/>
              <w:rPr>
                <w:sz w:val="20"/>
                <w:szCs w:val="20"/>
                <w:color w:val="auto"/>
              </w:rPr>
            </w:pPr>
            <w:r>
              <w:rPr>
                <w:rFonts w:ascii="Arial" w:cs="Arial" w:eastAsia="Arial" w:hAnsi="Arial"/>
                <w:sz w:val="16"/>
                <w:szCs w:val="16"/>
                <w:color w:val="auto"/>
              </w:rPr>
              <w:t>Ritzville, WA</w:t>
            </w:r>
          </w:p>
        </w:tc>
        <w:tc>
          <w:tcPr>
            <w:tcW w:w="6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160</w:t>
            </w:r>
          </w:p>
        </w:tc>
        <w:tc>
          <w:tcPr>
            <w:tcW w:w="740" w:type="dxa"/>
            <w:vAlign w:val="bottom"/>
            <w:gridSpan w:val="3"/>
            <w:shd w:val="clear" w:color="auto" w:fill="E6E6E6"/>
          </w:tcPr>
          <w:p>
            <w:pPr>
              <w:jc w:val="right"/>
              <w:spacing w:after="0"/>
              <w:rPr>
                <w:sz w:val="20"/>
                <w:szCs w:val="20"/>
                <w:color w:val="auto"/>
              </w:rPr>
            </w:pPr>
            <w:r>
              <w:rPr>
                <w:rFonts w:ascii="Arial" w:cs="Arial" w:eastAsia="Arial" w:hAnsi="Arial"/>
                <w:sz w:val="16"/>
                <w:szCs w:val="16"/>
                <w:color w:val="auto"/>
              </w:rPr>
              <w:t>160</w:t>
            </w:r>
          </w:p>
        </w:tc>
        <w:tc>
          <w:tcPr>
            <w:tcW w:w="80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E6E6E6"/>
          </w:tcPr>
          <w:p>
            <w:pPr>
              <w:spacing w:after="0"/>
              <w:rPr>
                <w:sz w:val="22"/>
                <w:szCs w:val="22"/>
                <w:color w:val="auto"/>
              </w:rPr>
            </w:pPr>
          </w:p>
        </w:tc>
        <w:tc>
          <w:tcPr>
            <w:tcW w:w="940" w:type="dxa"/>
            <w:vAlign w:val="bottom"/>
            <w:shd w:val="clear" w:color="auto" w:fill="E6E6E6"/>
          </w:tcPr>
          <w:p>
            <w:pPr>
              <w:ind w:left="60"/>
              <w:spacing w:after="0"/>
              <w:rPr>
                <w:sz w:val="20"/>
                <w:szCs w:val="20"/>
                <w:color w:val="auto"/>
              </w:rPr>
            </w:pPr>
            <w:r>
              <w:rPr>
                <w:rFonts w:ascii="Arial" w:cs="Arial" w:eastAsia="Arial" w:hAnsi="Arial"/>
                <w:sz w:val="16"/>
                <w:szCs w:val="16"/>
                <w:color w:val="auto"/>
              </w:rPr>
              <w:t>Wind</w:t>
            </w:r>
          </w:p>
        </w:tc>
        <w:tc>
          <w:tcPr>
            <w:tcW w:w="80" w:type="dxa"/>
            <w:vAlign w:val="bottom"/>
            <w:shd w:val="clear" w:color="auto" w:fill="E6E6E6"/>
          </w:tcPr>
          <w:p>
            <w:pPr>
              <w:spacing w:after="0"/>
              <w:rPr>
                <w:sz w:val="22"/>
                <w:szCs w:val="22"/>
                <w:color w:val="auto"/>
              </w:rPr>
            </w:pPr>
          </w:p>
        </w:tc>
        <w:tc>
          <w:tcPr>
            <w:tcW w:w="1260" w:type="dxa"/>
            <w:vAlign w:val="bottom"/>
            <w:gridSpan w:val="2"/>
            <w:shd w:val="clear" w:color="auto" w:fill="E6E6E6"/>
          </w:tcPr>
          <w:p>
            <w:pPr>
              <w:ind w:left="60"/>
              <w:spacing w:after="0"/>
              <w:rPr>
                <w:sz w:val="20"/>
                <w:szCs w:val="20"/>
                <w:color w:val="auto"/>
              </w:rPr>
            </w:pPr>
            <w:r>
              <w:rPr>
                <w:rFonts w:ascii="Arial" w:cs="Arial" w:eastAsia="Arial" w:hAnsi="Arial"/>
                <w:sz w:val="16"/>
                <w:szCs w:val="16"/>
                <w:color w:val="auto"/>
              </w:rPr>
              <w:t>December 2020</w:t>
            </w:r>
          </w:p>
        </w:tc>
        <w:tc>
          <w:tcPr>
            <w:tcW w:w="1640" w:type="dxa"/>
            <w:vAlign w:val="bottom"/>
            <w:shd w:val="clear" w:color="auto" w:fill="E6E6E6"/>
          </w:tcPr>
          <w:p>
            <w:pPr>
              <w:ind w:left="60"/>
              <w:spacing w:after="0"/>
              <w:rPr>
                <w:sz w:val="20"/>
                <w:szCs w:val="20"/>
                <w:color w:val="auto"/>
              </w:rPr>
            </w:pPr>
            <w:r>
              <w:rPr>
                <w:rFonts w:ascii="Arial" w:cs="Arial" w:eastAsia="Arial" w:hAnsi="Arial"/>
                <w:sz w:val="16"/>
                <w:szCs w:val="16"/>
                <w:color w:val="auto"/>
              </w:rPr>
              <w:t>Avista Corporation</w:t>
            </w:r>
          </w:p>
        </w:tc>
        <w:tc>
          <w:tcPr>
            <w:tcW w:w="1020" w:type="dxa"/>
            <w:vAlign w:val="bottom"/>
            <w:gridSpan w:val="2"/>
            <w:shd w:val="clear" w:color="auto" w:fill="E6E6E6"/>
          </w:tcPr>
          <w:p>
            <w:pPr>
              <w:jc w:val="right"/>
              <w:spacing w:after="0"/>
              <w:rPr>
                <w:sz w:val="20"/>
                <w:szCs w:val="20"/>
                <w:color w:val="auto"/>
              </w:rPr>
            </w:pPr>
            <w:r>
              <w:rPr>
                <w:rFonts w:ascii="Arial" w:cs="Arial" w:eastAsia="Arial" w:hAnsi="Arial"/>
                <w:sz w:val="16"/>
                <w:szCs w:val="16"/>
                <w:color w:val="auto"/>
              </w:rPr>
              <w:t>2040</w:t>
            </w:r>
          </w:p>
        </w:tc>
        <w:tc>
          <w:tcPr>
            <w:tcW w:w="0" w:type="dxa"/>
            <w:vAlign w:val="bottom"/>
          </w:tcPr>
          <w:p>
            <w:pPr>
              <w:spacing w:after="0"/>
              <w:rPr>
                <w:sz w:val="1"/>
                <w:szCs w:val="1"/>
                <w:color w:val="auto"/>
              </w:rPr>
            </w:pPr>
          </w:p>
        </w:tc>
      </w:tr>
      <w:tr>
        <w:trPr>
          <w:trHeight w:val="195"/>
        </w:trPr>
        <w:tc>
          <w:tcPr>
            <w:tcW w:w="1640" w:type="dxa"/>
            <w:vAlign w:val="bottom"/>
            <w:vMerge w:val="restart"/>
          </w:tcPr>
          <w:p>
            <w:pPr>
              <w:ind w:left="40"/>
              <w:spacing w:after="0"/>
              <w:rPr>
                <w:sz w:val="20"/>
                <w:szCs w:val="20"/>
                <w:color w:val="auto"/>
              </w:rPr>
            </w:pPr>
            <w:r>
              <w:rPr>
                <w:rFonts w:ascii="Arial" w:cs="Arial" w:eastAsia="Arial" w:hAnsi="Arial"/>
                <w:sz w:val="16"/>
                <w:szCs w:val="16"/>
                <w:color w:val="auto"/>
              </w:rPr>
              <w:t>San Juan Mesa</w:t>
            </w:r>
          </w:p>
        </w:tc>
        <w:tc>
          <w:tcPr>
            <w:tcW w:w="80" w:type="dxa"/>
            <w:vAlign w:val="bottom"/>
          </w:tcPr>
          <w:p>
            <w:pPr>
              <w:spacing w:after="0"/>
              <w:rPr>
                <w:sz w:val="16"/>
                <w:szCs w:val="16"/>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6"/>
                <w:szCs w:val="16"/>
                <w:color w:val="auto"/>
              </w:rPr>
              <w:t>Elida, NM</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120</w:t>
            </w:r>
          </w:p>
        </w:tc>
        <w:tc>
          <w:tcPr>
            <w:tcW w:w="740" w:type="dxa"/>
            <w:vAlign w:val="bottom"/>
            <w:gridSpan w:val="3"/>
            <w:vMerge w:val="restart"/>
          </w:tcPr>
          <w:p>
            <w:pPr>
              <w:jc w:val="right"/>
              <w:spacing w:after="0"/>
              <w:rPr>
                <w:sz w:val="20"/>
                <w:szCs w:val="20"/>
                <w:color w:val="auto"/>
              </w:rPr>
            </w:pPr>
            <w:r>
              <w:rPr>
                <w:rFonts w:ascii="Arial" w:cs="Arial" w:eastAsia="Arial" w:hAnsi="Arial"/>
                <w:sz w:val="16"/>
                <w:szCs w:val="16"/>
                <w:color w:val="auto"/>
              </w:rPr>
              <w:t>90</w:t>
            </w:r>
          </w:p>
        </w:tc>
        <w:tc>
          <w:tcPr>
            <w:tcW w:w="800" w:type="dxa"/>
            <w:vAlign w:val="bottom"/>
            <w:gridSpan w:val="2"/>
            <w:vMerge w:val="restart"/>
          </w:tcPr>
          <w:p>
            <w:pPr>
              <w:jc w:val="right"/>
              <w:spacing w:after="0"/>
              <w:rPr>
                <w:sz w:val="20"/>
                <w:szCs w:val="20"/>
                <w:color w:val="auto"/>
              </w:rPr>
            </w:pPr>
            <w:r>
              <w:rPr>
                <w:rFonts w:ascii="Arial" w:cs="Arial" w:eastAsia="Arial" w:hAnsi="Arial"/>
                <w:sz w:val="16"/>
                <w:szCs w:val="16"/>
                <w:color w:val="auto"/>
              </w:rPr>
              <w:t>75 %</w:t>
            </w:r>
          </w:p>
        </w:tc>
        <w:tc>
          <w:tcPr>
            <w:tcW w:w="80" w:type="dxa"/>
            <w:vAlign w:val="bottom"/>
          </w:tcPr>
          <w:p>
            <w:pPr>
              <w:spacing w:after="0"/>
              <w:rPr>
                <w:sz w:val="16"/>
                <w:szCs w:val="16"/>
                <w:color w:val="auto"/>
              </w:rPr>
            </w:pPr>
          </w:p>
        </w:tc>
        <w:tc>
          <w:tcPr>
            <w:tcW w:w="940" w:type="dxa"/>
            <w:vAlign w:val="bottom"/>
            <w:vMerge w:val="restart"/>
          </w:tcPr>
          <w:p>
            <w:pPr>
              <w:ind w:left="60"/>
              <w:spacing w:after="0"/>
              <w:rPr>
                <w:sz w:val="20"/>
                <w:szCs w:val="20"/>
                <w:color w:val="auto"/>
              </w:rPr>
            </w:pPr>
            <w:r>
              <w:rPr>
                <w:rFonts w:ascii="Arial" w:cs="Arial" w:eastAsia="Arial" w:hAnsi="Arial"/>
                <w:sz w:val="16"/>
                <w:szCs w:val="16"/>
                <w:color w:val="auto"/>
              </w:rPr>
              <w:t>Wind</w:t>
            </w:r>
          </w:p>
        </w:tc>
        <w:tc>
          <w:tcPr>
            <w:tcW w:w="80" w:type="dxa"/>
            <w:vAlign w:val="bottom"/>
          </w:tcPr>
          <w:p>
            <w:pPr>
              <w:spacing w:after="0"/>
              <w:rPr>
                <w:sz w:val="16"/>
                <w:szCs w:val="16"/>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6"/>
                <w:szCs w:val="16"/>
                <w:color w:val="auto"/>
              </w:rPr>
              <w:t>December 2005</w:t>
            </w:r>
          </w:p>
        </w:tc>
        <w:tc>
          <w:tcPr>
            <w:tcW w:w="1640" w:type="dxa"/>
            <w:vAlign w:val="bottom"/>
          </w:tcPr>
          <w:p>
            <w:pPr>
              <w:ind w:left="60"/>
              <w:spacing w:after="0"/>
              <w:rPr>
                <w:sz w:val="20"/>
                <w:szCs w:val="20"/>
                <w:color w:val="auto"/>
              </w:rPr>
            </w:pPr>
            <w:r>
              <w:rPr>
                <w:rFonts w:ascii="Arial" w:cs="Arial" w:eastAsia="Arial" w:hAnsi="Arial"/>
                <w:sz w:val="16"/>
                <w:szCs w:val="16"/>
                <w:color w:val="auto"/>
              </w:rPr>
              <w:t>Southwestern Public</w:t>
            </w: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color w:val="auto"/>
              </w:rPr>
              <w:t>2025</w:t>
            </w:r>
          </w:p>
        </w:tc>
        <w:tc>
          <w:tcPr>
            <w:tcW w:w="0" w:type="dxa"/>
            <w:vAlign w:val="bottom"/>
          </w:tcPr>
          <w:p>
            <w:pPr>
              <w:spacing w:after="0"/>
              <w:rPr>
                <w:sz w:val="1"/>
                <w:szCs w:val="1"/>
                <w:color w:val="auto"/>
              </w:rPr>
            </w:pPr>
          </w:p>
        </w:tc>
      </w:tr>
      <w:tr>
        <w:trPr>
          <w:trHeight w:val="208"/>
        </w:trPr>
        <w:tc>
          <w:tcPr>
            <w:tcW w:w="1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740" w:type="dxa"/>
            <w:vAlign w:val="bottom"/>
            <w:gridSpan w:val="3"/>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640" w:type="dxa"/>
            <w:vAlign w:val="bottom"/>
          </w:tcPr>
          <w:p>
            <w:pPr>
              <w:ind w:left="60"/>
              <w:spacing w:after="0"/>
              <w:rPr>
                <w:sz w:val="20"/>
                <w:szCs w:val="20"/>
                <w:color w:val="auto"/>
              </w:rPr>
            </w:pPr>
            <w:r>
              <w:rPr>
                <w:rFonts w:ascii="Arial" w:cs="Arial" w:eastAsia="Arial" w:hAnsi="Arial"/>
                <w:sz w:val="16"/>
                <w:szCs w:val="16"/>
                <w:color w:val="auto"/>
              </w:rPr>
              <w:t>Service Company</w:t>
            </w: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1908175</wp:posOffset>
            </wp:positionH>
            <wp:positionV relativeFrom="paragraph">
              <wp:posOffset>-7319010</wp:posOffset>
            </wp:positionV>
            <wp:extent cx="88773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a:extLst>
                        <a:ext uri="{28A0092B-C50C-407E-A947-70E740481C1C}"/>
                      </a:extLst>
                    </a:blip>
                    <a:srcRect/>
                    <a:stretch>
                      <a:fillRect/>
                    </a:stretch>
                  </pic:blipFill>
                  <pic:spPr bwMode="auto">
                    <a:xfrm>
                      <a:off x="0" y="0"/>
                      <a:ext cx="887730" cy="25400"/>
                    </a:xfrm>
                    <a:prstGeom prst="rect">
                      <a:avLst/>
                    </a:prstGeom>
                    <a:noFill/>
                  </pic:spPr>
                </pic:pic>
              </a:graphicData>
            </a:graphic>
          </wp:anchor>
        </w:drawing>
      </w:r>
    </w:p>
    <w:p>
      <w:pPr>
        <w:sectPr>
          <w:pgSz w:w="11880" w:h="15480" w:orient="portrait"/>
          <w:cols w:equalWidth="0" w:num="1">
            <w:col w:w="10200"/>
          </w:cols>
          <w:pgMar w:left="840" w:top="505" w:right="840" w:bottom="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880" w:h="15480" w:orient="portrait"/>
          <w:cols w:equalWidth="0" w:num="1">
            <w:col w:w="10200"/>
          </w:cols>
          <w:pgMar w:left="840" w:top="505" w:right="840" w:bottom="0" w:gutter="0" w:footer="0" w:header="0"/>
          <w:type w:val="continuous"/>
        </w:sectPr>
      </w:pPr>
    </w:p>
    <w:bookmarkStart w:id="42" w:name="page43"/>
    <w:bookmarkEnd w:id="42"/>
    <w:tbl>
      <w:tblPr>
        <w:tblLayout w:type="fixed"/>
        <w:tblInd w:w="0" w:type="dxa"/>
        <w:tblCellMar>
          <w:top w:w="0" w:type="dxa"/>
          <w:left w:w="0" w:type="dxa"/>
          <w:bottom w:w="0" w:type="dxa"/>
          <w:right w:w="0" w:type="dxa"/>
        </w:tblCellMar>
      </w:tblPr>
      <w:tr>
        <w:trPr>
          <w:trHeight w:val="242"/>
        </w:trPr>
        <w:tc>
          <w:tcPr>
            <w:tcW w:w="1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Borders>
              <w:bottom w:val="single" w:sz="8" w:color="auto"/>
            </w:tcBorders>
            <w:gridSpan w:val="4"/>
          </w:tcPr>
          <w:p>
            <w:pPr>
              <w:jc w:val="right"/>
              <w:ind w:right="265"/>
              <w:spacing w:after="0"/>
              <w:rPr>
                <w:sz w:val="20"/>
                <w:szCs w:val="20"/>
                <w:color w:val="auto"/>
              </w:rPr>
            </w:pPr>
            <w:r>
              <w:rPr>
                <w:rFonts w:ascii="Arial" w:cs="Arial" w:eastAsia="Arial" w:hAnsi="Arial"/>
                <w:sz w:val="18"/>
                <w:szCs w:val="18"/>
                <w:b w:val="1"/>
                <w:bCs w:val="1"/>
                <w:color w:val="auto"/>
              </w:rPr>
              <w:t>Capacity</w:t>
            </w: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Rated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vMerge w:val="restart"/>
          </w:tcPr>
          <w:p>
            <w:pPr>
              <w:jc w:val="right"/>
              <w:ind w:right="125"/>
              <w:spacing w:after="0"/>
              <w:rPr>
                <w:sz w:val="20"/>
                <w:szCs w:val="20"/>
                <w:color w:val="auto"/>
              </w:rPr>
            </w:pPr>
            <w:r>
              <w:rPr>
                <w:rFonts w:ascii="Arial" w:cs="Arial" w:eastAsia="Arial" w:hAnsi="Arial"/>
                <w:sz w:val="18"/>
                <w:szCs w:val="18"/>
                <w:b w:val="1"/>
                <w:bCs w:val="1"/>
                <w:color w:val="auto"/>
              </w:rPr>
              <w:t>Net</w:t>
            </w:r>
          </w:p>
        </w:tc>
        <w:tc>
          <w:tcPr>
            <w:tcW w:w="80" w:type="dxa"/>
            <w:vAlign w:val="bottom"/>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6"/>
              </w:rPr>
              <w:t>Owners</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6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b w:val="1"/>
                <w:bCs w:val="1"/>
                <w:color w:val="auto"/>
              </w:rPr>
              <w:t>Long-term Contract Terms</w:t>
            </w:r>
          </w:p>
        </w:tc>
        <w:tc>
          <w:tcPr>
            <w:tcW w:w="0" w:type="dxa"/>
            <w:vAlign w:val="bottom"/>
          </w:tcPr>
          <w:p>
            <w:pPr>
              <w:spacing w:after="0"/>
              <w:rPr>
                <w:sz w:val="1"/>
                <w:szCs w:val="1"/>
                <w:color w:val="auto"/>
              </w:rPr>
            </w:pPr>
          </w:p>
        </w:tc>
      </w:tr>
      <w:tr>
        <w:trPr>
          <w:trHeight w:val="26"/>
        </w:trPr>
        <w:tc>
          <w:tcPr>
            <w:tcW w:w="16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Location</w:t>
            </w:r>
          </w:p>
        </w:tc>
        <w:tc>
          <w:tcPr>
            <w:tcW w:w="60" w:type="dxa"/>
            <w:vAlign w:val="bottom"/>
            <w:vMerge w:val="restart"/>
          </w:tcPr>
          <w:p>
            <w:pPr>
              <w:spacing w:after="0"/>
              <w:rPr>
                <w:sz w:val="2"/>
                <w:szCs w:val="2"/>
                <w:color w:val="auto"/>
              </w:rPr>
            </w:pPr>
          </w:p>
        </w:tc>
        <w:tc>
          <w:tcPr>
            <w:tcW w:w="62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vMerge w:val="restart"/>
          </w:tcPr>
          <w:p>
            <w:pPr>
              <w:ind w:left="300"/>
              <w:spacing w:after="0"/>
              <w:rPr>
                <w:sz w:val="20"/>
                <w:szCs w:val="20"/>
                <w:color w:val="auto"/>
              </w:rPr>
            </w:pPr>
            <w:r>
              <w:rPr>
                <w:rFonts w:ascii="Arial" w:cs="Arial" w:eastAsia="Arial" w:hAnsi="Arial"/>
                <w:sz w:val="18"/>
                <w:szCs w:val="18"/>
                <w:b w:val="1"/>
                <w:bCs w:val="1"/>
                <w:color w:val="auto"/>
              </w:rPr>
              <w:t>Fuel</w:t>
            </w:r>
          </w:p>
        </w:tc>
        <w:tc>
          <w:tcPr>
            <w:tcW w:w="80" w:type="dxa"/>
            <w:vAlign w:val="bottom"/>
          </w:tcPr>
          <w:p>
            <w:pPr>
              <w:spacing w:after="0"/>
              <w:rPr>
                <w:sz w:val="2"/>
                <w:szCs w:val="2"/>
                <w:color w:val="auto"/>
              </w:rPr>
            </w:pPr>
          </w:p>
        </w:tc>
        <w:tc>
          <w:tcPr>
            <w:tcW w:w="120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COD</w:t>
            </w:r>
          </w:p>
        </w:tc>
        <w:tc>
          <w:tcPr>
            <w:tcW w:w="60" w:type="dxa"/>
            <w:vAlign w:val="bottom"/>
            <w:vMerge w:val="restart"/>
          </w:tcPr>
          <w:p>
            <w:pPr>
              <w:spacing w:after="0"/>
              <w:rPr>
                <w:sz w:val="2"/>
                <w:szCs w:val="2"/>
                <w:color w:val="auto"/>
              </w:rPr>
            </w:pPr>
          </w:p>
        </w:tc>
        <w:tc>
          <w:tcPr>
            <w:tcW w:w="1640" w:type="dxa"/>
            <w:vAlign w:val="bottom"/>
            <w:vMerge w:val="restart"/>
          </w:tcPr>
          <w:p>
            <w:pPr>
              <w:ind w:left="300"/>
              <w:spacing w:after="0"/>
              <w:rPr>
                <w:sz w:val="20"/>
                <w:szCs w:val="20"/>
                <w:color w:val="auto"/>
              </w:rPr>
            </w:pPr>
            <w:r>
              <w:rPr>
                <w:rFonts w:ascii="Arial" w:cs="Arial" w:eastAsia="Arial" w:hAnsi="Arial"/>
                <w:sz w:val="18"/>
                <w:szCs w:val="18"/>
                <w:b w:val="1"/>
                <w:bCs w:val="1"/>
                <w:color w:val="auto"/>
              </w:rPr>
              <w:t>Counterparty</w:t>
            </w:r>
          </w:p>
        </w:tc>
        <w:tc>
          <w:tcPr>
            <w:tcW w:w="60" w:type="dxa"/>
            <w:vAlign w:val="bottom"/>
          </w:tcPr>
          <w:p>
            <w:pPr>
              <w:spacing w:after="0"/>
              <w:rPr>
                <w:sz w:val="2"/>
                <w:szCs w:val="2"/>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Expiration</w:t>
            </w:r>
          </w:p>
        </w:tc>
        <w:tc>
          <w:tcPr>
            <w:tcW w:w="0" w:type="dxa"/>
            <w:vAlign w:val="bottom"/>
          </w:tcPr>
          <w:p>
            <w:pPr>
              <w:spacing w:after="0" w:line="20" w:lineRule="exact"/>
              <w:rPr>
                <w:sz w:val="1"/>
                <w:szCs w:val="1"/>
                <w:color w:val="auto"/>
              </w:rPr>
            </w:pPr>
          </w:p>
        </w:tc>
      </w:tr>
      <w:tr>
        <w:trPr>
          <w:trHeight w:val="238"/>
        </w:trPr>
        <w:tc>
          <w:tcPr>
            <w:tcW w:w="164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E6E6E6"/>
            </w:tcBorders>
            <w:vMerge w:val="continue"/>
          </w:tcPr>
          <w:p>
            <w:pPr>
              <w:spacing w:after="0"/>
              <w:rPr>
                <w:sz w:val="20"/>
                <w:szCs w:val="20"/>
                <w:color w:val="auto"/>
              </w:rPr>
            </w:pPr>
          </w:p>
        </w:tc>
        <w:tc>
          <w:tcPr>
            <w:tcW w:w="62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b w:val="1"/>
                <w:bCs w:val="1"/>
                <w:color w:val="auto"/>
              </w:rPr>
              <w:t>MW</w:t>
            </w:r>
          </w:p>
        </w:tc>
        <w:tc>
          <w:tcPr>
            <w:tcW w:w="80" w:type="dxa"/>
            <w:vAlign w:val="bottom"/>
            <w:tcBorders>
              <w:bottom w:val="single" w:sz="8" w:color="E6E6E6"/>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25"/>
              <w:spacing w:after="0" w:line="237" w:lineRule="exact"/>
              <w:rPr>
                <w:sz w:val="20"/>
                <w:szCs w:val="20"/>
                <w:color w:val="auto"/>
              </w:rPr>
            </w:pPr>
            <w:r>
              <w:rPr>
                <w:rFonts w:ascii="Arial" w:cs="Arial" w:eastAsia="Arial" w:hAnsi="Arial"/>
                <w:sz w:val="27"/>
                <w:szCs w:val="27"/>
                <w:b w:val="1"/>
                <w:bCs w:val="1"/>
                <w:color w:val="auto"/>
                <w:vertAlign w:val="subscript"/>
              </w:rPr>
              <w:t>MW</w:t>
            </w:r>
            <w:r>
              <w:rPr>
                <w:rFonts w:ascii="Arial" w:cs="Arial" w:eastAsia="Arial" w:hAnsi="Arial"/>
                <w:sz w:val="10"/>
                <w:szCs w:val="10"/>
                <w:b w:val="1"/>
                <w:bCs w:val="1"/>
                <w:color w:val="auto"/>
              </w:rPr>
              <w:t>(a)</w:t>
            </w:r>
          </w:p>
        </w:tc>
        <w:tc>
          <w:tcPr>
            <w:tcW w:w="80" w:type="dxa"/>
            <w:vAlign w:val="bottom"/>
            <w:tcBorders>
              <w:bottom w:val="single" w:sz="8" w:color="E6E6E6"/>
            </w:tcBorders>
          </w:tcPr>
          <w:p>
            <w:pPr>
              <w:spacing w:after="0"/>
              <w:rPr>
                <w:sz w:val="20"/>
                <w:szCs w:val="20"/>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hip</w:t>
            </w:r>
          </w:p>
        </w:tc>
        <w:tc>
          <w:tcPr>
            <w:tcW w:w="80" w:type="dxa"/>
            <w:vAlign w:val="bottom"/>
            <w:tcBorders>
              <w:bottom w:val="single" w:sz="8" w:color="E6E6E6"/>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E6E6E6"/>
            </w:tcBorders>
            <w:vMerge w:val="continue"/>
          </w:tcPr>
          <w:p>
            <w:pPr>
              <w:spacing w:after="0"/>
              <w:rPr>
                <w:sz w:val="20"/>
                <w:szCs w:val="20"/>
                <w:color w:val="auto"/>
              </w:rPr>
            </w:pPr>
          </w:p>
        </w:tc>
        <w:tc>
          <w:tcPr>
            <w:tcW w:w="164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E6E6E6"/>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1640" w:type="dxa"/>
            <w:vAlign w:val="bottom"/>
            <w:vMerge w:val="restart"/>
            <w:shd w:val="clear" w:color="auto" w:fill="E6E6E6"/>
          </w:tcPr>
          <w:p>
            <w:pPr>
              <w:ind w:left="40"/>
              <w:spacing w:after="0"/>
              <w:rPr>
                <w:sz w:val="20"/>
                <w:szCs w:val="20"/>
                <w:color w:val="auto"/>
              </w:rPr>
            </w:pPr>
            <w:r>
              <w:rPr>
                <w:rFonts w:ascii="Arial" w:cs="Arial" w:eastAsia="Arial" w:hAnsi="Arial"/>
                <w:sz w:val="16"/>
                <w:szCs w:val="16"/>
                <w:color w:val="auto"/>
              </w:rPr>
              <w:t>Sleeping Bear</w:t>
            </w:r>
          </w:p>
        </w:tc>
        <w:tc>
          <w:tcPr>
            <w:tcW w:w="80" w:type="dxa"/>
            <w:vAlign w:val="bottom"/>
            <w:shd w:val="clear" w:color="auto" w:fill="E6E6E6"/>
          </w:tcPr>
          <w:p>
            <w:pPr>
              <w:spacing w:after="0"/>
              <w:rPr>
                <w:sz w:val="16"/>
                <w:szCs w:val="16"/>
                <w:color w:val="auto"/>
              </w:rPr>
            </w:pPr>
          </w:p>
        </w:tc>
        <w:tc>
          <w:tcPr>
            <w:tcW w:w="1300" w:type="dxa"/>
            <w:vAlign w:val="bottom"/>
            <w:gridSpan w:val="3"/>
            <w:vMerge w:val="restart"/>
            <w:shd w:val="clear" w:color="auto" w:fill="E6E6E6"/>
          </w:tcPr>
          <w:p>
            <w:pPr>
              <w:ind w:left="40"/>
              <w:spacing w:after="0"/>
              <w:rPr>
                <w:sz w:val="20"/>
                <w:szCs w:val="20"/>
                <w:color w:val="auto"/>
              </w:rPr>
            </w:pPr>
            <w:r>
              <w:rPr>
                <w:rFonts w:ascii="Arial" w:cs="Arial" w:eastAsia="Arial" w:hAnsi="Arial"/>
                <w:sz w:val="16"/>
                <w:szCs w:val="16"/>
                <w:color w:val="auto"/>
              </w:rPr>
              <w:t>Woodward, OK</w:t>
            </w:r>
          </w:p>
        </w:tc>
        <w:tc>
          <w:tcPr>
            <w:tcW w:w="62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95</w:t>
            </w:r>
          </w:p>
        </w:tc>
        <w:tc>
          <w:tcPr>
            <w:tcW w:w="740" w:type="dxa"/>
            <w:vAlign w:val="bottom"/>
            <w:gridSpan w:val="3"/>
            <w:vMerge w:val="restart"/>
            <w:shd w:val="clear" w:color="auto" w:fill="E6E6E6"/>
          </w:tcPr>
          <w:p>
            <w:pPr>
              <w:jc w:val="right"/>
              <w:spacing w:after="0"/>
              <w:rPr>
                <w:sz w:val="20"/>
                <w:szCs w:val="20"/>
                <w:color w:val="auto"/>
              </w:rPr>
            </w:pPr>
            <w:r>
              <w:rPr>
                <w:rFonts w:ascii="Arial" w:cs="Arial" w:eastAsia="Arial" w:hAnsi="Arial"/>
                <w:sz w:val="16"/>
                <w:szCs w:val="16"/>
                <w:color w:val="auto"/>
              </w:rPr>
              <w:t>95</w:t>
            </w:r>
          </w:p>
        </w:tc>
        <w:tc>
          <w:tcPr>
            <w:tcW w:w="800" w:type="dxa"/>
            <w:vAlign w:val="bottom"/>
            <w:gridSpan w:val="2"/>
            <w:vMerge w:val="restart"/>
            <w:shd w:val="clear" w:color="auto" w:fill="E6E6E6"/>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E6E6E6"/>
          </w:tcPr>
          <w:p>
            <w:pPr>
              <w:spacing w:after="0"/>
              <w:rPr>
                <w:sz w:val="16"/>
                <w:szCs w:val="16"/>
                <w:color w:val="auto"/>
              </w:rPr>
            </w:pPr>
          </w:p>
        </w:tc>
        <w:tc>
          <w:tcPr>
            <w:tcW w:w="940" w:type="dxa"/>
            <w:vAlign w:val="bottom"/>
            <w:vMerge w:val="restart"/>
            <w:shd w:val="clear" w:color="auto" w:fill="E6E6E6"/>
          </w:tcPr>
          <w:p>
            <w:pPr>
              <w:ind w:left="60"/>
              <w:spacing w:after="0"/>
              <w:rPr>
                <w:sz w:val="20"/>
                <w:szCs w:val="20"/>
                <w:color w:val="auto"/>
              </w:rPr>
            </w:pPr>
            <w:r>
              <w:rPr>
                <w:rFonts w:ascii="Arial" w:cs="Arial" w:eastAsia="Arial" w:hAnsi="Arial"/>
                <w:sz w:val="16"/>
                <w:szCs w:val="16"/>
                <w:color w:val="auto"/>
              </w:rPr>
              <w:t>Wind</w:t>
            </w:r>
          </w:p>
        </w:tc>
        <w:tc>
          <w:tcPr>
            <w:tcW w:w="80" w:type="dxa"/>
            <w:vAlign w:val="bottom"/>
            <w:shd w:val="clear" w:color="auto" w:fill="E6E6E6"/>
          </w:tcPr>
          <w:p>
            <w:pPr>
              <w:spacing w:after="0"/>
              <w:rPr>
                <w:sz w:val="16"/>
                <w:szCs w:val="16"/>
                <w:color w:val="auto"/>
              </w:rPr>
            </w:pPr>
          </w:p>
        </w:tc>
        <w:tc>
          <w:tcPr>
            <w:tcW w:w="1260" w:type="dxa"/>
            <w:vAlign w:val="bottom"/>
            <w:gridSpan w:val="2"/>
            <w:vMerge w:val="restart"/>
            <w:shd w:val="clear" w:color="auto" w:fill="E6E6E6"/>
          </w:tcPr>
          <w:p>
            <w:pPr>
              <w:ind w:left="60"/>
              <w:spacing w:after="0"/>
              <w:rPr>
                <w:sz w:val="20"/>
                <w:szCs w:val="20"/>
                <w:color w:val="auto"/>
              </w:rPr>
            </w:pPr>
            <w:r>
              <w:rPr>
                <w:rFonts w:ascii="Arial" w:cs="Arial" w:eastAsia="Arial" w:hAnsi="Arial"/>
                <w:sz w:val="16"/>
                <w:szCs w:val="16"/>
                <w:color w:val="auto"/>
              </w:rPr>
              <w:t>October 2007</w:t>
            </w:r>
          </w:p>
        </w:tc>
        <w:tc>
          <w:tcPr>
            <w:tcW w:w="1640" w:type="dxa"/>
            <w:vAlign w:val="bottom"/>
            <w:shd w:val="clear" w:color="auto" w:fill="E6E6E6"/>
          </w:tcPr>
          <w:p>
            <w:pPr>
              <w:ind w:left="60"/>
              <w:spacing w:after="0"/>
              <w:rPr>
                <w:sz w:val="20"/>
                <w:szCs w:val="20"/>
                <w:color w:val="auto"/>
              </w:rPr>
            </w:pPr>
            <w:r>
              <w:rPr>
                <w:rFonts w:ascii="Arial" w:cs="Arial" w:eastAsia="Arial" w:hAnsi="Arial"/>
                <w:sz w:val="16"/>
                <w:szCs w:val="16"/>
                <w:color w:val="auto"/>
              </w:rPr>
              <w:t>Public Service</w:t>
            </w:r>
          </w:p>
        </w:tc>
        <w:tc>
          <w:tcPr>
            <w:tcW w:w="1020" w:type="dxa"/>
            <w:vAlign w:val="bottom"/>
            <w:gridSpan w:val="2"/>
            <w:vMerge w:val="restart"/>
            <w:shd w:val="clear" w:color="auto" w:fill="E6E6E6"/>
          </w:tcPr>
          <w:p>
            <w:pPr>
              <w:jc w:val="right"/>
              <w:spacing w:after="0"/>
              <w:rPr>
                <w:sz w:val="20"/>
                <w:szCs w:val="20"/>
                <w:color w:val="auto"/>
              </w:rPr>
            </w:pPr>
            <w:r>
              <w:rPr>
                <w:rFonts w:ascii="Arial" w:cs="Arial" w:eastAsia="Arial" w:hAnsi="Arial"/>
                <w:sz w:val="16"/>
                <w:szCs w:val="16"/>
                <w:color w:val="auto"/>
              </w:rPr>
              <w:t>2032</w:t>
            </w:r>
          </w:p>
        </w:tc>
        <w:tc>
          <w:tcPr>
            <w:tcW w:w="0" w:type="dxa"/>
            <w:vAlign w:val="bottom"/>
          </w:tcPr>
          <w:p>
            <w:pPr>
              <w:spacing w:after="0"/>
              <w:rPr>
                <w:sz w:val="1"/>
                <w:szCs w:val="1"/>
                <w:color w:val="auto"/>
              </w:rPr>
            </w:pPr>
          </w:p>
        </w:tc>
      </w:tr>
      <w:tr>
        <w:trPr>
          <w:trHeight w:val="223"/>
        </w:trPr>
        <w:tc>
          <w:tcPr>
            <w:tcW w:w="1640" w:type="dxa"/>
            <w:vAlign w:val="bottom"/>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300" w:type="dxa"/>
            <w:vAlign w:val="bottom"/>
            <w:gridSpan w:val="3"/>
            <w:vMerge w:val="continue"/>
            <w:shd w:val="clear" w:color="auto" w:fill="E6E6E6"/>
          </w:tcPr>
          <w:p>
            <w:pPr>
              <w:spacing w:after="0"/>
              <w:rPr>
                <w:sz w:val="19"/>
                <w:szCs w:val="19"/>
                <w:color w:val="auto"/>
              </w:rPr>
            </w:pPr>
          </w:p>
        </w:tc>
        <w:tc>
          <w:tcPr>
            <w:tcW w:w="620" w:type="dxa"/>
            <w:vAlign w:val="bottom"/>
            <w:vMerge w:val="continue"/>
            <w:shd w:val="clear" w:color="auto" w:fill="E6E6E6"/>
          </w:tcPr>
          <w:p>
            <w:pPr>
              <w:spacing w:after="0"/>
              <w:rPr>
                <w:sz w:val="19"/>
                <w:szCs w:val="19"/>
                <w:color w:val="auto"/>
              </w:rPr>
            </w:pPr>
          </w:p>
        </w:tc>
        <w:tc>
          <w:tcPr>
            <w:tcW w:w="740" w:type="dxa"/>
            <w:vAlign w:val="bottom"/>
            <w:gridSpan w:val="3"/>
            <w:vMerge w:val="continue"/>
            <w:shd w:val="clear" w:color="auto" w:fill="E6E6E6"/>
          </w:tcPr>
          <w:p>
            <w:pPr>
              <w:spacing w:after="0"/>
              <w:rPr>
                <w:sz w:val="19"/>
                <w:szCs w:val="19"/>
                <w:color w:val="auto"/>
              </w:rPr>
            </w:pPr>
          </w:p>
        </w:tc>
        <w:tc>
          <w:tcPr>
            <w:tcW w:w="800" w:type="dxa"/>
            <w:vAlign w:val="bottom"/>
            <w:gridSpan w:val="2"/>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940" w:type="dxa"/>
            <w:vAlign w:val="bottom"/>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260" w:type="dxa"/>
            <w:vAlign w:val="bottom"/>
            <w:gridSpan w:val="2"/>
            <w:vMerge w:val="continue"/>
            <w:shd w:val="clear" w:color="auto" w:fill="E6E6E6"/>
          </w:tcPr>
          <w:p>
            <w:pPr>
              <w:spacing w:after="0"/>
              <w:rPr>
                <w:sz w:val="19"/>
                <w:szCs w:val="19"/>
                <w:color w:val="auto"/>
              </w:rPr>
            </w:pPr>
          </w:p>
        </w:tc>
        <w:tc>
          <w:tcPr>
            <w:tcW w:w="1640" w:type="dxa"/>
            <w:vAlign w:val="bottom"/>
            <w:shd w:val="clear" w:color="auto" w:fill="E6E6E6"/>
          </w:tcPr>
          <w:p>
            <w:pPr>
              <w:ind w:left="60"/>
              <w:spacing w:after="0"/>
              <w:rPr>
                <w:sz w:val="20"/>
                <w:szCs w:val="20"/>
                <w:color w:val="auto"/>
              </w:rPr>
            </w:pPr>
            <w:r>
              <w:rPr>
                <w:rFonts w:ascii="Arial" w:cs="Arial" w:eastAsia="Arial" w:hAnsi="Arial"/>
                <w:sz w:val="16"/>
                <w:szCs w:val="16"/>
                <w:color w:val="auto"/>
                <w:w w:val="95"/>
              </w:rPr>
              <w:t>Company of Oklahoma</w:t>
            </w:r>
          </w:p>
        </w:tc>
        <w:tc>
          <w:tcPr>
            <w:tcW w:w="1020" w:type="dxa"/>
            <w:vAlign w:val="bottom"/>
            <w:gridSpan w:val="2"/>
            <w:vMerge w:val="continue"/>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640" w:type="dxa"/>
            <w:vAlign w:val="bottom"/>
          </w:tcPr>
          <w:p>
            <w:pPr>
              <w:ind w:left="40"/>
              <w:spacing w:after="0"/>
              <w:rPr>
                <w:sz w:val="20"/>
                <w:szCs w:val="20"/>
                <w:color w:val="auto"/>
              </w:rPr>
            </w:pPr>
            <w:r>
              <w:rPr>
                <w:rFonts w:ascii="Arial" w:cs="Arial" w:eastAsia="Arial" w:hAnsi="Arial"/>
                <w:sz w:val="16"/>
                <w:szCs w:val="16"/>
                <w:color w:val="auto"/>
              </w:rPr>
              <w:t>South Trent</w:t>
            </w:r>
          </w:p>
        </w:tc>
        <w:tc>
          <w:tcPr>
            <w:tcW w:w="80" w:type="dxa"/>
            <w:vAlign w:val="bottom"/>
          </w:tcPr>
          <w:p>
            <w:pPr>
              <w:spacing w:after="0"/>
              <w:rPr>
                <w:sz w:val="21"/>
                <w:szCs w:val="21"/>
                <w:color w:val="auto"/>
              </w:rPr>
            </w:pPr>
          </w:p>
        </w:tc>
        <w:tc>
          <w:tcPr>
            <w:tcW w:w="1300" w:type="dxa"/>
            <w:vAlign w:val="bottom"/>
            <w:gridSpan w:val="3"/>
          </w:tcPr>
          <w:p>
            <w:pPr>
              <w:ind w:left="40"/>
              <w:spacing w:after="0"/>
              <w:rPr>
                <w:sz w:val="20"/>
                <w:szCs w:val="20"/>
                <w:color w:val="auto"/>
              </w:rPr>
            </w:pPr>
            <w:r>
              <w:rPr>
                <w:rFonts w:ascii="Arial" w:cs="Arial" w:eastAsia="Arial" w:hAnsi="Arial"/>
                <w:sz w:val="16"/>
                <w:szCs w:val="16"/>
                <w:color w:val="auto"/>
              </w:rPr>
              <w:t>Sweetwater, TX</w:t>
            </w:r>
          </w:p>
        </w:tc>
        <w:tc>
          <w:tcPr>
            <w:tcW w:w="620" w:type="dxa"/>
            <w:vAlign w:val="bottom"/>
          </w:tcPr>
          <w:p>
            <w:pPr>
              <w:jc w:val="right"/>
              <w:spacing w:after="0"/>
              <w:rPr>
                <w:sz w:val="20"/>
                <w:szCs w:val="20"/>
                <w:color w:val="auto"/>
              </w:rPr>
            </w:pPr>
            <w:r>
              <w:rPr>
                <w:rFonts w:ascii="Arial" w:cs="Arial" w:eastAsia="Arial" w:hAnsi="Arial"/>
                <w:sz w:val="16"/>
                <w:szCs w:val="16"/>
                <w:color w:val="auto"/>
              </w:rPr>
              <w:t>101</w:t>
            </w: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101</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21"/>
                <w:szCs w:val="21"/>
                <w:color w:val="auto"/>
              </w:rPr>
            </w:pPr>
          </w:p>
        </w:tc>
        <w:tc>
          <w:tcPr>
            <w:tcW w:w="940" w:type="dxa"/>
            <w:vAlign w:val="bottom"/>
          </w:tcPr>
          <w:p>
            <w:pPr>
              <w:ind w:left="60"/>
              <w:spacing w:after="0"/>
              <w:rPr>
                <w:sz w:val="20"/>
                <w:szCs w:val="20"/>
                <w:color w:val="auto"/>
              </w:rPr>
            </w:pPr>
            <w:r>
              <w:rPr>
                <w:rFonts w:ascii="Arial" w:cs="Arial" w:eastAsia="Arial" w:hAnsi="Arial"/>
                <w:sz w:val="16"/>
                <w:szCs w:val="16"/>
                <w:color w:val="auto"/>
              </w:rPr>
              <w:t>Wind</w:t>
            </w:r>
          </w:p>
        </w:tc>
        <w:tc>
          <w:tcPr>
            <w:tcW w:w="80" w:type="dxa"/>
            <w:vAlign w:val="bottom"/>
          </w:tcPr>
          <w:p>
            <w:pPr>
              <w:spacing w:after="0"/>
              <w:rPr>
                <w:sz w:val="21"/>
                <w:szCs w:val="21"/>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January 2009</w:t>
            </w:r>
          </w:p>
        </w:tc>
        <w:tc>
          <w:tcPr>
            <w:tcW w:w="1640" w:type="dxa"/>
            <w:vAlign w:val="bottom"/>
          </w:tcPr>
          <w:p>
            <w:pPr>
              <w:ind w:left="60"/>
              <w:spacing w:after="0"/>
              <w:rPr>
                <w:sz w:val="20"/>
                <w:szCs w:val="20"/>
                <w:color w:val="auto"/>
              </w:rPr>
            </w:pPr>
            <w:r>
              <w:rPr>
                <w:rFonts w:ascii="Arial" w:cs="Arial" w:eastAsia="Arial" w:hAnsi="Arial"/>
                <w:sz w:val="16"/>
                <w:szCs w:val="16"/>
                <w:color w:val="auto"/>
              </w:rPr>
              <w:t>AEP Energy Partners</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2029</w:t>
            </w:r>
          </w:p>
        </w:tc>
        <w:tc>
          <w:tcPr>
            <w:tcW w:w="0" w:type="dxa"/>
            <w:vAlign w:val="bottom"/>
          </w:tcPr>
          <w:p>
            <w:pPr>
              <w:spacing w:after="0"/>
              <w:rPr>
                <w:sz w:val="1"/>
                <w:szCs w:val="1"/>
                <w:color w:val="auto"/>
              </w:rPr>
            </w:pPr>
          </w:p>
        </w:tc>
      </w:tr>
      <w:tr>
        <w:trPr>
          <w:trHeight w:val="203"/>
        </w:trPr>
        <w:tc>
          <w:tcPr>
            <w:tcW w:w="1640" w:type="dxa"/>
            <w:vAlign w:val="bottom"/>
            <w:vMerge w:val="restart"/>
            <w:shd w:val="clear" w:color="auto" w:fill="E6E6E6"/>
          </w:tcPr>
          <w:p>
            <w:pPr>
              <w:ind w:left="40"/>
              <w:spacing w:after="0"/>
              <w:rPr>
                <w:sz w:val="20"/>
                <w:szCs w:val="20"/>
                <w:color w:val="auto"/>
              </w:rPr>
            </w:pPr>
            <w:r>
              <w:rPr>
                <w:rFonts w:ascii="Arial" w:cs="Arial" w:eastAsia="Arial" w:hAnsi="Arial"/>
                <w:sz w:val="16"/>
                <w:szCs w:val="16"/>
                <w:color w:val="auto"/>
              </w:rPr>
              <w:t>Spanish Fork</w:t>
            </w:r>
          </w:p>
        </w:tc>
        <w:tc>
          <w:tcPr>
            <w:tcW w:w="80" w:type="dxa"/>
            <w:vAlign w:val="bottom"/>
            <w:shd w:val="clear" w:color="auto" w:fill="E6E6E6"/>
          </w:tcPr>
          <w:p>
            <w:pPr>
              <w:spacing w:after="0"/>
              <w:rPr>
                <w:sz w:val="17"/>
                <w:szCs w:val="17"/>
                <w:color w:val="auto"/>
              </w:rPr>
            </w:pPr>
          </w:p>
        </w:tc>
        <w:tc>
          <w:tcPr>
            <w:tcW w:w="1300" w:type="dxa"/>
            <w:vAlign w:val="bottom"/>
            <w:gridSpan w:val="3"/>
            <w:shd w:val="clear" w:color="auto" w:fill="E6E6E6"/>
          </w:tcPr>
          <w:p>
            <w:pPr>
              <w:ind w:left="40"/>
              <w:spacing w:after="0"/>
              <w:rPr>
                <w:sz w:val="20"/>
                <w:szCs w:val="20"/>
                <w:color w:val="auto"/>
              </w:rPr>
            </w:pPr>
            <w:r>
              <w:rPr>
                <w:rFonts w:ascii="Arial" w:cs="Arial" w:eastAsia="Arial" w:hAnsi="Arial"/>
                <w:sz w:val="16"/>
                <w:szCs w:val="16"/>
                <w:color w:val="auto"/>
              </w:rPr>
              <w:t>Spanish Fork,</w:t>
            </w:r>
          </w:p>
        </w:tc>
        <w:tc>
          <w:tcPr>
            <w:tcW w:w="62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19</w:t>
            </w:r>
          </w:p>
        </w:tc>
        <w:tc>
          <w:tcPr>
            <w:tcW w:w="740" w:type="dxa"/>
            <w:vAlign w:val="bottom"/>
            <w:gridSpan w:val="3"/>
            <w:vMerge w:val="restart"/>
            <w:shd w:val="clear" w:color="auto" w:fill="E6E6E6"/>
          </w:tcPr>
          <w:p>
            <w:pPr>
              <w:jc w:val="right"/>
              <w:spacing w:after="0"/>
              <w:rPr>
                <w:sz w:val="20"/>
                <w:szCs w:val="20"/>
                <w:color w:val="auto"/>
              </w:rPr>
            </w:pPr>
            <w:r>
              <w:rPr>
                <w:rFonts w:ascii="Arial" w:cs="Arial" w:eastAsia="Arial" w:hAnsi="Arial"/>
                <w:sz w:val="16"/>
                <w:szCs w:val="16"/>
                <w:color w:val="auto"/>
              </w:rPr>
              <w:t>19</w:t>
            </w:r>
          </w:p>
        </w:tc>
        <w:tc>
          <w:tcPr>
            <w:tcW w:w="800" w:type="dxa"/>
            <w:vAlign w:val="bottom"/>
            <w:gridSpan w:val="2"/>
            <w:vMerge w:val="restart"/>
            <w:shd w:val="clear" w:color="auto" w:fill="E6E6E6"/>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E6E6E6"/>
          </w:tcPr>
          <w:p>
            <w:pPr>
              <w:spacing w:after="0"/>
              <w:rPr>
                <w:sz w:val="17"/>
                <w:szCs w:val="17"/>
                <w:color w:val="auto"/>
              </w:rPr>
            </w:pPr>
          </w:p>
        </w:tc>
        <w:tc>
          <w:tcPr>
            <w:tcW w:w="940" w:type="dxa"/>
            <w:vAlign w:val="bottom"/>
            <w:vMerge w:val="restart"/>
            <w:shd w:val="clear" w:color="auto" w:fill="E6E6E6"/>
          </w:tcPr>
          <w:p>
            <w:pPr>
              <w:ind w:left="60"/>
              <w:spacing w:after="0"/>
              <w:rPr>
                <w:sz w:val="20"/>
                <w:szCs w:val="20"/>
                <w:color w:val="auto"/>
              </w:rPr>
            </w:pPr>
            <w:r>
              <w:rPr>
                <w:rFonts w:ascii="Arial" w:cs="Arial" w:eastAsia="Arial" w:hAnsi="Arial"/>
                <w:sz w:val="16"/>
                <w:szCs w:val="16"/>
                <w:color w:val="auto"/>
              </w:rPr>
              <w:t>Wind</w:t>
            </w:r>
          </w:p>
        </w:tc>
        <w:tc>
          <w:tcPr>
            <w:tcW w:w="80" w:type="dxa"/>
            <w:vAlign w:val="bottom"/>
            <w:shd w:val="clear" w:color="auto" w:fill="E6E6E6"/>
          </w:tcPr>
          <w:p>
            <w:pPr>
              <w:spacing w:after="0"/>
              <w:rPr>
                <w:sz w:val="17"/>
                <w:szCs w:val="17"/>
                <w:color w:val="auto"/>
              </w:rPr>
            </w:pPr>
          </w:p>
        </w:tc>
        <w:tc>
          <w:tcPr>
            <w:tcW w:w="1260" w:type="dxa"/>
            <w:vAlign w:val="bottom"/>
            <w:gridSpan w:val="2"/>
            <w:vMerge w:val="restart"/>
            <w:shd w:val="clear" w:color="auto" w:fill="E6E6E6"/>
          </w:tcPr>
          <w:p>
            <w:pPr>
              <w:ind w:left="60"/>
              <w:spacing w:after="0"/>
              <w:rPr>
                <w:sz w:val="20"/>
                <w:szCs w:val="20"/>
                <w:color w:val="auto"/>
              </w:rPr>
            </w:pPr>
            <w:r>
              <w:rPr>
                <w:rFonts w:ascii="Arial" w:cs="Arial" w:eastAsia="Arial" w:hAnsi="Arial"/>
                <w:sz w:val="16"/>
                <w:szCs w:val="16"/>
                <w:color w:val="auto"/>
              </w:rPr>
              <w:t>July 2008</w:t>
            </w:r>
          </w:p>
        </w:tc>
        <w:tc>
          <w:tcPr>
            <w:tcW w:w="1640" w:type="dxa"/>
            <w:vAlign w:val="bottom"/>
            <w:vMerge w:val="restart"/>
            <w:shd w:val="clear" w:color="auto" w:fill="E6E6E6"/>
          </w:tcPr>
          <w:p>
            <w:pPr>
              <w:ind w:left="60"/>
              <w:spacing w:after="0"/>
              <w:rPr>
                <w:sz w:val="20"/>
                <w:szCs w:val="20"/>
                <w:color w:val="auto"/>
              </w:rPr>
            </w:pPr>
            <w:r>
              <w:rPr>
                <w:rFonts w:ascii="Arial" w:cs="Arial" w:eastAsia="Arial" w:hAnsi="Arial"/>
                <w:sz w:val="16"/>
                <w:szCs w:val="16"/>
                <w:color w:val="auto"/>
              </w:rPr>
              <w:t>PacifiCorp</w:t>
            </w:r>
          </w:p>
        </w:tc>
        <w:tc>
          <w:tcPr>
            <w:tcW w:w="1020" w:type="dxa"/>
            <w:vAlign w:val="bottom"/>
            <w:gridSpan w:val="2"/>
            <w:vMerge w:val="restart"/>
            <w:shd w:val="clear" w:color="auto" w:fill="E6E6E6"/>
          </w:tcPr>
          <w:p>
            <w:pPr>
              <w:jc w:val="right"/>
              <w:spacing w:after="0"/>
              <w:rPr>
                <w:sz w:val="20"/>
                <w:szCs w:val="20"/>
                <w:color w:val="auto"/>
              </w:rPr>
            </w:pPr>
            <w:r>
              <w:rPr>
                <w:rFonts w:ascii="Arial" w:cs="Arial" w:eastAsia="Arial" w:hAnsi="Arial"/>
                <w:sz w:val="16"/>
                <w:szCs w:val="16"/>
                <w:color w:val="auto"/>
              </w:rPr>
              <w:t>2028</w:t>
            </w:r>
          </w:p>
        </w:tc>
        <w:tc>
          <w:tcPr>
            <w:tcW w:w="0" w:type="dxa"/>
            <w:vAlign w:val="bottom"/>
          </w:tcPr>
          <w:p>
            <w:pPr>
              <w:spacing w:after="0"/>
              <w:rPr>
                <w:sz w:val="1"/>
                <w:szCs w:val="1"/>
                <w:color w:val="auto"/>
              </w:rPr>
            </w:pPr>
          </w:p>
        </w:tc>
      </w:tr>
      <w:tr>
        <w:trPr>
          <w:trHeight w:val="223"/>
        </w:trPr>
        <w:tc>
          <w:tcPr>
            <w:tcW w:w="1640" w:type="dxa"/>
            <w:vAlign w:val="bottom"/>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300" w:type="dxa"/>
            <w:vAlign w:val="bottom"/>
            <w:gridSpan w:val="3"/>
            <w:shd w:val="clear" w:color="auto" w:fill="E6E6E6"/>
          </w:tcPr>
          <w:p>
            <w:pPr>
              <w:ind w:left="40"/>
              <w:spacing w:after="0"/>
              <w:rPr>
                <w:sz w:val="20"/>
                <w:szCs w:val="20"/>
                <w:color w:val="auto"/>
              </w:rPr>
            </w:pPr>
            <w:r>
              <w:rPr>
                <w:rFonts w:ascii="Arial" w:cs="Arial" w:eastAsia="Arial" w:hAnsi="Arial"/>
                <w:sz w:val="16"/>
                <w:szCs w:val="16"/>
                <w:color w:val="auto"/>
              </w:rPr>
              <w:t>UT</w:t>
            </w:r>
          </w:p>
        </w:tc>
        <w:tc>
          <w:tcPr>
            <w:tcW w:w="620" w:type="dxa"/>
            <w:vAlign w:val="bottom"/>
            <w:vMerge w:val="continue"/>
            <w:shd w:val="clear" w:color="auto" w:fill="E6E6E6"/>
          </w:tcPr>
          <w:p>
            <w:pPr>
              <w:spacing w:after="0"/>
              <w:rPr>
                <w:sz w:val="19"/>
                <w:szCs w:val="19"/>
                <w:color w:val="auto"/>
              </w:rPr>
            </w:pPr>
          </w:p>
        </w:tc>
        <w:tc>
          <w:tcPr>
            <w:tcW w:w="740" w:type="dxa"/>
            <w:vAlign w:val="bottom"/>
            <w:gridSpan w:val="3"/>
            <w:vMerge w:val="continue"/>
            <w:shd w:val="clear" w:color="auto" w:fill="E6E6E6"/>
          </w:tcPr>
          <w:p>
            <w:pPr>
              <w:spacing w:after="0"/>
              <w:rPr>
                <w:sz w:val="19"/>
                <w:szCs w:val="19"/>
                <w:color w:val="auto"/>
              </w:rPr>
            </w:pPr>
          </w:p>
        </w:tc>
        <w:tc>
          <w:tcPr>
            <w:tcW w:w="800" w:type="dxa"/>
            <w:vAlign w:val="bottom"/>
            <w:gridSpan w:val="2"/>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940" w:type="dxa"/>
            <w:vAlign w:val="bottom"/>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260" w:type="dxa"/>
            <w:vAlign w:val="bottom"/>
            <w:gridSpan w:val="2"/>
            <w:vMerge w:val="continue"/>
            <w:shd w:val="clear" w:color="auto" w:fill="E6E6E6"/>
          </w:tcPr>
          <w:p>
            <w:pPr>
              <w:spacing w:after="0"/>
              <w:rPr>
                <w:sz w:val="19"/>
                <w:szCs w:val="19"/>
                <w:color w:val="auto"/>
              </w:rPr>
            </w:pPr>
          </w:p>
        </w:tc>
        <w:tc>
          <w:tcPr>
            <w:tcW w:w="1640" w:type="dxa"/>
            <w:vAlign w:val="bottom"/>
            <w:vMerge w:val="continue"/>
            <w:shd w:val="clear" w:color="auto" w:fill="E6E6E6"/>
          </w:tcPr>
          <w:p>
            <w:pPr>
              <w:spacing w:after="0"/>
              <w:rPr>
                <w:sz w:val="19"/>
                <w:szCs w:val="19"/>
                <w:color w:val="auto"/>
              </w:rPr>
            </w:pPr>
          </w:p>
        </w:tc>
        <w:tc>
          <w:tcPr>
            <w:tcW w:w="1020" w:type="dxa"/>
            <w:vAlign w:val="bottom"/>
            <w:gridSpan w:val="2"/>
            <w:vMerge w:val="continue"/>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640" w:type="dxa"/>
            <w:vAlign w:val="bottom"/>
            <w:vMerge w:val="restart"/>
          </w:tcPr>
          <w:p>
            <w:pPr>
              <w:ind w:left="40"/>
              <w:spacing w:after="0"/>
              <w:rPr>
                <w:sz w:val="20"/>
                <w:szCs w:val="20"/>
                <w:color w:val="auto"/>
              </w:rPr>
            </w:pPr>
            <w:r>
              <w:rPr>
                <w:rFonts w:ascii="Arial" w:cs="Arial" w:eastAsia="Arial" w:hAnsi="Arial"/>
                <w:sz w:val="16"/>
                <w:szCs w:val="16"/>
                <w:color w:val="auto"/>
              </w:rPr>
              <w:t xml:space="preserve">Spring Canyon II </w:t>
            </w:r>
            <w:r>
              <w:rPr>
                <w:rFonts w:ascii="Arial" w:cs="Arial" w:eastAsia="Arial" w:hAnsi="Arial"/>
                <w:sz w:val="20"/>
                <w:szCs w:val="20"/>
                <w:color w:val="auto"/>
                <w:vertAlign w:val="superscript"/>
              </w:rPr>
              <w:t>(b)</w:t>
            </w:r>
          </w:p>
        </w:tc>
        <w:tc>
          <w:tcPr>
            <w:tcW w:w="80" w:type="dxa"/>
            <w:vAlign w:val="bottom"/>
          </w:tcPr>
          <w:p>
            <w:pPr>
              <w:spacing w:after="0"/>
              <w:rPr>
                <w:sz w:val="16"/>
                <w:szCs w:val="16"/>
                <w:color w:val="auto"/>
              </w:rPr>
            </w:pPr>
          </w:p>
        </w:tc>
        <w:tc>
          <w:tcPr>
            <w:tcW w:w="1300" w:type="dxa"/>
            <w:vAlign w:val="bottom"/>
            <w:gridSpan w:val="3"/>
          </w:tcPr>
          <w:p>
            <w:pPr>
              <w:ind w:left="40"/>
              <w:spacing w:after="0"/>
              <w:rPr>
                <w:sz w:val="20"/>
                <w:szCs w:val="20"/>
                <w:color w:val="auto"/>
              </w:rPr>
            </w:pPr>
            <w:r>
              <w:rPr>
                <w:rFonts w:ascii="Arial" w:cs="Arial" w:eastAsia="Arial" w:hAnsi="Arial"/>
                <w:sz w:val="16"/>
                <w:szCs w:val="16"/>
                <w:color w:val="auto"/>
              </w:rPr>
              <w:t>Logan County,</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34</w:t>
            </w:r>
          </w:p>
        </w:tc>
        <w:tc>
          <w:tcPr>
            <w:tcW w:w="740" w:type="dxa"/>
            <w:vAlign w:val="bottom"/>
            <w:gridSpan w:val="3"/>
            <w:vMerge w:val="restart"/>
          </w:tcPr>
          <w:p>
            <w:pPr>
              <w:jc w:val="right"/>
              <w:spacing w:after="0"/>
              <w:rPr>
                <w:sz w:val="20"/>
                <w:szCs w:val="20"/>
                <w:color w:val="auto"/>
              </w:rPr>
            </w:pPr>
            <w:r>
              <w:rPr>
                <w:rFonts w:ascii="Arial" w:cs="Arial" w:eastAsia="Arial" w:hAnsi="Arial"/>
                <w:sz w:val="16"/>
                <w:szCs w:val="16"/>
                <w:color w:val="auto"/>
              </w:rPr>
              <w:t>31</w:t>
            </w:r>
          </w:p>
        </w:tc>
        <w:tc>
          <w:tcPr>
            <w:tcW w:w="800" w:type="dxa"/>
            <w:vAlign w:val="bottom"/>
            <w:gridSpan w:val="2"/>
            <w:vMerge w:val="restart"/>
          </w:tcPr>
          <w:p>
            <w:pPr>
              <w:jc w:val="right"/>
              <w:spacing w:after="0"/>
              <w:rPr>
                <w:sz w:val="20"/>
                <w:szCs w:val="20"/>
                <w:color w:val="auto"/>
              </w:rPr>
            </w:pPr>
            <w:r>
              <w:rPr>
                <w:rFonts w:ascii="Arial" w:cs="Arial" w:eastAsia="Arial" w:hAnsi="Arial"/>
                <w:sz w:val="16"/>
                <w:szCs w:val="16"/>
                <w:color w:val="auto"/>
              </w:rPr>
              <w:t>90.1 %</w:t>
            </w:r>
          </w:p>
        </w:tc>
        <w:tc>
          <w:tcPr>
            <w:tcW w:w="80" w:type="dxa"/>
            <w:vAlign w:val="bottom"/>
          </w:tcPr>
          <w:p>
            <w:pPr>
              <w:spacing w:after="0"/>
              <w:rPr>
                <w:sz w:val="16"/>
                <w:szCs w:val="16"/>
                <w:color w:val="auto"/>
              </w:rPr>
            </w:pPr>
          </w:p>
        </w:tc>
        <w:tc>
          <w:tcPr>
            <w:tcW w:w="940" w:type="dxa"/>
            <w:vAlign w:val="bottom"/>
            <w:vMerge w:val="restart"/>
          </w:tcPr>
          <w:p>
            <w:pPr>
              <w:ind w:left="60"/>
              <w:spacing w:after="0"/>
              <w:rPr>
                <w:sz w:val="20"/>
                <w:szCs w:val="20"/>
                <w:color w:val="auto"/>
              </w:rPr>
            </w:pPr>
            <w:r>
              <w:rPr>
                <w:rFonts w:ascii="Arial" w:cs="Arial" w:eastAsia="Arial" w:hAnsi="Arial"/>
                <w:sz w:val="16"/>
                <w:szCs w:val="16"/>
                <w:color w:val="auto"/>
              </w:rPr>
              <w:t>Wind</w:t>
            </w:r>
          </w:p>
        </w:tc>
        <w:tc>
          <w:tcPr>
            <w:tcW w:w="80" w:type="dxa"/>
            <w:vAlign w:val="bottom"/>
          </w:tcPr>
          <w:p>
            <w:pPr>
              <w:spacing w:after="0"/>
              <w:rPr>
                <w:sz w:val="16"/>
                <w:szCs w:val="16"/>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6"/>
                <w:szCs w:val="16"/>
                <w:color w:val="auto"/>
              </w:rPr>
              <w:t>October 2014</w:t>
            </w:r>
          </w:p>
        </w:tc>
        <w:tc>
          <w:tcPr>
            <w:tcW w:w="1640" w:type="dxa"/>
            <w:vAlign w:val="bottom"/>
          </w:tcPr>
          <w:p>
            <w:pPr>
              <w:ind w:left="60"/>
              <w:spacing w:after="0"/>
              <w:rPr>
                <w:sz w:val="20"/>
                <w:szCs w:val="20"/>
                <w:color w:val="auto"/>
              </w:rPr>
            </w:pPr>
            <w:r>
              <w:rPr>
                <w:rFonts w:ascii="Arial" w:cs="Arial" w:eastAsia="Arial" w:hAnsi="Arial"/>
                <w:sz w:val="16"/>
                <w:szCs w:val="16"/>
                <w:color w:val="auto"/>
              </w:rPr>
              <w:t>Platte River Power</w:t>
            </w: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color w:val="auto"/>
              </w:rPr>
              <w:t>2039</w:t>
            </w:r>
          </w:p>
        </w:tc>
        <w:tc>
          <w:tcPr>
            <w:tcW w:w="0" w:type="dxa"/>
            <w:vAlign w:val="bottom"/>
          </w:tcPr>
          <w:p>
            <w:pPr>
              <w:spacing w:after="0"/>
              <w:rPr>
                <w:sz w:val="1"/>
                <w:szCs w:val="1"/>
                <w:color w:val="auto"/>
              </w:rPr>
            </w:pPr>
          </w:p>
        </w:tc>
      </w:tr>
      <w:tr>
        <w:trPr>
          <w:trHeight w:val="223"/>
        </w:trPr>
        <w:tc>
          <w:tcPr>
            <w:tcW w:w="1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3"/>
          </w:tcPr>
          <w:p>
            <w:pPr>
              <w:ind w:left="40"/>
              <w:spacing w:after="0"/>
              <w:rPr>
                <w:sz w:val="20"/>
                <w:szCs w:val="20"/>
                <w:color w:val="auto"/>
              </w:rPr>
            </w:pPr>
            <w:r>
              <w:rPr>
                <w:rFonts w:ascii="Arial" w:cs="Arial" w:eastAsia="Arial" w:hAnsi="Arial"/>
                <w:sz w:val="16"/>
                <w:szCs w:val="16"/>
                <w:color w:val="auto"/>
              </w:rPr>
              <w:t>CO</w:t>
            </w:r>
          </w:p>
        </w:tc>
        <w:tc>
          <w:tcPr>
            <w:tcW w:w="620" w:type="dxa"/>
            <w:vAlign w:val="bottom"/>
            <w:vMerge w:val="continue"/>
          </w:tcPr>
          <w:p>
            <w:pPr>
              <w:spacing w:after="0"/>
              <w:rPr>
                <w:sz w:val="19"/>
                <w:szCs w:val="19"/>
                <w:color w:val="auto"/>
              </w:rPr>
            </w:pPr>
          </w:p>
        </w:tc>
        <w:tc>
          <w:tcPr>
            <w:tcW w:w="740" w:type="dxa"/>
            <w:vAlign w:val="bottom"/>
            <w:gridSpan w:val="3"/>
            <w:vMerge w:val="continue"/>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640" w:type="dxa"/>
            <w:vAlign w:val="bottom"/>
          </w:tcPr>
          <w:p>
            <w:pPr>
              <w:ind w:left="60"/>
              <w:spacing w:after="0"/>
              <w:rPr>
                <w:sz w:val="20"/>
                <w:szCs w:val="20"/>
                <w:color w:val="auto"/>
              </w:rPr>
            </w:pPr>
            <w:r>
              <w:rPr>
                <w:rFonts w:ascii="Arial" w:cs="Arial" w:eastAsia="Arial" w:hAnsi="Arial"/>
                <w:sz w:val="16"/>
                <w:szCs w:val="16"/>
                <w:color w:val="auto"/>
              </w:rPr>
              <w:t>Authority</w:t>
            </w:r>
          </w:p>
        </w:tc>
        <w:tc>
          <w:tcPr>
            <w:tcW w:w="10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640" w:type="dxa"/>
            <w:vAlign w:val="bottom"/>
            <w:vMerge w:val="restart"/>
            <w:shd w:val="clear" w:color="auto" w:fill="E6E6E6"/>
          </w:tcPr>
          <w:p>
            <w:pPr>
              <w:ind w:left="40"/>
              <w:spacing w:after="0"/>
              <w:rPr>
                <w:sz w:val="20"/>
                <w:szCs w:val="20"/>
                <w:color w:val="auto"/>
              </w:rPr>
            </w:pPr>
            <w:r>
              <w:rPr>
                <w:rFonts w:ascii="Arial" w:cs="Arial" w:eastAsia="Arial" w:hAnsi="Arial"/>
                <w:sz w:val="16"/>
                <w:szCs w:val="16"/>
                <w:color w:val="auto"/>
              </w:rPr>
              <w:t xml:space="preserve">Spring Canyon III </w:t>
            </w:r>
            <w:r>
              <w:rPr>
                <w:rFonts w:ascii="Arial" w:cs="Arial" w:eastAsia="Arial" w:hAnsi="Arial"/>
                <w:sz w:val="20"/>
                <w:szCs w:val="20"/>
                <w:color w:val="auto"/>
                <w:vertAlign w:val="superscript"/>
              </w:rPr>
              <w:t>(b)</w:t>
            </w:r>
          </w:p>
        </w:tc>
        <w:tc>
          <w:tcPr>
            <w:tcW w:w="80" w:type="dxa"/>
            <w:vAlign w:val="bottom"/>
            <w:shd w:val="clear" w:color="auto" w:fill="E6E6E6"/>
          </w:tcPr>
          <w:p>
            <w:pPr>
              <w:spacing w:after="0"/>
              <w:rPr>
                <w:sz w:val="16"/>
                <w:szCs w:val="16"/>
                <w:color w:val="auto"/>
              </w:rPr>
            </w:pPr>
          </w:p>
        </w:tc>
        <w:tc>
          <w:tcPr>
            <w:tcW w:w="1300" w:type="dxa"/>
            <w:vAlign w:val="bottom"/>
            <w:gridSpan w:val="3"/>
            <w:shd w:val="clear" w:color="auto" w:fill="E6E6E6"/>
          </w:tcPr>
          <w:p>
            <w:pPr>
              <w:ind w:left="40"/>
              <w:spacing w:after="0"/>
              <w:rPr>
                <w:sz w:val="20"/>
                <w:szCs w:val="20"/>
                <w:color w:val="auto"/>
              </w:rPr>
            </w:pPr>
            <w:r>
              <w:rPr>
                <w:rFonts w:ascii="Arial" w:cs="Arial" w:eastAsia="Arial" w:hAnsi="Arial"/>
                <w:sz w:val="16"/>
                <w:szCs w:val="16"/>
                <w:color w:val="auto"/>
              </w:rPr>
              <w:t>Logan County,</w:t>
            </w:r>
          </w:p>
        </w:tc>
        <w:tc>
          <w:tcPr>
            <w:tcW w:w="62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29</w:t>
            </w:r>
          </w:p>
        </w:tc>
        <w:tc>
          <w:tcPr>
            <w:tcW w:w="740" w:type="dxa"/>
            <w:vAlign w:val="bottom"/>
            <w:gridSpan w:val="3"/>
            <w:vMerge w:val="restart"/>
            <w:shd w:val="clear" w:color="auto" w:fill="E6E6E6"/>
          </w:tcPr>
          <w:p>
            <w:pPr>
              <w:jc w:val="right"/>
              <w:spacing w:after="0"/>
              <w:rPr>
                <w:sz w:val="20"/>
                <w:szCs w:val="20"/>
                <w:color w:val="auto"/>
              </w:rPr>
            </w:pPr>
            <w:r>
              <w:rPr>
                <w:rFonts w:ascii="Arial" w:cs="Arial" w:eastAsia="Arial" w:hAnsi="Arial"/>
                <w:sz w:val="16"/>
                <w:szCs w:val="16"/>
                <w:color w:val="auto"/>
              </w:rPr>
              <w:t>26</w:t>
            </w:r>
          </w:p>
        </w:tc>
        <w:tc>
          <w:tcPr>
            <w:tcW w:w="800" w:type="dxa"/>
            <w:vAlign w:val="bottom"/>
            <w:gridSpan w:val="2"/>
            <w:vMerge w:val="restart"/>
            <w:shd w:val="clear" w:color="auto" w:fill="E6E6E6"/>
          </w:tcPr>
          <w:p>
            <w:pPr>
              <w:jc w:val="right"/>
              <w:spacing w:after="0"/>
              <w:rPr>
                <w:sz w:val="20"/>
                <w:szCs w:val="20"/>
                <w:color w:val="auto"/>
              </w:rPr>
            </w:pPr>
            <w:r>
              <w:rPr>
                <w:rFonts w:ascii="Arial" w:cs="Arial" w:eastAsia="Arial" w:hAnsi="Arial"/>
                <w:sz w:val="16"/>
                <w:szCs w:val="16"/>
                <w:color w:val="auto"/>
              </w:rPr>
              <w:t>90.1 %</w:t>
            </w:r>
          </w:p>
        </w:tc>
        <w:tc>
          <w:tcPr>
            <w:tcW w:w="80" w:type="dxa"/>
            <w:vAlign w:val="bottom"/>
            <w:shd w:val="clear" w:color="auto" w:fill="E6E6E6"/>
          </w:tcPr>
          <w:p>
            <w:pPr>
              <w:spacing w:after="0"/>
              <w:rPr>
                <w:sz w:val="16"/>
                <w:szCs w:val="16"/>
                <w:color w:val="auto"/>
              </w:rPr>
            </w:pPr>
          </w:p>
        </w:tc>
        <w:tc>
          <w:tcPr>
            <w:tcW w:w="940" w:type="dxa"/>
            <w:vAlign w:val="bottom"/>
            <w:vMerge w:val="restart"/>
            <w:shd w:val="clear" w:color="auto" w:fill="E6E6E6"/>
          </w:tcPr>
          <w:p>
            <w:pPr>
              <w:ind w:left="60"/>
              <w:spacing w:after="0"/>
              <w:rPr>
                <w:sz w:val="20"/>
                <w:szCs w:val="20"/>
                <w:color w:val="auto"/>
              </w:rPr>
            </w:pPr>
            <w:r>
              <w:rPr>
                <w:rFonts w:ascii="Arial" w:cs="Arial" w:eastAsia="Arial" w:hAnsi="Arial"/>
                <w:sz w:val="16"/>
                <w:szCs w:val="16"/>
                <w:color w:val="auto"/>
              </w:rPr>
              <w:t>Wind</w:t>
            </w:r>
          </w:p>
        </w:tc>
        <w:tc>
          <w:tcPr>
            <w:tcW w:w="80" w:type="dxa"/>
            <w:vAlign w:val="bottom"/>
            <w:shd w:val="clear" w:color="auto" w:fill="E6E6E6"/>
          </w:tcPr>
          <w:p>
            <w:pPr>
              <w:spacing w:after="0"/>
              <w:rPr>
                <w:sz w:val="16"/>
                <w:szCs w:val="16"/>
                <w:color w:val="auto"/>
              </w:rPr>
            </w:pPr>
          </w:p>
        </w:tc>
        <w:tc>
          <w:tcPr>
            <w:tcW w:w="1260" w:type="dxa"/>
            <w:vAlign w:val="bottom"/>
            <w:gridSpan w:val="2"/>
            <w:vMerge w:val="restart"/>
            <w:shd w:val="clear" w:color="auto" w:fill="E6E6E6"/>
          </w:tcPr>
          <w:p>
            <w:pPr>
              <w:ind w:left="60"/>
              <w:spacing w:after="0"/>
              <w:rPr>
                <w:sz w:val="20"/>
                <w:szCs w:val="20"/>
                <w:color w:val="auto"/>
              </w:rPr>
            </w:pPr>
            <w:r>
              <w:rPr>
                <w:rFonts w:ascii="Arial" w:cs="Arial" w:eastAsia="Arial" w:hAnsi="Arial"/>
                <w:sz w:val="16"/>
                <w:szCs w:val="16"/>
                <w:color w:val="auto"/>
              </w:rPr>
              <w:t>December 2014</w:t>
            </w:r>
          </w:p>
        </w:tc>
        <w:tc>
          <w:tcPr>
            <w:tcW w:w="1640" w:type="dxa"/>
            <w:vAlign w:val="bottom"/>
            <w:shd w:val="clear" w:color="auto" w:fill="E6E6E6"/>
          </w:tcPr>
          <w:p>
            <w:pPr>
              <w:ind w:left="60"/>
              <w:spacing w:after="0"/>
              <w:rPr>
                <w:sz w:val="20"/>
                <w:szCs w:val="20"/>
                <w:color w:val="auto"/>
              </w:rPr>
            </w:pPr>
            <w:r>
              <w:rPr>
                <w:rFonts w:ascii="Arial" w:cs="Arial" w:eastAsia="Arial" w:hAnsi="Arial"/>
                <w:sz w:val="16"/>
                <w:szCs w:val="16"/>
                <w:color w:val="auto"/>
              </w:rPr>
              <w:t>Platte River Power</w:t>
            </w:r>
          </w:p>
        </w:tc>
        <w:tc>
          <w:tcPr>
            <w:tcW w:w="1020" w:type="dxa"/>
            <w:vAlign w:val="bottom"/>
            <w:gridSpan w:val="2"/>
            <w:vMerge w:val="restart"/>
            <w:shd w:val="clear" w:color="auto" w:fill="E6E6E6"/>
          </w:tcPr>
          <w:p>
            <w:pPr>
              <w:jc w:val="right"/>
              <w:spacing w:after="0"/>
              <w:rPr>
                <w:sz w:val="20"/>
                <w:szCs w:val="20"/>
                <w:color w:val="auto"/>
              </w:rPr>
            </w:pPr>
            <w:r>
              <w:rPr>
                <w:rFonts w:ascii="Arial" w:cs="Arial" w:eastAsia="Arial" w:hAnsi="Arial"/>
                <w:sz w:val="16"/>
                <w:szCs w:val="16"/>
                <w:color w:val="auto"/>
              </w:rPr>
              <w:t>2039</w:t>
            </w:r>
          </w:p>
        </w:tc>
        <w:tc>
          <w:tcPr>
            <w:tcW w:w="0" w:type="dxa"/>
            <w:vAlign w:val="bottom"/>
          </w:tcPr>
          <w:p>
            <w:pPr>
              <w:spacing w:after="0"/>
              <w:rPr>
                <w:sz w:val="1"/>
                <w:szCs w:val="1"/>
                <w:color w:val="auto"/>
              </w:rPr>
            </w:pPr>
          </w:p>
        </w:tc>
      </w:tr>
      <w:tr>
        <w:trPr>
          <w:trHeight w:val="223"/>
        </w:trPr>
        <w:tc>
          <w:tcPr>
            <w:tcW w:w="1640" w:type="dxa"/>
            <w:vAlign w:val="bottom"/>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300" w:type="dxa"/>
            <w:vAlign w:val="bottom"/>
            <w:gridSpan w:val="3"/>
            <w:shd w:val="clear" w:color="auto" w:fill="E6E6E6"/>
          </w:tcPr>
          <w:p>
            <w:pPr>
              <w:ind w:left="40"/>
              <w:spacing w:after="0"/>
              <w:rPr>
                <w:sz w:val="20"/>
                <w:szCs w:val="20"/>
                <w:color w:val="auto"/>
              </w:rPr>
            </w:pPr>
            <w:r>
              <w:rPr>
                <w:rFonts w:ascii="Arial" w:cs="Arial" w:eastAsia="Arial" w:hAnsi="Arial"/>
                <w:sz w:val="16"/>
                <w:szCs w:val="16"/>
                <w:color w:val="auto"/>
              </w:rPr>
              <w:t>CO</w:t>
            </w:r>
          </w:p>
        </w:tc>
        <w:tc>
          <w:tcPr>
            <w:tcW w:w="620" w:type="dxa"/>
            <w:vAlign w:val="bottom"/>
            <w:vMerge w:val="continue"/>
            <w:shd w:val="clear" w:color="auto" w:fill="E6E6E6"/>
          </w:tcPr>
          <w:p>
            <w:pPr>
              <w:spacing w:after="0"/>
              <w:rPr>
                <w:sz w:val="19"/>
                <w:szCs w:val="19"/>
                <w:color w:val="auto"/>
              </w:rPr>
            </w:pPr>
          </w:p>
        </w:tc>
        <w:tc>
          <w:tcPr>
            <w:tcW w:w="740" w:type="dxa"/>
            <w:vAlign w:val="bottom"/>
            <w:gridSpan w:val="3"/>
            <w:vMerge w:val="continue"/>
            <w:shd w:val="clear" w:color="auto" w:fill="E6E6E6"/>
          </w:tcPr>
          <w:p>
            <w:pPr>
              <w:spacing w:after="0"/>
              <w:rPr>
                <w:sz w:val="19"/>
                <w:szCs w:val="19"/>
                <w:color w:val="auto"/>
              </w:rPr>
            </w:pPr>
          </w:p>
        </w:tc>
        <w:tc>
          <w:tcPr>
            <w:tcW w:w="800" w:type="dxa"/>
            <w:vAlign w:val="bottom"/>
            <w:gridSpan w:val="2"/>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940" w:type="dxa"/>
            <w:vAlign w:val="bottom"/>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260" w:type="dxa"/>
            <w:vAlign w:val="bottom"/>
            <w:gridSpan w:val="2"/>
            <w:vMerge w:val="continue"/>
            <w:shd w:val="clear" w:color="auto" w:fill="E6E6E6"/>
          </w:tcPr>
          <w:p>
            <w:pPr>
              <w:spacing w:after="0"/>
              <w:rPr>
                <w:sz w:val="19"/>
                <w:szCs w:val="19"/>
                <w:color w:val="auto"/>
              </w:rPr>
            </w:pPr>
          </w:p>
        </w:tc>
        <w:tc>
          <w:tcPr>
            <w:tcW w:w="1640" w:type="dxa"/>
            <w:vAlign w:val="bottom"/>
            <w:shd w:val="clear" w:color="auto" w:fill="E6E6E6"/>
          </w:tcPr>
          <w:p>
            <w:pPr>
              <w:ind w:left="60"/>
              <w:spacing w:after="0"/>
              <w:rPr>
                <w:sz w:val="20"/>
                <w:szCs w:val="20"/>
                <w:color w:val="auto"/>
              </w:rPr>
            </w:pPr>
            <w:r>
              <w:rPr>
                <w:rFonts w:ascii="Arial" w:cs="Arial" w:eastAsia="Arial" w:hAnsi="Arial"/>
                <w:sz w:val="16"/>
                <w:szCs w:val="16"/>
                <w:color w:val="auto"/>
              </w:rPr>
              <w:t>Authority</w:t>
            </w:r>
          </w:p>
        </w:tc>
        <w:tc>
          <w:tcPr>
            <w:tcW w:w="1020" w:type="dxa"/>
            <w:vAlign w:val="bottom"/>
            <w:gridSpan w:val="2"/>
            <w:vMerge w:val="continue"/>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640" w:type="dxa"/>
            <w:vAlign w:val="bottom"/>
            <w:vMerge w:val="restart"/>
          </w:tcPr>
          <w:p>
            <w:pPr>
              <w:ind w:left="40"/>
              <w:spacing w:after="0"/>
              <w:rPr>
                <w:sz w:val="20"/>
                <w:szCs w:val="20"/>
                <w:color w:val="auto"/>
              </w:rPr>
            </w:pPr>
            <w:r>
              <w:rPr>
                <w:rFonts w:ascii="Arial" w:cs="Arial" w:eastAsia="Arial" w:hAnsi="Arial"/>
                <w:sz w:val="16"/>
                <w:szCs w:val="16"/>
                <w:color w:val="auto"/>
              </w:rPr>
              <w:t>Taloga</w:t>
            </w:r>
          </w:p>
        </w:tc>
        <w:tc>
          <w:tcPr>
            <w:tcW w:w="80" w:type="dxa"/>
            <w:vAlign w:val="bottom"/>
          </w:tcPr>
          <w:p>
            <w:pPr>
              <w:spacing w:after="0"/>
              <w:rPr>
                <w:sz w:val="16"/>
                <w:szCs w:val="16"/>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6"/>
                <w:szCs w:val="16"/>
                <w:color w:val="auto"/>
              </w:rPr>
              <w:t>Putnam, OK</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130</w:t>
            </w:r>
          </w:p>
        </w:tc>
        <w:tc>
          <w:tcPr>
            <w:tcW w:w="740" w:type="dxa"/>
            <w:vAlign w:val="bottom"/>
            <w:gridSpan w:val="3"/>
            <w:vMerge w:val="restart"/>
          </w:tcPr>
          <w:p>
            <w:pPr>
              <w:jc w:val="right"/>
              <w:spacing w:after="0"/>
              <w:rPr>
                <w:sz w:val="20"/>
                <w:szCs w:val="20"/>
                <w:color w:val="auto"/>
              </w:rPr>
            </w:pPr>
            <w:r>
              <w:rPr>
                <w:rFonts w:ascii="Arial" w:cs="Arial" w:eastAsia="Arial" w:hAnsi="Arial"/>
                <w:sz w:val="16"/>
                <w:szCs w:val="16"/>
                <w:color w:val="auto"/>
              </w:rPr>
              <w:t>130</w:t>
            </w:r>
          </w:p>
        </w:tc>
        <w:tc>
          <w:tcPr>
            <w:tcW w:w="800" w:type="dxa"/>
            <w:vAlign w:val="bottom"/>
            <w:gridSpan w:val="2"/>
            <w:vMerge w:val="restart"/>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16"/>
                <w:szCs w:val="16"/>
                <w:color w:val="auto"/>
              </w:rPr>
            </w:pPr>
          </w:p>
        </w:tc>
        <w:tc>
          <w:tcPr>
            <w:tcW w:w="940" w:type="dxa"/>
            <w:vAlign w:val="bottom"/>
            <w:vMerge w:val="restart"/>
          </w:tcPr>
          <w:p>
            <w:pPr>
              <w:ind w:left="60"/>
              <w:spacing w:after="0"/>
              <w:rPr>
                <w:sz w:val="20"/>
                <w:szCs w:val="20"/>
                <w:color w:val="auto"/>
              </w:rPr>
            </w:pPr>
            <w:r>
              <w:rPr>
                <w:rFonts w:ascii="Arial" w:cs="Arial" w:eastAsia="Arial" w:hAnsi="Arial"/>
                <w:sz w:val="16"/>
                <w:szCs w:val="16"/>
                <w:color w:val="auto"/>
              </w:rPr>
              <w:t>Wind</w:t>
            </w:r>
          </w:p>
        </w:tc>
        <w:tc>
          <w:tcPr>
            <w:tcW w:w="80" w:type="dxa"/>
            <w:vAlign w:val="bottom"/>
          </w:tcPr>
          <w:p>
            <w:pPr>
              <w:spacing w:after="0"/>
              <w:rPr>
                <w:sz w:val="16"/>
                <w:szCs w:val="16"/>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6"/>
                <w:szCs w:val="16"/>
                <w:color w:val="auto"/>
              </w:rPr>
              <w:t>July 2011</w:t>
            </w:r>
          </w:p>
        </w:tc>
        <w:tc>
          <w:tcPr>
            <w:tcW w:w="1640" w:type="dxa"/>
            <w:vAlign w:val="bottom"/>
          </w:tcPr>
          <w:p>
            <w:pPr>
              <w:ind w:left="60"/>
              <w:spacing w:after="0"/>
              <w:rPr>
                <w:sz w:val="20"/>
                <w:szCs w:val="20"/>
                <w:color w:val="auto"/>
              </w:rPr>
            </w:pPr>
            <w:r>
              <w:rPr>
                <w:rFonts w:ascii="Arial" w:cs="Arial" w:eastAsia="Arial" w:hAnsi="Arial"/>
                <w:sz w:val="16"/>
                <w:szCs w:val="16"/>
                <w:color w:val="auto"/>
              </w:rPr>
              <w:t>Oklahoma Gas &amp;</w:t>
            </w: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color w:val="auto"/>
              </w:rPr>
              <w:t>2031</w:t>
            </w:r>
          </w:p>
        </w:tc>
        <w:tc>
          <w:tcPr>
            <w:tcW w:w="0" w:type="dxa"/>
            <w:vAlign w:val="bottom"/>
          </w:tcPr>
          <w:p>
            <w:pPr>
              <w:spacing w:after="0"/>
              <w:rPr>
                <w:sz w:val="1"/>
                <w:szCs w:val="1"/>
                <w:color w:val="auto"/>
              </w:rPr>
            </w:pPr>
          </w:p>
        </w:tc>
      </w:tr>
      <w:tr>
        <w:trPr>
          <w:trHeight w:val="216"/>
        </w:trPr>
        <w:tc>
          <w:tcPr>
            <w:tcW w:w="1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740" w:type="dxa"/>
            <w:vAlign w:val="bottom"/>
            <w:gridSpan w:val="3"/>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640" w:type="dxa"/>
            <w:vAlign w:val="bottom"/>
          </w:tcPr>
          <w:p>
            <w:pPr>
              <w:ind w:left="60"/>
              <w:spacing w:after="0"/>
              <w:rPr>
                <w:sz w:val="20"/>
                <w:szCs w:val="20"/>
                <w:color w:val="auto"/>
              </w:rPr>
            </w:pPr>
            <w:r>
              <w:rPr>
                <w:rFonts w:ascii="Arial" w:cs="Arial" w:eastAsia="Arial" w:hAnsi="Arial"/>
                <w:sz w:val="16"/>
                <w:szCs w:val="16"/>
                <w:color w:val="auto"/>
              </w:rPr>
              <w:t>Electric</w:t>
            </w: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640" w:type="dxa"/>
            <w:vAlign w:val="bottom"/>
            <w:vMerge w:val="restart"/>
            <w:shd w:val="clear" w:color="auto" w:fill="E6E6E6"/>
          </w:tcPr>
          <w:p>
            <w:pPr>
              <w:ind w:left="40"/>
              <w:spacing w:after="0"/>
              <w:rPr>
                <w:sz w:val="20"/>
                <w:szCs w:val="20"/>
                <w:color w:val="auto"/>
              </w:rPr>
            </w:pPr>
            <w:r>
              <w:rPr>
                <w:rFonts w:ascii="Arial" w:cs="Arial" w:eastAsia="Arial" w:hAnsi="Arial"/>
                <w:sz w:val="16"/>
                <w:szCs w:val="16"/>
                <w:color w:val="auto"/>
              </w:rPr>
              <w:t xml:space="preserve">Wildorado </w:t>
            </w:r>
            <w:r>
              <w:rPr>
                <w:rFonts w:ascii="Arial" w:cs="Arial" w:eastAsia="Arial" w:hAnsi="Arial"/>
                <w:sz w:val="20"/>
                <w:szCs w:val="20"/>
                <w:color w:val="auto"/>
                <w:vertAlign w:val="superscript"/>
              </w:rPr>
              <w:t>(b)</w:t>
            </w:r>
          </w:p>
        </w:tc>
        <w:tc>
          <w:tcPr>
            <w:tcW w:w="80" w:type="dxa"/>
            <w:vAlign w:val="bottom"/>
            <w:shd w:val="clear" w:color="auto" w:fill="E6E6E6"/>
          </w:tcPr>
          <w:p>
            <w:pPr>
              <w:spacing w:after="0"/>
              <w:rPr>
                <w:sz w:val="17"/>
                <w:szCs w:val="17"/>
                <w:color w:val="auto"/>
              </w:rPr>
            </w:pPr>
          </w:p>
        </w:tc>
        <w:tc>
          <w:tcPr>
            <w:tcW w:w="1300" w:type="dxa"/>
            <w:vAlign w:val="bottom"/>
            <w:gridSpan w:val="3"/>
            <w:vMerge w:val="restart"/>
            <w:shd w:val="clear" w:color="auto" w:fill="E6E6E6"/>
          </w:tcPr>
          <w:p>
            <w:pPr>
              <w:ind w:left="40"/>
              <w:spacing w:after="0"/>
              <w:rPr>
                <w:sz w:val="20"/>
                <w:szCs w:val="20"/>
                <w:color w:val="auto"/>
              </w:rPr>
            </w:pPr>
            <w:r>
              <w:rPr>
                <w:rFonts w:ascii="Arial" w:cs="Arial" w:eastAsia="Arial" w:hAnsi="Arial"/>
                <w:sz w:val="16"/>
                <w:szCs w:val="16"/>
                <w:color w:val="auto"/>
              </w:rPr>
              <w:t>Vega, TX</w:t>
            </w:r>
          </w:p>
        </w:tc>
        <w:tc>
          <w:tcPr>
            <w:tcW w:w="62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161</w:t>
            </w:r>
          </w:p>
        </w:tc>
        <w:tc>
          <w:tcPr>
            <w:tcW w:w="100" w:type="dxa"/>
            <w:vAlign w:val="bottom"/>
            <w:gridSpan w:val="2"/>
            <w:vMerge w:val="restart"/>
            <w:shd w:val="clear" w:color="auto" w:fill="E6E6E6"/>
          </w:tcPr>
          <w:p>
            <w:pPr>
              <w:spacing w:after="0"/>
              <w:rPr>
                <w:sz w:val="17"/>
                <w:szCs w:val="17"/>
                <w:color w:val="auto"/>
              </w:rPr>
            </w:pPr>
          </w:p>
        </w:tc>
        <w:tc>
          <w:tcPr>
            <w:tcW w:w="64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161</w:t>
            </w:r>
          </w:p>
        </w:tc>
        <w:tc>
          <w:tcPr>
            <w:tcW w:w="800" w:type="dxa"/>
            <w:vAlign w:val="bottom"/>
            <w:gridSpan w:val="2"/>
            <w:vMerge w:val="restart"/>
            <w:shd w:val="clear" w:color="auto" w:fill="E6E6E6"/>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E6E6E6"/>
          </w:tcPr>
          <w:p>
            <w:pPr>
              <w:spacing w:after="0"/>
              <w:rPr>
                <w:sz w:val="17"/>
                <w:szCs w:val="17"/>
                <w:color w:val="auto"/>
              </w:rPr>
            </w:pPr>
          </w:p>
        </w:tc>
        <w:tc>
          <w:tcPr>
            <w:tcW w:w="940" w:type="dxa"/>
            <w:vAlign w:val="bottom"/>
            <w:vMerge w:val="restart"/>
            <w:shd w:val="clear" w:color="auto" w:fill="E6E6E6"/>
          </w:tcPr>
          <w:p>
            <w:pPr>
              <w:ind w:left="60"/>
              <w:spacing w:after="0"/>
              <w:rPr>
                <w:sz w:val="20"/>
                <w:szCs w:val="20"/>
                <w:color w:val="auto"/>
              </w:rPr>
            </w:pPr>
            <w:r>
              <w:rPr>
                <w:rFonts w:ascii="Arial" w:cs="Arial" w:eastAsia="Arial" w:hAnsi="Arial"/>
                <w:sz w:val="16"/>
                <w:szCs w:val="16"/>
                <w:color w:val="auto"/>
              </w:rPr>
              <w:t>Wind</w:t>
            </w:r>
          </w:p>
        </w:tc>
        <w:tc>
          <w:tcPr>
            <w:tcW w:w="80" w:type="dxa"/>
            <w:vAlign w:val="bottom"/>
            <w:shd w:val="clear" w:color="auto" w:fill="E6E6E6"/>
          </w:tcPr>
          <w:p>
            <w:pPr>
              <w:spacing w:after="0"/>
              <w:rPr>
                <w:sz w:val="17"/>
                <w:szCs w:val="17"/>
                <w:color w:val="auto"/>
              </w:rPr>
            </w:pPr>
          </w:p>
        </w:tc>
        <w:tc>
          <w:tcPr>
            <w:tcW w:w="1260" w:type="dxa"/>
            <w:vAlign w:val="bottom"/>
            <w:gridSpan w:val="2"/>
            <w:shd w:val="clear" w:color="auto" w:fill="E6E6E6"/>
          </w:tcPr>
          <w:p>
            <w:pPr>
              <w:ind w:left="60"/>
              <w:spacing w:after="0"/>
              <w:rPr>
                <w:sz w:val="20"/>
                <w:szCs w:val="20"/>
                <w:color w:val="auto"/>
              </w:rPr>
            </w:pPr>
            <w:r>
              <w:rPr>
                <w:rFonts w:ascii="Arial" w:cs="Arial" w:eastAsia="Arial" w:hAnsi="Arial"/>
                <w:sz w:val="16"/>
                <w:szCs w:val="16"/>
                <w:color w:val="auto"/>
              </w:rPr>
              <w:t>December 2019</w:t>
            </w:r>
          </w:p>
        </w:tc>
        <w:tc>
          <w:tcPr>
            <w:tcW w:w="1640" w:type="dxa"/>
            <w:vAlign w:val="bottom"/>
            <w:shd w:val="clear" w:color="auto" w:fill="E6E6E6"/>
          </w:tcPr>
          <w:p>
            <w:pPr>
              <w:ind w:left="60"/>
              <w:spacing w:after="0"/>
              <w:rPr>
                <w:sz w:val="20"/>
                <w:szCs w:val="20"/>
                <w:color w:val="auto"/>
              </w:rPr>
            </w:pPr>
            <w:r>
              <w:rPr>
                <w:rFonts w:ascii="Arial" w:cs="Arial" w:eastAsia="Arial" w:hAnsi="Arial"/>
                <w:sz w:val="16"/>
                <w:szCs w:val="16"/>
                <w:color w:val="auto"/>
              </w:rPr>
              <w:t>Southwestern Public</w:t>
            </w:r>
          </w:p>
        </w:tc>
        <w:tc>
          <w:tcPr>
            <w:tcW w:w="1020" w:type="dxa"/>
            <w:vAlign w:val="bottom"/>
            <w:gridSpan w:val="2"/>
            <w:vMerge w:val="restart"/>
            <w:shd w:val="clear" w:color="auto" w:fill="E6E6E6"/>
          </w:tcPr>
          <w:p>
            <w:pPr>
              <w:jc w:val="right"/>
              <w:spacing w:after="0"/>
              <w:rPr>
                <w:sz w:val="20"/>
                <w:szCs w:val="20"/>
                <w:color w:val="auto"/>
              </w:rPr>
            </w:pPr>
            <w:r>
              <w:rPr>
                <w:rFonts w:ascii="Arial" w:cs="Arial" w:eastAsia="Arial" w:hAnsi="Arial"/>
                <w:sz w:val="16"/>
                <w:szCs w:val="16"/>
                <w:color w:val="auto"/>
              </w:rPr>
              <w:t>2027</w:t>
            </w:r>
          </w:p>
        </w:tc>
        <w:tc>
          <w:tcPr>
            <w:tcW w:w="0" w:type="dxa"/>
            <w:vAlign w:val="bottom"/>
          </w:tcPr>
          <w:p>
            <w:pPr>
              <w:spacing w:after="0"/>
              <w:rPr>
                <w:sz w:val="1"/>
                <w:szCs w:val="1"/>
                <w:color w:val="auto"/>
              </w:rPr>
            </w:pPr>
          </w:p>
        </w:tc>
      </w:tr>
      <w:tr>
        <w:trPr>
          <w:trHeight w:val="233"/>
        </w:trPr>
        <w:tc>
          <w:tcPr>
            <w:tcW w:w="1640" w:type="dxa"/>
            <w:vAlign w:val="bottom"/>
            <w:tcBorders>
              <w:bottom w:val="single" w:sz="8" w:color="E6E6E6"/>
            </w:tcBorders>
            <w:vMerge w:val="continue"/>
            <w:shd w:val="clear" w:color="auto" w:fill="E6E6E6"/>
          </w:tcPr>
          <w:p>
            <w:pPr>
              <w:spacing w:after="0"/>
              <w:rPr>
                <w:sz w:val="20"/>
                <w:szCs w:val="20"/>
                <w:color w:val="auto"/>
              </w:rPr>
            </w:pPr>
          </w:p>
        </w:tc>
        <w:tc>
          <w:tcPr>
            <w:tcW w:w="80" w:type="dxa"/>
            <w:vAlign w:val="bottom"/>
            <w:tcBorders>
              <w:bottom w:val="single" w:sz="8" w:color="E6E6E6"/>
            </w:tcBorders>
            <w:shd w:val="clear" w:color="auto" w:fill="E6E6E6"/>
          </w:tcPr>
          <w:p>
            <w:pPr>
              <w:spacing w:after="0"/>
              <w:rPr>
                <w:sz w:val="20"/>
                <w:szCs w:val="20"/>
                <w:color w:val="auto"/>
              </w:rPr>
            </w:pPr>
          </w:p>
        </w:tc>
        <w:tc>
          <w:tcPr>
            <w:tcW w:w="1300" w:type="dxa"/>
            <w:vAlign w:val="bottom"/>
            <w:tcBorders>
              <w:bottom w:val="single" w:sz="8" w:color="E6E6E6"/>
            </w:tcBorders>
            <w:gridSpan w:val="3"/>
            <w:vMerge w:val="continue"/>
            <w:shd w:val="clear" w:color="auto" w:fill="E6E6E6"/>
          </w:tcPr>
          <w:p>
            <w:pPr>
              <w:spacing w:after="0"/>
              <w:rPr>
                <w:sz w:val="20"/>
                <w:szCs w:val="20"/>
                <w:color w:val="auto"/>
              </w:rPr>
            </w:pPr>
          </w:p>
        </w:tc>
        <w:tc>
          <w:tcPr>
            <w:tcW w:w="620" w:type="dxa"/>
            <w:vAlign w:val="bottom"/>
            <w:tcBorders>
              <w:bottom w:val="single" w:sz="8" w:color="auto"/>
            </w:tcBorders>
            <w:vMerge w:val="continue"/>
            <w:shd w:val="clear" w:color="auto" w:fill="E6E6E6"/>
          </w:tcPr>
          <w:p>
            <w:pPr>
              <w:spacing w:after="0"/>
              <w:rPr>
                <w:sz w:val="20"/>
                <w:szCs w:val="20"/>
                <w:color w:val="auto"/>
              </w:rPr>
            </w:pPr>
          </w:p>
        </w:tc>
        <w:tc>
          <w:tcPr>
            <w:tcW w:w="100" w:type="dxa"/>
            <w:vAlign w:val="bottom"/>
            <w:tcBorders>
              <w:bottom w:val="single" w:sz="8" w:color="E6E6E6"/>
            </w:tcBorders>
            <w:gridSpan w:val="2"/>
            <w:vMerge w:val="continue"/>
            <w:shd w:val="clear" w:color="auto" w:fill="E6E6E6"/>
          </w:tcPr>
          <w:p>
            <w:pPr>
              <w:spacing w:after="0"/>
              <w:rPr>
                <w:sz w:val="20"/>
                <w:szCs w:val="20"/>
                <w:color w:val="auto"/>
              </w:rPr>
            </w:pPr>
          </w:p>
        </w:tc>
        <w:tc>
          <w:tcPr>
            <w:tcW w:w="640" w:type="dxa"/>
            <w:vAlign w:val="bottom"/>
            <w:tcBorders>
              <w:bottom w:val="single" w:sz="8" w:color="auto"/>
            </w:tcBorders>
            <w:vMerge w:val="continue"/>
            <w:shd w:val="clear" w:color="auto" w:fill="E6E6E6"/>
          </w:tcPr>
          <w:p>
            <w:pPr>
              <w:spacing w:after="0"/>
              <w:rPr>
                <w:sz w:val="20"/>
                <w:szCs w:val="20"/>
                <w:color w:val="auto"/>
              </w:rPr>
            </w:pPr>
          </w:p>
        </w:tc>
        <w:tc>
          <w:tcPr>
            <w:tcW w:w="800" w:type="dxa"/>
            <w:vAlign w:val="bottom"/>
            <w:tcBorders>
              <w:bottom w:val="single" w:sz="8" w:color="E6E6E6"/>
            </w:tcBorders>
            <w:gridSpan w:val="2"/>
            <w:vMerge w:val="continue"/>
            <w:shd w:val="clear" w:color="auto" w:fill="E6E6E6"/>
          </w:tcPr>
          <w:p>
            <w:pPr>
              <w:spacing w:after="0"/>
              <w:rPr>
                <w:sz w:val="20"/>
                <w:szCs w:val="20"/>
                <w:color w:val="auto"/>
              </w:rPr>
            </w:pPr>
          </w:p>
        </w:tc>
        <w:tc>
          <w:tcPr>
            <w:tcW w:w="80" w:type="dxa"/>
            <w:vAlign w:val="bottom"/>
            <w:tcBorders>
              <w:bottom w:val="single" w:sz="8" w:color="E6E6E6"/>
            </w:tcBorders>
            <w:shd w:val="clear" w:color="auto" w:fill="E6E6E6"/>
          </w:tcPr>
          <w:p>
            <w:pPr>
              <w:spacing w:after="0"/>
              <w:rPr>
                <w:sz w:val="20"/>
                <w:szCs w:val="20"/>
                <w:color w:val="auto"/>
              </w:rPr>
            </w:pPr>
          </w:p>
        </w:tc>
        <w:tc>
          <w:tcPr>
            <w:tcW w:w="940" w:type="dxa"/>
            <w:vAlign w:val="bottom"/>
            <w:tcBorders>
              <w:bottom w:val="single" w:sz="8" w:color="E6E6E6"/>
            </w:tcBorders>
            <w:vMerge w:val="continue"/>
            <w:shd w:val="clear" w:color="auto" w:fill="E6E6E6"/>
          </w:tcPr>
          <w:p>
            <w:pPr>
              <w:spacing w:after="0"/>
              <w:rPr>
                <w:sz w:val="20"/>
                <w:szCs w:val="20"/>
                <w:color w:val="auto"/>
              </w:rPr>
            </w:pPr>
          </w:p>
        </w:tc>
        <w:tc>
          <w:tcPr>
            <w:tcW w:w="80" w:type="dxa"/>
            <w:vAlign w:val="bottom"/>
            <w:tcBorders>
              <w:bottom w:val="single" w:sz="8" w:color="E6E6E6"/>
            </w:tcBorders>
            <w:shd w:val="clear" w:color="auto" w:fill="E6E6E6"/>
          </w:tcPr>
          <w:p>
            <w:pPr>
              <w:spacing w:after="0"/>
              <w:rPr>
                <w:sz w:val="20"/>
                <w:szCs w:val="20"/>
                <w:color w:val="auto"/>
              </w:rPr>
            </w:pPr>
          </w:p>
        </w:tc>
        <w:tc>
          <w:tcPr>
            <w:tcW w:w="1260" w:type="dxa"/>
            <w:vAlign w:val="bottom"/>
            <w:tcBorders>
              <w:bottom w:val="single" w:sz="8" w:color="E6E6E6"/>
            </w:tcBorders>
            <w:gridSpan w:val="2"/>
            <w:shd w:val="clear" w:color="auto" w:fill="E6E6E6"/>
          </w:tcPr>
          <w:p>
            <w:pPr>
              <w:ind w:left="60"/>
              <w:spacing w:after="0"/>
              <w:rPr>
                <w:sz w:val="20"/>
                <w:szCs w:val="20"/>
                <w:color w:val="auto"/>
              </w:rPr>
            </w:pPr>
            <w:r>
              <w:rPr>
                <w:rFonts w:ascii="Arial" w:cs="Arial" w:eastAsia="Arial" w:hAnsi="Arial"/>
                <w:sz w:val="16"/>
                <w:szCs w:val="16"/>
                <w:color w:val="auto"/>
              </w:rPr>
              <w:t>- January 2020</w:t>
            </w:r>
          </w:p>
        </w:tc>
        <w:tc>
          <w:tcPr>
            <w:tcW w:w="16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6"/>
                <w:szCs w:val="16"/>
                <w:color w:val="auto"/>
              </w:rPr>
              <w:t>Service Company</w:t>
            </w:r>
          </w:p>
        </w:tc>
        <w:tc>
          <w:tcPr>
            <w:tcW w:w="1020" w:type="dxa"/>
            <w:vAlign w:val="bottom"/>
            <w:tcBorders>
              <w:bottom w:val="single" w:sz="8" w:color="E6E6E6"/>
            </w:tcBorders>
            <w:gridSpan w:val="2"/>
            <w:vMerge w:val="continue"/>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1640" w:type="dxa"/>
            <w:vAlign w:val="bottom"/>
            <w:tcBorders>
              <w:bottom w:val="single" w:sz="8" w:color="E6E6E6"/>
            </w:tcBorders>
          </w:tcPr>
          <w:p>
            <w:pPr>
              <w:ind w:left="400"/>
              <w:spacing w:after="0"/>
              <w:rPr>
                <w:sz w:val="20"/>
                <w:szCs w:val="20"/>
                <w:color w:val="auto"/>
              </w:rPr>
            </w:pPr>
            <w:r>
              <w:rPr>
                <w:rFonts w:ascii="Arial" w:cs="Arial" w:eastAsia="Arial" w:hAnsi="Arial"/>
                <w:sz w:val="18"/>
                <w:szCs w:val="18"/>
                <w:b w:val="1"/>
                <w:bCs w:val="1"/>
                <w:i w:val="1"/>
                <w:iCs w:val="1"/>
                <w:color w:val="auto"/>
              </w:rPr>
              <w:t>Total Wind</w:t>
            </w:r>
          </w:p>
        </w:tc>
        <w:tc>
          <w:tcPr>
            <w:tcW w:w="80" w:type="dxa"/>
            <w:vAlign w:val="bottom"/>
            <w:tcBorders>
              <w:bottom w:val="single" w:sz="8" w:color="E6E6E6"/>
            </w:tcBorders>
          </w:tcPr>
          <w:p>
            <w:pPr>
              <w:spacing w:after="0"/>
              <w:rPr>
                <w:sz w:val="21"/>
                <w:szCs w:val="21"/>
                <w:color w:val="auto"/>
              </w:rPr>
            </w:pPr>
          </w:p>
        </w:tc>
        <w:tc>
          <w:tcPr>
            <w:tcW w:w="260" w:type="dxa"/>
            <w:vAlign w:val="bottom"/>
            <w:tcBorders>
              <w:bottom w:val="single" w:sz="8" w:color="E6E6E6"/>
            </w:tcBorders>
          </w:tcPr>
          <w:p>
            <w:pPr>
              <w:spacing w:after="0"/>
              <w:rPr>
                <w:sz w:val="21"/>
                <w:szCs w:val="21"/>
                <w:color w:val="auto"/>
              </w:rPr>
            </w:pPr>
          </w:p>
        </w:tc>
        <w:tc>
          <w:tcPr>
            <w:tcW w:w="980" w:type="dxa"/>
            <w:vAlign w:val="bottom"/>
            <w:tcBorders>
              <w:bottom w:val="single" w:sz="8" w:color="E6E6E6"/>
            </w:tcBorders>
          </w:tcPr>
          <w:p>
            <w:pPr>
              <w:spacing w:after="0"/>
              <w:rPr>
                <w:sz w:val="21"/>
                <w:szCs w:val="21"/>
                <w:color w:val="auto"/>
              </w:rPr>
            </w:pPr>
          </w:p>
        </w:tc>
        <w:tc>
          <w:tcPr>
            <w:tcW w:w="60" w:type="dxa"/>
            <w:vAlign w:val="bottom"/>
            <w:tcBorders>
              <w:bottom w:val="single" w:sz="8" w:color="E6E6E6"/>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4,157</w:t>
            </w:r>
          </w:p>
        </w:tc>
        <w:tc>
          <w:tcPr>
            <w:tcW w:w="100" w:type="dxa"/>
            <w:vAlign w:val="bottom"/>
            <w:tcBorders>
              <w:bottom w:val="single" w:sz="8" w:color="E6E6E6"/>
            </w:tcBorders>
            <w:gridSpan w:val="2"/>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3,658</w:t>
            </w:r>
          </w:p>
        </w:tc>
        <w:tc>
          <w:tcPr>
            <w:tcW w:w="80" w:type="dxa"/>
            <w:vAlign w:val="bottom"/>
            <w:tcBorders>
              <w:bottom w:val="single" w:sz="8" w:color="E6E6E6"/>
            </w:tcBorders>
          </w:tcPr>
          <w:p>
            <w:pPr>
              <w:spacing w:after="0"/>
              <w:rPr>
                <w:sz w:val="21"/>
                <w:szCs w:val="21"/>
                <w:color w:val="auto"/>
              </w:rPr>
            </w:pPr>
          </w:p>
        </w:tc>
        <w:tc>
          <w:tcPr>
            <w:tcW w:w="720" w:type="dxa"/>
            <w:vAlign w:val="bottom"/>
            <w:tcBorders>
              <w:bottom w:val="single" w:sz="8" w:color="E6E6E6"/>
            </w:tcBorders>
          </w:tcPr>
          <w:p>
            <w:pPr>
              <w:spacing w:after="0"/>
              <w:rPr>
                <w:sz w:val="21"/>
                <w:szCs w:val="21"/>
                <w:color w:val="auto"/>
              </w:rPr>
            </w:pPr>
          </w:p>
        </w:tc>
        <w:tc>
          <w:tcPr>
            <w:tcW w:w="80" w:type="dxa"/>
            <w:vAlign w:val="bottom"/>
            <w:tcBorders>
              <w:bottom w:val="single" w:sz="8" w:color="E6E6E6"/>
            </w:tcBorders>
          </w:tcPr>
          <w:p>
            <w:pPr>
              <w:spacing w:after="0"/>
              <w:rPr>
                <w:sz w:val="21"/>
                <w:szCs w:val="21"/>
                <w:color w:val="auto"/>
              </w:rPr>
            </w:pPr>
          </w:p>
        </w:tc>
        <w:tc>
          <w:tcPr>
            <w:tcW w:w="940" w:type="dxa"/>
            <w:vAlign w:val="bottom"/>
            <w:tcBorders>
              <w:bottom w:val="single" w:sz="8" w:color="E6E6E6"/>
            </w:tcBorders>
          </w:tcPr>
          <w:p>
            <w:pPr>
              <w:spacing w:after="0"/>
              <w:rPr>
                <w:sz w:val="21"/>
                <w:szCs w:val="21"/>
                <w:color w:val="auto"/>
              </w:rPr>
            </w:pPr>
          </w:p>
        </w:tc>
        <w:tc>
          <w:tcPr>
            <w:tcW w:w="80" w:type="dxa"/>
            <w:vAlign w:val="bottom"/>
            <w:tcBorders>
              <w:bottom w:val="single" w:sz="8" w:color="E6E6E6"/>
            </w:tcBorders>
          </w:tcPr>
          <w:p>
            <w:pPr>
              <w:spacing w:after="0"/>
              <w:rPr>
                <w:sz w:val="21"/>
                <w:szCs w:val="21"/>
                <w:color w:val="auto"/>
              </w:rPr>
            </w:pPr>
          </w:p>
        </w:tc>
        <w:tc>
          <w:tcPr>
            <w:tcW w:w="1200" w:type="dxa"/>
            <w:vAlign w:val="bottom"/>
            <w:tcBorders>
              <w:bottom w:val="single" w:sz="8" w:color="E6E6E6"/>
            </w:tcBorders>
          </w:tcPr>
          <w:p>
            <w:pPr>
              <w:spacing w:after="0"/>
              <w:rPr>
                <w:sz w:val="21"/>
                <w:szCs w:val="21"/>
                <w:color w:val="auto"/>
              </w:rPr>
            </w:pPr>
          </w:p>
        </w:tc>
        <w:tc>
          <w:tcPr>
            <w:tcW w:w="60" w:type="dxa"/>
            <w:vAlign w:val="bottom"/>
            <w:tcBorders>
              <w:bottom w:val="single" w:sz="8" w:color="E6E6E6"/>
            </w:tcBorders>
          </w:tcPr>
          <w:p>
            <w:pPr>
              <w:spacing w:after="0"/>
              <w:rPr>
                <w:sz w:val="21"/>
                <w:szCs w:val="21"/>
                <w:color w:val="auto"/>
              </w:rPr>
            </w:pPr>
          </w:p>
        </w:tc>
        <w:tc>
          <w:tcPr>
            <w:tcW w:w="1640" w:type="dxa"/>
            <w:vAlign w:val="bottom"/>
            <w:tcBorders>
              <w:bottom w:val="single" w:sz="8" w:color="E6E6E6"/>
            </w:tcBorders>
          </w:tcPr>
          <w:p>
            <w:pPr>
              <w:spacing w:after="0"/>
              <w:rPr>
                <w:sz w:val="21"/>
                <w:szCs w:val="21"/>
                <w:color w:val="auto"/>
              </w:rPr>
            </w:pPr>
          </w:p>
        </w:tc>
        <w:tc>
          <w:tcPr>
            <w:tcW w:w="60" w:type="dxa"/>
            <w:vAlign w:val="bottom"/>
            <w:tcBorders>
              <w:bottom w:val="single" w:sz="8" w:color="E6E6E6"/>
            </w:tcBorders>
          </w:tcPr>
          <w:p>
            <w:pPr>
              <w:spacing w:after="0"/>
              <w:rPr>
                <w:sz w:val="21"/>
                <w:szCs w:val="21"/>
                <w:color w:val="auto"/>
              </w:rPr>
            </w:pPr>
          </w:p>
        </w:tc>
        <w:tc>
          <w:tcPr>
            <w:tcW w:w="960" w:type="dxa"/>
            <w:vAlign w:val="bottom"/>
            <w:tcBorders>
              <w:bottom w:val="single" w:sz="8" w:color="E6E6E6"/>
            </w:tcBorders>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3020" w:type="dxa"/>
            <w:vAlign w:val="bottom"/>
            <w:gridSpan w:val="5"/>
            <w:shd w:val="clear" w:color="auto" w:fill="E6E6E6"/>
          </w:tcPr>
          <w:p>
            <w:pPr>
              <w:ind w:left="40"/>
              <w:spacing w:after="0"/>
              <w:rPr>
                <w:sz w:val="20"/>
                <w:szCs w:val="20"/>
                <w:color w:val="auto"/>
              </w:rPr>
            </w:pPr>
            <w:r>
              <w:rPr>
                <w:rFonts w:ascii="Arial" w:cs="Arial" w:eastAsia="Arial" w:hAnsi="Arial"/>
                <w:sz w:val="18"/>
                <w:szCs w:val="18"/>
                <w:b w:val="1"/>
                <w:bCs w:val="1"/>
                <w:color w:val="auto"/>
              </w:rPr>
              <w:t>Total Clearway Energy, Inc.</w:t>
            </w:r>
          </w:p>
        </w:tc>
        <w:tc>
          <w:tcPr>
            <w:tcW w:w="6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10,583</w:t>
            </w:r>
          </w:p>
        </w:tc>
        <w:tc>
          <w:tcPr>
            <w:tcW w:w="740" w:type="dxa"/>
            <w:vAlign w:val="bottom"/>
            <w:gridSpan w:val="3"/>
            <w:shd w:val="clear" w:color="auto" w:fill="E6E6E6"/>
          </w:tcPr>
          <w:p>
            <w:pPr>
              <w:jc w:val="right"/>
              <w:spacing w:after="0"/>
              <w:rPr>
                <w:sz w:val="20"/>
                <w:szCs w:val="20"/>
                <w:color w:val="auto"/>
              </w:rPr>
            </w:pPr>
            <w:r>
              <w:rPr>
                <w:rFonts w:ascii="Arial" w:cs="Arial" w:eastAsia="Arial" w:hAnsi="Arial"/>
                <w:sz w:val="16"/>
                <w:szCs w:val="16"/>
                <w:color w:val="auto"/>
              </w:rPr>
              <w:t>8,451</w:t>
            </w:r>
          </w:p>
        </w:tc>
        <w:tc>
          <w:tcPr>
            <w:tcW w:w="80" w:type="dxa"/>
            <w:vAlign w:val="bottom"/>
            <w:shd w:val="clear" w:color="auto" w:fill="E6E6E6"/>
          </w:tcPr>
          <w:p>
            <w:pPr>
              <w:spacing w:after="0"/>
              <w:rPr>
                <w:sz w:val="24"/>
                <w:szCs w:val="24"/>
                <w:color w:val="auto"/>
              </w:rPr>
            </w:pPr>
          </w:p>
        </w:tc>
        <w:tc>
          <w:tcPr>
            <w:tcW w:w="72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94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12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6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640" w:type="dxa"/>
            <w:vAlign w:val="bottom"/>
            <w:tcBorders>
              <w:top w:val="single" w:sz="8" w:color="E6E6E6"/>
              <w:bottom w:val="single" w:sz="8" w:color="auto"/>
            </w:tcBorders>
          </w:tcPr>
          <w:p>
            <w:pPr>
              <w:spacing w:after="0"/>
              <w:rPr>
                <w:sz w:val="10"/>
                <w:szCs w:val="10"/>
                <w:color w:val="auto"/>
              </w:rPr>
            </w:pPr>
          </w:p>
        </w:tc>
        <w:tc>
          <w:tcPr>
            <w:tcW w:w="80" w:type="dxa"/>
            <w:vAlign w:val="bottom"/>
            <w:tcBorders>
              <w:top w:val="single" w:sz="8" w:color="E6E6E6"/>
              <w:bottom w:val="single" w:sz="8" w:color="auto"/>
            </w:tcBorders>
          </w:tcPr>
          <w:p>
            <w:pPr>
              <w:spacing w:after="0"/>
              <w:rPr>
                <w:sz w:val="10"/>
                <w:szCs w:val="10"/>
                <w:color w:val="auto"/>
              </w:rPr>
            </w:pPr>
          </w:p>
        </w:tc>
        <w:tc>
          <w:tcPr>
            <w:tcW w:w="260" w:type="dxa"/>
            <w:vAlign w:val="bottom"/>
            <w:tcBorders>
              <w:top w:val="single" w:sz="8" w:color="E6E6E6"/>
              <w:bottom w:val="single" w:sz="8" w:color="auto"/>
            </w:tcBorders>
          </w:tcPr>
          <w:p>
            <w:pPr>
              <w:spacing w:after="0"/>
              <w:rPr>
                <w:sz w:val="10"/>
                <w:szCs w:val="10"/>
                <w:color w:val="auto"/>
              </w:rPr>
            </w:pPr>
          </w:p>
        </w:tc>
        <w:tc>
          <w:tcPr>
            <w:tcW w:w="980" w:type="dxa"/>
            <w:vAlign w:val="bottom"/>
            <w:tcBorders>
              <w:top w:val="single" w:sz="8" w:color="E6E6E6"/>
            </w:tcBorders>
          </w:tcPr>
          <w:p>
            <w:pPr>
              <w:spacing w:after="0"/>
              <w:rPr>
                <w:sz w:val="10"/>
                <w:szCs w:val="10"/>
                <w:color w:val="auto"/>
              </w:rPr>
            </w:pPr>
          </w:p>
        </w:tc>
        <w:tc>
          <w:tcPr>
            <w:tcW w:w="60" w:type="dxa"/>
            <w:vAlign w:val="bottom"/>
            <w:tcBorders>
              <w:top w:val="single" w:sz="8" w:color="E6E6E6"/>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Borders>
              <w:top w:val="single" w:sz="8" w:color="E6E6E6"/>
            </w:tcBorders>
          </w:tcPr>
          <w:p>
            <w:pPr>
              <w:spacing w:after="0"/>
              <w:rPr>
                <w:sz w:val="10"/>
                <w:szCs w:val="10"/>
                <w:color w:val="auto"/>
              </w:rPr>
            </w:pPr>
          </w:p>
        </w:tc>
        <w:tc>
          <w:tcPr>
            <w:tcW w:w="20" w:type="dxa"/>
            <w:vAlign w:val="bottom"/>
            <w:tcBorders>
              <w:top w:val="single" w:sz="8" w:color="E6E6E6"/>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Borders>
              <w:top w:val="single" w:sz="8" w:color="E6E6E6"/>
            </w:tcBorders>
          </w:tcPr>
          <w:p>
            <w:pPr>
              <w:spacing w:after="0"/>
              <w:rPr>
                <w:sz w:val="10"/>
                <w:szCs w:val="10"/>
                <w:color w:val="auto"/>
              </w:rPr>
            </w:pPr>
          </w:p>
        </w:tc>
        <w:tc>
          <w:tcPr>
            <w:tcW w:w="720" w:type="dxa"/>
            <w:vAlign w:val="bottom"/>
            <w:tcBorders>
              <w:top w:val="single" w:sz="8" w:color="E6E6E6"/>
            </w:tcBorders>
          </w:tcPr>
          <w:p>
            <w:pPr>
              <w:spacing w:after="0"/>
              <w:rPr>
                <w:sz w:val="10"/>
                <w:szCs w:val="10"/>
                <w:color w:val="auto"/>
              </w:rPr>
            </w:pPr>
          </w:p>
        </w:tc>
        <w:tc>
          <w:tcPr>
            <w:tcW w:w="80" w:type="dxa"/>
            <w:vAlign w:val="bottom"/>
            <w:tcBorders>
              <w:top w:val="single" w:sz="8" w:color="E6E6E6"/>
            </w:tcBorders>
          </w:tcPr>
          <w:p>
            <w:pPr>
              <w:spacing w:after="0"/>
              <w:rPr>
                <w:sz w:val="10"/>
                <w:szCs w:val="10"/>
                <w:color w:val="auto"/>
              </w:rPr>
            </w:pPr>
          </w:p>
        </w:tc>
        <w:tc>
          <w:tcPr>
            <w:tcW w:w="940" w:type="dxa"/>
            <w:vAlign w:val="bottom"/>
            <w:tcBorders>
              <w:top w:val="single" w:sz="8" w:color="E6E6E6"/>
            </w:tcBorders>
          </w:tcPr>
          <w:p>
            <w:pPr>
              <w:spacing w:after="0"/>
              <w:rPr>
                <w:sz w:val="10"/>
                <w:szCs w:val="10"/>
                <w:color w:val="auto"/>
              </w:rPr>
            </w:pPr>
          </w:p>
        </w:tc>
        <w:tc>
          <w:tcPr>
            <w:tcW w:w="80" w:type="dxa"/>
            <w:vAlign w:val="bottom"/>
            <w:tcBorders>
              <w:top w:val="single" w:sz="8" w:color="E6E6E6"/>
            </w:tcBorders>
          </w:tcPr>
          <w:p>
            <w:pPr>
              <w:spacing w:after="0"/>
              <w:rPr>
                <w:sz w:val="10"/>
                <w:szCs w:val="10"/>
                <w:color w:val="auto"/>
              </w:rPr>
            </w:pPr>
          </w:p>
        </w:tc>
        <w:tc>
          <w:tcPr>
            <w:tcW w:w="1200" w:type="dxa"/>
            <w:vAlign w:val="bottom"/>
            <w:tcBorders>
              <w:top w:val="single" w:sz="8" w:color="E6E6E6"/>
            </w:tcBorders>
          </w:tcPr>
          <w:p>
            <w:pPr>
              <w:spacing w:after="0"/>
              <w:rPr>
                <w:sz w:val="10"/>
                <w:szCs w:val="10"/>
                <w:color w:val="auto"/>
              </w:rPr>
            </w:pPr>
          </w:p>
        </w:tc>
        <w:tc>
          <w:tcPr>
            <w:tcW w:w="60" w:type="dxa"/>
            <w:vAlign w:val="bottom"/>
            <w:tcBorders>
              <w:top w:val="single" w:sz="8" w:color="E6E6E6"/>
            </w:tcBorders>
          </w:tcPr>
          <w:p>
            <w:pPr>
              <w:spacing w:after="0"/>
              <w:rPr>
                <w:sz w:val="10"/>
                <w:szCs w:val="10"/>
                <w:color w:val="auto"/>
              </w:rPr>
            </w:pPr>
          </w:p>
        </w:tc>
        <w:tc>
          <w:tcPr>
            <w:tcW w:w="1640" w:type="dxa"/>
            <w:vAlign w:val="bottom"/>
            <w:tcBorders>
              <w:top w:val="single" w:sz="8" w:color="E6E6E6"/>
            </w:tcBorders>
          </w:tcPr>
          <w:p>
            <w:pPr>
              <w:spacing w:after="0"/>
              <w:rPr>
                <w:sz w:val="10"/>
                <w:szCs w:val="10"/>
                <w:color w:val="auto"/>
              </w:rPr>
            </w:pPr>
          </w:p>
        </w:tc>
        <w:tc>
          <w:tcPr>
            <w:tcW w:w="60" w:type="dxa"/>
            <w:vAlign w:val="bottom"/>
            <w:tcBorders>
              <w:top w:val="single" w:sz="8" w:color="E6E6E6"/>
            </w:tcBorders>
          </w:tcPr>
          <w:p>
            <w:pPr>
              <w:spacing w:after="0"/>
              <w:rPr>
                <w:sz w:val="10"/>
                <w:szCs w:val="10"/>
                <w:color w:val="auto"/>
              </w:rPr>
            </w:pPr>
          </w:p>
        </w:tc>
        <w:tc>
          <w:tcPr>
            <w:tcW w:w="960" w:type="dxa"/>
            <w:vAlign w:val="bottom"/>
            <w:tcBorders>
              <w:top w:val="single" w:sz="8" w:color="E6E6E6"/>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-2232660</wp:posOffset>
            </wp:positionV>
            <wp:extent cx="65081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
                      <a:extLst>
                        <a:ext uri="{28A0092B-C50C-407E-A947-70E740481C1C}"/>
                      </a:extLst>
                    </a:blip>
                    <a:srcRect/>
                    <a:stretch>
                      <a:fillRect/>
                    </a:stretch>
                  </pic:blipFill>
                  <pic:spPr bwMode="auto">
                    <a:xfrm>
                      <a:off x="0" y="0"/>
                      <a:ext cx="6508115" cy="25400"/>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-479425</wp:posOffset>
            </wp:positionV>
            <wp:extent cx="88773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a:extLst>
                        <a:ext uri="{28A0092B-C50C-407E-A947-70E740481C1C}"/>
                      </a:extLst>
                    </a:blip>
                    <a:srcRect/>
                    <a:stretch>
                      <a:fillRect/>
                    </a:stretch>
                  </pic:blipFill>
                  <pic:spPr bwMode="auto">
                    <a:xfrm>
                      <a:off x="0" y="0"/>
                      <a:ext cx="887730" cy="25400"/>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-299720</wp:posOffset>
            </wp:positionV>
            <wp:extent cx="88773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
                      <a:extLst>
                        <a:ext uri="{28A0092B-C50C-407E-A947-70E740481C1C}"/>
                      </a:extLst>
                    </a:blip>
                    <a:srcRect/>
                    <a:stretch>
                      <a:fillRect/>
                    </a:stretch>
                  </pic:blipFill>
                  <pic:spPr bwMode="auto">
                    <a:xfrm>
                      <a:off x="0" y="0"/>
                      <a:ext cx="887730" cy="25400"/>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-132080</wp:posOffset>
            </wp:positionV>
            <wp:extent cx="887730" cy="50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2">
                      <a:extLst>
                        <a:ext uri="{28A0092B-C50C-407E-A947-70E740481C1C}"/>
                      </a:extLst>
                    </a:blip>
                    <a:srcRect/>
                    <a:stretch>
                      <a:fillRect/>
                    </a:stretch>
                  </pic:blipFill>
                  <pic:spPr bwMode="auto">
                    <a:xfrm>
                      <a:off x="0" y="0"/>
                      <a:ext cx="887730" cy="50800"/>
                    </a:xfrm>
                    <a:prstGeom prst="rect">
                      <a:avLst/>
                    </a:prstGeom>
                    <a:noFill/>
                  </pic:spPr>
                </pic:pic>
              </a:graphicData>
            </a:graphic>
          </wp:anchor>
        </w:drawing>
      </w:r>
    </w:p>
    <w:p>
      <w:pPr>
        <w:spacing w:after="0" w:line="33" w:lineRule="exact"/>
        <w:rPr>
          <w:sz w:val="20"/>
          <w:szCs w:val="20"/>
          <w:color w:val="auto"/>
        </w:rPr>
      </w:pPr>
    </w:p>
    <w:p>
      <w:pPr>
        <w:ind w:left="80" w:firstLine="5"/>
        <w:spacing w:after="0" w:line="219" w:lineRule="auto"/>
        <w:tabs>
          <w:tab w:leader="none" w:pos="301" w:val="left"/>
        </w:tabs>
        <w:numPr>
          <w:ilvl w:val="0"/>
          <w:numId w:val="18"/>
        </w:numPr>
        <w:rPr>
          <w:rFonts w:ascii="Arial" w:cs="Arial" w:eastAsia="Arial" w:hAnsi="Arial"/>
          <w:sz w:val="23"/>
          <w:szCs w:val="23"/>
          <w:color w:val="auto"/>
          <w:vertAlign w:val="superscript"/>
        </w:rPr>
      </w:pPr>
      <w:r>
        <w:rPr>
          <w:rFonts w:ascii="Arial" w:cs="Arial" w:eastAsia="Arial" w:hAnsi="Arial"/>
          <w:sz w:val="16"/>
          <w:szCs w:val="16"/>
          <w:color w:val="auto"/>
        </w:rPr>
        <w:t>Net capacity represents the maximum, or rated, generating capacity or storage capacity of the facility multiplied by the Company’s percentage ownership in the facility as of December 31, 2023.</w:t>
      </w:r>
    </w:p>
    <w:p>
      <w:pPr>
        <w:spacing w:after="0" w:line="6" w:lineRule="exact"/>
        <w:rPr>
          <w:rFonts w:ascii="Arial" w:cs="Arial" w:eastAsia="Arial" w:hAnsi="Arial"/>
          <w:sz w:val="23"/>
          <w:szCs w:val="23"/>
          <w:color w:val="auto"/>
          <w:vertAlign w:val="superscript"/>
        </w:rPr>
      </w:pPr>
    </w:p>
    <w:p>
      <w:pPr>
        <w:ind w:left="300" w:hanging="215"/>
        <w:spacing w:after="0"/>
        <w:tabs>
          <w:tab w:leader="none" w:pos="300" w:val="left"/>
        </w:tabs>
        <w:numPr>
          <w:ilvl w:val="0"/>
          <w:numId w:val="18"/>
        </w:numPr>
        <w:rPr>
          <w:rFonts w:ascii="Arial" w:cs="Arial" w:eastAsia="Arial" w:hAnsi="Arial"/>
          <w:sz w:val="23"/>
          <w:szCs w:val="23"/>
          <w:color w:val="auto"/>
          <w:vertAlign w:val="superscript"/>
        </w:rPr>
      </w:pPr>
      <w:r>
        <w:rPr>
          <w:rFonts w:ascii="Arial" w:cs="Arial" w:eastAsia="Arial" w:hAnsi="Arial"/>
          <w:sz w:val="16"/>
          <w:szCs w:val="16"/>
          <w:color w:val="auto"/>
        </w:rPr>
        <w:t xml:space="preserve">Projects are part of tax equity arrangements, as further described in Item 15 </w:t>
      </w:r>
      <w:r>
        <w:rPr>
          <w:rFonts w:ascii="Arial" w:cs="Arial" w:eastAsia="Arial" w:hAnsi="Arial"/>
          <w:sz w:val="19"/>
          <w:szCs w:val="19"/>
          <w:color w:val="auto"/>
        </w:rPr>
        <w:t>—</w:t>
      </w:r>
      <w:r>
        <w:rPr>
          <w:rFonts w:ascii="Arial" w:cs="Arial" w:eastAsia="Arial" w:hAnsi="Arial"/>
          <w:sz w:val="16"/>
          <w:szCs w:val="16"/>
          <w:color w:val="auto"/>
        </w:rPr>
        <w:t xml:space="preserve"> Note 2, </w:t>
      </w:r>
      <w:r>
        <w:rPr>
          <w:rFonts w:ascii="Arial" w:cs="Arial" w:eastAsia="Arial" w:hAnsi="Arial"/>
          <w:sz w:val="16"/>
          <w:szCs w:val="16"/>
          <w:b w:val="1"/>
          <w:bCs w:val="1"/>
          <w:i w:val="1"/>
          <w:iCs w:val="1"/>
          <w:color w:val="auto"/>
        </w:rPr>
        <w:t>Summary of Significant Accounting Policies.</w:t>
      </w:r>
    </w:p>
    <w:p>
      <w:pPr>
        <w:spacing w:after="0" w:line="44" w:lineRule="exact"/>
        <w:rPr>
          <w:rFonts w:ascii="Arial" w:cs="Arial" w:eastAsia="Arial" w:hAnsi="Arial"/>
          <w:sz w:val="23"/>
          <w:szCs w:val="23"/>
          <w:color w:val="auto"/>
          <w:vertAlign w:val="superscript"/>
        </w:rPr>
      </w:pPr>
    </w:p>
    <w:p>
      <w:pPr>
        <w:ind w:left="300" w:hanging="215"/>
        <w:spacing w:after="0" w:line="189" w:lineRule="auto"/>
        <w:tabs>
          <w:tab w:leader="none" w:pos="300" w:val="left"/>
        </w:tabs>
        <w:numPr>
          <w:ilvl w:val="0"/>
          <w:numId w:val="18"/>
        </w:numPr>
        <w:rPr>
          <w:rFonts w:ascii="Arial" w:cs="Arial" w:eastAsia="Arial" w:hAnsi="Arial"/>
          <w:sz w:val="23"/>
          <w:szCs w:val="23"/>
          <w:color w:val="auto"/>
          <w:vertAlign w:val="superscript"/>
        </w:rPr>
      </w:pPr>
      <w:r>
        <w:rPr>
          <w:rFonts w:ascii="Arial" w:cs="Arial" w:eastAsia="Arial" w:hAnsi="Arial"/>
          <w:sz w:val="16"/>
          <w:szCs w:val="16"/>
          <w:color w:val="auto"/>
        </w:rPr>
        <w:t>Rattlesnake has a deliverable capacity of 144 MW.</w:t>
      </w:r>
    </w:p>
    <w:p>
      <w:pPr>
        <w:sectPr>
          <w:pgSz w:w="11880" w:h="15480" w:orient="portrait"/>
          <w:cols w:equalWidth="0" w:num="1">
            <w:col w:w="10200"/>
          </w:cols>
          <w:pgMar w:left="840" w:top="505"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880" w:h="15480" w:orient="portrait"/>
          <w:cols w:equalWidth="0" w:num="1">
            <w:col w:w="10200"/>
          </w:cols>
          <w:pgMar w:left="840" w:top="505" w:right="840" w:bottom="0" w:gutter="0" w:footer="0" w:header="0"/>
          <w:type w:val="continuous"/>
        </w:sectPr>
      </w:pPr>
    </w:p>
    <w:bookmarkStart w:id="43" w:name="page44"/>
    <w:bookmarkEnd w:id="43"/>
    <w:p>
      <w:pPr>
        <w:spacing w:after="0"/>
        <w:rPr>
          <w:sz w:val="20"/>
          <w:szCs w:val="20"/>
          <w:color w:val="auto"/>
        </w:rPr>
      </w:pPr>
      <w:r>
        <w:rPr>
          <w:rFonts w:ascii="Arial" w:cs="Arial" w:eastAsia="Arial" w:hAnsi="Arial"/>
          <w:sz w:val="20"/>
          <w:szCs w:val="20"/>
          <w:b w:val="1"/>
          <w:bCs w:val="1"/>
          <w:color w:val="auto"/>
        </w:rPr>
        <w:t>Item 3 — Legal Proceedings</w:t>
      </w:r>
    </w:p>
    <w:p>
      <w:pPr>
        <w:spacing w:after="0" w:line="191" w:lineRule="exact"/>
        <w:rPr>
          <w:sz w:val="20"/>
          <w:szCs w:val="20"/>
          <w:color w:val="auto"/>
        </w:rPr>
      </w:pPr>
    </w:p>
    <w:p>
      <w:pPr>
        <w:ind w:firstLine="448"/>
        <w:spacing w:after="0" w:line="312" w:lineRule="auto"/>
        <w:rPr>
          <w:sz w:val="20"/>
          <w:szCs w:val="20"/>
          <w:color w:val="auto"/>
        </w:rPr>
      </w:pPr>
      <w:r>
        <w:rPr>
          <w:rFonts w:ascii="Arial" w:cs="Arial" w:eastAsia="Arial" w:hAnsi="Arial"/>
          <w:sz w:val="19"/>
          <w:szCs w:val="19"/>
          <w:color w:val="auto"/>
        </w:rPr>
        <w:t xml:space="preserve">See Item 15 </w:t>
      </w:r>
      <w:r>
        <w:rPr>
          <w:rFonts w:ascii="Arial" w:cs="Arial" w:eastAsia="Arial" w:hAnsi="Arial"/>
          <w:sz w:val="19"/>
          <w:szCs w:val="19"/>
          <w:b w:val="1"/>
          <w:bCs w:val="1"/>
          <w:color w:val="auto"/>
        </w:rPr>
        <w:t>—</w:t>
      </w:r>
      <w:r>
        <w:rPr>
          <w:rFonts w:ascii="Arial" w:cs="Arial" w:eastAsia="Arial" w:hAnsi="Arial"/>
          <w:sz w:val="19"/>
          <w:szCs w:val="19"/>
          <w:color w:val="auto"/>
        </w:rPr>
        <w:t xml:space="preserve"> Note 16, </w:t>
      </w:r>
      <w:r>
        <w:rPr>
          <w:rFonts w:ascii="Arial" w:cs="Arial" w:eastAsia="Arial" w:hAnsi="Arial"/>
          <w:sz w:val="19"/>
          <w:szCs w:val="19"/>
          <w:b w:val="1"/>
          <w:bCs w:val="1"/>
          <w:i w:val="1"/>
          <w:iCs w:val="1"/>
          <w:color w:val="auto"/>
        </w:rPr>
        <w:t>Commitments and Contingencies</w:t>
      </w:r>
      <w:r>
        <w:rPr>
          <w:rFonts w:ascii="Arial" w:cs="Arial" w:eastAsia="Arial" w:hAnsi="Arial"/>
          <w:sz w:val="19"/>
          <w:szCs w:val="19"/>
          <w:color w:val="auto"/>
        </w:rPr>
        <w:t>, to the Consolidated Financial Statements for discussion of the material legal proceedings to which the Company is a party or of which any of its properties is subject.</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 Mine Safety Disclosures</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20"/>
          <w:szCs w:val="20"/>
          <w:color w:val="auto"/>
        </w:rPr>
        <w:t>Not applicable.</w:t>
      </w:r>
    </w:p>
    <w:p>
      <w:pPr>
        <w:sectPr>
          <w:pgSz w:w="11880" w:h="15480" w:orient="portrait"/>
          <w:cols w:equalWidth="0" w:num="1">
            <w:col w:w="10200"/>
          </w:cols>
          <w:pgMar w:left="840" w:top="404"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880" w:h="15480" w:orient="portrait"/>
          <w:cols w:equalWidth="0" w:num="1">
            <w:col w:w="10200"/>
          </w:cols>
          <w:pgMar w:left="840" w:top="404" w:right="840" w:bottom="0" w:gutter="0" w:footer="0" w:header="0"/>
          <w:type w:val="continuous"/>
        </w:sectPr>
      </w:pPr>
    </w:p>
    <w:bookmarkStart w:id="44" w:name="page45"/>
    <w:bookmarkEnd w:id="44"/>
    <w:p>
      <w:pPr>
        <w:jc w:val="center"/>
        <w:ind w:right="20"/>
        <w:spacing w:after="0"/>
        <w:rPr>
          <w:sz w:val="20"/>
          <w:szCs w:val="20"/>
          <w:color w:val="auto"/>
        </w:rPr>
      </w:pPr>
      <w:r>
        <w:rPr>
          <w:rFonts w:ascii="Arial" w:cs="Arial" w:eastAsia="Arial" w:hAnsi="Arial"/>
          <w:sz w:val="20"/>
          <w:szCs w:val="20"/>
          <w:b w:val="1"/>
          <w:bCs w:val="1"/>
          <w:color w:val="auto"/>
        </w:rPr>
        <w:t>PART II</w:t>
      </w:r>
    </w:p>
    <w:p>
      <w:pPr>
        <w:spacing w:after="0" w:line="188" w:lineRule="exact"/>
        <w:rPr>
          <w:sz w:val="20"/>
          <w:szCs w:val="20"/>
          <w:color w:val="auto"/>
        </w:rPr>
      </w:pPr>
    </w:p>
    <w:p>
      <w:pPr>
        <w:jc w:val="both"/>
        <w:ind w:right="20"/>
        <w:spacing w:after="0" w:line="284" w:lineRule="auto"/>
        <w:rPr>
          <w:sz w:val="20"/>
          <w:szCs w:val="20"/>
          <w:color w:val="auto"/>
        </w:rPr>
      </w:pPr>
      <w:r>
        <w:rPr>
          <w:rFonts w:ascii="Arial" w:cs="Arial" w:eastAsia="Arial" w:hAnsi="Arial"/>
          <w:sz w:val="20"/>
          <w:szCs w:val="20"/>
          <w:b w:val="1"/>
          <w:bCs w:val="1"/>
          <w:color w:val="auto"/>
        </w:rPr>
        <w:t>Item 5 — Market for Registrant’s Common Equity, Related Stockholder Matters and Issuer Purchases of Equity Securities</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 Information, Equity Holders and Dividends</w:t>
      </w:r>
    </w:p>
    <w:p>
      <w:pPr>
        <w:spacing w:after="0" w:line="195" w:lineRule="exact"/>
        <w:rPr>
          <w:sz w:val="20"/>
          <w:szCs w:val="20"/>
          <w:color w:val="auto"/>
        </w:rPr>
      </w:pPr>
    </w:p>
    <w:p>
      <w:pPr>
        <w:jc w:val="both"/>
        <w:ind w:right="20" w:firstLine="448"/>
        <w:spacing w:after="0" w:line="265" w:lineRule="auto"/>
        <w:rPr>
          <w:sz w:val="20"/>
          <w:szCs w:val="20"/>
          <w:color w:val="auto"/>
        </w:rPr>
      </w:pPr>
      <w:r>
        <w:rPr>
          <w:rFonts w:ascii="Arial" w:cs="Arial" w:eastAsia="Arial" w:hAnsi="Arial"/>
          <w:sz w:val="20"/>
          <w:szCs w:val="20"/>
          <w:color w:val="auto"/>
        </w:rPr>
        <w:t>The Company’s Class A common stock and Class C common stock are listed on the New York Stock Exchange and trade under the ticker symbols “CWEN.A” and “CWEN,” respectively. The Company’s Class B common stock and Class D common stock are not publicly traded.</w:t>
      </w:r>
    </w:p>
    <w:p>
      <w:pPr>
        <w:spacing w:after="0" w:line="134" w:lineRule="exact"/>
        <w:rPr>
          <w:sz w:val="20"/>
          <w:szCs w:val="20"/>
          <w:color w:val="auto"/>
        </w:rPr>
      </w:pPr>
    </w:p>
    <w:p>
      <w:pPr>
        <w:jc w:val="both"/>
        <w:ind w:right="20" w:firstLine="448"/>
        <w:spacing w:after="0" w:line="338" w:lineRule="auto"/>
        <w:rPr>
          <w:sz w:val="20"/>
          <w:szCs w:val="20"/>
          <w:color w:val="auto"/>
        </w:rPr>
      </w:pPr>
      <w:r>
        <w:rPr>
          <w:rFonts w:ascii="Arial" w:cs="Arial" w:eastAsia="Arial" w:hAnsi="Arial"/>
          <w:sz w:val="18"/>
          <w:szCs w:val="18"/>
          <w:color w:val="auto"/>
        </w:rPr>
        <w:t>As of January 31, 2024, there were two holders of record of the Class A common stock, one holder of record of the Class B common stock, three holders of record of the Class C common stock and one holder of record of the Class D common stock.</w:t>
      </w:r>
    </w:p>
    <w:p>
      <w:pPr>
        <w:spacing w:after="0" w:line="74" w:lineRule="exact"/>
        <w:rPr>
          <w:sz w:val="20"/>
          <w:szCs w:val="20"/>
          <w:color w:val="auto"/>
        </w:rPr>
      </w:pPr>
    </w:p>
    <w:p>
      <w:pPr>
        <w:jc w:val="both"/>
        <w:ind w:right="20" w:firstLine="448"/>
        <w:spacing w:after="0" w:line="280" w:lineRule="auto"/>
        <w:rPr>
          <w:sz w:val="20"/>
          <w:szCs w:val="20"/>
          <w:color w:val="auto"/>
        </w:rPr>
      </w:pPr>
      <w:r>
        <w:rPr>
          <w:rFonts w:ascii="Arial" w:cs="Arial" w:eastAsia="Arial" w:hAnsi="Arial"/>
          <w:sz w:val="20"/>
          <w:szCs w:val="20"/>
          <w:color w:val="auto"/>
        </w:rPr>
        <w:t>On February 14, 2024, the Company declared a quarterly dividend on its Class A and Class C common stock of $0.4033 per share payable on March 15, 2024 to stockholders of record as of March 1, 2024.</w:t>
      </w:r>
    </w:p>
    <w:p>
      <w:pPr>
        <w:spacing w:after="0" w:line="120" w:lineRule="exact"/>
        <w:rPr>
          <w:sz w:val="20"/>
          <w:szCs w:val="20"/>
          <w:color w:val="auto"/>
        </w:rPr>
      </w:pPr>
    </w:p>
    <w:p>
      <w:pPr>
        <w:jc w:val="both"/>
        <w:ind w:right="20" w:firstLine="448"/>
        <w:spacing w:after="0" w:line="265" w:lineRule="auto"/>
        <w:rPr>
          <w:sz w:val="20"/>
          <w:szCs w:val="20"/>
          <w:color w:val="auto"/>
        </w:rPr>
      </w:pPr>
      <w:r>
        <w:rPr>
          <w:rFonts w:ascii="Arial" w:cs="Arial" w:eastAsia="Arial" w:hAnsi="Arial"/>
          <w:sz w:val="20"/>
          <w:szCs w:val="20"/>
          <w:color w:val="auto"/>
        </w:rPr>
        <w:t>The Company’s Class A and Class C common stock dividends are subject to available capital, market conditions, and compliance with associated laws and regulations. The Company expects that, based on current circumstances, comparable cash dividends will continue to be paid in the foreseeable future.</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Performance Graph</w:t>
      </w:r>
    </w:p>
    <w:p>
      <w:pPr>
        <w:spacing w:after="0" w:line="135" w:lineRule="exact"/>
        <w:rPr>
          <w:sz w:val="20"/>
          <w:szCs w:val="20"/>
          <w:color w:val="auto"/>
        </w:rPr>
      </w:pPr>
    </w:p>
    <w:p>
      <w:pPr>
        <w:jc w:val="both"/>
        <w:ind w:right="20" w:firstLine="448"/>
        <w:spacing w:after="0" w:line="259" w:lineRule="auto"/>
        <w:rPr>
          <w:sz w:val="20"/>
          <w:szCs w:val="20"/>
          <w:color w:val="auto"/>
        </w:rPr>
      </w:pPr>
      <w:r>
        <w:rPr>
          <w:rFonts w:ascii="Arial" w:cs="Arial" w:eastAsia="Arial" w:hAnsi="Arial"/>
          <w:sz w:val="20"/>
          <w:szCs w:val="20"/>
          <w:color w:val="auto"/>
        </w:rPr>
        <w:t>The performance graph below compares the Company’s cumulative total stockholder return on the Company’s Class A common stock and Class C common stock from December 31, 2018 through December 31, 2023, with the cumulative total return of the Standard &amp; Poor’s 500 Composite Stock Price Index, or S&amp;P 500, and the Philadelphia Utility Sector Index, or UTY.</w:t>
      </w:r>
    </w:p>
    <w:p>
      <w:pPr>
        <w:spacing w:after="0" w:line="142" w:lineRule="exact"/>
        <w:rPr>
          <w:sz w:val="20"/>
          <w:szCs w:val="20"/>
          <w:color w:val="auto"/>
        </w:rPr>
      </w:pPr>
    </w:p>
    <w:p>
      <w:pPr>
        <w:jc w:val="both"/>
        <w:ind w:right="20" w:firstLine="448"/>
        <w:spacing w:after="0" w:line="285" w:lineRule="auto"/>
        <w:rPr>
          <w:sz w:val="20"/>
          <w:szCs w:val="20"/>
          <w:color w:val="auto"/>
        </w:rPr>
      </w:pPr>
      <w:r>
        <w:rPr>
          <w:rFonts w:ascii="Arial" w:cs="Arial" w:eastAsia="Arial" w:hAnsi="Arial"/>
          <w:sz w:val="19"/>
          <w:szCs w:val="19"/>
          <w:color w:val="auto"/>
        </w:rPr>
        <w:t>The performance graph shown below is being furnished and compares each period assuming that $100 was invested on December 31, 2018 in each of the Class A common stock of the Company, the Class C common stock of the Company, the stocks included in the S&amp;P 500 and the stocks included in the UTY, and that all dividends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114300</wp:posOffset>
            </wp:positionV>
            <wp:extent cx="6482715" cy="2829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3">
                      <a:extLst>
                        <a:ext uri="{28A0092B-C50C-407E-A947-70E740481C1C}"/>
                      </a:extLst>
                    </a:blip>
                    <a:srcRect/>
                    <a:stretch>
                      <a:fillRect/>
                    </a:stretch>
                  </pic:blipFill>
                  <pic:spPr bwMode="auto">
                    <a:xfrm>
                      <a:off x="0" y="0"/>
                      <a:ext cx="6482715" cy="2829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December</w:t>
            </w:r>
          </w:p>
        </w:tc>
        <w:tc>
          <w:tcPr>
            <w:tcW w:w="80" w:type="dxa"/>
            <w:vAlign w:val="bottom"/>
          </w:tcPr>
          <w:p>
            <w:pPr>
              <w:spacing w:after="0"/>
              <w:rPr>
                <w:sz w:val="16"/>
                <w:szCs w:val="16"/>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w w:val="98"/>
              </w:rPr>
              <w:t>December</w:t>
            </w:r>
          </w:p>
        </w:tc>
        <w:tc>
          <w:tcPr>
            <w:tcW w:w="80" w:type="dxa"/>
            <w:vAlign w:val="bottom"/>
          </w:tcPr>
          <w:p>
            <w:pPr>
              <w:spacing w:after="0"/>
              <w:rPr>
                <w:sz w:val="16"/>
                <w:szCs w:val="16"/>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w w:val="98"/>
              </w:rPr>
              <w:t>December</w:t>
            </w:r>
          </w:p>
        </w:tc>
        <w:tc>
          <w:tcPr>
            <w:tcW w:w="960" w:type="dxa"/>
            <w:vAlign w:val="bottom"/>
          </w:tcPr>
          <w:p>
            <w:pPr>
              <w:jc w:val="right"/>
              <w:ind w:right="27"/>
              <w:spacing w:after="0"/>
              <w:rPr>
                <w:sz w:val="20"/>
                <w:szCs w:val="20"/>
                <w:color w:val="auto"/>
              </w:rPr>
            </w:pPr>
            <w:r>
              <w:rPr>
                <w:rFonts w:ascii="Arial" w:cs="Arial" w:eastAsia="Arial" w:hAnsi="Arial"/>
                <w:sz w:val="16"/>
                <w:szCs w:val="16"/>
                <w:b w:val="1"/>
                <w:bCs w:val="1"/>
                <w:color w:val="auto"/>
              </w:rPr>
              <w:t>December</w:t>
            </w:r>
          </w:p>
        </w:tc>
        <w:tc>
          <w:tcPr>
            <w:tcW w:w="960" w:type="dxa"/>
            <w:vAlign w:val="bottom"/>
          </w:tcPr>
          <w:p>
            <w:pPr>
              <w:jc w:val="right"/>
              <w:ind w:right="27"/>
              <w:spacing w:after="0"/>
              <w:rPr>
                <w:sz w:val="20"/>
                <w:szCs w:val="20"/>
                <w:color w:val="auto"/>
              </w:rPr>
            </w:pPr>
            <w:r>
              <w:rPr>
                <w:rFonts w:ascii="Arial" w:cs="Arial" w:eastAsia="Arial" w:hAnsi="Arial"/>
                <w:sz w:val="16"/>
                <w:szCs w:val="16"/>
                <w:b w:val="1"/>
                <w:bCs w:val="1"/>
                <w:color w:val="auto"/>
              </w:rPr>
              <w:t>December</w:t>
            </w:r>
          </w:p>
        </w:tc>
        <w:tc>
          <w:tcPr>
            <w:tcW w:w="920" w:type="dxa"/>
            <w:vAlign w:val="bottom"/>
          </w:tcPr>
          <w:p>
            <w:pPr>
              <w:jc w:val="right"/>
              <w:ind w:right="7"/>
              <w:spacing w:after="0"/>
              <w:rPr>
                <w:sz w:val="20"/>
                <w:szCs w:val="20"/>
                <w:color w:val="auto"/>
              </w:rPr>
            </w:pPr>
            <w:r>
              <w:rPr>
                <w:rFonts w:ascii="Arial" w:cs="Arial" w:eastAsia="Arial" w:hAnsi="Arial"/>
                <w:sz w:val="16"/>
                <w:szCs w:val="16"/>
                <w:b w:val="1"/>
                <w:bCs w:val="1"/>
                <w:color w:val="auto"/>
              </w:rPr>
              <w:t>December</w:t>
            </w:r>
          </w:p>
        </w:tc>
        <w:tc>
          <w:tcPr>
            <w:tcW w:w="20" w:type="dxa"/>
            <w:vAlign w:val="bottom"/>
          </w:tcPr>
          <w:p>
            <w:pPr>
              <w:spacing w:after="0"/>
              <w:rPr>
                <w:sz w:val="16"/>
                <w:szCs w:val="16"/>
                <w:color w:val="auto"/>
              </w:rPr>
            </w:pPr>
          </w:p>
        </w:tc>
      </w:tr>
      <w:tr>
        <w:trPr>
          <w:trHeight w:val="213"/>
        </w:trPr>
        <w:tc>
          <w:tcPr>
            <w:tcW w:w="4540" w:type="dxa"/>
            <w:vAlign w:val="bottom"/>
            <w:tcBorders>
              <w:bottom w:val="single" w:sz="8" w:color="E6E6E6"/>
            </w:tcBorders>
          </w:tcPr>
          <w:p>
            <w:pPr>
              <w:spacing w:after="0"/>
              <w:rPr>
                <w:sz w:val="18"/>
                <w:szCs w:val="18"/>
                <w:color w:val="auto"/>
              </w:rPr>
            </w:pPr>
          </w:p>
        </w:tc>
        <w:tc>
          <w:tcPr>
            <w:tcW w:w="880" w:type="dxa"/>
            <w:vAlign w:val="bottom"/>
            <w:tcBorders>
              <w:bottom w:val="single" w:sz="8" w:color="auto"/>
            </w:tcBorders>
          </w:tcPr>
          <w:p>
            <w:pPr>
              <w:jc w:val="right"/>
              <w:ind w:right="67"/>
              <w:spacing w:after="0"/>
              <w:rPr>
                <w:sz w:val="20"/>
                <w:szCs w:val="20"/>
                <w:color w:val="auto"/>
              </w:rPr>
            </w:pPr>
            <w:r>
              <w:rPr>
                <w:rFonts w:ascii="Arial" w:cs="Arial" w:eastAsia="Arial" w:hAnsi="Arial"/>
                <w:sz w:val="16"/>
                <w:szCs w:val="16"/>
                <w:b w:val="1"/>
                <w:bCs w:val="1"/>
                <w:color w:val="auto"/>
              </w:rPr>
              <w:t>31, 2018</w:t>
            </w:r>
          </w:p>
        </w:tc>
        <w:tc>
          <w:tcPr>
            <w:tcW w:w="80" w:type="dxa"/>
            <w:vAlign w:val="bottom"/>
            <w:tcBorders>
              <w:bottom w:val="single" w:sz="8" w:color="E6E6E6"/>
            </w:tcBorders>
          </w:tcPr>
          <w:p>
            <w:pPr>
              <w:spacing w:after="0"/>
              <w:rPr>
                <w:sz w:val="18"/>
                <w:szCs w:val="18"/>
                <w:color w:val="auto"/>
              </w:rPr>
            </w:pPr>
          </w:p>
        </w:tc>
        <w:tc>
          <w:tcPr>
            <w:tcW w:w="8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31, 2019</w:t>
            </w:r>
          </w:p>
        </w:tc>
        <w:tc>
          <w:tcPr>
            <w:tcW w:w="80" w:type="dxa"/>
            <w:vAlign w:val="bottom"/>
            <w:tcBorders>
              <w:bottom w:val="single" w:sz="8" w:color="E6E6E6"/>
            </w:tcBorders>
          </w:tcPr>
          <w:p>
            <w:pPr>
              <w:spacing w:after="0"/>
              <w:rPr>
                <w:sz w:val="18"/>
                <w:szCs w:val="18"/>
                <w:color w:val="auto"/>
              </w:rPr>
            </w:pP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31, 2020</w:t>
            </w:r>
          </w:p>
        </w:tc>
        <w:tc>
          <w:tcPr>
            <w:tcW w:w="960" w:type="dxa"/>
            <w:vAlign w:val="bottom"/>
            <w:tcBorders>
              <w:bottom w:val="single" w:sz="8" w:color="auto"/>
            </w:tcBorders>
          </w:tcPr>
          <w:p>
            <w:pPr>
              <w:jc w:val="right"/>
              <w:ind w:right="87"/>
              <w:spacing w:after="0"/>
              <w:rPr>
                <w:sz w:val="20"/>
                <w:szCs w:val="20"/>
                <w:color w:val="auto"/>
              </w:rPr>
            </w:pPr>
            <w:r>
              <w:rPr>
                <w:rFonts w:ascii="Arial" w:cs="Arial" w:eastAsia="Arial" w:hAnsi="Arial"/>
                <w:sz w:val="16"/>
                <w:szCs w:val="16"/>
                <w:b w:val="1"/>
                <w:bCs w:val="1"/>
                <w:color w:val="auto"/>
              </w:rPr>
              <w:t>31, 2021</w:t>
            </w:r>
          </w:p>
        </w:tc>
        <w:tc>
          <w:tcPr>
            <w:tcW w:w="960" w:type="dxa"/>
            <w:vAlign w:val="bottom"/>
            <w:tcBorders>
              <w:bottom w:val="single" w:sz="8" w:color="auto"/>
            </w:tcBorders>
          </w:tcPr>
          <w:p>
            <w:pPr>
              <w:jc w:val="right"/>
              <w:ind w:right="107"/>
              <w:spacing w:after="0"/>
              <w:rPr>
                <w:sz w:val="20"/>
                <w:szCs w:val="20"/>
                <w:color w:val="auto"/>
              </w:rPr>
            </w:pPr>
            <w:r>
              <w:rPr>
                <w:rFonts w:ascii="Arial" w:cs="Arial" w:eastAsia="Arial" w:hAnsi="Arial"/>
                <w:sz w:val="16"/>
                <w:szCs w:val="16"/>
                <w:b w:val="1"/>
                <w:bCs w:val="1"/>
                <w:color w:val="auto"/>
              </w:rPr>
              <w:t>31, 2022</w:t>
            </w:r>
          </w:p>
        </w:tc>
        <w:tc>
          <w:tcPr>
            <w:tcW w:w="920" w:type="dxa"/>
            <w:vAlign w:val="bottom"/>
            <w:tcBorders>
              <w:bottom w:val="single" w:sz="8" w:color="auto"/>
            </w:tcBorders>
          </w:tcPr>
          <w:p>
            <w:pPr>
              <w:jc w:val="right"/>
              <w:ind w:right="67"/>
              <w:spacing w:after="0"/>
              <w:rPr>
                <w:sz w:val="20"/>
                <w:szCs w:val="20"/>
                <w:color w:val="auto"/>
              </w:rPr>
            </w:pPr>
            <w:r>
              <w:rPr>
                <w:rFonts w:ascii="Arial" w:cs="Arial" w:eastAsia="Arial" w:hAnsi="Arial"/>
                <w:sz w:val="16"/>
                <w:szCs w:val="16"/>
                <w:b w:val="1"/>
                <w:bCs w:val="1"/>
                <w:color w:val="auto"/>
              </w:rPr>
              <w:t>31, 2023</w:t>
            </w:r>
          </w:p>
        </w:tc>
        <w:tc>
          <w:tcPr>
            <w:tcW w:w="20" w:type="dxa"/>
            <w:vAlign w:val="bottom"/>
            <w:tcBorders>
              <w:bottom w:val="single" w:sz="8" w:color="E6E6E6"/>
            </w:tcBorders>
          </w:tcPr>
          <w:p>
            <w:pPr>
              <w:spacing w:after="0"/>
              <w:rPr>
                <w:sz w:val="18"/>
                <w:szCs w:val="18"/>
                <w:color w:val="auto"/>
              </w:rPr>
            </w:pPr>
          </w:p>
        </w:tc>
      </w:tr>
      <w:tr>
        <w:trPr>
          <w:trHeight w:val="289"/>
        </w:trPr>
        <w:tc>
          <w:tcPr>
            <w:tcW w:w="4540" w:type="dxa"/>
            <w:vAlign w:val="bottom"/>
            <w:shd w:val="clear" w:color="auto" w:fill="E6E6E6"/>
          </w:tcPr>
          <w:p>
            <w:pPr>
              <w:ind w:left="40"/>
              <w:spacing w:after="0"/>
              <w:rPr>
                <w:sz w:val="20"/>
                <w:szCs w:val="20"/>
                <w:color w:val="auto"/>
              </w:rPr>
            </w:pPr>
            <w:r>
              <w:rPr>
                <w:rFonts w:ascii="Arial" w:cs="Arial" w:eastAsia="Arial" w:hAnsi="Arial"/>
                <w:sz w:val="20"/>
                <w:szCs w:val="20"/>
                <w:color w:val="auto"/>
                <w:w w:val="92"/>
              </w:rPr>
              <w:t xml:space="preserve">Clearway Energy, Inc. Class A common stock </w:t>
            </w:r>
            <w:r>
              <w:rPr>
                <w:rFonts w:ascii="Arial" w:cs="Arial" w:eastAsia="Arial" w:hAnsi="Arial"/>
                <w:sz w:val="20"/>
                <w:szCs w:val="20"/>
                <w:color w:val="BDBDBD"/>
                <w:w w:val="92"/>
              </w:rPr>
              <w:t>. . . . . . .</w:t>
            </w:r>
          </w:p>
        </w:tc>
        <w:tc>
          <w:tcPr>
            <w:tcW w:w="8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$ 100.00</w:t>
            </w:r>
          </w:p>
        </w:tc>
        <w:tc>
          <w:tcPr>
            <w:tcW w:w="96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$ 118.83</w:t>
            </w:r>
          </w:p>
        </w:tc>
        <w:tc>
          <w:tcPr>
            <w:tcW w:w="980" w:type="dxa"/>
            <w:vAlign w:val="bottom"/>
            <w:gridSpan w:val="2"/>
            <w:shd w:val="clear" w:color="auto" w:fill="E6E6E6"/>
          </w:tcPr>
          <w:p>
            <w:pPr>
              <w:jc w:val="right"/>
              <w:ind w:right="20"/>
              <w:spacing w:after="0"/>
              <w:rPr>
                <w:sz w:val="20"/>
                <w:szCs w:val="20"/>
                <w:color w:val="auto"/>
              </w:rPr>
            </w:pPr>
            <w:r>
              <w:rPr>
                <w:rFonts w:ascii="Arial" w:cs="Arial" w:eastAsia="Arial" w:hAnsi="Arial"/>
                <w:sz w:val="20"/>
                <w:szCs w:val="20"/>
                <w:color w:val="auto"/>
              </w:rPr>
              <w:t>$ 192.13</w:t>
            </w:r>
          </w:p>
        </w:tc>
        <w:tc>
          <w:tcPr>
            <w:tcW w:w="960" w:type="dxa"/>
            <w:vAlign w:val="bottom"/>
            <w:shd w:val="clear" w:color="auto" w:fill="E6E6E6"/>
          </w:tcPr>
          <w:p>
            <w:pPr>
              <w:jc w:val="right"/>
              <w:ind w:right="7"/>
              <w:spacing w:after="0"/>
              <w:rPr>
                <w:sz w:val="20"/>
                <w:szCs w:val="20"/>
                <w:color w:val="auto"/>
              </w:rPr>
            </w:pPr>
            <w:r>
              <w:rPr>
                <w:rFonts w:ascii="Arial" w:cs="Arial" w:eastAsia="Arial" w:hAnsi="Arial"/>
                <w:sz w:val="20"/>
                <w:szCs w:val="20"/>
                <w:color w:val="auto"/>
              </w:rPr>
              <w:t>$ 227.94</w:t>
            </w:r>
          </w:p>
        </w:tc>
        <w:tc>
          <w:tcPr>
            <w:tcW w:w="960" w:type="dxa"/>
            <w:vAlign w:val="bottom"/>
            <w:shd w:val="clear" w:color="auto" w:fill="E6E6E6"/>
          </w:tcPr>
          <w:p>
            <w:pPr>
              <w:jc w:val="right"/>
              <w:ind w:right="27"/>
              <w:spacing w:after="0"/>
              <w:rPr>
                <w:sz w:val="20"/>
                <w:szCs w:val="20"/>
                <w:color w:val="auto"/>
              </w:rPr>
            </w:pPr>
            <w:r>
              <w:rPr>
                <w:rFonts w:ascii="Arial" w:cs="Arial" w:eastAsia="Arial" w:hAnsi="Arial"/>
                <w:sz w:val="20"/>
                <w:szCs w:val="20"/>
                <w:color w:val="auto"/>
              </w:rPr>
              <w:t>$ 212.81</w:t>
            </w:r>
          </w:p>
        </w:tc>
        <w:tc>
          <w:tcPr>
            <w:tcW w:w="9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$ 193.10</w:t>
            </w:r>
          </w:p>
        </w:tc>
        <w:tc>
          <w:tcPr>
            <w:tcW w:w="20" w:type="dxa"/>
            <w:vAlign w:val="bottom"/>
            <w:shd w:val="clear" w:color="auto" w:fill="E6E6E6"/>
          </w:tcPr>
          <w:p>
            <w:pPr>
              <w:spacing w:after="0"/>
              <w:rPr>
                <w:sz w:val="24"/>
                <w:szCs w:val="24"/>
                <w:color w:val="auto"/>
              </w:rPr>
            </w:pPr>
          </w:p>
        </w:tc>
      </w:tr>
      <w:tr>
        <w:trPr>
          <w:trHeight w:val="292"/>
        </w:trPr>
        <w:tc>
          <w:tcPr>
            <w:tcW w:w="4540" w:type="dxa"/>
            <w:vAlign w:val="bottom"/>
          </w:tcPr>
          <w:p>
            <w:pPr>
              <w:ind w:left="40"/>
              <w:spacing w:after="0"/>
              <w:rPr>
                <w:sz w:val="20"/>
                <w:szCs w:val="20"/>
                <w:color w:val="auto"/>
              </w:rPr>
            </w:pPr>
            <w:r>
              <w:rPr>
                <w:rFonts w:ascii="Arial" w:cs="Arial" w:eastAsia="Arial" w:hAnsi="Arial"/>
                <w:sz w:val="20"/>
                <w:szCs w:val="20"/>
                <w:color w:val="auto"/>
                <w:w w:val="93"/>
              </w:rPr>
              <w:t xml:space="preserve">Clearway Energy, Inc. Class C common stock  </w:t>
            </w:r>
            <w:r>
              <w:rPr>
                <w:rFonts w:ascii="Arial" w:cs="Arial" w:eastAsia="Arial" w:hAnsi="Arial"/>
                <w:sz w:val="20"/>
                <w:szCs w:val="20"/>
                <w:color w:val="BDBDBD"/>
                <w:w w:val="93"/>
              </w:rPr>
              <w:t>. . . . . .</w:t>
            </w:r>
          </w:p>
        </w:tc>
        <w:tc>
          <w:tcPr>
            <w:tcW w:w="880" w:type="dxa"/>
            <w:vAlign w:val="bottom"/>
          </w:tcPr>
          <w:p>
            <w:pPr>
              <w:jc w:val="right"/>
              <w:spacing w:after="0"/>
              <w:rPr>
                <w:sz w:val="20"/>
                <w:szCs w:val="20"/>
                <w:color w:val="auto"/>
              </w:rPr>
            </w:pPr>
            <w:r>
              <w:rPr>
                <w:rFonts w:ascii="Arial" w:cs="Arial" w:eastAsia="Arial" w:hAnsi="Arial"/>
                <w:sz w:val="20"/>
                <w:szCs w:val="20"/>
                <w:color w:val="auto"/>
              </w:rPr>
              <w:t>100.00</w:t>
            </w:r>
          </w:p>
        </w:tc>
        <w:tc>
          <w:tcPr>
            <w:tcW w:w="960" w:type="dxa"/>
            <w:vAlign w:val="bottom"/>
            <w:gridSpan w:val="2"/>
          </w:tcPr>
          <w:p>
            <w:pPr>
              <w:jc w:val="right"/>
              <w:spacing w:after="0"/>
              <w:rPr>
                <w:sz w:val="20"/>
                <w:szCs w:val="20"/>
                <w:color w:val="auto"/>
              </w:rPr>
            </w:pPr>
            <w:r>
              <w:rPr>
                <w:rFonts w:ascii="Arial" w:cs="Arial" w:eastAsia="Arial" w:hAnsi="Arial"/>
                <w:sz w:val="20"/>
                <w:szCs w:val="20"/>
                <w:color w:val="auto"/>
              </w:rPr>
              <w:t>121.37</w:t>
            </w:r>
          </w:p>
        </w:tc>
        <w:tc>
          <w:tcPr>
            <w:tcW w:w="980" w:type="dxa"/>
            <w:vAlign w:val="bottom"/>
            <w:gridSpan w:val="2"/>
          </w:tcPr>
          <w:p>
            <w:pPr>
              <w:jc w:val="right"/>
              <w:ind w:right="20"/>
              <w:spacing w:after="0"/>
              <w:rPr>
                <w:sz w:val="20"/>
                <w:szCs w:val="20"/>
                <w:color w:val="auto"/>
              </w:rPr>
            </w:pPr>
            <w:r>
              <w:rPr>
                <w:rFonts w:ascii="Arial" w:cs="Arial" w:eastAsia="Arial" w:hAnsi="Arial"/>
                <w:sz w:val="20"/>
                <w:szCs w:val="20"/>
                <w:color w:val="auto"/>
              </w:rPr>
              <w:t>202.74</w:t>
            </w:r>
          </w:p>
        </w:tc>
        <w:tc>
          <w:tcPr>
            <w:tcW w:w="960" w:type="dxa"/>
            <w:vAlign w:val="bottom"/>
          </w:tcPr>
          <w:p>
            <w:pPr>
              <w:jc w:val="right"/>
              <w:ind w:right="7"/>
              <w:spacing w:after="0"/>
              <w:rPr>
                <w:sz w:val="20"/>
                <w:szCs w:val="20"/>
                <w:color w:val="auto"/>
              </w:rPr>
            </w:pPr>
            <w:r>
              <w:rPr>
                <w:rFonts w:ascii="Arial" w:cs="Arial" w:eastAsia="Arial" w:hAnsi="Arial"/>
                <w:sz w:val="20"/>
                <w:szCs w:val="20"/>
                <w:color w:val="auto"/>
              </w:rPr>
              <w:t>238.89</w:t>
            </w:r>
          </w:p>
        </w:tc>
        <w:tc>
          <w:tcPr>
            <w:tcW w:w="960" w:type="dxa"/>
            <w:vAlign w:val="bottom"/>
          </w:tcPr>
          <w:p>
            <w:pPr>
              <w:jc w:val="right"/>
              <w:ind w:right="27"/>
              <w:spacing w:after="0"/>
              <w:rPr>
                <w:sz w:val="20"/>
                <w:szCs w:val="20"/>
                <w:color w:val="auto"/>
              </w:rPr>
            </w:pPr>
            <w:r>
              <w:rPr>
                <w:rFonts w:ascii="Arial" w:cs="Arial" w:eastAsia="Arial" w:hAnsi="Arial"/>
                <w:sz w:val="20"/>
                <w:szCs w:val="20"/>
                <w:color w:val="auto"/>
              </w:rPr>
              <w:t>220.05</w:t>
            </w:r>
          </w:p>
        </w:tc>
        <w:tc>
          <w:tcPr>
            <w:tcW w:w="920" w:type="dxa"/>
            <w:vAlign w:val="bottom"/>
          </w:tcPr>
          <w:p>
            <w:pPr>
              <w:jc w:val="right"/>
              <w:spacing w:after="0"/>
              <w:rPr>
                <w:sz w:val="20"/>
                <w:szCs w:val="20"/>
                <w:color w:val="auto"/>
              </w:rPr>
            </w:pPr>
            <w:r>
              <w:rPr>
                <w:rFonts w:ascii="Arial" w:cs="Arial" w:eastAsia="Arial" w:hAnsi="Arial"/>
                <w:sz w:val="20"/>
                <w:szCs w:val="20"/>
                <w:color w:val="auto"/>
              </w:rPr>
              <w:t>200.40</w:t>
            </w:r>
          </w:p>
        </w:tc>
        <w:tc>
          <w:tcPr>
            <w:tcW w:w="20" w:type="dxa"/>
            <w:vAlign w:val="bottom"/>
          </w:tcPr>
          <w:p>
            <w:pPr>
              <w:spacing w:after="0"/>
              <w:rPr>
                <w:sz w:val="24"/>
                <w:szCs w:val="24"/>
                <w:color w:val="auto"/>
              </w:rPr>
            </w:pPr>
          </w:p>
        </w:tc>
      </w:tr>
      <w:tr>
        <w:trPr>
          <w:trHeight w:val="290"/>
        </w:trPr>
        <w:tc>
          <w:tcPr>
            <w:tcW w:w="4540" w:type="dxa"/>
            <w:vAlign w:val="bottom"/>
            <w:shd w:val="clear" w:color="auto" w:fill="E6E6E6"/>
          </w:tcPr>
          <w:p>
            <w:pPr>
              <w:ind w:left="40"/>
              <w:spacing w:after="0"/>
              <w:rPr>
                <w:sz w:val="20"/>
                <w:szCs w:val="20"/>
                <w:color w:val="auto"/>
              </w:rPr>
            </w:pPr>
            <w:r>
              <w:rPr>
                <w:rFonts w:ascii="Arial" w:cs="Arial" w:eastAsia="Arial" w:hAnsi="Arial"/>
                <w:sz w:val="20"/>
                <w:szCs w:val="20"/>
                <w:color w:val="auto"/>
                <w:w w:val="93"/>
              </w:rPr>
              <w:t xml:space="preserve">S&amp;P 500 </w:t>
            </w:r>
            <w:r>
              <w:rPr>
                <w:rFonts w:ascii="Arial" w:cs="Arial" w:eastAsia="Arial" w:hAnsi="Arial"/>
                <w:sz w:val="20"/>
                <w:szCs w:val="20"/>
                <w:color w:val="BDBDBD"/>
                <w:w w:val="93"/>
              </w:rPr>
              <w:t>. . . . . . . . . . . . . . . . . . . . . . . . . . . . . . . . . . . .</w:t>
            </w:r>
          </w:p>
        </w:tc>
        <w:tc>
          <w:tcPr>
            <w:tcW w:w="8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100.00</w:t>
            </w:r>
          </w:p>
        </w:tc>
        <w:tc>
          <w:tcPr>
            <w:tcW w:w="96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131.49</w:t>
            </w:r>
          </w:p>
        </w:tc>
        <w:tc>
          <w:tcPr>
            <w:tcW w:w="980" w:type="dxa"/>
            <w:vAlign w:val="bottom"/>
            <w:gridSpan w:val="2"/>
            <w:shd w:val="clear" w:color="auto" w:fill="E6E6E6"/>
          </w:tcPr>
          <w:p>
            <w:pPr>
              <w:jc w:val="right"/>
              <w:ind w:right="20"/>
              <w:spacing w:after="0"/>
              <w:rPr>
                <w:sz w:val="20"/>
                <w:szCs w:val="20"/>
                <w:color w:val="auto"/>
              </w:rPr>
            </w:pPr>
            <w:r>
              <w:rPr>
                <w:rFonts w:ascii="Arial" w:cs="Arial" w:eastAsia="Arial" w:hAnsi="Arial"/>
                <w:sz w:val="20"/>
                <w:szCs w:val="20"/>
                <w:color w:val="auto"/>
              </w:rPr>
              <w:t>155.68</w:t>
            </w:r>
          </w:p>
        </w:tc>
        <w:tc>
          <w:tcPr>
            <w:tcW w:w="960" w:type="dxa"/>
            <w:vAlign w:val="bottom"/>
            <w:shd w:val="clear" w:color="auto" w:fill="E6E6E6"/>
          </w:tcPr>
          <w:p>
            <w:pPr>
              <w:jc w:val="right"/>
              <w:ind w:right="7"/>
              <w:spacing w:after="0"/>
              <w:rPr>
                <w:sz w:val="20"/>
                <w:szCs w:val="20"/>
                <w:color w:val="auto"/>
              </w:rPr>
            </w:pPr>
            <w:r>
              <w:rPr>
                <w:rFonts w:ascii="Arial" w:cs="Arial" w:eastAsia="Arial" w:hAnsi="Arial"/>
                <w:sz w:val="20"/>
                <w:szCs w:val="20"/>
                <w:color w:val="auto"/>
              </w:rPr>
              <w:t>200.37</w:t>
            </w:r>
          </w:p>
        </w:tc>
        <w:tc>
          <w:tcPr>
            <w:tcW w:w="960" w:type="dxa"/>
            <w:vAlign w:val="bottom"/>
            <w:shd w:val="clear" w:color="auto" w:fill="E6E6E6"/>
          </w:tcPr>
          <w:p>
            <w:pPr>
              <w:jc w:val="right"/>
              <w:ind w:right="27"/>
              <w:spacing w:after="0"/>
              <w:rPr>
                <w:sz w:val="20"/>
                <w:szCs w:val="20"/>
                <w:color w:val="auto"/>
              </w:rPr>
            </w:pPr>
            <w:r>
              <w:rPr>
                <w:rFonts w:ascii="Arial" w:cs="Arial" w:eastAsia="Arial" w:hAnsi="Arial"/>
                <w:sz w:val="20"/>
                <w:szCs w:val="20"/>
                <w:color w:val="auto"/>
              </w:rPr>
              <w:t>164.08</w:t>
            </w:r>
          </w:p>
        </w:tc>
        <w:tc>
          <w:tcPr>
            <w:tcW w:w="9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207.21</w:t>
            </w:r>
          </w:p>
        </w:tc>
        <w:tc>
          <w:tcPr>
            <w:tcW w:w="20" w:type="dxa"/>
            <w:vAlign w:val="bottom"/>
            <w:shd w:val="clear" w:color="auto" w:fill="E6E6E6"/>
          </w:tcPr>
          <w:p>
            <w:pPr>
              <w:spacing w:after="0"/>
              <w:rPr>
                <w:sz w:val="24"/>
                <w:szCs w:val="24"/>
                <w:color w:val="auto"/>
              </w:rPr>
            </w:pPr>
          </w:p>
        </w:tc>
      </w:tr>
      <w:tr>
        <w:trPr>
          <w:trHeight w:val="271"/>
        </w:trPr>
        <w:tc>
          <w:tcPr>
            <w:tcW w:w="4540" w:type="dxa"/>
            <w:vAlign w:val="bottom"/>
          </w:tcPr>
          <w:p>
            <w:pPr>
              <w:ind w:left="40"/>
              <w:spacing w:after="0"/>
              <w:rPr>
                <w:sz w:val="20"/>
                <w:szCs w:val="20"/>
                <w:color w:val="auto"/>
              </w:rPr>
            </w:pPr>
            <w:r>
              <w:rPr>
                <w:rFonts w:ascii="Arial" w:cs="Arial" w:eastAsia="Arial" w:hAnsi="Arial"/>
                <w:sz w:val="20"/>
                <w:szCs w:val="20"/>
                <w:color w:val="auto"/>
                <w:w w:val="93"/>
              </w:rPr>
              <w:t xml:space="preserve">UTY  </w:t>
            </w:r>
            <w:r>
              <w:rPr>
                <w:rFonts w:ascii="Arial" w:cs="Arial" w:eastAsia="Arial" w:hAnsi="Arial"/>
                <w:sz w:val="20"/>
                <w:szCs w:val="20"/>
                <w:color w:val="BDBDBD"/>
                <w:w w:val="93"/>
              </w:rPr>
              <w:t>. . . . . . . . . . . . . . . . . . . . . . . . . . . . . . . . . . . . . . .</w:t>
            </w:r>
          </w:p>
        </w:tc>
        <w:tc>
          <w:tcPr>
            <w:tcW w:w="880" w:type="dxa"/>
            <w:vAlign w:val="bottom"/>
          </w:tcPr>
          <w:p>
            <w:pPr>
              <w:jc w:val="right"/>
              <w:spacing w:after="0"/>
              <w:rPr>
                <w:sz w:val="20"/>
                <w:szCs w:val="20"/>
                <w:color w:val="auto"/>
              </w:rPr>
            </w:pPr>
            <w:r>
              <w:rPr>
                <w:rFonts w:ascii="Arial" w:cs="Arial" w:eastAsia="Arial" w:hAnsi="Arial"/>
                <w:sz w:val="20"/>
                <w:szCs w:val="20"/>
                <w:color w:val="auto"/>
              </w:rPr>
              <w:t>100.00</w:t>
            </w:r>
          </w:p>
        </w:tc>
        <w:tc>
          <w:tcPr>
            <w:tcW w:w="960" w:type="dxa"/>
            <w:vAlign w:val="bottom"/>
            <w:gridSpan w:val="2"/>
          </w:tcPr>
          <w:p>
            <w:pPr>
              <w:jc w:val="right"/>
              <w:spacing w:after="0"/>
              <w:rPr>
                <w:sz w:val="20"/>
                <w:szCs w:val="20"/>
                <w:color w:val="auto"/>
              </w:rPr>
            </w:pPr>
            <w:r>
              <w:rPr>
                <w:rFonts w:ascii="Arial" w:cs="Arial" w:eastAsia="Arial" w:hAnsi="Arial"/>
                <w:sz w:val="20"/>
                <w:szCs w:val="20"/>
                <w:color w:val="auto"/>
              </w:rPr>
              <w:t>126.82</w:t>
            </w:r>
          </w:p>
        </w:tc>
        <w:tc>
          <w:tcPr>
            <w:tcW w:w="980" w:type="dxa"/>
            <w:vAlign w:val="bottom"/>
            <w:gridSpan w:val="2"/>
          </w:tcPr>
          <w:p>
            <w:pPr>
              <w:jc w:val="right"/>
              <w:ind w:right="20"/>
              <w:spacing w:after="0"/>
              <w:rPr>
                <w:sz w:val="20"/>
                <w:szCs w:val="20"/>
                <w:color w:val="auto"/>
              </w:rPr>
            </w:pPr>
            <w:r>
              <w:rPr>
                <w:rFonts w:ascii="Arial" w:cs="Arial" w:eastAsia="Arial" w:hAnsi="Arial"/>
                <w:sz w:val="20"/>
                <w:szCs w:val="20"/>
                <w:color w:val="auto"/>
              </w:rPr>
              <w:t>130.27</w:t>
            </w:r>
          </w:p>
        </w:tc>
        <w:tc>
          <w:tcPr>
            <w:tcW w:w="960" w:type="dxa"/>
            <w:vAlign w:val="bottom"/>
          </w:tcPr>
          <w:p>
            <w:pPr>
              <w:jc w:val="right"/>
              <w:ind w:right="7"/>
              <w:spacing w:after="0"/>
              <w:rPr>
                <w:sz w:val="20"/>
                <w:szCs w:val="20"/>
                <w:color w:val="auto"/>
              </w:rPr>
            </w:pPr>
            <w:r>
              <w:rPr>
                <w:rFonts w:ascii="Arial" w:cs="Arial" w:eastAsia="Arial" w:hAnsi="Arial"/>
                <w:sz w:val="20"/>
                <w:szCs w:val="20"/>
                <w:color w:val="auto"/>
              </w:rPr>
              <w:t>154.04</w:t>
            </w:r>
          </w:p>
        </w:tc>
        <w:tc>
          <w:tcPr>
            <w:tcW w:w="960" w:type="dxa"/>
            <w:vAlign w:val="bottom"/>
          </w:tcPr>
          <w:p>
            <w:pPr>
              <w:jc w:val="right"/>
              <w:ind w:right="27"/>
              <w:spacing w:after="0"/>
              <w:rPr>
                <w:sz w:val="20"/>
                <w:szCs w:val="20"/>
                <w:color w:val="auto"/>
              </w:rPr>
            </w:pPr>
            <w:r>
              <w:rPr>
                <w:rFonts w:ascii="Arial" w:cs="Arial" w:eastAsia="Arial" w:hAnsi="Arial"/>
                <w:sz w:val="20"/>
                <w:szCs w:val="20"/>
                <w:color w:val="auto"/>
              </w:rPr>
              <w:t>155.04</w:t>
            </w:r>
          </w:p>
        </w:tc>
        <w:tc>
          <w:tcPr>
            <w:tcW w:w="920" w:type="dxa"/>
            <w:vAlign w:val="bottom"/>
          </w:tcPr>
          <w:p>
            <w:pPr>
              <w:jc w:val="right"/>
              <w:spacing w:after="0"/>
              <w:rPr>
                <w:sz w:val="20"/>
                <w:szCs w:val="20"/>
                <w:color w:val="auto"/>
              </w:rPr>
            </w:pPr>
            <w:r>
              <w:rPr>
                <w:rFonts w:ascii="Arial" w:cs="Arial" w:eastAsia="Arial" w:hAnsi="Arial"/>
                <w:sz w:val="20"/>
                <w:szCs w:val="20"/>
                <w:color w:val="auto"/>
              </w:rPr>
              <w:t>140.83</w:t>
            </w:r>
          </w:p>
        </w:tc>
        <w:tc>
          <w:tcPr>
            <w:tcW w:w="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2875280</wp:posOffset>
            </wp:positionH>
            <wp:positionV relativeFrom="paragraph">
              <wp:posOffset>-743585</wp:posOffset>
            </wp:positionV>
            <wp:extent cx="3617595" cy="7645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4">
                      <a:extLst>
                        <a:ext uri="{28A0092B-C50C-407E-A947-70E740481C1C}"/>
                      </a:extLst>
                    </a:blip>
                    <a:srcRect/>
                    <a:stretch>
                      <a:fillRect/>
                    </a:stretch>
                  </pic:blipFill>
                  <pic:spPr bwMode="auto">
                    <a:xfrm>
                      <a:off x="0" y="0"/>
                      <a:ext cx="3617595" cy="764540"/>
                    </a:xfrm>
                    <a:prstGeom prst="rect">
                      <a:avLst/>
                    </a:prstGeom>
                    <a:noFill/>
                  </pic:spPr>
                </pic:pic>
              </a:graphicData>
            </a:graphic>
          </wp:anchor>
        </w:drawing>
      </w:r>
    </w:p>
    <w:p>
      <w:pPr>
        <w:sectPr>
          <w:pgSz w:w="11880" w:h="15480" w:orient="portrait"/>
          <w:cols w:equalWidth="0" w:num="1">
            <w:col w:w="10220"/>
          </w:cols>
          <w:pgMar w:left="840" w:top="404"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43</w:t>
      </w:r>
    </w:p>
    <w:p>
      <w:pPr>
        <w:sectPr>
          <w:pgSz w:w="11880" w:h="15480" w:orient="portrait"/>
          <w:cols w:equalWidth="0" w:num="1">
            <w:col w:w="10220"/>
          </w:cols>
          <w:pgMar w:left="840" w:top="404" w:right="820" w:bottom="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6 — Reserved</w:t>
      </w:r>
    </w:p>
    <w:p>
      <w:pPr>
        <w:sectPr>
          <w:pgSz w:w="11880" w:h="15480" w:orient="portrait"/>
          <w:cols w:equalWidth="0" w:num="1">
            <w:col w:w="9600"/>
          </w:cols>
          <w:pgMar w:left="840" w:top="4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000"/>
        <w:spacing w:after="0"/>
        <w:rPr>
          <w:sz w:val="20"/>
          <w:szCs w:val="20"/>
          <w:color w:val="auto"/>
        </w:rPr>
      </w:pPr>
      <w:r>
        <w:rPr>
          <w:rFonts w:ascii="Arial" w:cs="Arial" w:eastAsia="Arial" w:hAnsi="Arial"/>
          <w:sz w:val="17"/>
          <w:szCs w:val="17"/>
          <w:color w:val="auto"/>
        </w:rPr>
        <w:t>44</w:t>
      </w:r>
    </w:p>
    <w:p>
      <w:pPr>
        <w:sectPr>
          <w:pgSz w:w="11880" w:h="15480" w:orient="portrait"/>
          <w:cols w:equalWidth="0" w:num="1">
            <w:col w:w="9600"/>
          </w:cols>
          <w:pgMar w:left="840" w:top="404" w:right="1440" w:bottom="0" w:gutter="0" w:footer="0" w:header="0"/>
          <w:type w:val="continuous"/>
        </w:sectPr>
      </w:pPr>
    </w:p>
    <w:bookmarkStart w:id="46" w:name="page47"/>
    <w:bookmarkEnd w:id="46"/>
    <w:p>
      <w:pPr>
        <w:spacing w:after="0"/>
        <w:rPr>
          <w:sz w:val="20"/>
          <w:szCs w:val="20"/>
          <w:color w:val="auto"/>
        </w:rPr>
      </w:pPr>
      <w:r>
        <w:rPr>
          <w:rFonts w:ascii="Arial" w:cs="Arial" w:eastAsia="Arial" w:hAnsi="Arial"/>
          <w:sz w:val="20"/>
          <w:szCs w:val="20"/>
          <w:b w:val="1"/>
          <w:bCs w:val="1"/>
          <w:color w:val="auto"/>
        </w:rPr>
        <w:t>Item 7 — Management’s Discussion and Analysis of Financial Condition and the Results of Operations</w:t>
      </w:r>
    </w:p>
    <w:p>
      <w:pPr>
        <w:spacing w:after="0" w:line="195" w:lineRule="exact"/>
        <w:rPr>
          <w:sz w:val="20"/>
          <w:szCs w:val="20"/>
          <w:color w:val="auto"/>
        </w:rPr>
      </w:pPr>
    </w:p>
    <w:p>
      <w:pPr>
        <w:jc w:val="both"/>
        <w:ind w:firstLine="448"/>
        <w:spacing w:after="0" w:line="254" w:lineRule="auto"/>
        <w:rPr>
          <w:sz w:val="20"/>
          <w:szCs w:val="20"/>
          <w:color w:val="auto"/>
        </w:rPr>
      </w:pPr>
      <w:r>
        <w:rPr>
          <w:rFonts w:ascii="Arial" w:cs="Arial" w:eastAsia="Arial" w:hAnsi="Arial"/>
          <w:sz w:val="20"/>
          <w:szCs w:val="20"/>
          <w:color w:val="auto"/>
        </w:rPr>
        <w:t xml:space="preserve">As you read this discussion and analysis, refer to the Company’s Consolidated Statements of Income to this Form 10-K. Also refer to Item 1 — </w:t>
      </w:r>
      <w:r>
        <w:rPr>
          <w:rFonts w:ascii="Arial" w:cs="Arial" w:eastAsia="Arial" w:hAnsi="Arial"/>
          <w:sz w:val="20"/>
          <w:szCs w:val="20"/>
          <w:b w:val="1"/>
          <w:bCs w:val="1"/>
          <w:i w:val="1"/>
          <w:iCs w:val="1"/>
          <w:color w:val="auto"/>
        </w:rPr>
        <w:t>Business</w:t>
      </w:r>
      <w:r>
        <w:rPr>
          <w:rFonts w:ascii="Arial" w:cs="Arial" w:eastAsia="Arial" w:hAnsi="Arial"/>
          <w:sz w:val="20"/>
          <w:szCs w:val="20"/>
          <w:color w:val="auto"/>
        </w:rPr>
        <w:t xml:space="preserve"> and Item 1A — </w:t>
      </w:r>
      <w:r>
        <w:rPr>
          <w:rFonts w:ascii="Arial" w:cs="Arial" w:eastAsia="Arial" w:hAnsi="Arial"/>
          <w:sz w:val="20"/>
          <w:szCs w:val="20"/>
          <w:b w:val="1"/>
          <w:bCs w:val="1"/>
          <w:i w:val="1"/>
          <w:iCs w:val="1"/>
          <w:color w:val="auto"/>
        </w:rPr>
        <w:t>Risk Factors</w:t>
      </w:r>
      <w:r>
        <w:rPr>
          <w:rFonts w:ascii="Arial" w:cs="Arial" w:eastAsia="Arial" w:hAnsi="Arial"/>
          <w:sz w:val="20"/>
          <w:szCs w:val="20"/>
          <w:color w:val="auto"/>
        </w:rPr>
        <w:t>, which include detailed discussions of various items impacting the Company’s business, results of operations and financial condition. Discussions of the year ended December 31, 2021 that are not included in this Annual Report on Form 10-K and year-to-year comparisons of the year ended December 31, 2022 and the year ended December 31, 2021 can be found in “Management’s Discussion and Analysis of Financial Condition and the Results of Operations” in Part II, Item 7 of the Company’s Annual Report on Form 10-K for the year ended December 31, 2022.</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discussion and analysis below has been organized as follows:</w:t>
      </w:r>
    </w:p>
    <w:p>
      <w:pPr>
        <w:spacing w:after="0" w:line="128" w:lineRule="exact"/>
        <w:rPr>
          <w:sz w:val="20"/>
          <w:szCs w:val="20"/>
          <w:color w:val="auto"/>
        </w:rPr>
      </w:pPr>
    </w:p>
    <w:p>
      <w:pPr>
        <w:ind w:left="800" w:right="560" w:firstLine="181"/>
        <w:spacing w:after="0" w:line="280" w:lineRule="auto"/>
        <w:tabs>
          <w:tab w:leader="none" w:pos="1427" w:val="left"/>
        </w:tabs>
        <w:numPr>
          <w:ilvl w:val="0"/>
          <w:numId w:val="19"/>
        </w:numPr>
        <w:rPr>
          <w:rFonts w:ascii="Arial" w:cs="Arial" w:eastAsia="Arial" w:hAnsi="Arial"/>
          <w:sz w:val="20"/>
          <w:szCs w:val="20"/>
          <w:color w:val="auto"/>
        </w:rPr>
      </w:pPr>
      <w:r>
        <w:rPr>
          <w:rFonts w:ascii="Arial" w:cs="Arial" w:eastAsia="Arial" w:hAnsi="Arial"/>
          <w:sz w:val="20"/>
          <w:szCs w:val="20"/>
          <w:color w:val="auto"/>
        </w:rPr>
        <w:t>Executive Summary, including a description of the business and significant events that are important to understanding the results of operations and financial condition;</w:t>
      </w:r>
    </w:p>
    <w:p>
      <w:pPr>
        <w:ind w:left="800" w:right="180" w:firstLine="181"/>
        <w:spacing w:after="0" w:line="280" w:lineRule="auto"/>
        <w:tabs>
          <w:tab w:leader="none" w:pos="1427" w:val="left"/>
        </w:tabs>
        <w:numPr>
          <w:ilvl w:val="0"/>
          <w:numId w:val="19"/>
        </w:numPr>
        <w:rPr>
          <w:rFonts w:ascii="Arial" w:cs="Arial" w:eastAsia="Arial" w:hAnsi="Arial"/>
          <w:sz w:val="20"/>
          <w:szCs w:val="20"/>
          <w:color w:val="auto"/>
        </w:rPr>
      </w:pPr>
      <w:r>
        <w:rPr>
          <w:rFonts w:ascii="Arial" w:cs="Arial" w:eastAsia="Arial" w:hAnsi="Arial"/>
          <w:sz w:val="20"/>
          <w:szCs w:val="20"/>
          <w:color w:val="auto"/>
        </w:rPr>
        <w:t>Results of operations, including an explanation of significant differences between the periods in the specific line items of the consolidated statements of income;</w:t>
      </w:r>
    </w:p>
    <w:p>
      <w:pPr>
        <w:ind w:left="800" w:right="1100" w:firstLine="181"/>
        <w:spacing w:after="0" w:line="280" w:lineRule="auto"/>
        <w:tabs>
          <w:tab w:leader="none" w:pos="1427" w:val="left"/>
        </w:tabs>
        <w:numPr>
          <w:ilvl w:val="0"/>
          <w:numId w:val="19"/>
        </w:numPr>
        <w:rPr>
          <w:rFonts w:ascii="Arial" w:cs="Arial" w:eastAsia="Arial" w:hAnsi="Arial"/>
          <w:sz w:val="20"/>
          <w:szCs w:val="20"/>
          <w:color w:val="auto"/>
        </w:rPr>
      </w:pPr>
      <w:r>
        <w:rPr>
          <w:rFonts w:ascii="Arial" w:cs="Arial" w:eastAsia="Arial" w:hAnsi="Arial"/>
          <w:sz w:val="20"/>
          <w:szCs w:val="20"/>
          <w:color w:val="auto"/>
        </w:rPr>
        <w:t>Financial condition addressing liquidity position, sources and uses of cash, capital resources and requirements, commitments and off-balance sheet arrangements;</w:t>
      </w:r>
    </w:p>
    <w:p>
      <w:pPr>
        <w:ind w:left="1420" w:hanging="439"/>
        <w:spacing w:after="0"/>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Known trends that may affect the Company’s results of operations and financial condition in the future; and</w:t>
      </w:r>
    </w:p>
    <w:p>
      <w:pPr>
        <w:spacing w:after="0" w:line="91" w:lineRule="exact"/>
        <w:rPr>
          <w:rFonts w:ascii="Arial" w:cs="Arial" w:eastAsia="Arial" w:hAnsi="Arial"/>
          <w:sz w:val="18"/>
          <w:szCs w:val="18"/>
          <w:color w:val="auto"/>
        </w:rPr>
      </w:pPr>
    </w:p>
    <w:p>
      <w:pPr>
        <w:ind w:left="800" w:right="620" w:firstLine="181"/>
        <w:spacing w:after="0" w:line="265" w:lineRule="auto"/>
        <w:tabs>
          <w:tab w:leader="none" w:pos="1427" w:val="left"/>
        </w:tabs>
        <w:numPr>
          <w:ilvl w:val="0"/>
          <w:numId w:val="19"/>
        </w:numPr>
        <w:rPr>
          <w:rFonts w:ascii="Arial" w:cs="Arial" w:eastAsia="Arial" w:hAnsi="Arial"/>
          <w:sz w:val="20"/>
          <w:szCs w:val="20"/>
          <w:color w:val="auto"/>
        </w:rPr>
      </w:pPr>
      <w:r>
        <w:rPr>
          <w:rFonts w:ascii="Arial" w:cs="Arial" w:eastAsia="Arial" w:hAnsi="Arial"/>
          <w:sz w:val="20"/>
          <w:szCs w:val="20"/>
          <w:color w:val="auto"/>
        </w:rPr>
        <w:t>Critical accounting policies which are most important to both the portrayal of the Company’s financial condition and results of operations, and which require management’s most difficult, subjective or complex judgment.</w:t>
      </w:r>
    </w:p>
    <w:p>
      <w:pPr>
        <w:sectPr>
          <w:pgSz w:w="11880" w:h="15480" w:orient="portrait"/>
          <w:cols w:equalWidth="0" w:num="1">
            <w:col w:w="10200"/>
          </w:cols>
          <w:pgMar w:left="840" w:top="404"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ectPr>
          <w:pgSz w:w="11880" w:h="15480" w:orient="portrait"/>
          <w:cols w:equalWidth="0" w:num="1">
            <w:col w:w="10200"/>
          </w:cols>
          <w:pgMar w:left="840" w:top="404" w:right="840" w:bottom="0" w:gutter="0" w:footer="0" w:header="0"/>
          <w:type w:val="continuous"/>
        </w:sectPr>
      </w:pPr>
    </w:p>
    <w:bookmarkStart w:id="47" w:name="page48"/>
    <w:bookmarkEnd w:id="47"/>
    <w:p>
      <w:pPr>
        <w:spacing w:after="0"/>
        <w:rPr>
          <w:sz w:val="20"/>
          <w:szCs w:val="20"/>
          <w:color w:val="auto"/>
        </w:rPr>
      </w:pPr>
      <w:r>
        <w:rPr>
          <w:rFonts w:ascii="Arial" w:cs="Arial" w:eastAsia="Arial" w:hAnsi="Arial"/>
          <w:sz w:val="20"/>
          <w:szCs w:val="20"/>
          <w:b w:val="1"/>
          <w:bCs w:val="1"/>
          <w:color w:val="auto"/>
        </w:rPr>
        <w:t>Executive Summary</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Introduction and Overview</w:t>
      </w:r>
    </w:p>
    <w:p>
      <w:pPr>
        <w:spacing w:after="0" w:line="195" w:lineRule="exact"/>
        <w:rPr>
          <w:sz w:val="20"/>
          <w:szCs w:val="20"/>
          <w:color w:val="auto"/>
        </w:rPr>
      </w:pPr>
    </w:p>
    <w:p>
      <w:pPr>
        <w:jc w:val="both"/>
        <w:ind w:firstLine="448"/>
        <w:spacing w:after="0" w:line="267" w:lineRule="auto"/>
        <w:rPr>
          <w:sz w:val="20"/>
          <w:szCs w:val="20"/>
          <w:color w:val="auto"/>
        </w:rPr>
      </w:pPr>
      <w:r>
        <w:rPr>
          <w:rFonts w:ascii="Arial" w:cs="Arial" w:eastAsia="Arial" w:hAnsi="Arial"/>
          <w:sz w:val="19"/>
          <w:szCs w:val="19"/>
          <w:color w:val="auto"/>
        </w:rPr>
        <w:t>Clearway Energy, Inc., together with its consolidated subsidiaries, or the Company, is a publicly-traded energy infrastructure investor with a focus on investments in clean energy and owner of modern, sustainable and long-term contracted assets across North America. The Company is sponsored by GIP and TotalEnergies through the portfolio company, Clearway Energy Group LLC, or CEG, which is equally owned by GIP and TotalEnergies. GIP is an independent infrastructure fund manager that makes equity and debt investments in infrastructure assets and businesses. TotalEnergies is a global multi-energy company. CEG is a leading developer of renewable energy infrastructure in the U.S. On January 12, 2024, BlackRock entered into a definitive agreement to acquire 100% of the business and assets of GIM, which is the investment manager of the GIP funds that own an interest in CEG. BlackRock has indicated that the transaction is expected to close in the third quarter of 2024, subject to regulatory approvals and other customary closing conditions. BlackRock is a publicly-traded global investment management firm.</w:t>
      </w:r>
    </w:p>
    <w:p>
      <w:pPr>
        <w:spacing w:after="0" w:line="136" w:lineRule="exact"/>
        <w:rPr>
          <w:sz w:val="20"/>
          <w:szCs w:val="20"/>
          <w:color w:val="auto"/>
        </w:rPr>
      </w:pPr>
    </w:p>
    <w:p>
      <w:pPr>
        <w:jc w:val="both"/>
        <w:ind w:firstLine="448"/>
        <w:spacing w:after="0" w:line="269" w:lineRule="auto"/>
        <w:rPr>
          <w:sz w:val="20"/>
          <w:szCs w:val="20"/>
          <w:color w:val="auto"/>
        </w:rPr>
      </w:pPr>
      <w:r>
        <w:rPr>
          <w:rFonts w:ascii="Arial" w:cs="Arial" w:eastAsia="Arial" w:hAnsi="Arial"/>
          <w:sz w:val="19"/>
          <w:szCs w:val="19"/>
          <w:color w:val="auto"/>
        </w:rPr>
        <w:t>The Company is one of the largest renewable energy owners in the U.S. with approximately 6,000 net MW of installed wind, solar and energy storage projects. The Company’s approximately 8,500 net MW of assets also includes approximately 2,500 net MW of environmentally-sound, highly efficient natural gas-fired generation facilities. Through this environmentally-sound, diversified and primarily contracted portfolio, the Company endeavors to provide its investors with stable and growing dividend income. The majority of the Company’s revenues are derived from long-term contractual arrangements for the output or capacity from these assets. The weighted average remaining contract duration of these offtake agreements was approximately 10 years as of December 31, 2023 based on CAFD.</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Significant Events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Drop Down Transactions</w:t>
      </w:r>
    </w:p>
    <w:p>
      <w:pPr>
        <w:spacing w:after="0" w:line="191" w:lineRule="exact"/>
        <w:rPr>
          <w:sz w:val="20"/>
          <w:szCs w:val="20"/>
          <w:color w:val="auto"/>
        </w:rPr>
      </w:pPr>
    </w:p>
    <w:p>
      <w:pPr>
        <w:jc w:val="both"/>
        <w:ind w:left="720" w:hanging="366"/>
        <w:spacing w:after="0" w:line="287"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On December 28, 2023, the Company, through its indirect subsidiary, Lighthouse Renewable Holdco 2 LLC, acquired TSN1 BL Borrower Holdco LLC, the indirect owner of Texas Solar Nova 1, a 252 MW solar project that is located in Kent County, Texas, from Clearway Renew for cash consideration of $23 million. Lighthouse Renewable Holdco 2 LLC is a partnership between the Company and a cash equity investor. The cash equity investor also contributed cash consideration of $109 million to acquire their portion of the acquired entity. TSN1 BL Borrower Holdco LLC consolidates as primary beneficiary, TSN1 TE Holdco LLC, a tax equity fund that owns the Texas Solar Nova 1 solar project. See Item 15 — Note 3, </w:t>
      </w:r>
      <w:r>
        <w:rPr>
          <w:rFonts w:ascii="Arial" w:cs="Arial" w:eastAsia="Arial" w:hAnsi="Arial"/>
          <w:sz w:val="18"/>
          <w:szCs w:val="18"/>
          <w:b w:val="1"/>
          <w:bCs w:val="1"/>
          <w:i w:val="1"/>
          <w:iCs w:val="1"/>
          <w:color w:val="auto"/>
        </w:rPr>
        <w:t>Acquisitions and Dispositions</w:t>
      </w:r>
      <w:r>
        <w:rPr>
          <w:rFonts w:ascii="Arial" w:cs="Arial" w:eastAsia="Arial" w:hAnsi="Arial"/>
          <w:sz w:val="18"/>
          <w:szCs w:val="18"/>
          <w:color w:val="auto"/>
        </w:rPr>
        <w:t>, for further discussion of the transaction.</w:t>
      </w:r>
    </w:p>
    <w:p>
      <w:pPr>
        <w:spacing w:after="0" w:line="108" w:lineRule="exact"/>
        <w:rPr>
          <w:rFonts w:ascii="Arial" w:cs="Arial" w:eastAsia="Arial" w:hAnsi="Arial"/>
          <w:sz w:val="18"/>
          <w:szCs w:val="18"/>
          <w:color w:val="auto"/>
        </w:rPr>
      </w:pPr>
    </w:p>
    <w:p>
      <w:pPr>
        <w:jc w:val="both"/>
        <w:ind w:left="720" w:hanging="366"/>
        <w:spacing w:after="0" w:line="252" w:lineRule="auto"/>
        <w:tabs>
          <w:tab w:leader="none" w:pos="7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 xml:space="preserve">On October 31, 2023, the Company, through its indirect subsidiary, VP-Arica Parent Holdco LLC, acquired the Class A membership interests in VP-Arica TargetCo LLC, a partnership and the indirect owner of Victory Pass, a 200 MW solar project that is paired with 50 MW of energy storage, and Arica, a 263 MW solar project that is paired with 136 MW of energy storage, which are both currently under construction in Riverside, California, from Clearway Renew for initial cash consideration of $46 million. Simultaneously, a cash equity investor acquired the Class B membership interests in VP-Arica TargetCo LLC from Clearway Renew for initial cash consideration of $87 million. At substantial completion, which is expected to occur in the first half of 2024, the Company estimates it will pay an additional $182 million to Clearway Renew and the cash equity investor will contribute an additional $347 million. VP-Arica TargetCo LLC consolidates as primary beneficiary, VP-Arica TE Holdco LLC, a tax equity fund that owns the Victory Pass and Arica solar projects. See Item 15 — Note 3, </w:t>
      </w:r>
      <w:r>
        <w:rPr>
          <w:rFonts w:ascii="Arial" w:cs="Arial" w:eastAsia="Arial" w:hAnsi="Arial"/>
          <w:sz w:val="20"/>
          <w:szCs w:val="20"/>
          <w:b w:val="1"/>
          <w:bCs w:val="1"/>
          <w:i w:val="1"/>
          <w:iCs w:val="1"/>
          <w:color w:val="auto"/>
        </w:rPr>
        <w:t>Acquisitions and Dispositions</w:t>
      </w:r>
      <w:r>
        <w:rPr>
          <w:rFonts w:ascii="Arial" w:cs="Arial" w:eastAsia="Arial" w:hAnsi="Arial"/>
          <w:sz w:val="20"/>
          <w:szCs w:val="20"/>
          <w:color w:val="auto"/>
        </w:rPr>
        <w:t>, for further discussion of the transaction.</w:t>
      </w:r>
    </w:p>
    <w:p>
      <w:pPr>
        <w:spacing w:after="0" w:line="139" w:lineRule="exact"/>
        <w:rPr>
          <w:rFonts w:ascii="Arial" w:cs="Arial" w:eastAsia="Arial" w:hAnsi="Arial"/>
          <w:sz w:val="20"/>
          <w:szCs w:val="20"/>
          <w:color w:val="auto"/>
        </w:rPr>
      </w:pPr>
    </w:p>
    <w:p>
      <w:pPr>
        <w:jc w:val="both"/>
        <w:ind w:left="720" w:hanging="366"/>
        <w:spacing w:after="0" w:line="257" w:lineRule="auto"/>
        <w:tabs>
          <w:tab w:leader="none" w:pos="7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On August 30, 2023, the Company, through an indirect subsidiary, entered into an agreement with Clearway Renew to acquire the Class A membership interests in Texas Solar Nova 2, a 200 MW solar project currently under construction in Kent County, Texas, upon the project meeting certain milestones. The Company expects to invest approximately $17 million, subject to closing adjustments. Commercial operations of the facilities and the Company’s investment is expected in the first half of 2024.</w:t>
      </w:r>
    </w:p>
    <w:p>
      <w:pPr>
        <w:spacing w:after="0" w:line="131" w:lineRule="exact"/>
        <w:rPr>
          <w:rFonts w:ascii="Arial" w:cs="Arial" w:eastAsia="Arial" w:hAnsi="Arial"/>
          <w:sz w:val="20"/>
          <w:szCs w:val="20"/>
          <w:color w:val="auto"/>
        </w:rPr>
      </w:pPr>
    </w:p>
    <w:p>
      <w:pPr>
        <w:jc w:val="both"/>
        <w:ind w:left="720" w:hanging="366"/>
        <w:spacing w:after="0" w:line="271" w:lineRule="auto"/>
        <w:tabs>
          <w:tab w:leader="none" w:pos="720" w:val="left"/>
        </w:tabs>
        <w:numPr>
          <w:ilvl w:val="0"/>
          <w:numId w:val="20"/>
        </w:numPr>
        <w:rPr>
          <w:rFonts w:ascii="Arial" w:cs="Arial" w:eastAsia="Arial" w:hAnsi="Arial"/>
          <w:sz w:val="19"/>
          <w:szCs w:val="19"/>
          <w:color w:val="auto"/>
        </w:rPr>
      </w:pPr>
      <w:r>
        <w:rPr>
          <w:rFonts w:ascii="Arial" w:cs="Arial" w:eastAsia="Arial" w:hAnsi="Arial"/>
          <w:sz w:val="19"/>
          <w:szCs w:val="19"/>
          <w:color w:val="auto"/>
        </w:rPr>
        <w:t xml:space="preserve">On August 30, 2023, the Company, through its indirect subsidiary, Daggett Solar Investment LLC, acquired the Class A membership interests in Daggett 2 TargetCo LLC, a partnership and the indirect owner of Daggett 2, a 182 MW solar project that is paired with 131 MW of energy storage and is located in San Bernardino, California, from CEG for cash consideration of $13 million. Daggett 2 TargetCo LLC consolidates as primary beneficiary, Daggett 2 TE Holdco LLC, a tax equity fund that owns the Daggett 2 solar project. See Item 15 — Note 3, </w:t>
      </w:r>
      <w:r>
        <w:rPr>
          <w:rFonts w:ascii="Arial" w:cs="Arial" w:eastAsia="Arial" w:hAnsi="Arial"/>
          <w:sz w:val="19"/>
          <w:szCs w:val="19"/>
          <w:b w:val="1"/>
          <w:bCs w:val="1"/>
          <w:i w:val="1"/>
          <w:iCs w:val="1"/>
          <w:color w:val="auto"/>
        </w:rPr>
        <w:t>Acquisitions and Dispositions</w:t>
      </w:r>
      <w:r>
        <w:rPr>
          <w:rFonts w:ascii="Arial" w:cs="Arial" w:eastAsia="Arial" w:hAnsi="Arial"/>
          <w:sz w:val="19"/>
          <w:szCs w:val="19"/>
          <w:color w:val="auto"/>
        </w:rPr>
        <w:t>, for further discussion of the transaction.</w:t>
      </w:r>
    </w:p>
    <w:p>
      <w:pPr>
        <w:sectPr>
          <w:pgSz w:w="11880" w:h="15480" w:orient="portrait"/>
          <w:cols w:equalWidth="0" w:num="1">
            <w:col w:w="10200"/>
          </w:cols>
          <w:pgMar w:left="840" w:top="404"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880" w:h="15480" w:orient="portrait"/>
          <w:cols w:equalWidth="0" w:num="1">
            <w:col w:w="10200"/>
          </w:cols>
          <w:pgMar w:left="840" w:top="404" w:right="840" w:bottom="0" w:gutter="0" w:footer="0" w:header="0"/>
          <w:type w:val="continuous"/>
        </w:sectPr>
      </w:pPr>
    </w:p>
    <w:bookmarkStart w:id="48" w:name="page49"/>
    <w:bookmarkEnd w:id="48"/>
    <w:p>
      <w:pPr>
        <w:jc w:val="both"/>
        <w:ind w:left="720" w:hanging="366"/>
        <w:spacing w:after="0" w:line="265" w:lineRule="auto"/>
        <w:tabs>
          <w:tab w:leader="none" w:pos="720" w:val="left"/>
        </w:tabs>
        <w:numPr>
          <w:ilvl w:val="0"/>
          <w:numId w:val="21"/>
        </w:numPr>
        <w:rPr>
          <w:rFonts w:ascii="Arial" w:cs="Arial" w:eastAsia="Arial" w:hAnsi="Arial"/>
          <w:sz w:val="19"/>
          <w:szCs w:val="19"/>
          <w:color w:val="auto"/>
        </w:rPr>
      </w:pPr>
      <w:r>
        <w:rPr>
          <w:rFonts w:ascii="Arial" w:cs="Arial" w:eastAsia="Arial" w:hAnsi="Arial"/>
          <w:sz w:val="19"/>
          <w:szCs w:val="19"/>
          <w:color w:val="auto"/>
        </w:rPr>
        <w:t xml:space="preserve">On June 30, 2023, the Company, through its indirect subsidiary, Rosie Class B LLC, the indirect owner of the Rosamond Central solar project, became the owner of the Class B membership interests of Rosie Central BESS in order to facilitate and fund the construction of a 147 MW BESS project that is co-located at the Rosamond Central solar facility. Clearway Renew indirectly owns the Class A membership interests and controls Rosie Central BESS. As of December 31, 2023, the Company’s investment consisted of $28 million contributed into Rosie Central BESS, funded through contributions from the Company and its cash equity investor in Rosie TargetCo LLC, which consolidates Rosie Class B LLC. On December 1, 2023, the Rosamond Central solar project acquired the BESS project from Clearway Renew for initial cash consideration of $70 million, $16 million of which was funded by the Company with the remaining $54 million funded through contributions from third-party investors. At substantial completion, which is expected to occur in the first half of 2024, the Company estimates it will pay an additional $279 million to Clearway Renew, $61 million of which will be funded by the Company with the remaining $218 million to be funded through contributions from third-party investors. Also at substantial completion, Clearway Renew will return Rosie Class B LLC’s equity investment. See Item 15 — Note 3, </w:t>
      </w:r>
      <w:r>
        <w:rPr>
          <w:rFonts w:ascii="Arial" w:cs="Arial" w:eastAsia="Arial" w:hAnsi="Arial"/>
          <w:sz w:val="19"/>
          <w:szCs w:val="19"/>
          <w:b w:val="1"/>
          <w:bCs w:val="1"/>
          <w:i w:val="1"/>
          <w:iCs w:val="1"/>
          <w:color w:val="auto"/>
        </w:rPr>
        <w:t>Acquisitions and Dispositions</w:t>
      </w:r>
      <w:r>
        <w:rPr>
          <w:rFonts w:ascii="Arial" w:cs="Arial" w:eastAsia="Arial" w:hAnsi="Arial"/>
          <w:sz w:val="19"/>
          <w:szCs w:val="19"/>
          <w:color w:val="auto"/>
        </w:rPr>
        <w:t xml:space="preserve"> and Note 5, </w:t>
      </w:r>
      <w:r>
        <w:rPr>
          <w:rFonts w:ascii="Arial" w:cs="Arial" w:eastAsia="Arial" w:hAnsi="Arial"/>
          <w:sz w:val="19"/>
          <w:szCs w:val="19"/>
          <w:b w:val="1"/>
          <w:bCs w:val="1"/>
          <w:i w:val="1"/>
          <w:iCs w:val="1"/>
          <w:color w:val="auto"/>
        </w:rPr>
        <w:t>Investments Accounted for by the Equity Method and Variable Interest Entities</w:t>
      </w:r>
      <w:r>
        <w:rPr>
          <w:rFonts w:ascii="Arial" w:cs="Arial" w:eastAsia="Arial" w:hAnsi="Arial"/>
          <w:sz w:val="19"/>
          <w:szCs w:val="19"/>
          <w:color w:val="auto"/>
        </w:rPr>
        <w:t>, for further discussion of the transactions.</w:t>
      </w:r>
    </w:p>
    <w:p>
      <w:pPr>
        <w:spacing w:after="0" w:line="132" w:lineRule="exact"/>
        <w:rPr>
          <w:rFonts w:ascii="Arial" w:cs="Arial" w:eastAsia="Arial" w:hAnsi="Arial"/>
          <w:sz w:val="19"/>
          <w:szCs w:val="19"/>
          <w:color w:val="auto"/>
        </w:rPr>
      </w:pPr>
    </w:p>
    <w:p>
      <w:pPr>
        <w:jc w:val="both"/>
        <w:ind w:left="720" w:hanging="366"/>
        <w:spacing w:after="0" w:line="28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May 19, 2023, the Company, through an indirect subsidiary, entered into an agreement with Clearway Renew to acquire Cedar Creek Holdco LLC, which is the indirect owner of Cedar Creek, a 160 MW wind project under construction in Bingham County, Idaho, for $107 million in cash, subject to customary working capital adjustments. Upon the closing of the transaction, the Company will indirectly own all of the Class B membership interests in Cedar Creek TE Holdco LLC, a tax equity fund which will consolidate the Cedar Creek wind project, while a tax equity investor will own all of the Class A membership interests. The consummation of the transaction is subject to customary closing conditions and certain third-party approvals and is expected in the first half of 2024.</w:t>
      </w:r>
    </w:p>
    <w:p>
      <w:pPr>
        <w:spacing w:after="0" w:line="108" w:lineRule="exact"/>
        <w:rPr>
          <w:rFonts w:ascii="Arial" w:cs="Arial" w:eastAsia="Arial" w:hAnsi="Arial"/>
          <w:sz w:val="18"/>
          <w:szCs w:val="18"/>
          <w:color w:val="auto"/>
        </w:rPr>
      </w:pPr>
    </w:p>
    <w:p>
      <w:pPr>
        <w:jc w:val="both"/>
        <w:ind w:left="720" w:hanging="366"/>
        <w:spacing w:after="0" w:line="292"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May 3, 2023, the Company entered into an agreement with Clearway Renew to repower the Cedro Hill wind project, which is included in the Capistrano Wind Portfolio and is located in Bruni, Texas. The Company expects to invest approximately $36 million in net corporate capital, subject to closing adjustments. Contingent upon achieving repowering commercial operations in the second half of 2024, the 160 MW project will sell power to its existing counterparty, an investment-grade utility, for an additional 15 years ending in 2045 under an amended PPA.</w:t>
      </w:r>
    </w:p>
    <w:p>
      <w:pPr>
        <w:spacing w:after="0" w:line="113" w:lineRule="exact"/>
        <w:rPr>
          <w:rFonts w:ascii="Arial" w:cs="Arial" w:eastAsia="Arial" w:hAnsi="Arial"/>
          <w:sz w:val="18"/>
          <w:szCs w:val="18"/>
          <w:color w:val="auto"/>
        </w:rPr>
      </w:pPr>
    </w:p>
    <w:p>
      <w:pPr>
        <w:jc w:val="both"/>
        <w:ind w:left="720" w:hanging="366"/>
        <w:spacing w:after="0" w:line="268" w:lineRule="auto"/>
        <w:tabs>
          <w:tab w:leader="none" w:pos="720" w:val="left"/>
        </w:tabs>
        <w:numPr>
          <w:ilvl w:val="0"/>
          <w:numId w:val="21"/>
        </w:numPr>
        <w:rPr>
          <w:rFonts w:ascii="Arial" w:cs="Arial" w:eastAsia="Arial" w:hAnsi="Arial"/>
          <w:sz w:val="19"/>
          <w:szCs w:val="19"/>
          <w:color w:val="auto"/>
        </w:rPr>
      </w:pPr>
      <w:r>
        <w:rPr>
          <w:rFonts w:ascii="Arial" w:cs="Arial" w:eastAsia="Arial" w:hAnsi="Arial"/>
          <w:sz w:val="19"/>
          <w:szCs w:val="19"/>
          <w:color w:val="auto"/>
        </w:rPr>
        <w:t xml:space="preserve">On February 17, 2023, the Company, through its indirect subsidiary, Daggett Solar Investment LLC, acquired the Class A membership interests in Daggett TargetCo LLC, the indirect owner of Daggett 3, a 300 MW solar project that is paired with 149 MW of energy storage and located in San Bernardino, California, from Clearway Renew for cash consideration of $21 million. Simultaneously, a cash equity investor acquired the Class B membership interests in Daggett TargetCo LLC from Clearway Renew for cash consideration of $129 million. The Company and the cash equity investor then contributed their Class A and B membership interests, respectively, into Daggett Renewable Holdco LLC, a partnership that consolidates Daggett TargetCo LLC. Daggett TargetCo LLC consolidates as primary beneficiary, Daggett TE Holdco LLC, a tax equity fund that owns the Daggett 3 solar project. See Item 15 — Note 3, </w:t>
      </w:r>
      <w:r>
        <w:rPr>
          <w:rFonts w:ascii="Arial" w:cs="Arial" w:eastAsia="Arial" w:hAnsi="Arial"/>
          <w:sz w:val="19"/>
          <w:szCs w:val="19"/>
          <w:b w:val="1"/>
          <w:bCs w:val="1"/>
          <w:i w:val="1"/>
          <w:iCs w:val="1"/>
          <w:color w:val="auto"/>
        </w:rPr>
        <w:t>Acquisitions and Dispositions</w:t>
      </w:r>
      <w:r>
        <w:rPr>
          <w:rFonts w:ascii="Arial" w:cs="Arial" w:eastAsia="Arial" w:hAnsi="Arial"/>
          <w:sz w:val="19"/>
          <w:szCs w:val="19"/>
          <w:color w:val="auto"/>
        </w:rPr>
        <w:t>, for further discussion of the transaction.</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Resource Adequacy Agreements</w:t>
      </w:r>
    </w:p>
    <w:p>
      <w:pPr>
        <w:spacing w:after="0" w:line="191" w:lineRule="exact"/>
        <w:rPr>
          <w:sz w:val="20"/>
          <w:szCs w:val="20"/>
          <w:color w:val="auto"/>
        </w:rPr>
      </w:pPr>
    </w:p>
    <w:p>
      <w:pPr>
        <w:jc w:val="both"/>
        <w:ind w:left="720" w:hanging="366"/>
        <w:spacing w:after="0" w:line="265" w:lineRule="auto"/>
        <w:tabs>
          <w:tab w:leader="none" w:pos="72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20"/>
          <w:szCs w:val="20"/>
          <w:color w:val="auto"/>
        </w:rPr>
        <w:t>In October 2023, the Company contracted with a load serving entity to sell approximately 400 MW of Marsh Landing’s RA commencing in September 2026 and ending in December 2027. Marsh Landing is now contracted for 100% of its capacity through the majority of 2026 and 63% of its capacity in 2027.</w:t>
      </w:r>
    </w:p>
    <w:p>
      <w:pPr>
        <w:spacing w:after="0" w:line="133" w:lineRule="exact"/>
        <w:rPr>
          <w:rFonts w:ascii="Arial" w:cs="Arial" w:eastAsia="Arial" w:hAnsi="Arial"/>
          <w:sz w:val="18"/>
          <w:szCs w:val="18"/>
          <w:b w:val="1"/>
          <w:bCs w:val="1"/>
          <w:i w:val="1"/>
          <w:iCs w:val="1"/>
          <w:color w:val="auto"/>
        </w:rPr>
      </w:pPr>
    </w:p>
    <w:p>
      <w:pPr>
        <w:jc w:val="both"/>
        <w:ind w:left="720" w:hanging="366"/>
        <w:spacing w:after="0" w:line="265" w:lineRule="auto"/>
        <w:tabs>
          <w:tab w:leader="none" w:pos="72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20"/>
          <w:szCs w:val="20"/>
          <w:color w:val="auto"/>
        </w:rPr>
        <w:t>In October 2023, the Company contracted with a load serving entity to sell approximately 274 MW of El Segundo’s RA commencing in August 2026 and ending in December 2027. El Segundo is now contracted for 100% of its capacity through the majority of 2026 and 50% of its capacity in 2027.</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Corporate Financing Activities</w:t>
      </w:r>
    </w:p>
    <w:p>
      <w:pPr>
        <w:spacing w:after="0" w:line="191" w:lineRule="exact"/>
        <w:rPr>
          <w:sz w:val="20"/>
          <w:szCs w:val="20"/>
          <w:color w:val="auto"/>
        </w:rPr>
      </w:pPr>
    </w:p>
    <w:p>
      <w:pPr>
        <w:ind w:left="720" w:hanging="366"/>
        <w:spacing w:after="0" w:line="281" w:lineRule="auto"/>
        <w:tabs>
          <w:tab w:leader="none" w:pos="72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20"/>
          <w:szCs w:val="20"/>
          <w:color w:val="auto"/>
        </w:rPr>
        <w:t xml:space="preserve">On March 15, 2023, Clearway Energy Operating LLC refinanced the Amended and Restated Credit Agreement. See Item 15 — Note 10, </w:t>
      </w:r>
      <w:r>
        <w:rPr>
          <w:rFonts w:ascii="Arial" w:cs="Arial" w:eastAsia="Arial" w:hAnsi="Arial"/>
          <w:sz w:val="20"/>
          <w:szCs w:val="20"/>
          <w:b w:val="1"/>
          <w:bCs w:val="1"/>
          <w:i w:val="1"/>
          <w:iCs w:val="1"/>
          <w:color w:val="auto"/>
        </w:rPr>
        <w:t>Long-term Debt</w:t>
      </w:r>
      <w:r>
        <w:rPr>
          <w:rFonts w:ascii="Arial" w:cs="Arial" w:eastAsia="Arial" w:hAnsi="Arial"/>
          <w:sz w:val="20"/>
          <w:szCs w:val="20"/>
          <w:color w:val="auto"/>
        </w:rPr>
        <w:t>, for further discussion of the amendment.</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Project-level Financing Activities</w:t>
      </w:r>
    </w:p>
    <w:p>
      <w:pPr>
        <w:spacing w:after="0" w:line="191" w:lineRule="exact"/>
        <w:rPr>
          <w:sz w:val="20"/>
          <w:szCs w:val="20"/>
          <w:color w:val="auto"/>
        </w:rPr>
      </w:pPr>
    </w:p>
    <w:p>
      <w:pPr>
        <w:jc w:val="both"/>
        <w:ind w:left="720" w:hanging="366"/>
        <w:spacing w:after="0" w:line="265" w:lineRule="auto"/>
        <w:tabs>
          <w:tab w:leader="none" w:pos="72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20"/>
          <w:szCs w:val="20"/>
          <w:color w:val="auto"/>
        </w:rPr>
        <w:t xml:space="preserve">In connection with the Drop Downs of Daggett 3, Daggett 2, Victory Pass, Arica and Texas Solar Nova 1, the Company assumed non-recourse project-level debt. See Item 15 — Note 10, </w:t>
      </w:r>
      <w:r>
        <w:rPr>
          <w:rFonts w:ascii="Arial" w:cs="Arial" w:eastAsia="Arial" w:hAnsi="Arial"/>
          <w:sz w:val="20"/>
          <w:szCs w:val="20"/>
          <w:b w:val="1"/>
          <w:bCs w:val="1"/>
          <w:i w:val="1"/>
          <w:iCs w:val="1"/>
          <w:color w:val="auto"/>
        </w:rPr>
        <w:t>Long-term Debt</w:t>
      </w:r>
      <w:r>
        <w:rPr>
          <w:rFonts w:ascii="Arial" w:cs="Arial" w:eastAsia="Arial" w:hAnsi="Arial"/>
          <w:sz w:val="20"/>
          <w:szCs w:val="20"/>
          <w:color w:val="auto"/>
        </w:rPr>
        <w:t>, for further discussion of the non-recourse project-level debt associated with each project.</w:t>
      </w:r>
    </w:p>
    <w:p>
      <w:pPr>
        <w:sectPr>
          <w:pgSz w:w="11880" w:h="15480" w:orient="portrait"/>
          <w:cols w:equalWidth="0" w:num="1">
            <w:col w:w="10200"/>
          </w:cols>
          <w:pgMar w:left="840" w:top="411"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ectPr>
          <w:pgSz w:w="11880" w:h="15480" w:orient="portrait"/>
          <w:cols w:equalWidth="0" w:num="1">
            <w:col w:w="10200"/>
          </w:cols>
          <w:pgMar w:left="840" w:top="411" w:right="840" w:bottom="0" w:gutter="0" w:footer="0" w:header="0"/>
          <w:type w:val="continuous"/>
        </w:sectPr>
      </w:pPr>
    </w:p>
    <w:bookmarkStart w:id="49" w:name="page50"/>
    <w:bookmarkEnd w:id="49"/>
    <w:p>
      <w:pPr>
        <w:jc w:val="both"/>
        <w:ind w:left="720" w:hanging="366"/>
        <w:spacing w:after="0" w:line="259" w:lineRule="auto"/>
        <w:tabs>
          <w:tab w:leader="none" w:pos="72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20"/>
          <w:szCs w:val="20"/>
          <w:color w:val="auto"/>
        </w:rPr>
        <w:t xml:space="preserve">On December 12, 2023, the Company entered into a financing agreement for non-recourse debt for a total commitment of $254 million related to the repowering of the Cedro Hill wind project. The Company’s initial borrowing under the agreement was $165 million. See Item 15 — Note 10, </w:t>
      </w:r>
      <w:r>
        <w:rPr>
          <w:rFonts w:ascii="Arial" w:cs="Arial" w:eastAsia="Arial" w:hAnsi="Arial"/>
          <w:sz w:val="20"/>
          <w:szCs w:val="20"/>
          <w:b w:val="1"/>
          <w:bCs w:val="1"/>
          <w:i w:val="1"/>
          <w:iCs w:val="1"/>
          <w:color w:val="auto"/>
        </w:rPr>
        <w:t>Long-term Debt</w:t>
      </w:r>
      <w:r>
        <w:rPr>
          <w:rFonts w:ascii="Arial" w:cs="Arial" w:eastAsia="Arial" w:hAnsi="Arial"/>
          <w:sz w:val="20"/>
          <w:szCs w:val="20"/>
          <w:color w:val="auto"/>
        </w:rPr>
        <w:t>, for further discussion of the project financing activities.</w:t>
      </w:r>
    </w:p>
    <w:p>
      <w:pPr>
        <w:spacing w:after="0" w:line="141" w:lineRule="exact"/>
        <w:rPr>
          <w:rFonts w:ascii="Arial" w:cs="Arial" w:eastAsia="Arial" w:hAnsi="Arial"/>
          <w:sz w:val="18"/>
          <w:szCs w:val="18"/>
          <w:b w:val="1"/>
          <w:bCs w:val="1"/>
          <w:i w:val="1"/>
          <w:iCs w:val="1"/>
          <w:color w:val="auto"/>
        </w:rPr>
      </w:pPr>
    </w:p>
    <w:p>
      <w:pPr>
        <w:jc w:val="both"/>
        <w:ind w:left="720" w:hanging="366"/>
        <w:spacing w:after="0" w:line="266" w:lineRule="auto"/>
        <w:tabs>
          <w:tab w:leader="none" w:pos="720" w:val="left"/>
        </w:tabs>
        <w:numPr>
          <w:ilvl w:val="0"/>
          <w:numId w:val="25"/>
        </w:numPr>
        <w:rPr>
          <w:rFonts w:ascii="Arial" w:cs="Arial" w:eastAsia="Arial" w:hAnsi="Arial"/>
          <w:sz w:val="19"/>
          <w:szCs w:val="19"/>
          <w:color w:val="auto"/>
        </w:rPr>
      </w:pPr>
      <w:r>
        <w:rPr>
          <w:rFonts w:ascii="Arial" w:cs="Arial" w:eastAsia="Arial" w:hAnsi="Arial"/>
          <w:sz w:val="19"/>
          <w:szCs w:val="19"/>
          <w:color w:val="auto"/>
        </w:rPr>
        <w:t xml:space="preserve">On June 30, 2023, Rosie Class B LLC amended its financing agreement. During the year ended December 31, 2023, Rosie Class B LLC received total loan proceeds of $265 million under the amended financing agreement. On July 3, 2023, Rosie Class B LLC issued a loan to Clearway Renew, utilizing a portion of the loan proceeds under the amended financing agreement, in order to finance the construction of the BESS project. On December 1, 2023, Clearway Renew partially repaid the loan utilizing the $70 million in proceeds that was paid by the Company to acquire the BESS project. As of December 31, 2023, the loan had an aggregate principal amount of $174 million. The loan matures when the project reaches substantial completion, which is expected in the first half of 2024. See Item 15 — Note 10, </w:t>
      </w:r>
      <w:r>
        <w:rPr>
          <w:rFonts w:ascii="Arial" w:cs="Arial" w:eastAsia="Arial" w:hAnsi="Arial"/>
          <w:sz w:val="19"/>
          <w:szCs w:val="19"/>
          <w:b w:val="1"/>
          <w:bCs w:val="1"/>
          <w:i w:val="1"/>
          <w:iCs w:val="1"/>
          <w:color w:val="auto"/>
        </w:rPr>
        <w:t>Long-term Debt</w:t>
      </w:r>
      <w:r>
        <w:rPr>
          <w:rFonts w:ascii="Arial" w:cs="Arial" w:eastAsia="Arial" w:hAnsi="Arial"/>
          <w:sz w:val="19"/>
          <w:szCs w:val="19"/>
          <w:color w:val="auto"/>
        </w:rPr>
        <w:t>, for further discussion of the project financing activities. Also, during the year ended December 31, 2023,</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the Company utilized a portion of the loan proceeds received under the amended financing agreement to contribute $18 million into Rosie Central BESS, which is an investment accounted for under the equity method of accounting, as further described above and in Item 15 — Note 5, </w:t>
      </w:r>
      <w:r>
        <w:rPr>
          <w:rFonts w:ascii="Arial" w:cs="Arial" w:eastAsia="Arial" w:hAnsi="Arial"/>
          <w:sz w:val="19"/>
          <w:szCs w:val="19"/>
          <w:b w:val="1"/>
          <w:bCs w:val="1"/>
          <w:i w:val="1"/>
          <w:iCs w:val="1"/>
          <w:color w:val="auto"/>
        </w:rPr>
        <w:t>Investments Accounted for by the Equity Method and Variable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Interest Entities</w:t>
      </w:r>
      <w:r>
        <w:rPr>
          <w:rFonts w:ascii="Arial" w:cs="Arial" w:eastAsia="Arial" w:hAnsi="Arial"/>
          <w:sz w:val="19"/>
          <w:szCs w:val="19"/>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Environmental Matters and Regulatory Matters</w:t>
      </w:r>
    </w:p>
    <w:p>
      <w:pPr>
        <w:spacing w:after="0" w:line="192" w:lineRule="exact"/>
        <w:rPr>
          <w:sz w:val="20"/>
          <w:szCs w:val="20"/>
          <w:color w:val="auto"/>
        </w:rPr>
      </w:pPr>
    </w:p>
    <w:p>
      <w:pPr>
        <w:ind w:firstLine="448"/>
        <w:spacing w:after="0" w:line="342" w:lineRule="auto"/>
        <w:rPr>
          <w:sz w:val="20"/>
          <w:szCs w:val="20"/>
          <w:color w:val="auto"/>
        </w:rPr>
      </w:pPr>
      <w:r>
        <w:rPr>
          <w:rFonts w:ascii="Arial" w:cs="Arial" w:eastAsia="Arial" w:hAnsi="Arial"/>
          <w:sz w:val="18"/>
          <w:szCs w:val="18"/>
          <w:color w:val="auto"/>
        </w:rPr>
        <w:t xml:space="preserve">Details of environmental matters and regulatory matters are presented in Item 1 — </w:t>
      </w:r>
      <w:r>
        <w:rPr>
          <w:rFonts w:ascii="Arial" w:cs="Arial" w:eastAsia="Arial" w:hAnsi="Arial"/>
          <w:sz w:val="18"/>
          <w:szCs w:val="18"/>
          <w:b w:val="1"/>
          <w:bCs w:val="1"/>
          <w:i w:val="1"/>
          <w:iCs w:val="1"/>
          <w:color w:val="auto"/>
        </w:rPr>
        <w:t>Business, Regulatory Matters</w:t>
      </w:r>
      <w:r>
        <w:rPr>
          <w:rFonts w:ascii="Arial" w:cs="Arial" w:eastAsia="Arial" w:hAnsi="Arial"/>
          <w:sz w:val="18"/>
          <w:szCs w:val="18"/>
          <w:color w:val="auto"/>
        </w:rPr>
        <w:t xml:space="preserve"> and Item 1A — </w:t>
      </w:r>
      <w:r>
        <w:rPr>
          <w:rFonts w:ascii="Arial" w:cs="Arial" w:eastAsia="Arial" w:hAnsi="Arial"/>
          <w:sz w:val="18"/>
          <w:szCs w:val="18"/>
          <w:b w:val="1"/>
          <w:bCs w:val="1"/>
          <w:i w:val="1"/>
          <w:iCs w:val="1"/>
          <w:color w:val="auto"/>
        </w:rPr>
        <w:t>Risk Factors</w:t>
      </w:r>
      <w:r>
        <w:rPr>
          <w:rFonts w:ascii="Arial" w:cs="Arial" w:eastAsia="Arial" w:hAnsi="Arial"/>
          <w:sz w:val="18"/>
          <w:szCs w:val="18"/>
          <w:color w:val="auto"/>
        </w:rPr>
        <w:t>. Details of some of this information relate to costs that may impact the Company’s financial results.</w:t>
      </w:r>
    </w:p>
    <w:p>
      <w:pPr>
        <w:sectPr>
          <w:pgSz w:w="11880" w:h="15480" w:orient="portrait"/>
          <w:cols w:equalWidth="0" w:num="1">
            <w:col w:w="10200"/>
          </w:cols>
          <w:pgMar w:left="840" w:top="411"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1880" w:h="15480" w:orient="portrait"/>
          <w:cols w:equalWidth="0" w:num="1">
            <w:col w:w="10200"/>
          </w:cols>
          <w:pgMar w:left="840" w:top="411" w:right="840" w:bottom="0" w:gutter="0" w:footer="0" w:header="0"/>
          <w:type w:val="continuous"/>
        </w:sectPr>
      </w:pPr>
    </w:p>
    <w:bookmarkStart w:id="50" w:name="page51"/>
    <w:bookmarkEnd w:id="50"/>
    <w:p>
      <w:pPr>
        <w:spacing w:after="0"/>
        <w:rPr>
          <w:sz w:val="20"/>
          <w:szCs w:val="20"/>
          <w:color w:val="auto"/>
        </w:rPr>
      </w:pPr>
      <w:r>
        <w:rPr>
          <w:rFonts w:ascii="Arial" w:cs="Arial" w:eastAsia="Arial" w:hAnsi="Arial"/>
          <w:sz w:val="20"/>
          <w:szCs w:val="20"/>
          <w:b w:val="1"/>
          <w:bCs w:val="1"/>
          <w:color w:val="auto"/>
        </w:rPr>
        <w:t>Consolidated Results of Operations</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following table provides selected financial information:</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70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gridSpan w:val="7"/>
          </w:tcPr>
          <w:p>
            <w:pPr>
              <w:jc w:val="right"/>
              <w:ind w:right="49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34"/>
        </w:trPr>
        <w:tc>
          <w:tcPr>
            <w:tcW w:w="7060" w:type="dxa"/>
            <w:vAlign w:val="bottom"/>
            <w:tcBorders>
              <w:bottom w:val="single" w:sz="8" w:color="E6E6E6"/>
            </w:tcBorders>
          </w:tcPr>
          <w:p>
            <w:pPr>
              <w:ind w:left="40"/>
              <w:spacing w:after="0"/>
              <w:rPr>
                <w:sz w:val="20"/>
                <w:szCs w:val="20"/>
                <w:color w:val="auto"/>
              </w:rPr>
            </w:pPr>
            <w:r>
              <w:rPr>
                <w:rFonts w:ascii="Arial" w:cs="Arial" w:eastAsia="Arial" w:hAnsi="Arial"/>
                <w:sz w:val="18"/>
                <w:szCs w:val="18"/>
                <w:b w:val="1"/>
                <w:bCs w:val="1"/>
                <w:color w:val="auto"/>
              </w:rPr>
              <w:t>(In millions)</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60" w:type="dxa"/>
            <w:vAlign w:val="bottom"/>
            <w:tcBorders>
              <w:bottom w:val="single" w:sz="8" w:color="E6E6E6"/>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E6E6E6"/>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44"/>
        </w:trPr>
        <w:tc>
          <w:tcPr>
            <w:tcW w:w="7060" w:type="dxa"/>
            <w:vAlign w:val="bottom"/>
            <w:shd w:val="clear" w:color="auto" w:fill="E6E6E6"/>
          </w:tcPr>
          <w:p>
            <w:pPr>
              <w:ind w:left="40"/>
              <w:spacing w:after="0"/>
              <w:rPr>
                <w:sz w:val="20"/>
                <w:szCs w:val="20"/>
                <w:color w:val="auto"/>
              </w:rPr>
            </w:pPr>
            <w:r>
              <w:rPr>
                <w:rFonts w:ascii="Arial" w:cs="Arial" w:eastAsia="Arial" w:hAnsi="Arial"/>
                <w:sz w:val="18"/>
                <w:szCs w:val="18"/>
                <w:b w:val="1"/>
                <w:bCs w:val="1"/>
                <w:color w:val="auto"/>
              </w:rPr>
              <w:t>Operating Revenues</w:t>
            </w:r>
          </w:p>
        </w:tc>
        <w:tc>
          <w:tcPr>
            <w:tcW w:w="220" w:type="dxa"/>
            <w:vAlign w:val="bottom"/>
            <w:shd w:val="clear" w:color="auto" w:fill="E6E6E6"/>
          </w:tcPr>
          <w:p>
            <w:pPr>
              <w:spacing w:after="0"/>
              <w:rPr>
                <w:sz w:val="21"/>
                <w:szCs w:val="21"/>
                <w:color w:val="auto"/>
              </w:rPr>
            </w:pPr>
          </w:p>
        </w:tc>
        <w:tc>
          <w:tcPr>
            <w:tcW w:w="78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76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76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7060" w:type="dxa"/>
            <w:vAlign w:val="bottom"/>
          </w:tcPr>
          <w:p>
            <w:pPr>
              <w:jc w:val="right"/>
              <w:spacing w:after="0"/>
              <w:rPr>
                <w:sz w:val="20"/>
                <w:szCs w:val="20"/>
                <w:color w:val="auto"/>
              </w:rPr>
            </w:pPr>
            <w:r>
              <w:rPr>
                <w:rFonts w:ascii="Arial" w:cs="Arial" w:eastAsia="Arial" w:hAnsi="Arial"/>
                <w:sz w:val="18"/>
                <w:szCs w:val="18"/>
                <w:color w:val="auto"/>
                <w:w w:val="91"/>
              </w:rPr>
              <w:t xml:space="preserve">Energy and capacity revenues </w:t>
            </w:r>
            <w:r>
              <w:rPr>
                <w:rFonts w:ascii="Arial" w:cs="Arial" w:eastAsia="Arial" w:hAnsi="Arial"/>
                <w:sz w:val="18"/>
                <w:szCs w:val="18"/>
                <w:color w:val="BDBDBD"/>
                <w:w w:val="91"/>
              </w:rPr>
              <w:t>. . . . . . . . . . . . . . . . . . . . . . . . . . . . . . . . . . . . . . . . . . . . . . . . . . . .</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1,382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1,465</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61"/>
        </w:trPr>
        <w:tc>
          <w:tcPr>
            <w:tcW w:w="706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2"/>
              </w:rPr>
              <w:t xml:space="preserve">Other revenue </w:t>
            </w:r>
            <w:r>
              <w:rPr>
                <w:rFonts w:ascii="Arial" w:cs="Arial" w:eastAsia="Arial" w:hAnsi="Arial"/>
                <w:sz w:val="18"/>
                <w:szCs w:val="18"/>
                <w:color w:val="BDBDBD"/>
                <w:w w:val="92"/>
              </w:rPr>
              <w:t>. . . . . . . . . . . . . . . . . . . . . . . . . . . . . . . . . . . . . . . . . . . . . . . . . . . . . . . . . . . . . . . .</w:t>
            </w:r>
          </w:p>
        </w:tc>
        <w:tc>
          <w:tcPr>
            <w:tcW w:w="220" w:type="dxa"/>
            <w:vAlign w:val="bottom"/>
            <w:shd w:val="clear" w:color="auto" w:fill="E6E6E6"/>
          </w:tcPr>
          <w:p>
            <w:pPr>
              <w:spacing w:after="0"/>
              <w:rPr>
                <w:sz w:val="22"/>
                <w:szCs w:val="22"/>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99</w:t>
            </w:r>
          </w:p>
        </w:tc>
        <w:tc>
          <w:tcPr>
            <w:tcW w:w="60" w:type="dxa"/>
            <w:vAlign w:val="bottom"/>
            <w:shd w:val="clear" w:color="auto" w:fill="E6E6E6"/>
          </w:tcPr>
          <w:p>
            <w:pPr>
              <w:spacing w:after="0"/>
              <w:rPr>
                <w:sz w:val="22"/>
                <w:szCs w:val="22"/>
                <w:color w:val="auto"/>
              </w:rPr>
            </w:pPr>
          </w:p>
        </w:tc>
        <w:tc>
          <w:tcPr>
            <w:tcW w:w="240" w:type="dxa"/>
            <w:vAlign w:val="bottom"/>
            <w:shd w:val="clear" w:color="auto" w:fill="E6E6E6"/>
          </w:tcPr>
          <w:p>
            <w:pPr>
              <w:spacing w:after="0"/>
              <w:rPr>
                <w:sz w:val="22"/>
                <w:szCs w:val="22"/>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82</w:t>
            </w:r>
          </w:p>
        </w:tc>
        <w:tc>
          <w:tcPr>
            <w:tcW w:w="80" w:type="dxa"/>
            <w:vAlign w:val="bottom"/>
            <w:shd w:val="clear" w:color="auto" w:fill="E6E6E6"/>
          </w:tcPr>
          <w:p>
            <w:pPr>
              <w:spacing w:after="0"/>
              <w:rPr>
                <w:sz w:val="22"/>
                <w:szCs w:val="22"/>
                <w:color w:val="auto"/>
              </w:rPr>
            </w:pPr>
          </w:p>
        </w:tc>
        <w:tc>
          <w:tcPr>
            <w:tcW w:w="240" w:type="dxa"/>
            <w:vAlign w:val="bottom"/>
            <w:shd w:val="clear" w:color="auto" w:fill="E6E6E6"/>
          </w:tcPr>
          <w:p>
            <w:pPr>
              <w:spacing w:after="0"/>
              <w:rPr>
                <w:sz w:val="22"/>
                <w:szCs w:val="22"/>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7"/>
        </w:trPr>
        <w:tc>
          <w:tcPr>
            <w:tcW w:w="7060" w:type="dxa"/>
            <w:vAlign w:val="bottom"/>
          </w:tcPr>
          <w:p>
            <w:pPr>
              <w:jc w:val="right"/>
              <w:spacing w:after="0"/>
              <w:rPr>
                <w:sz w:val="20"/>
                <w:szCs w:val="20"/>
                <w:color w:val="auto"/>
              </w:rPr>
            </w:pPr>
            <w:r>
              <w:rPr>
                <w:rFonts w:ascii="Arial" w:cs="Arial" w:eastAsia="Arial" w:hAnsi="Arial"/>
                <w:sz w:val="18"/>
                <w:szCs w:val="18"/>
                <w:color w:val="auto"/>
                <w:w w:val="92"/>
              </w:rPr>
              <w:t xml:space="preserve">Contract amortization </w:t>
            </w:r>
            <w:r>
              <w:rPr>
                <w:rFonts w:ascii="Arial" w:cs="Arial" w:eastAsia="Arial" w:hAnsi="Arial"/>
                <w:sz w:val="18"/>
                <w:szCs w:val="18"/>
                <w:color w:val="BDBDBD"/>
                <w:w w:val="92"/>
              </w:rPr>
              <w:t>. . . . . . . . . . . . . . . . . . . . . . . . . . . . . . . . . . . . . . . . . . . . . . . . . . . . . . . . . .</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(186)</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69"/>
        </w:trPr>
        <w:tc>
          <w:tcPr>
            <w:tcW w:w="70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w w:val="93"/>
              </w:rPr>
              <w:t xml:space="preserve">Mark-to-market for economic hedges  </w:t>
            </w:r>
            <w:r>
              <w:rPr>
                <w:rFonts w:ascii="Arial" w:cs="Arial" w:eastAsia="Arial" w:hAnsi="Arial"/>
                <w:sz w:val="18"/>
                <w:szCs w:val="18"/>
                <w:color w:val="BDBDBD"/>
                <w:w w:val="93"/>
              </w:rPr>
              <w:t>. . . . . . . . . . . . . . . . . . . . . . . . . . . . . . . . . . . . . . . . . . . . .</w:t>
            </w:r>
          </w:p>
        </w:tc>
        <w:tc>
          <w:tcPr>
            <w:tcW w:w="220" w:type="dxa"/>
            <w:vAlign w:val="bottom"/>
            <w:tcBorders>
              <w:bottom w:val="single" w:sz="8" w:color="auto"/>
            </w:tcBorders>
            <w:shd w:val="clear" w:color="auto" w:fill="E6E6E6"/>
          </w:tcPr>
          <w:p>
            <w:pPr>
              <w:spacing w:after="0"/>
              <w:rPr>
                <w:sz w:val="23"/>
                <w:szCs w:val="23"/>
                <w:color w:val="auto"/>
              </w:rPr>
            </w:pPr>
          </w:p>
        </w:tc>
        <w:tc>
          <w:tcPr>
            <w:tcW w:w="7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19</w:t>
            </w:r>
          </w:p>
        </w:tc>
        <w:tc>
          <w:tcPr>
            <w:tcW w:w="60" w:type="dxa"/>
            <w:vAlign w:val="bottom"/>
            <w:tcBorders>
              <w:bottom w:val="single" w:sz="8" w:color="E6E6E6"/>
            </w:tcBorders>
            <w:shd w:val="clear" w:color="auto" w:fill="E6E6E6"/>
          </w:tcPr>
          <w:p>
            <w:pPr>
              <w:spacing w:after="0"/>
              <w:rPr>
                <w:sz w:val="23"/>
                <w:szCs w:val="23"/>
                <w:color w:val="auto"/>
              </w:rPr>
            </w:pPr>
          </w:p>
        </w:tc>
        <w:tc>
          <w:tcPr>
            <w:tcW w:w="240" w:type="dxa"/>
            <w:vAlign w:val="bottom"/>
            <w:tcBorders>
              <w:bottom w:val="single" w:sz="8" w:color="auto"/>
            </w:tcBorders>
            <w:shd w:val="clear" w:color="auto" w:fill="E6E6E6"/>
          </w:tcPr>
          <w:p>
            <w:pPr>
              <w:spacing w:after="0"/>
              <w:rPr>
                <w:sz w:val="23"/>
                <w:szCs w:val="23"/>
                <w:color w:val="auto"/>
              </w:rPr>
            </w:pPr>
          </w:p>
        </w:tc>
        <w:tc>
          <w:tcPr>
            <w:tcW w:w="7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(182)</w:t>
            </w:r>
          </w:p>
        </w:tc>
        <w:tc>
          <w:tcPr>
            <w:tcW w:w="80" w:type="dxa"/>
            <w:vAlign w:val="bottom"/>
            <w:tcBorders>
              <w:bottom w:val="single" w:sz="8" w:color="E6E6E6"/>
            </w:tcBorders>
            <w:shd w:val="clear" w:color="auto" w:fill="E6E6E6"/>
          </w:tcPr>
          <w:p>
            <w:pPr>
              <w:spacing w:after="0"/>
              <w:rPr>
                <w:sz w:val="23"/>
                <w:szCs w:val="23"/>
                <w:color w:val="auto"/>
              </w:rPr>
            </w:pPr>
          </w:p>
        </w:tc>
        <w:tc>
          <w:tcPr>
            <w:tcW w:w="240" w:type="dxa"/>
            <w:vAlign w:val="bottom"/>
            <w:tcBorders>
              <w:bottom w:val="single" w:sz="8" w:color="auto"/>
            </w:tcBorders>
            <w:shd w:val="clear" w:color="auto" w:fill="E6E6E6"/>
          </w:tcPr>
          <w:p>
            <w:pPr>
              <w:spacing w:after="0"/>
              <w:rPr>
                <w:sz w:val="23"/>
                <w:szCs w:val="23"/>
                <w:color w:val="auto"/>
              </w:rPr>
            </w:pPr>
          </w:p>
        </w:tc>
        <w:tc>
          <w:tcPr>
            <w:tcW w:w="7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7060" w:type="dxa"/>
            <w:vAlign w:val="bottom"/>
            <w:tcBorders>
              <w:bottom w:val="single" w:sz="8" w:color="E6E6E6"/>
            </w:tcBorders>
          </w:tcPr>
          <w:p>
            <w:pPr>
              <w:jc w:val="right"/>
              <w:spacing w:after="0"/>
              <w:rPr>
                <w:sz w:val="20"/>
                <w:szCs w:val="20"/>
                <w:color w:val="auto"/>
              </w:rPr>
            </w:pPr>
            <w:r>
              <w:rPr>
                <w:rFonts w:ascii="Arial" w:cs="Arial" w:eastAsia="Arial" w:hAnsi="Arial"/>
                <w:sz w:val="18"/>
                <w:szCs w:val="18"/>
                <w:color w:val="BDBDBD"/>
                <w:w w:val="95"/>
              </w:rPr>
              <w:t>. . . . . . . . . . . . . . . . . . . . . . . . . . . . . . . . . . . . . . . . . . . . . . . . . . . . . . .</w:t>
            </w:r>
            <w:r>
              <w:rPr>
                <w:rFonts w:ascii="Arial" w:cs="Arial" w:eastAsia="Arial" w:hAnsi="Arial"/>
                <w:sz w:val="18"/>
                <w:szCs w:val="18"/>
                <w:color w:val="000000"/>
                <w:w w:val="95"/>
              </w:rPr>
              <w:t>Totaloperatingrevenues</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w:t>
            </w:r>
          </w:p>
        </w:tc>
        <w:tc>
          <w:tcPr>
            <w:tcW w:w="60" w:type="dxa"/>
            <w:vAlign w:val="bottom"/>
            <w:tcBorders>
              <w:bottom w:val="single" w:sz="8" w:color="E6E6E6"/>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w:t>
            </w:r>
          </w:p>
        </w:tc>
        <w:tc>
          <w:tcPr>
            <w:tcW w:w="80" w:type="dxa"/>
            <w:vAlign w:val="bottom"/>
            <w:tcBorders>
              <w:bottom w:val="single" w:sz="8" w:color="E6E6E6"/>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44"/>
        </w:trPr>
        <w:tc>
          <w:tcPr>
            <w:tcW w:w="7060" w:type="dxa"/>
            <w:vAlign w:val="bottom"/>
            <w:shd w:val="clear" w:color="auto" w:fill="E6E6E6"/>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220" w:type="dxa"/>
            <w:vAlign w:val="bottom"/>
            <w:shd w:val="clear" w:color="auto" w:fill="E6E6E6"/>
          </w:tcPr>
          <w:p>
            <w:pPr>
              <w:spacing w:after="0"/>
              <w:rPr>
                <w:sz w:val="21"/>
                <w:szCs w:val="21"/>
                <w:color w:val="auto"/>
              </w:rPr>
            </w:pPr>
          </w:p>
        </w:tc>
        <w:tc>
          <w:tcPr>
            <w:tcW w:w="78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76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76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7060" w:type="dxa"/>
            <w:vAlign w:val="bottom"/>
          </w:tcPr>
          <w:p>
            <w:pPr>
              <w:jc w:val="right"/>
              <w:spacing w:after="0"/>
              <w:rPr>
                <w:sz w:val="20"/>
                <w:szCs w:val="20"/>
                <w:color w:val="auto"/>
              </w:rPr>
            </w:pPr>
            <w:r>
              <w:rPr>
                <w:rFonts w:ascii="Arial" w:cs="Arial" w:eastAsia="Arial" w:hAnsi="Arial"/>
                <w:sz w:val="18"/>
                <w:szCs w:val="18"/>
                <w:color w:val="auto"/>
                <w:w w:val="92"/>
              </w:rPr>
              <w:t xml:space="preserve">Cost of fuels  </w:t>
            </w:r>
            <w:r>
              <w:rPr>
                <w:rFonts w:ascii="Arial" w:cs="Arial" w:eastAsia="Arial" w:hAnsi="Arial"/>
                <w:sz w:val="18"/>
                <w:szCs w:val="18"/>
                <w:color w:val="BDBDBD"/>
                <w:w w:val="92"/>
              </w:rPr>
              <w:t>. . . . . . . . . . . . . . . . . . . . . . . . . . . . . . . . . . . . . . . . . . . . . . . . . . . . . . . . . . . . . . . . .</w:t>
            </w:r>
          </w:p>
        </w:tc>
        <w:tc>
          <w:tcPr>
            <w:tcW w:w="2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54"/>
        </w:trPr>
        <w:tc>
          <w:tcPr>
            <w:tcW w:w="706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1"/>
              </w:rPr>
              <w:t xml:space="preserve">Operations and maintenance </w:t>
            </w:r>
            <w:r>
              <w:rPr>
                <w:rFonts w:ascii="Arial" w:cs="Arial" w:eastAsia="Arial" w:hAnsi="Arial"/>
                <w:sz w:val="18"/>
                <w:szCs w:val="18"/>
                <w:color w:val="BDBDBD"/>
                <w:w w:val="91"/>
              </w:rPr>
              <w:t>. . . . . . . . . . . . . . . . . . . . . . . . . . . . . . . . . . . . . . . . . . . . . . . . . . . . .</w:t>
            </w:r>
          </w:p>
        </w:tc>
        <w:tc>
          <w:tcPr>
            <w:tcW w:w="220" w:type="dxa"/>
            <w:vAlign w:val="bottom"/>
            <w:shd w:val="clear" w:color="auto" w:fill="E6E6E6"/>
          </w:tcPr>
          <w:p>
            <w:pPr>
              <w:spacing w:after="0"/>
              <w:rPr>
                <w:sz w:val="22"/>
                <w:szCs w:val="22"/>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314</w:t>
            </w:r>
          </w:p>
        </w:tc>
        <w:tc>
          <w:tcPr>
            <w:tcW w:w="60" w:type="dxa"/>
            <w:vAlign w:val="bottom"/>
            <w:shd w:val="clear" w:color="auto" w:fill="E6E6E6"/>
          </w:tcPr>
          <w:p>
            <w:pPr>
              <w:spacing w:after="0"/>
              <w:rPr>
                <w:sz w:val="22"/>
                <w:szCs w:val="22"/>
                <w:color w:val="auto"/>
              </w:rPr>
            </w:pPr>
          </w:p>
        </w:tc>
        <w:tc>
          <w:tcPr>
            <w:tcW w:w="240" w:type="dxa"/>
            <w:vAlign w:val="bottom"/>
            <w:shd w:val="clear" w:color="auto" w:fill="E6E6E6"/>
          </w:tcPr>
          <w:p>
            <w:pPr>
              <w:spacing w:after="0"/>
              <w:rPr>
                <w:sz w:val="22"/>
                <w:szCs w:val="22"/>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295</w:t>
            </w:r>
          </w:p>
        </w:tc>
        <w:tc>
          <w:tcPr>
            <w:tcW w:w="80" w:type="dxa"/>
            <w:vAlign w:val="bottom"/>
            <w:shd w:val="clear" w:color="auto" w:fill="E6E6E6"/>
          </w:tcPr>
          <w:p>
            <w:pPr>
              <w:spacing w:after="0"/>
              <w:rPr>
                <w:sz w:val="22"/>
                <w:szCs w:val="22"/>
                <w:color w:val="auto"/>
              </w:rPr>
            </w:pPr>
          </w:p>
        </w:tc>
        <w:tc>
          <w:tcPr>
            <w:tcW w:w="240" w:type="dxa"/>
            <w:vAlign w:val="bottom"/>
            <w:shd w:val="clear" w:color="auto" w:fill="E6E6E6"/>
          </w:tcPr>
          <w:p>
            <w:pPr>
              <w:spacing w:after="0"/>
              <w:rPr>
                <w:sz w:val="22"/>
                <w:szCs w:val="22"/>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54"/>
        </w:trPr>
        <w:tc>
          <w:tcPr>
            <w:tcW w:w="7060" w:type="dxa"/>
            <w:vAlign w:val="bottom"/>
          </w:tcPr>
          <w:p>
            <w:pPr>
              <w:jc w:val="right"/>
              <w:spacing w:after="0"/>
              <w:rPr>
                <w:sz w:val="20"/>
                <w:szCs w:val="20"/>
                <w:color w:val="auto"/>
              </w:rPr>
            </w:pPr>
            <w:r>
              <w:rPr>
                <w:rFonts w:ascii="Arial" w:cs="Arial" w:eastAsia="Arial" w:hAnsi="Arial"/>
                <w:sz w:val="18"/>
                <w:szCs w:val="18"/>
                <w:color w:val="auto"/>
                <w:w w:val="92"/>
              </w:rPr>
              <w:t xml:space="preserve">Mark-to-market for economic hedges </w:t>
            </w:r>
            <w:r>
              <w:rPr>
                <w:rFonts w:ascii="Arial" w:cs="Arial" w:eastAsia="Arial" w:hAnsi="Arial"/>
                <w:sz w:val="18"/>
                <w:szCs w:val="18"/>
                <w:color w:val="BDBDBD"/>
                <w:w w:val="92"/>
              </w:rPr>
              <w:t>. . . . . . . . . . . . . . . . . . . . . . . . . . . . . . . . . . . . . . . . . . . . . .</w:t>
            </w:r>
          </w:p>
        </w:tc>
        <w:tc>
          <w:tcPr>
            <w:tcW w:w="2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4"/>
        </w:trPr>
        <w:tc>
          <w:tcPr>
            <w:tcW w:w="706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1"/>
              </w:rPr>
              <w:t xml:space="preserve">Other costs of operations </w:t>
            </w:r>
            <w:r>
              <w:rPr>
                <w:rFonts w:ascii="Arial" w:cs="Arial" w:eastAsia="Arial" w:hAnsi="Arial"/>
                <w:sz w:val="18"/>
                <w:szCs w:val="18"/>
                <w:color w:val="BDBDBD"/>
                <w:w w:val="91"/>
              </w:rPr>
              <w:t>. . . . . . . . . . . . . . . . . . . . . . . . . . . . . . . . . . . . . . . . . . . . . . . . . . . . . . . .</w:t>
            </w:r>
          </w:p>
        </w:tc>
        <w:tc>
          <w:tcPr>
            <w:tcW w:w="220" w:type="dxa"/>
            <w:vAlign w:val="bottom"/>
            <w:shd w:val="clear" w:color="auto" w:fill="E6E6E6"/>
          </w:tcPr>
          <w:p>
            <w:pPr>
              <w:spacing w:after="0"/>
              <w:rPr>
                <w:sz w:val="22"/>
                <w:szCs w:val="22"/>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99</w:t>
            </w:r>
          </w:p>
        </w:tc>
        <w:tc>
          <w:tcPr>
            <w:tcW w:w="60" w:type="dxa"/>
            <w:vAlign w:val="bottom"/>
            <w:shd w:val="clear" w:color="auto" w:fill="E6E6E6"/>
          </w:tcPr>
          <w:p>
            <w:pPr>
              <w:spacing w:after="0"/>
              <w:rPr>
                <w:sz w:val="22"/>
                <w:szCs w:val="22"/>
                <w:color w:val="auto"/>
              </w:rPr>
            </w:pPr>
          </w:p>
        </w:tc>
        <w:tc>
          <w:tcPr>
            <w:tcW w:w="240" w:type="dxa"/>
            <w:vAlign w:val="bottom"/>
            <w:shd w:val="clear" w:color="auto" w:fill="E6E6E6"/>
          </w:tcPr>
          <w:p>
            <w:pPr>
              <w:spacing w:after="0"/>
              <w:rPr>
                <w:sz w:val="22"/>
                <w:szCs w:val="22"/>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111</w:t>
            </w:r>
          </w:p>
        </w:tc>
        <w:tc>
          <w:tcPr>
            <w:tcW w:w="80" w:type="dxa"/>
            <w:vAlign w:val="bottom"/>
            <w:shd w:val="clear" w:color="auto" w:fill="E6E6E6"/>
          </w:tcPr>
          <w:p>
            <w:pPr>
              <w:spacing w:after="0"/>
              <w:rPr>
                <w:sz w:val="22"/>
                <w:szCs w:val="22"/>
                <w:color w:val="auto"/>
              </w:rPr>
            </w:pPr>
          </w:p>
        </w:tc>
        <w:tc>
          <w:tcPr>
            <w:tcW w:w="240" w:type="dxa"/>
            <w:vAlign w:val="bottom"/>
            <w:shd w:val="clear" w:color="auto" w:fill="E6E6E6"/>
          </w:tcPr>
          <w:p>
            <w:pPr>
              <w:spacing w:after="0"/>
              <w:rPr>
                <w:sz w:val="22"/>
                <w:szCs w:val="22"/>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54"/>
        </w:trPr>
        <w:tc>
          <w:tcPr>
            <w:tcW w:w="7060" w:type="dxa"/>
            <w:vAlign w:val="bottom"/>
          </w:tcPr>
          <w:p>
            <w:pPr>
              <w:jc w:val="right"/>
              <w:spacing w:after="0"/>
              <w:rPr>
                <w:sz w:val="20"/>
                <w:szCs w:val="20"/>
                <w:color w:val="auto"/>
              </w:rPr>
            </w:pPr>
            <w:r>
              <w:rPr>
                <w:rFonts w:ascii="Arial" w:cs="Arial" w:eastAsia="Arial" w:hAnsi="Arial"/>
                <w:sz w:val="18"/>
                <w:szCs w:val="18"/>
                <w:color w:val="auto"/>
                <w:w w:val="92"/>
              </w:rPr>
              <w:t xml:space="preserve">Depreciation, amortization and accretion </w:t>
            </w:r>
            <w:r>
              <w:rPr>
                <w:rFonts w:ascii="Arial" w:cs="Arial" w:eastAsia="Arial" w:hAnsi="Arial"/>
                <w:sz w:val="18"/>
                <w:szCs w:val="18"/>
                <w:color w:val="BDBDBD"/>
                <w:w w:val="92"/>
              </w:rPr>
              <w:t>. . . . . . . . . . . . . . . . . . . . . . . . . . . . . . . . . . . . . . . . . . .</w:t>
            </w:r>
          </w:p>
        </w:tc>
        <w:tc>
          <w:tcPr>
            <w:tcW w:w="2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526</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512</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54"/>
        </w:trPr>
        <w:tc>
          <w:tcPr>
            <w:tcW w:w="706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2"/>
              </w:rPr>
              <w:t xml:space="preserve">Impairment losses </w:t>
            </w:r>
            <w:r>
              <w:rPr>
                <w:rFonts w:ascii="Arial" w:cs="Arial" w:eastAsia="Arial" w:hAnsi="Arial"/>
                <w:sz w:val="18"/>
                <w:szCs w:val="18"/>
                <w:color w:val="BDBDBD"/>
                <w:w w:val="92"/>
              </w:rPr>
              <w:t>. . . . . . . . . . . . . . . . . . . . . . . . . . . . . . . . . . . . . . . . . . . . . . . . . . . . . . . . . . . . .</w:t>
            </w:r>
          </w:p>
        </w:tc>
        <w:tc>
          <w:tcPr>
            <w:tcW w:w="220" w:type="dxa"/>
            <w:vAlign w:val="bottom"/>
            <w:shd w:val="clear" w:color="auto" w:fill="E6E6E6"/>
          </w:tcPr>
          <w:p>
            <w:pPr>
              <w:spacing w:after="0"/>
              <w:rPr>
                <w:sz w:val="22"/>
                <w:szCs w:val="22"/>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E6E6E6"/>
          </w:tcPr>
          <w:p>
            <w:pPr>
              <w:spacing w:after="0"/>
              <w:rPr>
                <w:sz w:val="22"/>
                <w:szCs w:val="22"/>
                <w:color w:val="auto"/>
              </w:rPr>
            </w:pPr>
          </w:p>
        </w:tc>
        <w:tc>
          <w:tcPr>
            <w:tcW w:w="240" w:type="dxa"/>
            <w:vAlign w:val="bottom"/>
            <w:shd w:val="clear" w:color="auto" w:fill="E6E6E6"/>
          </w:tcPr>
          <w:p>
            <w:pPr>
              <w:spacing w:after="0"/>
              <w:rPr>
                <w:sz w:val="22"/>
                <w:szCs w:val="22"/>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E6E6E6"/>
          </w:tcPr>
          <w:p>
            <w:pPr>
              <w:spacing w:after="0"/>
              <w:rPr>
                <w:sz w:val="22"/>
                <w:szCs w:val="22"/>
                <w:color w:val="auto"/>
              </w:rPr>
            </w:pPr>
          </w:p>
        </w:tc>
        <w:tc>
          <w:tcPr>
            <w:tcW w:w="240" w:type="dxa"/>
            <w:vAlign w:val="bottom"/>
            <w:shd w:val="clear" w:color="auto" w:fill="E6E6E6"/>
          </w:tcPr>
          <w:p>
            <w:pPr>
              <w:spacing w:after="0"/>
              <w:rPr>
                <w:sz w:val="22"/>
                <w:szCs w:val="22"/>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4"/>
        </w:trPr>
        <w:tc>
          <w:tcPr>
            <w:tcW w:w="7060" w:type="dxa"/>
            <w:vAlign w:val="bottom"/>
          </w:tcPr>
          <w:p>
            <w:pPr>
              <w:jc w:val="right"/>
              <w:spacing w:after="0"/>
              <w:rPr>
                <w:sz w:val="20"/>
                <w:szCs w:val="20"/>
                <w:color w:val="auto"/>
              </w:rPr>
            </w:pPr>
            <w:r>
              <w:rPr>
                <w:rFonts w:ascii="Arial" w:cs="Arial" w:eastAsia="Arial" w:hAnsi="Arial"/>
                <w:sz w:val="18"/>
                <w:szCs w:val="18"/>
                <w:color w:val="auto"/>
                <w:w w:val="92"/>
              </w:rPr>
              <w:t xml:space="preserve">General and administrative </w:t>
            </w:r>
            <w:r>
              <w:rPr>
                <w:rFonts w:ascii="Arial" w:cs="Arial" w:eastAsia="Arial" w:hAnsi="Arial"/>
                <w:sz w:val="18"/>
                <w:szCs w:val="18"/>
                <w:color w:val="BDBDBD"/>
                <w:w w:val="92"/>
              </w:rPr>
              <w:t>. . . . . . . . . . . . . . . . . . . . . . . . . . . . . . . . . . . . . . . . . . . . . . . . . . . . . .</w:t>
            </w:r>
          </w:p>
        </w:tc>
        <w:tc>
          <w:tcPr>
            <w:tcW w:w="2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54"/>
        </w:trPr>
        <w:tc>
          <w:tcPr>
            <w:tcW w:w="706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2"/>
              </w:rPr>
              <w:t xml:space="preserve">Transaction and integration costs </w:t>
            </w:r>
            <w:r>
              <w:rPr>
                <w:rFonts w:ascii="Arial" w:cs="Arial" w:eastAsia="Arial" w:hAnsi="Arial"/>
                <w:sz w:val="18"/>
                <w:szCs w:val="18"/>
                <w:color w:val="BDBDBD"/>
                <w:w w:val="92"/>
              </w:rPr>
              <w:t>. . . . . . . . . . . . . . . . . . . . . . . . . . . . . . . . . . . . . . . . . . . . . . . . .</w:t>
            </w:r>
          </w:p>
        </w:tc>
        <w:tc>
          <w:tcPr>
            <w:tcW w:w="220" w:type="dxa"/>
            <w:vAlign w:val="bottom"/>
            <w:shd w:val="clear" w:color="auto" w:fill="E6E6E6"/>
          </w:tcPr>
          <w:p>
            <w:pPr>
              <w:spacing w:after="0"/>
              <w:rPr>
                <w:sz w:val="22"/>
                <w:szCs w:val="22"/>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E6E6E6"/>
          </w:tcPr>
          <w:p>
            <w:pPr>
              <w:spacing w:after="0"/>
              <w:rPr>
                <w:sz w:val="22"/>
                <w:szCs w:val="22"/>
                <w:color w:val="auto"/>
              </w:rPr>
            </w:pPr>
          </w:p>
        </w:tc>
        <w:tc>
          <w:tcPr>
            <w:tcW w:w="240" w:type="dxa"/>
            <w:vAlign w:val="bottom"/>
            <w:shd w:val="clear" w:color="auto" w:fill="E6E6E6"/>
          </w:tcPr>
          <w:p>
            <w:pPr>
              <w:spacing w:after="0"/>
              <w:rPr>
                <w:sz w:val="22"/>
                <w:szCs w:val="22"/>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E6E6E6"/>
          </w:tcPr>
          <w:p>
            <w:pPr>
              <w:spacing w:after="0"/>
              <w:rPr>
                <w:sz w:val="22"/>
                <w:szCs w:val="22"/>
                <w:color w:val="auto"/>
              </w:rPr>
            </w:pPr>
          </w:p>
        </w:tc>
        <w:tc>
          <w:tcPr>
            <w:tcW w:w="240" w:type="dxa"/>
            <w:vAlign w:val="bottom"/>
            <w:shd w:val="clear" w:color="auto" w:fill="E6E6E6"/>
          </w:tcPr>
          <w:p>
            <w:pPr>
              <w:spacing w:after="0"/>
              <w:rPr>
                <w:sz w:val="22"/>
                <w:szCs w:val="22"/>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4"/>
        </w:trPr>
        <w:tc>
          <w:tcPr>
            <w:tcW w:w="7060" w:type="dxa"/>
            <w:vAlign w:val="bottom"/>
            <w:tcBorders>
              <w:bottom w:val="single" w:sz="8" w:color="E6E6E6"/>
            </w:tcBorders>
          </w:tcPr>
          <w:p>
            <w:pPr>
              <w:jc w:val="right"/>
              <w:spacing w:after="0"/>
              <w:rPr>
                <w:sz w:val="20"/>
                <w:szCs w:val="20"/>
                <w:color w:val="auto"/>
              </w:rPr>
            </w:pPr>
            <w:r>
              <w:rPr>
                <w:rFonts w:ascii="Arial" w:cs="Arial" w:eastAsia="Arial" w:hAnsi="Arial"/>
                <w:sz w:val="18"/>
                <w:szCs w:val="18"/>
                <w:color w:val="auto"/>
                <w:w w:val="92"/>
              </w:rPr>
              <w:t xml:space="preserve">Development costs  </w:t>
            </w:r>
            <w:r>
              <w:rPr>
                <w:rFonts w:ascii="Arial" w:cs="Arial" w:eastAsia="Arial" w:hAnsi="Arial"/>
                <w:sz w:val="18"/>
                <w:szCs w:val="18"/>
                <w:color w:val="BDBDBD"/>
                <w:w w:val="92"/>
              </w:rPr>
              <w:t>. . . . . . . . . . . . . . . . . . . . . . . . . . . . . . . . . . . . . . . . . . . . . . . . . . . . . . . . . . . .</w:t>
            </w: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E6E6E6"/>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E6E6E6"/>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4"/>
        </w:trPr>
        <w:tc>
          <w:tcPr>
            <w:tcW w:w="7060" w:type="dxa"/>
            <w:vAlign w:val="bottom"/>
            <w:shd w:val="clear" w:color="auto" w:fill="E6E6E6"/>
          </w:tcPr>
          <w:p>
            <w:pPr>
              <w:jc w:val="right"/>
              <w:spacing w:after="0"/>
              <w:rPr>
                <w:sz w:val="20"/>
                <w:szCs w:val="20"/>
                <w:color w:val="auto"/>
              </w:rPr>
            </w:pPr>
            <w:r>
              <w:rPr>
                <w:rFonts w:ascii="Arial" w:cs="Arial" w:eastAsia="Arial" w:hAnsi="Arial"/>
                <w:sz w:val="18"/>
                <w:szCs w:val="18"/>
                <w:color w:val="BDBDBD"/>
                <w:w w:val="95"/>
              </w:rPr>
              <w:t>. . . . . . . . . . . . . . . . . . . . . . . . . . . . . . . . . . . . . . . . . . . . . . .</w:t>
            </w:r>
            <w:r>
              <w:rPr>
                <w:rFonts w:ascii="Arial" w:cs="Arial" w:eastAsia="Arial" w:hAnsi="Arial"/>
                <w:sz w:val="18"/>
                <w:szCs w:val="18"/>
                <w:color w:val="000000"/>
                <w:w w:val="95"/>
              </w:rPr>
              <w:t>Totaloperatingcostsandexpenses</w:t>
            </w:r>
          </w:p>
        </w:tc>
        <w:tc>
          <w:tcPr>
            <w:tcW w:w="220" w:type="dxa"/>
            <w:vAlign w:val="bottom"/>
            <w:shd w:val="clear" w:color="auto" w:fill="E6E6E6"/>
          </w:tcPr>
          <w:p>
            <w:pPr>
              <w:spacing w:after="0"/>
              <w:rPr>
                <w:sz w:val="21"/>
                <w:szCs w:val="21"/>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1,051</w:t>
            </w:r>
          </w:p>
        </w:tc>
        <w:tc>
          <w:tcPr>
            <w:tcW w:w="6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1,012</w:t>
            </w:r>
          </w:p>
        </w:tc>
        <w:tc>
          <w:tcPr>
            <w:tcW w:w="8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44"/>
        </w:trPr>
        <w:tc>
          <w:tcPr>
            <w:tcW w:w="7060" w:type="dxa"/>
            <w:vAlign w:val="bottom"/>
            <w:tcBorders>
              <w:bottom w:val="single" w:sz="8" w:color="E6E6E6"/>
            </w:tcBorders>
          </w:tcPr>
          <w:p>
            <w:pPr>
              <w:jc w:val="right"/>
              <w:spacing w:after="0"/>
              <w:rPr>
                <w:sz w:val="20"/>
                <w:szCs w:val="20"/>
                <w:color w:val="auto"/>
              </w:rPr>
            </w:pPr>
            <w:r>
              <w:rPr>
                <w:rFonts w:ascii="Arial" w:cs="Arial" w:eastAsia="Arial" w:hAnsi="Arial"/>
                <w:sz w:val="18"/>
                <w:szCs w:val="18"/>
                <w:color w:val="auto"/>
                <w:w w:val="93"/>
              </w:rPr>
              <w:t xml:space="preserve">Gain on sale of business </w:t>
            </w:r>
            <w:r>
              <w:rPr>
                <w:rFonts w:ascii="Arial" w:cs="Arial" w:eastAsia="Arial" w:hAnsi="Arial"/>
                <w:sz w:val="18"/>
                <w:szCs w:val="18"/>
                <w:color w:val="BDBDBD"/>
                <w:w w:val="93"/>
              </w:rPr>
              <w:t>. . . . . . . . . . . . . . . . . . . . . . . . . . . . . . . . . . . . . . . . . . . . . . . . . . . . . . .</w:t>
            </w: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E6E6E6"/>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w:t>
            </w:r>
          </w:p>
        </w:tc>
        <w:tc>
          <w:tcPr>
            <w:tcW w:w="80" w:type="dxa"/>
            <w:vAlign w:val="bottom"/>
            <w:tcBorders>
              <w:bottom w:val="single" w:sz="8" w:color="E6E6E6"/>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4"/>
        </w:trPr>
        <w:tc>
          <w:tcPr>
            <w:tcW w:w="70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BDBDBD"/>
                <w:w w:val="91"/>
              </w:rPr>
              <w:t>. . . . . . . . . . . . . . . . . . . . . . . . . . . . . . . . . . . . . . . . . . . . . . . . . . . . . . . . . . . . . .</w:t>
            </w:r>
            <w:r>
              <w:rPr>
                <w:rFonts w:ascii="Arial" w:cs="Arial" w:eastAsia="Arial" w:hAnsi="Arial"/>
                <w:sz w:val="18"/>
                <w:szCs w:val="18"/>
                <w:b w:val="1"/>
                <w:bCs w:val="1"/>
                <w:color w:val="000000"/>
                <w:w w:val="91"/>
              </w:rPr>
              <w:t>OperatingIncome</w:t>
            </w:r>
          </w:p>
        </w:tc>
        <w:tc>
          <w:tcPr>
            <w:tcW w:w="220" w:type="dxa"/>
            <w:vAlign w:val="bottom"/>
            <w:tcBorders>
              <w:bottom w:val="single" w:sz="8" w:color="auto"/>
            </w:tcBorders>
            <w:shd w:val="clear" w:color="auto" w:fill="E6E6E6"/>
          </w:tcPr>
          <w:p>
            <w:pPr>
              <w:spacing w:after="0"/>
              <w:rPr>
                <w:sz w:val="22"/>
                <w:szCs w:val="22"/>
                <w:color w:val="auto"/>
              </w:rPr>
            </w:pPr>
          </w:p>
        </w:tc>
        <w:tc>
          <w:tcPr>
            <w:tcW w:w="7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263</w:t>
            </w:r>
          </w:p>
        </w:tc>
        <w:tc>
          <w:tcPr>
            <w:tcW w:w="60" w:type="dxa"/>
            <w:vAlign w:val="bottom"/>
            <w:tcBorders>
              <w:bottom w:val="single" w:sz="8" w:color="E6E6E6"/>
            </w:tcBorders>
            <w:shd w:val="clear" w:color="auto" w:fill="E6E6E6"/>
          </w:tcPr>
          <w:p>
            <w:pPr>
              <w:spacing w:after="0"/>
              <w:rPr>
                <w:sz w:val="22"/>
                <w:szCs w:val="22"/>
                <w:color w:val="auto"/>
              </w:rPr>
            </w:pPr>
          </w:p>
        </w:tc>
        <w:tc>
          <w:tcPr>
            <w:tcW w:w="240" w:type="dxa"/>
            <w:vAlign w:val="bottom"/>
            <w:tcBorders>
              <w:bottom w:val="single" w:sz="8" w:color="auto"/>
            </w:tcBorders>
            <w:shd w:val="clear" w:color="auto" w:fill="E6E6E6"/>
          </w:tcPr>
          <w:p>
            <w:pPr>
              <w:spacing w:after="0"/>
              <w:rPr>
                <w:sz w:val="22"/>
                <w:szCs w:val="22"/>
                <w:color w:val="auto"/>
              </w:rPr>
            </w:pPr>
          </w:p>
        </w:tc>
        <w:tc>
          <w:tcPr>
            <w:tcW w:w="7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1,470</w:t>
            </w:r>
          </w:p>
        </w:tc>
        <w:tc>
          <w:tcPr>
            <w:tcW w:w="80" w:type="dxa"/>
            <w:vAlign w:val="bottom"/>
            <w:tcBorders>
              <w:bottom w:val="single" w:sz="8" w:color="auto"/>
            </w:tcBorders>
            <w:shd w:val="clear" w:color="auto" w:fill="E6E6E6"/>
          </w:tcPr>
          <w:p>
            <w:pPr>
              <w:spacing w:after="0"/>
              <w:rPr>
                <w:sz w:val="22"/>
                <w:szCs w:val="22"/>
                <w:color w:val="auto"/>
              </w:rPr>
            </w:pPr>
          </w:p>
        </w:tc>
        <w:tc>
          <w:tcPr>
            <w:tcW w:w="240" w:type="dxa"/>
            <w:vAlign w:val="bottom"/>
            <w:tcBorders>
              <w:bottom w:val="single" w:sz="8" w:color="auto"/>
            </w:tcBorders>
            <w:shd w:val="clear" w:color="auto" w:fill="E6E6E6"/>
          </w:tcPr>
          <w:p>
            <w:pPr>
              <w:spacing w:after="0"/>
              <w:rPr>
                <w:sz w:val="22"/>
                <w:szCs w:val="22"/>
                <w:color w:val="auto"/>
              </w:rPr>
            </w:pPr>
          </w:p>
        </w:tc>
        <w:tc>
          <w:tcPr>
            <w:tcW w:w="7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7"/>
        </w:trPr>
        <w:tc>
          <w:tcPr>
            <w:tcW w:w="706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706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2"/>
              </w:rPr>
              <w:t xml:space="preserve">Equity in earnings of unconsolidated affiliates </w:t>
            </w:r>
            <w:r>
              <w:rPr>
                <w:rFonts w:ascii="Arial" w:cs="Arial" w:eastAsia="Arial" w:hAnsi="Arial"/>
                <w:sz w:val="18"/>
                <w:szCs w:val="18"/>
                <w:color w:val="BDBDBD"/>
                <w:w w:val="92"/>
              </w:rPr>
              <w:t>. . . . . . . . . . . . . . . . . . . . . . . . . . . . . . . . . . . . . . .</w:t>
            </w:r>
          </w:p>
        </w:tc>
        <w:tc>
          <w:tcPr>
            <w:tcW w:w="220" w:type="dxa"/>
            <w:vAlign w:val="bottom"/>
            <w:shd w:val="clear" w:color="auto" w:fill="E6E6E6"/>
          </w:tcPr>
          <w:p>
            <w:pPr>
              <w:spacing w:after="0"/>
              <w:rPr>
                <w:sz w:val="22"/>
                <w:szCs w:val="22"/>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E6E6E6"/>
          </w:tcPr>
          <w:p>
            <w:pPr>
              <w:spacing w:after="0"/>
              <w:rPr>
                <w:sz w:val="22"/>
                <w:szCs w:val="22"/>
                <w:color w:val="auto"/>
              </w:rPr>
            </w:pPr>
          </w:p>
        </w:tc>
        <w:tc>
          <w:tcPr>
            <w:tcW w:w="240" w:type="dxa"/>
            <w:vAlign w:val="bottom"/>
            <w:shd w:val="clear" w:color="auto" w:fill="E6E6E6"/>
          </w:tcPr>
          <w:p>
            <w:pPr>
              <w:spacing w:after="0"/>
              <w:rPr>
                <w:sz w:val="22"/>
                <w:szCs w:val="22"/>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E6E6E6"/>
          </w:tcPr>
          <w:p>
            <w:pPr>
              <w:spacing w:after="0"/>
              <w:rPr>
                <w:sz w:val="22"/>
                <w:szCs w:val="22"/>
                <w:color w:val="auto"/>
              </w:rPr>
            </w:pPr>
          </w:p>
        </w:tc>
        <w:tc>
          <w:tcPr>
            <w:tcW w:w="240" w:type="dxa"/>
            <w:vAlign w:val="bottom"/>
            <w:shd w:val="clear" w:color="auto" w:fill="E6E6E6"/>
          </w:tcPr>
          <w:p>
            <w:pPr>
              <w:spacing w:after="0"/>
              <w:rPr>
                <w:sz w:val="22"/>
                <w:szCs w:val="22"/>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7"/>
        </w:trPr>
        <w:tc>
          <w:tcPr>
            <w:tcW w:w="7060" w:type="dxa"/>
            <w:vAlign w:val="bottom"/>
          </w:tcPr>
          <w:p>
            <w:pPr>
              <w:jc w:val="right"/>
              <w:spacing w:after="0"/>
              <w:rPr>
                <w:sz w:val="20"/>
                <w:szCs w:val="20"/>
                <w:color w:val="auto"/>
              </w:rPr>
            </w:pPr>
            <w:r>
              <w:rPr>
                <w:rFonts w:ascii="Arial" w:cs="Arial" w:eastAsia="Arial" w:hAnsi="Arial"/>
                <w:sz w:val="18"/>
                <w:szCs w:val="18"/>
                <w:color w:val="auto"/>
                <w:w w:val="92"/>
              </w:rPr>
              <w:t xml:space="preserve">Other income, net </w:t>
            </w:r>
            <w:r>
              <w:rPr>
                <w:rFonts w:ascii="Arial" w:cs="Arial" w:eastAsia="Arial" w:hAnsi="Arial"/>
                <w:sz w:val="18"/>
                <w:szCs w:val="18"/>
                <w:color w:val="BDBDBD"/>
                <w:w w:val="92"/>
              </w:rPr>
              <w:t>. . . . . . . . . . . . . . . . . . . . . . . . . . . . . . . . . . . . . . . . . . . . . . . . . . . . . . . . . . . . .</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0"/>
        </w:trPr>
        <w:tc>
          <w:tcPr>
            <w:tcW w:w="706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1"/>
              </w:rPr>
              <w:t xml:space="preserve">Loss on debt extinguishment </w:t>
            </w:r>
            <w:r>
              <w:rPr>
                <w:rFonts w:ascii="Arial" w:cs="Arial" w:eastAsia="Arial" w:hAnsi="Arial"/>
                <w:sz w:val="18"/>
                <w:szCs w:val="18"/>
                <w:color w:val="BDBDBD"/>
                <w:w w:val="91"/>
              </w:rPr>
              <w:t>. . . . . . . . . . . . . . . . . . . . . . . . . . . . . . . . . . . . . . . . . . . . . . . . . . . . .</w:t>
            </w:r>
          </w:p>
        </w:tc>
        <w:tc>
          <w:tcPr>
            <w:tcW w:w="220" w:type="dxa"/>
            <w:vAlign w:val="bottom"/>
            <w:shd w:val="clear" w:color="auto" w:fill="E6E6E6"/>
          </w:tcPr>
          <w:p>
            <w:pPr>
              <w:spacing w:after="0"/>
              <w:rPr>
                <w:sz w:val="22"/>
                <w:szCs w:val="22"/>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E6E6E6"/>
          </w:tcPr>
          <w:p>
            <w:pPr>
              <w:spacing w:after="0"/>
              <w:rPr>
                <w:sz w:val="22"/>
                <w:szCs w:val="22"/>
                <w:color w:val="auto"/>
              </w:rPr>
            </w:pPr>
          </w:p>
        </w:tc>
        <w:tc>
          <w:tcPr>
            <w:tcW w:w="240" w:type="dxa"/>
            <w:vAlign w:val="bottom"/>
            <w:shd w:val="clear" w:color="auto" w:fill="E6E6E6"/>
          </w:tcPr>
          <w:p>
            <w:pPr>
              <w:spacing w:after="0"/>
              <w:rPr>
                <w:sz w:val="22"/>
                <w:szCs w:val="22"/>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E6E6E6"/>
          </w:tcPr>
          <w:p>
            <w:pPr>
              <w:spacing w:after="0"/>
              <w:rPr>
                <w:sz w:val="22"/>
                <w:szCs w:val="22"/>
                <w:color w:val="auto"/>
              </w:rPr>
            </w:pPr>
          </w:p>
        </w:tc>
        <w:tc>
          <w:tcPr>
            <w:tcW w:w="240" w:type="dxa"/>
            <w:vAlign w:val="bottom"/>
            <w:shd w:val="clear" w:color="auto" w:fill="E6E6E6"/>
          </w:tcPr>
          <w:p>
            <w:pPr>
              <w:spacing w:after="0"/>
              <w:rPr>
                <w:sz w:val="22"/>
                <w:szCs w:val="22"/>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7"/>
        </w:trPr>
        <w:tc>
          <w:tcPr>
            <w:tcW w:w="7060" w:type="dxa"/>
            <w:vAlign w:val="bottom"/>
          </w:tcPr>
          <w:p>
            <w:pPr>
              <w:jc w:val="right"/>
              <w:spacing w:after="0"/>
              <w:rPr>
                <w:sz w:val="20"/>
                <w:szCs w:val="20"/>
                <w:color w:val="auto"/>
              </w:rPr>
            </w:pPr>
            <w:r>
              <w:rPr>
                <w:rFonts w:ascii="Arial" w:cs="Arial" w:eastAsia="Arial" w:hAnsi="Arial"/>
                <w:sz w:val="18"/>
                <w:szCs w:val="18"/>
                <w:color w:val="auto"/>
                <w:w w:val="92"/>
              </w:rPr>
              <w:t xml:space="preserve">Derivative interest (expense) income </w:t>
            </w:r>
            <w:r>
              <w:rPr>
                <w:rFonts w:ascii="Arial" w:cs="Arial" w:eastAsia="Arial" w:hAnsi="Arial"/>
                <w:sz w:val="18"/>
                <w:szCs w:val="18"/>
                <w:color w:val="BDBDBD"/>
                <w:w w:val="92"/>
              </w:rPr>
              <w:t>. . . . . . . . . . . . . . . . . . . . . . . . . . . . . . . . . . . . . . . . . . . . . .</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69"/>
        </w:trPr>
        <w:tc>
          <w:tcPr>
            <w:tcW w:w="70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w w:val="91"/>
              </w:rPr>
              <w:t xml:space="preserve">Other interest expense </w:t>
            </w:r>
            <w:r>
              <w:rPr>
                <w:rFonts w:ascii="Arial" w:cs="Arial" w:eastAsia="Arial" w:hAnsi="Arial"/>
                <w:sz w:val="18"/>
                <w:szCs w:val="18"/>
                <w:color w:val="BDBDBD"/>
                <w:w w:val="91"/>
              </w:rPr>
              <w:t>. . . . . . . . . . . . . . . . . . . . . . . . . . . . . . . . . . . . . . . . . . . . . . . . . . . . . . . . . .</w:t>
            </w:r>
          </w:p>
        </w:tc>
        <w:tc>
          <w:tcPr>
            <w:tcW w:w="220" w:type="dxa"/>
            <w:vAlign w:val="bottom"/>
            <w:tcBorders>
              <w:bottom w:val="single" w:sz="8" w:color="auto"/>
            </w:tcBorders>
            <w:shd w:val="clear" w:color="auto" w:fill="E6E6E6"/>
          </w:tcPr>
          <w:p>
            <w:pPr>
              <w:spacing w:after="0"/>
              <w:rPr>
                <w:sz w:val="23"/>
                <w:szCs w:val="23"/>
                <w:color w:val="auto"/>
              </w:rPr>
            </w:pPr>
          </w:p>
        </w:tc>
        <w:tc>
          <w:tcPr>
            <w:tcW w:w="7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(320)</w:t>
            </w:r>
          </w:p>
        </w:tc>
        <w:tc>
          <w:tcPr>
            <w:tcW w:w="60" w:type="dxa"/>
            <w:vAlign w:val="bottom"/>
            <w:tcBorders>
              <w:bottom w:val="single" w:sz="8" w:color="E6E6E6"/>
            </w:tcBorders>
            <w:shd w:val="clear" w:color="auto" w:fill="E6E6E6"/>
          </w:tcPr>
          <w:p>
            <w:pPr>
              <w:spacing w:after="0"/>
              <w:rPr>
                <w:sz w:val="23"/>
                <w:szCs w:val="23"/>
                <w:color w:val="auto"/>
              </w:rPr>
            </w:pPr>
          </w:p>
        </w:tc>
        <w:tc>
          <w:tcPr>
            <w:tcW w:w="240" w:type="dxa"/>
            <w:vAlign w:val="bottom"/>
            <w:tcBorders>
              <w:bottom w:val="single" w:sz="8" w:color="auto"/>
            </w:tcBorders>
            <w:shd w:val="clear" w:color="auto" w:fill="E6E6E6"/>
          </w:tcPr>
          <w:p>
            <w:pPr>
              <w:spacing w:after="0"/>
              <w:rPr>
                <w:sz w:val="23"/>
                <w:szCs w:val="23"/>
                <w:color w:val="auto"/>
              </w:rPr>
            </w:pPr>
          </w:p>
        </w:tc>
        <w:tc>
          <w:tcPr>
            <w:tcW w:w="7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(332)</w:t>
            </w:r>
          </w:p>
        </w:tc>
        <w:tc>
          <w:tcPr>
            <w:tcW w:w="80" w:type="dxa"/>
            <w:vAlign w:val="bottom"/>
            <w:tcBorders>
              <w:bottom w:val="single" w:sz="8" w:color="E6E6E6"/>
            </w:tcBorders>
            <w:shd w:val="clear" w:color="auto" w:fill="E6E6E6"/>
          </w:tcPr>
          <w:p>
            <w:pPr>
              <w:spacing w:after="0"/>
              <w:rPr>
                <w:sz w:val="23"/>
                <w:szCs w:val="23"/>
                <w:color w:val="auto"/>
              </w:rPr>
            </w:pPr>
          </w:p>
        </w:tc>
        <w:tc>
          <w:tcPr>
            <w:tcW w:w="240" w:type="dxa"/>
            <w:vAlign w:val="bottom"/>
            <w:tcBorders>
              <w:bottom w:val="single" w:sz="8" w:color="auto"/>
            </w:tcBorders>
            <w:shd w:val="clear" w:color="auto" w:fill="E6E6E6"/>
          </w:tcPr>
          <w:p>
            <w:pPr>
              <w:spacing w:after="0"/>
              <w:rPr>
                <w:sz w:val="23"/>
                <w:szCs w:val="23"/>
                <w:color w:val="auto"/>
              </w:rPr>
            </w:pPr>
          </w:p>
        </w:tc>
        <w:tc>
          <w:tcPr>
            <w:tcW w:w="7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5"/>
        </w:trPr>
        <w:tc>
          <w:tcPr>
            <w:tcW w:w="7060" w:type="dxa"/>
            <w:vAlign w:val="bottom"/>
            <w:tcBorders>
              <w:bottom w:val="single" w:sz="8" w:color="E6E6E6"/>
            </w:tcBorders>
          </w:tcPr>
          <w:p>
            <w:pPr>
              <w:jc w:val="right"/>
              <w:spacing w:after="0"/>
              <w:rPr>
                <w:sz w:val="20"/>
                <w:szCs w:val="20"/>
                <w:color w:val="auto"/>
              </w:rPr>
            </w:pPr>
            <w:r>
              <w:rPr>
                <w:rFonts w:ascii="Arial" w:cs="Arial" w:eastAsia="Arial" w:hAnsi="Arial"/>
                <w:sz w:val="18"/>
                <w:szCs w:val="18"/>
                <w:color w:val="BDBDBD"/>
                <w:w w:val="97"/>
              </w:rPr>
              <w:t>. . . . . . . . . . . . . . . . . . . . . . . . . . . . . . . . . . . . . . . . . . . . . . . . . . . . . .</w:t>
            </w:r>
            <w:r>
              <w:rPr>
                <w:rFonts w:ascii="Arial" w:cs="Arial" w:eastAsia="Arial" w:hAnsi="Arial"/>
                <w:sz w:val="18"/>
                <w:szCs w:val="18"/>
                <w:color w:val="000000"/>
                <w:w w:val="97"/>
              </w:rPr>
              <w:t>Totalotherexpense,net</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60" w:type="dxa"/>
            <w:vAlign w:val="bottom"/>
            <w:tcBorders>
              <w:bottom w:val="single" w:sz="8" w:color="E6E6E6"/>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80" w:type="dxa"/>
            <w:vAlign w:val="bottom"/>
            <w:tcBorders>
              <w:bottom w:val="single" w:sz="8" w:color="E6E6E6"/>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44"/>
        </w:trPr>
        <w:tc>
          <w:tcPr>
            <w:tcW w:w="706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BDBDBD"/>
                <w:w w:val="92"/>
              </w:rPr>
              <w:t>. . . . . . . . . . . . . . . . . . . . . . . . . . . . . . . . . . . . . . . . . . . . . . .</w:t>
            </w:r>
            <w:r>
              <w:rPr>
                <w:rFonts w:ascii="Arial" w:cs="Arial" w:eastAsia="Arial" w:hAnsi="Arial"/>
                <w:sz w:val="18"/>
                <w:szCs w:val="18"/>
                <w:b w:val="1"/>
                <w:bCs w:val="1"/>
                <w:color w:val="000000"/>
                <w:w w:val="92"/>
              </w:rPr>
              <w:t>(Loss)IncomeBeforeIncomeTaxes</w:t>
            </w:r>
          </w:p>
        </w:tc>
        <w:tc>
          <w:tcPr>
            <w:tcW w:w="220" w:type="dxa"/>
            <w:vAlign w:val="bottom"/>
            <w:shd w:val="clear" w:color="auto" w:fill="E6E6E6"/>
          </w:tcPr>
          <w:p>
            <w:pPr>
              <w:spacing w:after="0"/>
              <w:rPr>
                <w:sz w:val="21"/>
                <w:szCs w:val="21"/>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1,282</w:t>
            </w:r>
          </w:p>
        </w:tc>
        <w:tc>
          <w:tcPr>
            <w:tcW w:w="8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4"/>
        </w:trPr>
        <w:tc>
          <w:tcPr>
            <w:tcW w:w="7060" w:type="dxa"/>
            <w:vAlign w:val="bottom"/>
            <w:tcBorders>
              <w:bottom w:val="single" w:sz="8" w:color="E6E6E6"/>
            </w:tcBorders>
          </w:tcPr>
          <w:p>
            <w:pPr>
              <w:jc w:val="right"/>
              <w:spacing w:after="0"/>
              <w:rPr>
                <w:sz w:val="20"/>
                <w:szCs w:val="20"/>
                <w:color w:val="auto"/>
              </w:rPr>
            </w:pPr>
            <w:r>
              <w:rPr>
                <w:rFonts w:ascii="Arial" w:cs="Arial" w:eastAsia="Arial" w:hAnsi="Arial"/>
                <w:sz w:val="18"/>
                <w:szCs w:val="18"/>
                <w:color w:val="auto"/>
                <w:w w:val="92"/>
              </w:rPr>
              <w:t xml:space="preserve">Income tax (benefit) expense  </w:t>
            </w:r>
            <w:r>
              <w:rPr>
                <w:rFonts w:ascii="Arial" w:cs="Arial" w:eastAsia="Arial" w:hAnsi="Arial"/>
                <w:sz w:val="18"/>
                <w:szCs w:val="18"/>
                <w:color w:val="BDBDBD"/>
                <w:w w:val="92"/>
              </w:rPr>
              <w:t>. . . . . . . . . . . . . . . . . . . . . . . . . . . . . . . . . . . . . . . . . . . . . . . . . . . .</w:t>
            </w: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bottom w:val="single" w:sz="8" w:color="E6E6E6"/>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80" w:type="dxa"/>
            <w:vAlign w:val="bottom"/>
            <w:tcBorders>
              <w:bottom w:val="single" w:sz="8" w:color="E6E6E6"/>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4"/>
        </w:trPr>
        <w:tc>
          <w:tcPr>
            <w:tcW w:w="70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BDBDBD"/>
                <w:w w:val="92"/>
              </w:rPr>
              <w:t>. . . . . . . . . . . . . . . . . . . . . . . . . . . . . . . . . . . . . . . . . . . . . . . . . . . . . . . . . . . . .</w:t>
            </w:r>
            <w:r>
              <w:rPr>
                <w:rFonts w:ascii="Arial" w:cs="Arial" w:eastAsia="Arial" w:hAnsi="Arial"/>
                <w:sz w:val="18"/>
                <w:szCs w:val="18"/>
                <w:b w:val="1"/>
                <w:bCs w:val="1"/>
                <w:color w:val="000000"/>
                <w:w w:val="92"/>
              </w:rPr>
              <w:t>Net(Loss)Income</w:t>
            </w:r>
          </w:p>
        </w:tc>
        <w:tc>
          <w:tcPr>
            <w:tcW w:w="220" w:type="dxa"/>
            <w:vAlign w:val="bottom"/>
            <w:tcBorders>
              <w:bottom w:val="single" w:sz="8" w:color="auto"/>
            </w:tcBorders>
            <w:shd w:val="clear" w:color="auto" w:fill="E6E6E6"/>
          </w:tcPr>
          <w:p>
            <w:pPr>
              <w:spacing w:after="0"/>
              <w:rPr>
                <w:sz w:val="22"/>
                <w:szCs w:val="22"/>
                <w:color w:val="auto"/>
              </w:rPr>
            </w:pPr>
          </w:p>
        </w:tc>
        <w:tc>
          <w:tcPr>
            <w:tcW w:w="7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bottom w:val="single" w:sz="8" w:color="E6E6E6"/>
            </w:tcBorders>
            <w:shd w:val="clear" w:color="auto" w:fill="E6E6E6"/>
          </w:tcPr>
          <w:p>
            <w:pPr>
              <w:spacing w:after="0"/>
              <w:rPr>
                <w:sz w:val="22"/>
                <w:szCs w:val="22"/>
                <w:color w:val="auto"/>
              </w:rPr>
            </w:pPr>
          </w:p>
        </w:tc>
        <w:tc>
          <w:tcPr>
            <w:tcW w:w="240" w:type="dxa"/>
            <w:vAlign w:val="bottom"/>
            <w:tcBorders>
              <w:bottom w:val="single" w:sz="8" w:color="auto"/>
            </w:tcBorders>
            <w:shd w:val="clear" w:color="auto" w:fill="E6E6E6"/>
          </w:tcPr>
          <w:p>
            <w:pPr>
              <w:spacing w:after="0"/>
              <w:rPr>
                <w:sz w:val="22"/>
                <w:szCs w:val="22"/>
                <w:color w:val="auto"/>
              </w:rPr>
            </w:pPr>
          </w:p>
        </w:tc>
        <w:tc>
          <w:tcPr>
            <w:tcW w:w="7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1,060</w:t>
            </w:r>
          </w:p>
        </w:tc>
        <w:tc>
          <w:tcPr>
            <w:tcW w:w="80" w:type="dxa"/>
            <w:vAlign w:val="bottom"/>
            <w:tcBorders>
              <w:bottom w:val="single" w:sz="8" w:color="E6E6E6"/>
            </w:tcBorders>
            <w:shd w:val="clear" w:color="auto" w:fill="E6E6E6"/>
          </w:tcPr>
          <w:p>
            <w:pPr>
              <w:spacing w:after="0"/>
              <w:rPr>
                <w:sz w:val="22"/>
                <w:szCs w:val="22"/>
                <w:color w:val="auto"/>
              </w:rPr>
            </w:pPr>
          </w:p>
        </w:tc>
        <w:tc>
          <w:tcPr>
            <w:tcW w:w="240" w:type="dxa"/>
            <w:vAlign w:val="bottom"/>
            <w:tcBorders>
              <w:bottom w:val="single" w:sz="8" w:color="auto"/>
            </w:tcBorders>
            <w:shd w:val="clear" w:color="auto" w:fill="E6E6E6"/>
          </w:tcPr>
          <w:p>
            <w:pPr>
              <w:spacing w:after="0"/>
              <w:rPr>
                <w:sz w:val="22"/>
                <w:szCs w:val="22"/>
                <w:color w:val="auto"/>
              </w:rPr>
            </w:pPr>
          </w:p>
        </w:tc>
        <w:tc>
          <w:tcPr>
            <w:tcW w:w="7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86"/>
        </w:trPr>
        <w:tc>
          <w:tcPr>
            <w:tcW w:w="7060" w:type="dxa"/>
            <w:vAlign w:val="bottom"/>
          </w:tcPr>
          <w:p>
            <w:pPr>
              <w:jc w:val="right"/>
              <w:ind w:right="30"/>
              <w:spacing w:after="0" w:line="187" w:lineRule="exact"/>
              <w:rPr>
                <w:sz w:val="20"/>
                <w:szCs w:val="20"/>
                <w:color w:val="auto"/>
              </w:rPr>
            </w:pPr>
            <w:r>
              <w:rPr>
                <w:rFonts w:ascii="Arial" w:cs="Arial" w:eastAsia="Arial" w:hAnsi="Arial"/>
                <w:sz w:val="18"/>
                <w:szCs w:val="18"/>
                <w:color w:val="auto"/>
                <w:w w:val="92"/>
              </w:rPr>
              <w:t>Less: Net (loss) income attributable to noncontrolling interests and redeemable noncontrolling</w:t>
            </w:r>
          </w:p>
        </w:tc>
        <w:tc>
          <w:tcPr>
            <w:tcW w:w="22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(93)</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478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6"/>
        </w:trPr>
        <w:tc>
          <w:tcPr>
            <w:tcW w:w="7060" w:type="dxa"/>
            <w:vAlign w:val="bottom"/>
            <w:tcBorders>
              <w:bottom w:val="single" w:sz="8" w:color="E6E6E6"/>
            </w:tcBorders>
          </w:tcPr>
          <w:p>
            <w:pPr>
              <w:jc w:val="right"/>
              <w:spacing w:after="0"/>
              <w:rPr>
                <w:sz w:val="20"/>
                <w:szCs w:val="20"/>
                <w:color w:val="auto"/>
              </w:rPr>
            </w:pPr>
            <w:r>
              <w:rPr>
                <w:rFonts w:ascii="Arial" w:cs="Arial" w:eastAsia="Arial" w:hAnsi="Arial"/>
                <w:sz w:val="18"/>
                <w:szCs w:val="18"/>
                <w:color w:val="auto"/>
                <w:w w:val="94"/>
              </w:rPr>
              <w:t xml:space="preserve">interests </w:t>
            </w:r>
            <w:r>
              <w:rPr>
                <w:rFonts w:ascii="Arial" w:cs="Arial" w:eastAsia="Arial" w:hAnsi="Arial"/>
                <w:sz w:val="18"/>
                <w:szCs w:val="18"/>
                <w:color w:val="BDBDBD"/>
                <w:w w:val="94"/>
              </w:rPr>
              <w:t>. . . . . . . . . . . . . . . . . . . . . . . . . . . . . . . . . . . . . . . . . . . . . . . . . . . . . . . . . . . . . . . . . . .</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E6E6E6"/>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70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auto"/>
                <w:w w:val="92"/>
              </w:rPr>
              <w:t xml:space="preserve">Net Income Attributable to Clearway Energy, Inc. </w:t>
            </w:r>
            <w:r>
              <w:rPr>
                <w:rFonts w:ascii="Arial" w:cs="Arial" w:eastAsia="Arial" w:hAnsi="Arial"/>
                <w:sz w:val="18"/>
                <w:szCs w:val="18"/>
                <w:b w:val="1"/>
                <w:bCs w:val="1"/>
                <w:color w:val="BDBDBD"/>
                <w:w w:val="92"/>
              </w:rPr>
              <w:t>. . . . . . . . . . . . . . . . . . . . . . . . . . . . . . . . . .</w:t>
            </w:r>
          </w:p>
        </w:tc>
        <w:tc>
          <w:tcPr>
            <w:tcW w:w="2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79</w:t>
            </w:r>
          </w:p>
        </w:tc>
        <w:tc>
          <w:tcPr>
            <w:tcW w:w="60" w:type="dxa"/>
            <w:vAlign w:val="bottom"/>
            <w:tcBorders>
              <w:bottom w:val="single" w:sz="8" w:color="E6E6E6"/>
            </w:tcBorders>
            <w:shd w:val="clear" w:color="auto" w:fill="E6E6E6"/>
          </w:tcPr>
          <w:p>
            <w:pPr>
              <w:spacing w:after="0"/>
              <w:rPr>
                <w:sz w:val="22"/>
                <w:szCs w:val="22"/>
                <w:color w:val="auto"/>
              </w:rPr>
            </w:pPr>
          </w:p>
        </w:tc>
        <w:tc>
          <w:tcPr>
            <w:tcW w:w="2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582</w:t>
            </w:r>
          </w:p>
        </w:tc>
        <w:tc>
          <w:tcPr>
            <w:tcW w:w="320" w:type="dxa"/>
            <w:vAlign w:val="bottom"/>
            <w:tcBorders>
              <w:bottom w:val="single" w:sz="8" w:color="auto"/>
            </w:tcBorders>
            <w:gridSpan w:val="2"/>
            <w:shd w:val="clear" w:color="auto" w:fill="E6E6E6"/>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4467225</wp:posOffset>
            </wp:positionH>
            <wp:positionV relativeFrom="paragraph">
              <wp:posOffset>-5158105</wp:posOffset>
            </wp:positionV>
            <wp:extent cx="20250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5">
                      <a:extLst>
                        <a:ext uri="{28A0092B-C50C-407E-A947-70E740481C1C}"/>
                      </a:extLst>
                    </a:blip>
                    <a:srcRect/>
                    <a:stretch>
                      <a:fillRect/>
                    </a:stretch>
                  </pic:blipFill>
                  <pic:spPr bwMode="auto">
                    <a:xfrm>
                      <a:off x="0" y="0"/>
                      <a:ext cx="2025015" cy="25400"/>
                    </a:xfrm>
                    <a:prstGeom prst="rect">
                      <a:avLst/>
                    </a:prstGeom>
                    <a:noFill/>
                  </pic:spPr>
                </pic:pic>
              </a:graphicData>
            </a:graphic>
          </wp:anchor>
        </w:drawing>
        <w:drawing>
          <wp:anchor simplePos="0" relativeHeight="251657728" behindDoc="1" locked="0" layoutInCell="0" allowOverlap="1">
            <wp:simplePos x="0" y="0"/>
            <wp:positionH relativeFrom="column">
              <wp:posOffset>4467225</wp:posOffset>
            </wp:positionH>
            <wp:positionV relativeFrom="paragraph">
              <wp:posOffset>-4352925</wp:posOffset>
            </wp:positionV>
            <wp:extent cx="20250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6">
                      <a:extLst>
                        <a:ext uri="{28A0092B-C50C-407E-A947-70E740481C1C}"/>
                      </a:extLst>
                    </a:blip>
                    <a:srcRect/>
                    <a:stretch>
                      <a:fillRect/>
                    </a:stretch>
                  </pic:blipFill>
                  <pic:spPr bwMode="auto">
                    <a:xfrm>
                      <a:off x="0" y="0"/>
                      <a:ext cx="2025015" cy="25400"/>
                    </a:xfrm>
                    <a:prstGeom prst="rect">
                      <a:avLst/>
                    </a:prstGeom>
                    <a:noFill/>
                  </pic:spPr>
                </pic:pic>
              </a:graphicData>
            </a:graphic>
          </wp:anchor>
        </w:drawing>
        <w:drawing>
          <wp:anchor simplePos="0" relativeHeight="251657728" behindDoc="1" locked="0" layoutInCell="0" allowOverlap="1">
            <wp:simplePos x="0" y="0"/>
            <wp:positionH relativeFrom="column">
              <wp:posOffset>4467225</wp:posOffset>
            </wp:positionH>
            <wp:positionV relativeFrom="paragraph">
              <wp:posOffset>-4191635</wp:posOffset>
            </wp:positionV>
            <wp:extent cx="20250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7">
                      <a:extLst>
                        <a:ext uri="{28A0092B-C50C-407E-A947-70E740481C1C}"/>
                      </a:extLst>
                    </a:blip>
                    <a:srcRect/>
                    <a:stretch>
                      <a:fillRect/>
                    </a:stretch>
                  </pic:blipFill>
                  <pic:spPr bwMode="auto">
                    <a:xfrm>
                      <a:off x="0" y="0"/>
                      <a:ext cx="2025015" cy="25400"/>
                    </a:xfrm>
                    <a:prstGeom prst="rect">
                      <a:avLst/>
                    </a:prstGeom>
                    <a:noFill/>
                  </pic:spPr>
                </pic:pic>
              </a:graphicData>
            </a:graphic>
          </wp:anchor>
        </w:drawing>
        <w:drawing>
          <wp:anchor simplePos="0" relativeHeight="251657728" behindDoc="1" locked="0" layoutInCell="0" allowOverlap="1">
            <wp:simplePos x="0" y="0"/>
            <wp:positionH relativeFrom="column">
              <wp:posOffset>4467225</wp:posOffset>
            </wp:positionH>
            <wp:positionV relativeFrom="paragraph">
              <wp:posOffset>-2580640</wp:posOffset>
            </wp:positionV>
            <wp:extent cx="20250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8">
                      <a:extLst>
                        <a:ext uri="{28A0092B-C50C-407E-A947-70E740481C1C}"/>
                      </a:extLst>
                    </a:blip>
                    <a:srcRect/>
                    <a:stretch>
                      <a:fillRect/>
                    </a:stretch>
                  </pic:blipFill>
                  <pic:spPr bwMode="auto">
                    <a:xfrm>
                      <a:off x="0" y="0"/>
                      <a:ext cx="2025015" cy="25400"/>
                    </a:xfrm>
                    <a:prstGeom prst="rect">
                      <a:avLst/>
                    </a:prstGeom>
                    <a:noFill/>
                  </pic:spPr>
                </pic:pic>
              </a:graphicData>
            </a:graphic>
          </wp:anchor>
        </w:drawing>
        <w:drawing>
          <wp:anchor simplePos="0" relativeHeight="251657728" behindDoc="1" locked="0" layoutInCell="0" allowOverlap="1">
            <wp:simplePos x="0" y="0"/>
            <wp:positionH relativeFrom="column">
              <wp:posOffset>4467225</wp:posOffset>
            </wp:positionH>
            <wp:positionV relativeFrom="paragraph">
              <wp:posOffset>-2258060</wp:posOffset>
            </wp:positionV>
            <wp:extent cx="20250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9">
                      <a:extLst>
                        <a:ext uri="{28A0092B-C50C-407E-A947-70E740481C1C}"/>
                      </a:extLst>
                    </a:blip>
                    <a:srcRect/>
                    <a:stretch>
                      <a:fillRect/>
                    </a:stretch>
                  </pic:blipFill>
                  <pic:spPr bwMode="auto">
                    <a:xfrm>
                      <a:off x="0" y="0"/>
                      <a:ext cx="2025015" cy="25400"/>
                    </a:xfrm>
                    <a:prstGeom prst="rect">
                      <a:avLst/>
                    </a:prstGeom>
                    <a:noFill/>
                  </pic:spPr>
                </pic:pic>
              </a:graphicData>
            </a:graphic>
          </wp:anchor>
        </w:drawing>
        <w:drawing>
          <wp:anchor simplePos="0" relativeHeight="251657728" behindDoc="1" locked="0" layoutInCell="0" allowOverlap="1">
            <wp:simplePos x="0" y="0"/>
            <wp:positionH relativeFrom="column">
              <wp:posOffset>4467225</wp:posOffset>
            </wp:positionH>
            <wp:positionV relativeFrom="paragraph">
              <wp:posOffset>-2097405</wp:posOffset>
            </wp:positionV>
            <wp:extent cx="20250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0">
                      <a:extLst>
                        <a:ext uri="{28A0092B-C50C-407E-A947-70E740481C1C}"/>
                      </a:extLst>
                    </a:blip>
                    <a:srcRect/>
                    <a:stretch>
                      <a:fillRect/>
                    </a:stretch>
                  </pic:blipFill>
                  <pic:spPr bwMode="auto">
                    <a:xfrm>
                      <a:off x="0" y="0"/>
                      <a:ext cx="2025015" cy="25400"/>
                    </a:xfrm>
                    <a:prstGeom prst="rect">
                      <a:avLst/>
                    </a:prstGeom>
                    <a:noFill/>
                  </pic:spPr>
                </pic:pic>
              </a:graphicData>
            </a:graphic>
          </wp:anchor>
        </w:drawing>
        <w:drawing>
          <wp:anchor simplePos="0" relativeHeight="251657728" behindDoc="1" locked="0" layoutInCell="0" allowOverlap="1">
            <wp:simplePos x="0" y="0"/>
            <wp:positionH relativeFrom="column">
              <wp:posOffset>4467225</wp:posOffset>
            </wp:positionH>
            <wp:positionV relativeFrom="paragraph">
              <wp:posOffset>-1130300</wp:posOffset>
            </wp:positionV>
            <wp:extent cx="20250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1">
                      <a:extLst>
                        <a:ext uri="{28A0092B-C50C-407E-A947-70E740481C1C}"/>
                      </a:extLst>
                    </a:blip>
                    <a:srcRect/>
                    <a:stretch>
                      <a:fillRect/>
                    </a:stretch>
                  </pic:blipFill>
                  <pic:spPr bwMode="auto">
                    <a:xfrm>
                      <a:off x="0" y="0"/>
                      <a:ext cx="2025015" cy="25400"/>
                    </a:xfrm>
                    <a:prstGeom prst="rect">
                      <a:avLst/>
                    </a:prstGeom>
                    <a:noFill/>
                  </pic:spPr>
                </pic:pic>
              </a:graphicData>
            </a:graphic>
          </wp:anchor>
        </w:drawing>
        <w:drawing>
          <wp:anchor simplePos="0" relativeHeight="251657728" behindDoc="1" locked="0" layoutInCell="0" allowOverlap="1">
            <wp:simplePos x="0" y="0"/>
            <wp:positionH relativeFrom="column">
              <wp:posOffset>4467225</wp:posOffset>
            </wp:positionH>
            <wp:positionV relativeFrom="paragraph">
              <wp:posOffset>-969010</wp:posOffset>
            </wp:positionV>
            <wp:extent cx="20250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2">
                      <a:extLst>
                        <a:ext uri="{28A0092B-C50C-407E-A947-70E740481C1C}"/>
                      </a:extLst>
                    </a:blip>
                    <a:srcRect/>
                    <a:stretch>
                      <a:fillRect/>
                    </a:stretch>
                  </pic:blipFill>
                  <pic:spPr bwMode="auto">
                    <a:xfrm>
                      <a:off x="0" y="0"/>
                      <a:ext cx="2025015" cy="25400"/>
                    </a:xfrm>
                    <a:prstGeom prst="rect">
                      <a:avLst/>
                    </a:prstGeom>
                    <a:noFill/>
                  </pic:spPr>
                </pic:pic>
              </a:graphicData>
            </a:graphic>
          </wp:anchor>
        </w:drawing>
        <w:drawing>
          <wp:anchor simplePos="0" relativeHeight="251657728" behindDoc="1" locked="0" layoutInCell="0" allowOverlap="1">
            <wp:simplePos x="0" y="0"/>
            <wp:positionH relativeFrom="column">
              <wp:posOffset>4467225</wp:posOffset>
            </wp:positionH>
            <wp:positionV relativeFrom="paragraph">
              <wp:posOffset>-647065</wp:posOffset>
            </wp:positionV>
            <wp:extent cx="20250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3">
                      <a:extLst>
                        <a:ext uri="{28A0092B-C50C-407E-A947-70E740481C1C}"/>
                      </a:extLst>
                    </a:blip>
                    <a:srcRect/>
                    <a:stretch>
                      <a:fillRect/>
                    </a:stretch>
                  </pic:blipFill>
                  <pic:spPr bwMode="auto">
                    <a:xfrm>
                      <a:off x="0" y="0"/>
                      <a:ext cx="2025015" cy="25400"/>
                    </a:xfrm>
                    <a:prstGeom prst="rect">
                      <a:avLst/>
                    </a:prstGeom>
                    <a:noFill/>
                  </pic:spPr>
                </pic:pic>
              </a:graphicData>
            </a:graphic>
          </wp:anchor>
        </w:drawing>
        <w:drawing>
          <wp:anchor simplePos="0" relativeHeight="251657728" behindDoc="1" locked="0" layoutInCell="0" allowOverlap="1">
            <wp:simplePos x="0" y="0"/>
            <wp:positionH relativeFrom="column">
              <wp:posOffset>4467225</wp:posOffset>
            </wp:positionH>
            <wp:positionV relativeFrom="paragraph">
              <wp:posOffset>-485775</wp:posOffset>
            </wp:positionV>
            <wp:extent cx="20250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4">
                      <a:extLst>
                        <a:ext uri="{28A0092B-C50C-407E-A947-70E740481C1C}"/>
                      </a:extLst>
                    </a:blip>
                    <a:srcRect/>
                    <a:stretch>
                      <a:fillRect/>
                    </a:stretch>
                  </pic:blipFill>
                  <pic:spPr bwMode="auto">
                    <a:xfrm>
                      <a:off x="0" y="0"/>
                      <a:ext cx="2025015" cy="25400"/>
                    </a:xfrm>
                    <a:prstGeom prst="rect">
                      <a:avLst/>
                    </a:prstGeom>
                    <a:noFill/>
                  </pic:spPr>
                </pic:pic>
              </a:graphicData>
            </a:graphic>
          </wp:anchor>
        </w:drawing>
        <w:drawing>
          <wp:anchor simplePos="0" relativeHeight="251657728" behindDoc="1" locked="0" layoutInCell="0" allowOverlap="1">
            <wp:simplePos x="0" y="0"/>
            <wp:positionH relativeFrom="column">
              <wp:posOffset>4467225</wp:posOffset>
            </wp:positionH>
            <wp:positionV relativeFrom="paragraph">
              <wp:posOffset>-192405</wp:posOffset>
            </wp:positionV>
            <wp:extent cx="202501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5">
                      <a:extLst>
                        <a:ext uri="{28A0092B-C50C-407E-A947-70E740481C1C}"/>
                      </a:extLst>
                    </a:blip>
                    <a:srcRect/>
                    <a:stretch>
                      <a:fillRect/>
                    </a:stretch>
                  </pic:blipFill>
                  <pic:spPr bwMode="auto">
                    <a:xfrm>
                      <a:off x="0" y="0"/>
                      <a:ext cx="2025015" cy="25400"/>
                    </a:xfrm>
                    <a:prstGeom prst="rect">
                      <a:avLst/>
                    </a:prstGeom>
                    <a:noFill/>
                  </pic:spPr>
                </pic:pic>
              </a:graphicData>
            </a:graphic>
          </wp:anchor>
        </w:drawing>
        <w:drawing>
          <wp:anchor simplePos="0" relativeHeight="251657728" behindDoc="1" locked="0" layoutInCell="0" allowOverlap="1">
            <wp:simplePos x="0" y="0"/>
            <wp:positionH relativeFrom="column">
              <wp:posOffset>4467225</wp:posOffset>
            </wp:positionH>
            <wp:positionV relativeFrom="paragraph">
              <wp:posOffset>-43815</wp:posOffset>
            </wp:positionV>
            <wp:extent cx="2025015" cy="50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6">
                      <a:extLst>
                        <a:ext uri="{28A0092B-C50C-407E-A947-70E740481C1C}"/>
                      </a:extLst>
                    </a:blip>
                    <a:srcRect/>
                    <a:stretch>
                      <a:fillRect/>
                    </a:stretch>
                  </pic:blipFill>
                  <pic:spPr bwMode="auto">
                    <a:xfrm>
                      <a:off x="0" y="0"/>
                      <a:ext cx="2025015" cy="50800"/>
                    </a:xfrm>
                    <a:prstGeom prst="rect">
                      <a:avLst/>
                    </a:prstGeom>
                    <a:noFill/>
                  </pic:spPr>
                </pic:pic>
              </a:graphicData>
            </a:graphic>
          </wp:anchor>
        </w:drawing>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7060" w:type="dxa"/>
            <w:vAlign w:val="bottom"/>
          </w:tcPr>
          <w:p>
            <w:pPr>
              <w:spacing w:after="0"/>
              <w:rPr>
                <w:sz w:val="21"/>
                <w:szCs w:val="21"/>
                <w:color w:val="auto"/>
              </w:rPr>
            </w:pPr>
          </w:p>
        </w:tc>
        <w:tc>
          <w:tcPr>
            <w:tcW w:w="2960" w:type="dxa"/>
            <w:vAlign w:val="bottom"/>
            <w:tcBorders>
              <w:bottom w:val="single" w:sz="8" w:color="auto"/>
            </w:tcBorders>
            <w:gridSpan w:val="7"/>
          </w:tcPr>
          <w:p>
            <w:pPr>
              <w:jc w:val="right"/>
              <w:ind w:right="310"/>
              <w:spacing w:after="0"/>
              <w:rPr>
                <w:sz w:val="20"/>
                <w:szCs w:val="20"/>
                <w:color w:val="auto"/>
              </w:rPr>
            </w:pPr>
            <w:r>
              <w:rPr>
                <w:rFonts w:ascii="Arial" w:cs="Arial" w:eastAsia="Arial" w:hAnsi="Arial"/>
                <w:sz w:val="18"/>
                <w:szCs w:val="18"/>
                <w:b w:val="1"/>
                <w:bCs w:val="1"/>
                <w:color w:val="auto"/>
              </w:rPr>
              <w:t>Year ended December 31,</w:t>
            </w:r>
          </w:p>
        </w:tc>
        <w:tc>
          <w:tcPr>
            <w:tcW w:w="180" w:type="dxa"/>
            <w:vAlign w:val="bottom"/>
            <w:tcBorders>
              <w:bottom w:val="single" w:sz="8" w:color="auto"/>
            </w:tcBorders>
          </w:tcPr>
          <w:p>
            <w:pPr>
              <w:spacing w:after="0"/>
              <w:rPr>
                <w:sz w:val="21"/>
                <w:szCs w:val="21"/>
                <w:color w:val="auto"/>
              </w:rPr>
            </w:pPr>
          </w:p>
        </w:tc>
      </w:tr>
      <w:tr>
        <w:trPr>
          <w:trHeight w:val="234"/>
        </w:trPr>
        <w:tc>
          <w:tcPr>
            <w:tcW w:w="7060" w:type="dxa"/>
            <w:vAlign w:val="bottom"/>
          </w:tcPr>
          <w:p>
            <w:pPr>
              <w:jc w:val="right"/>
              <w:ind w:right="5590"/>
              <w:spacing w:after="0"/>
              <w:rPr>
                <w:sz w:val="20"/>
                <w:szCs w:val="20"/>
                <w:color w:val="auto"/>
              </w:rPr>
            </w:pPr>
            <w:r>
              <w:rPr>
                <w:rFonts w:ascii="Arial" w:cs="Arial" w:eastAsia="Arial" w:hAnsi="Arial"/>
                <w:sz w:val="18"/>
                <w:szCs w:val="18"/>
                <w:b w:val="1"/>
                <w:bCs w:val="1"/>
                <w:color w:val="auto"/>
                <w:w w:val="87"/>
              </w:rPr>
              <w:t>Business metrics:</w:t>
            </w: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0"/>
                <w:szCs w:val="20"/>
                <w:color w:val="auto"/>
              </w:rPr>
            </w:pPr>
          </w:p>
        </w:tc>
        <w:tc>
          <w:tcPr>
            <w:tcW w:w="8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0"/>
                <w:szCs w:val="20"/>
                <w:color w:val="auto"/>
              </w:rPr>
            </w:pPr>
          </w:p>
        </w:tc>
        <w:tc>
          <w:tcPr>
            <w:tcW w:w="9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r>
      <w:tr>
        <w:trPr>
          <w:trHeight w:val="244"/>
        </w:trPr>
        <w:tc>
          <w:tcPr>
            <w:tcW w:w="7060" w:type="dxa"/>
            <w:vAlign w:val="bottom"/>
            <w:tcBorders>
              <w:top w:val="single" w:sz="8" w:color="E6E6E6"/>
            </w:tcBorders>
            <w:shd w:val="clear" w:color="auto" w:fill="E6E6E6"/>
          </w:tcPr>
          <w:p>
            <w:pPr>
              <w:jc w:val="right"/>
              <w:spacing w:after="0" w:line="244" w:lineRule="exact"/>
              <w:rPr>
                <w:sz w:val="20"/>
                <w:szCs w:val="20"/>
                <w:color w:val="auto"/>
              </w:rPr>
            </w:pPr>
            <w:r>
              <w:rPr>
                <w:rFonts w:ascii="Arial" w:cs="Arial" w:eastAsia="Arial" w:hAnsi="Arial"/>
                <w:sz w:val="18"/>
                <w:szCs w:val="18"/>
                <w:color w:val="BDBDBD"/>
                <w:w w:val="96"/>
              </w:rPr>
              <w:t>. . . . . . . . . . . . . . . . . . . . . . . . . . . . . . . . . . . . . . . .</w:t>
            </w:r>
            <w:r>
              <w:rPr>
                <w:rFonts w:ascii="Arial" w:cs="Arial" w:eastAsia="Arial" w:hAnsi="Arial"/>
                <w:sz w:val="18"/>
                <w:szCs w:val="18"/>
                <w:color w:val="000000"/>
                <w:w w:val="96"/>
              </w:rPr>
              <w:t>SolarMWhgenerated/sold(inthousands)</w:t>
            </w:r>
            <w:r>
              <w:rPr>
                <w:rFonts w:ascii="Arial" w:cs="Arial" w:eastAsia="Arial" w:hAnsi="Arial"/>
                <w:sz w:val="23"/>
                <w:szCs w:val="23"/>
                <w:color w:val="000000"/>
                <w:w w:val="96"/>
                <w:vertAlign w:val="superscript"/>
              </w:rPr>
              <w:t>(a)</w:t>
            </w:r>
          </w:p>
        </w:tc>
        <w:tc>
          <w:tcPr>
            <w:tcW w:w="80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5,425</w:t>
            </w:r>
          </w:p>
        </w:tc>
        <w:tc>
          <w:tcPr>
            <w:tcW w:w="200" w:type="dxa"/>
            <w:vAlign w:val="bottom"/>
            <w:tcBorders>
              <w:top w:val="single" w:sz="8" w:color="auto"/>
            </w:tcBorders>
            <w:shd w:val="clear" w:color="auto" w:fill="E6E6E6"/>
          </w:tcPr>
          <w:p>
            <w:pPr>
              <w:spacing w:after="0"/>
              <w:rPr>
                <w:sz w:val="21"/>
                <w:szCs w:val="21"/>
                <w:color w:val="auto"/>
              </w:rPr>
            </w:pPr>
          </w:p>
        </w:tc>
        <w:tc>
          <w:tcPr>
            <w:tcW w:w="60" w:type="dxa"/>
            <w:vAlign w:val="bottom"/>
            <w:tcBorders>
              <w:top w:val="single" w:sz="8" w:color="E6E6E6"/>
            </w:tcBorders>
            <w:shd w:val="clear" w:color="auto" w:fill="E6E6E6"/>
          </w:tcPr>
          <w:p>
            <w:pPr>
              <w:spacing w:after="0"/>
              <w:rPr>
                <w:sz w:val="21"/>
                <w:szCs w:val="21"/>
                <w:color w:val="auto"/>
              </w:rPr>
            </w:pPr>
          </w:p>
        </w:tc>
        <w:tc>
          <w:tcPr>
            <w:tcW w:w="82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4,991</w:t>
            </w:r>
          </w:p>
        </w:tc>
        <w:tc>
          <w:tcPr>
            <w:tcW w:w="180" w:type="dxa"/>
            <w:vAlign w:val="bottom"/>
            <w:tcBorders>
              <w:top w:val="single" w:sz="8" w:color="auto"/>
            </w:tcBorders>
            <w:shd w:val="clear" w:color="auto" w:fill="E6E6E6"/>
          </w:tcPr>
          <w:p>
            <w:pPr>
              <w:spacing w:after="0"/>
              <w:rPr>
                <w:sz w:val="21"/>
                <w:szCs w:val="21"/>
                <w:color w:val="auto"/>
              </w:rPr>
            </w:pPr>
          </w:p>
        </w:tc>
        <w:tc>
          <w:tcPr>
            <w:tcW w:w="80" w:type="dxa"/>
            <w:vAlign w:val="bottom"/>
            <w:tcBorders>
              <w:top w:val="single" w:sz="8" w:color="E6E6E6"/>
            </w:tcBorders>
            <w:shd w:val="clear" w:color="auto" w:fill="E6E6E6"/>
          </w:tcPr>
          <w:p>
            <w:pPr>
              <w:spacing w:after="0"/>
              <w:rPr>
                <w:sz w:val="21"/>
                <w:szCs w:val="21"/>
                <w:color w:val="auto"/>
              </w:rPr>
            </w:pPr>
          </w:p>
        </w:tc>
        <w:tc>
          <w:tcPr>
            <w:tcW w:w="82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3,585</w:t>
            </w:r>
          </w:p>
        </w:tc>
        <w:tc>
          <w:tcPr>
            <w:tcW w:w="180" w:type="dxa"/>
            <w:vAlign w:val="bottom"/>
            <w:tcBorders>
              <w:top w:val="single" w:sz="8" w:color="auto"/>
            </w:tcBorders>
            <w:shd w:val="clear" w:color="auto" w:fill="E6E6E6"/>
          </w:tcPr>
          <w:p>
            <w:pPr>
              <w:spacing w:after="0"/>
              <w:rPr>
                <w:sz w:val="21"/>
                <w:szCs w:val="21"/>
                <w:color w:val="auto"/>
              </w:rPr>
            </w:pPr>
          </w:p>
        </w:tc>
      </w:tr>
      <w:tr>
        <w:trPr>
          <w:trHeight w:val="244"/>
        </w:trPr>
        <w:tc>
          <w:tcPr>
            <w:tcW w:w="7060" w:type="dxa"/>
            <w:vAlign w:val="bottom"/>
          </w:tcPr>
          <w:p>
            <w:pPr>
              <w:jc w:val="right"/>
              <w:spacing w:after="0" w:line="244" w:lineRule="exact"/>
              <w:rPr>
                <w:sz w:val="20"/>
                <w:szCs w:val="20"/>
                <w:color w:val="auto"/>
              </w:rPr>
            </w:pPr>
            <w:r>
              <w:rPr>
                <w:rFonts w:ascii="Arial" w:cs="Arial" w:eastAsia="Arial" w:hAnsi="Arial"/>
                <w:sz w:val="18"/>
                <w:szCs w:val="18"/>
                <w:color w:val="auto"/>
                <w:w w:val="91"/>
              </w:rPr>
              <w:t xml:space="preserve">Wind MWh generated/sold (in thousands) </w:t>
            </w:r>
            <w:r>
              <w:rPr>
                <w:rFonts w:ascii="Arial" w:cs="Arial" w:eastAsia="Arial" w:hAnsi="Arial"/>
                <w:sz w:val="23"/>
                <w:szCs w:val="23"/>
                <w:color w:val="auto"/>
                <w:w w:val="91"/>
                <w:vertAlign w:val="superscript"/>
              </w:rPr>
              <w:t>(a)</w:t>
            </w:r>
            <w:r>
              <w:rPr>
                <w:rFonts w:ascii="Arial" w:cs="Arial" w:eastAsia="Arial" w:hAnsi="Arial"/>
                <w:sz w:val="18"/>
                <w:szCs w:val="18"/>
                <w:color w:val="auto"/>
                <w:w w:val="91"/>
              </w:rPr>
              <w:t xml:space="preserve">  </w:t>
            </w:r>
            <w:r>
              <w:rPr>
                <w:rFonts w:ascii="Arial" w:cs="Arial" w:eastAsia="Arial" w:hAnsi="Arial"/>
                <w:sz w:val="18"/>
                <w:szCs w:val="18"/>
                <w:color w:val="BDBDBD"/>
                <w:w w:val="91"/>
              </w:rPr>
              <w:t>. . . . . . . . . . . . . . . . . . . . . . . . . . . . . . . . . . . . . . . .</w:t>
            </w:r>
          </w:p>
        </w:tc>
        <w:tc>
          <w:tcPr>
            <w:tcW w:w="800" w:type="dxa"/>
            <w:vAlign w:val="bottom"/>
          </w:tcPr>
          <w:p>
            <w:pPr>
              <w:jc w:val="right"/>
              <w:spacing w:after="0"/>
              <w:rPr>
                <w:sz w:val="20"/>
                <w:szCs w:val="20"/>
                <w:color w:val="auto"/>
              </w:rPr>
            </w:pPr>
            <w:r>
              <w:rPr>
                <w:rFonts w:ascii="Arial" w:cs="Arial" w:eastAsia="Arial" w:hAnsi="Arial"/>
                <w:sz w:val="18"/>
                <w:szCs w:val="18"/>
                <w:color w:val="auto"/>
              </w:rPr>
              <w:t>9,414</w:t>
            </w:r>
          </w:p>
        </w:tc>
        <w:tc>
          <w:tcPr>
            <w:tcW w:w="20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9,343</w:t>
            </w:r>
          </w:p>
        </w:tc>
        <w:tc>
          <w:tcPr>
            <w:tcW w:w="18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7,728</w:t>
            </w:r>
          </w:p>
        </w:tc>
        <w:tc>
          <w:tcPr>
            <w:tcW w:w="180" w:type="dxa"/>
            <w:vAlign w:val="bottom"/>
          </w:tcPr>
          <w:p>
            <w:pPr>
              <w:spacing w:after="0"/>
              <w:rPr>
                <w:sz w:val="21"/>
                <w:szCs w:val="21"/>
                <w:color w:val="auto"/>
              </w:rPr>
            </w:pPr>
          </w:p>
        </w:tc>
      </w:tr>
      <w:tr>
        <w:trPr>
          <w:trHeight w:val="254"/>
        </w:trPr>
        <w:tc>
          <w:tcPr>
            <w:tcW w:w="7060" w:type="dxa"/>
            <w:vAlign w:val="bottom"/>
            <w:tcBorders>
              <w:top w:val="single" w:sz="8" w:color="E6E6E6"/>
              <w:bottom w:val="single" w:sz="8" w:color="E6E6E6"/>
            </w:tcBorders>
            <w:shd w:val="clear" w:color="auto" w:fill="E6E6E6"/>
          </w:tcPr>
          <w:p>
            <w:pPr>
              <w:jc w:val="right"/>
              <w:spacing w:after="0" w:line="214" w:lineRule="exact"/>
              <w:rPr>
                <w:sz w:val="20"/>
                <w:szCs w:val="20"/>
                <w:color w:val="auto"/>
              </w:rPr>
            </w:pPr>
            <w:r>
              <w:rPr>
                <w:rFonts w:ascii="Arial" w:cs="Arial" w:eastAsia="Arial" w:hAnsi="Arial"/>
                <w:sz w:val="18"/>
                <w:szCs w:val="18"/>
                <w:color w:val="BDBDBD"/>
                <w:w w:val="93"/>
              </w:rPr>
              <w:t>. . . . . . . . . . . . . . . . . . . . . . . . . . . . . . . . . . . .</w:t>
            </w:r>
            <w:r>
              <w:rPr>
                <w:rFonts w:ascii="Arial" w:cs="Arial" w:eastAsia="Arial" w:hAnsi="Arial"/>
                <w:sz w:val="18"/>
                <w:szCs w:val="18"/>
                <w:color w:val="000000"/>
                <w:w w:val="93"/>
              </w:rPr>
              <w:t>RenewablesMWhgenerated/sold(inthousands)</w:t>
            </w:r>
            <w:r>
              <w:rPr>
                <w:rFonts w:ascii="Arial" w:cs="Arial" w:eastAsia="Arial" w:hAnsi="Arial"/>
                <w:sz w:val="23"/>
                <w:szCs w:val="23"/>
                <w:color w:val="000000"/>
                <w:w w:val="93"/>
                <w:vertAlign w:val="superscript"/>
              </w:rPr>
              <w:t>(a)</w:t>
            </w:r>
          </w:p>
        </w:tc>
        <w:tc>
          <w:tcPr>
            <w:tcW w:w="80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14,839</w:t>
            </w:r>
          </w:p>
        </w:tc>
        <w:tc>
          <w:tcPr>
            <w:tcW w:w="200" w:type="dxa"/>
            <w:vAlign w:val="bottom"/>
            <w:tcBorders>
              <w:top w:val="single" w:sz="8" w:color="auto"/>
              <w:bottom w:val="single" w:sz="8" w:color="auto"/>
            </w:tcBorders>
            <w:shd w:val="clear" w:color="auto" w:fill="E6E6E6"/>
          </w:tcPr>
          <w:p>
            <w:pPr>
              <w:spacing w:after="0"/>
              <w:rPr>
                <w:sz w:val="22"/>
                <w:szCs w:val="22"/>
                <w:color w:val="auto"/>
              </w:rPr>
            </w:pPr>
          </w:p>
        </w:tc>
        <w:tc>
          <w:tcPr>
            <w:tcW w:w="60" w:type="dxa"/>
            <w:vAlign w:val="bottom"/>
            <w:tcBorders>
              <w:top w:val="single" w:sz="8" w:color="E6E6E6"/>
              <w:bottom w:val="single" w:sz="8" w:color="E6E6E6"/>
            </w:tcBorders>
            <w:shd w:val="clear" w:color="auto" w:fill="E6E6E6"/>
          </w:tcPr>
          <w:p>
            <w:pPr>
              <w:spacing w:after="0"/>
              <w:rPr>
                <w:sz w:val="22"/>
                <w:szCs w:val="22"/>
                <w:color w:val="auto"/>
              </w:rPr>
            </w:pPr>
          </w:p>
        </w:tc>
        <w:tc>
          <w:tcPr>
            <w:tcW w:w="82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14,334</w:t>
            </w:r>
          </w:p>
        </w:tc>
        <w:tc>
          <w:tcPr>
            <w:tcW w:w="180" w:type="dxa"/>
            <w:vAlign w:val="bottom"/>
            <w:tcBorders>
              <w:top w:val="single" w:sz="8" w:color="auto"/>
              <w:bottom w:val="single" w:sz="8" w:color="auto"/>
            </w:tcBorders>
            <w:shd w:val="clear" w:color="auto" w:fill="E6E6E6"/>
          </w:tcPr>
          <w:p>
            <w:pPr>
              <w:spacing w:after="0"/>
              <w:rPr>
                <w:sz w:val="22"/>
                <w:szCs w:val="22"/>
                <w:color w:val="auto"/>
              </w:rPr>
            </w:pPr>
          </w:p>
        </w:tc>
        <w:tc>
          <w:tcPr>
            <w:tcW w:w="80" w:type="dxa"/>
            <w:vAlign w:val="bottom"/>
            <w:tcBorders>
              <w:top w:val="single" w:sz="8" w:color="E6E6E6"/>
              <w:bottom w:val="single" w:sz="8" w:color="E6E6E6"/>
            </w:tcBorders>
            <w:shd w:val="clear" w:color="auto" w:fill="E6E6E6"/>
          </w:tcPr>
          <w:p>
            <w:pPr>
              <w:spacing w:after="0"/>
              <w:rPr>
                <w:sz w:val="22"/>
                <w:szCs w:val="22"/>
                <w:color w:val="auto"/>
              </w:rPr>
            </w:pPr>
          </w:p>
        </w:tc>
        <w:tc>
          <w:tcPr>
            <w:tcW w:w="82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11,313</w:t>
            </w:r>
          </w:p>
        </w:tc>
        <w:tc>
          <w:tcPr>
            <w:tcW w:w="180" w:type="dxa"/>
            <w:vAlign w:val="bottom"/>
            <w:tcBorders>
              <w:top w:val="single" w:sz="8" w:color="auto"/>
              <w:bottom w:val="single" w:sz="8" w:color="auto"/>
            </w:tcBorders>
            <w:shd w:val="clear" w:color="auto" w:fill="E6E6E6"/>
          </w:tcPr>
          <w:p>
            <w:pPr>
              <w:spacing w:after="0"/>
              <w:rPr>
                <w:sz w:val="22"/>
                <w:szCs w:val="22"/>
                <w:color w:val="auto"/>
              </w:rPr>
            </w:pPr>
          </w:p>
        </w:tc>
      </w:tr>
      <w:tr>
        <w:trPr>
          <w:trHeight w:val="224"/>
        </w:trPr>
        <w:tc>
          <w:tcPr>
            <w:tcW w:w="7060" w:type="dxa"/>
            <w:vAlign w:val="bottom"/>
          </w:tcPr>
          <w:p>
            <w:pPr>
              <w:jc w:val="right"/>
              <w:spacing w:after="0" w:line="224" w:lineRule="exact"/>
              <w:rPr>
                <w:sz w:val="20"/>
                <w:szCs w:val="20"/>
                <w:color w:val="auto"/>
              </w:rPr>
            </w:pPr>
            <w:r>
              <w:rPr>
                <w:rFonts w:ascii="Arial" w:cs="Arial" w:eastAsia="Arial" w:hAnsi="Arial"/>
                <w:sz w:val="18"/>
                <w:szCs w:val="18"/>
                <w:color w:val="BDBDBD"/>
                <w:w w:val="93"/>
              </w:rPr>
              <w:t>. . . . . . . . . . . . . . . . . . . . . . . . . . . . . . . . . . . . . . . . . .</w:t>
            </w:r>
            <w:r>
              <w:rPr>
                <w:rFonts w:ascii="Arial" w:cs="Arial" w:eastAsia="Arial" w:hAnsi="Arial"/>
                <w:sz w:val="18"/>
                <w:szCs w:val="18"/>
                <w:color w:val="000000"/>
                <w:w w:val="93"/>
              </w:rPr>
              <w:t>Solarweighted-averagecapacityfactor</w:t>
            </w:r>
            <w:r>
              <w:rPr>
                <w:rFonts w:ascii="Arial" w:cs="Arial" w:eastAsia="Arial" w:hAnsi="Arial"/>
                <w:sz w:val="23"/>
                <w:szCs w:val="23"/>
                <w:color w:val="000000"/>
                <w:w w:val="93"/>
                <w:vertAlign w:val="superscript"/>
              </w:rPr>
              <w:t>(b)(c)</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27.5 %</w:t>
            </w:r>
          </w:p>
        </w:tc>
        <w:tc>
          <w:tcPr>
            <w:tcW w:w="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28.4 %</w:t>
            </w:r>
          </w:p>
        </w:tc>
        <w:tc>
          <w:tcPr>
            <w:tcW w:w="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24.2 %</w:t>
            </w:r>
          </w:p>
        </w:tc>
      </w:tr>
      <w:tr>
        <w:trPr>
          <w:trHeight w:val="254"/>
        </w:trPr>
        <w:tc>
          <w:tcPr>
            <w:tcW w:w="7060" w:type="dxa"/>
            <w:vAlign w:val="bottom"/>
            <w:shd w:val="clear" w:color="auto" w:fill="E6E6E6"/>
          </w:tcPr>
          <w:p>
            <w:pPr>
              <w:jc w:val="right"/>
              <w:spacing w:after="0" w:line="254" w:lineRule="exact"/>
              <w:rPr>
                <w:sz w:val="20"/>
                <w:szCs w:val="20"/>
                <w:color w:val="auto"/>
              </w:rPr>
            </w:pPr>
            <w:r>
              <w:rPr>
                <w:rFonts w:ascii="Arial" w:cs="Arial" w:eastAsia="Arial" w:hAnsi="Arial"/>
                <w:sz w:val="18"/>
                <w:szCs w:val="18"/>
                <w:color w:val="auto"/>
                <w:w w:val="90"/>
              </w:rPr>
              <w:t xml:space="preserve">Wind weighted-average capacity factor </w:t>
            </w:r>
            <w:r>
              <w:rPr>
                <w:rFonts w:ascii="Arial" w:cs="Arial" w:eastAsia="Arial" w:hAnsi="Arial"/>
                <w:sz w:val="23"/>
                <w:szCs w:val="23"/>
                <w:color w:val="auto"/>
                <w:w w:val="90"/>
                <w:vertAlign w:val="superscript"/>
              </w:rPr>
              <w:t>(d)</w:t>
            </w:r>
            <w:r>
              <w:rPr>
                <w:rFonts w:ascii="Arial" w:cs="Arial" w:eastAsia="Arial" w:hAnsi="Arial"/>
                <w:sz w:val="18"/>
                <w:szCs w:val="18"/>
                <w:color w:val="auto"/>
                <w:w w:val="90"/>
              </w:rPr>
              <w:t xml:space="preserve"> </w:t>
            </w:r>
            <w:r>
              <w:rPr>
                <w:rFonts w:ascii="Arial" w:cs="Arial" w:eastAsia="Arial" w:hAnsi="Arial"/>
                <w:sz w:val="18"/>
                <w:szCs w:val="18"/>
                <w:color w:val="BDBDBD"/>
                <w:w w:val="90"/>
              </w:rPr>
              <w:t>. . . . . . . . . . . . . . . . . . . . . . . . . . . . . . . . . . . . . . . . . . . .</w:t>
            </w:r>
          </w:p>
        </w:tc>
        <w:tc>
          <w:tcPr>
            <w:tcW w:w="100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28.3 %</w:t>
            </w:r>
          </w:p>
        </w:tc>
        <w:tc>
          <w:tcPr>
            <w:tcW w:w="1060" w:type="dxa"/>
            <w:vAlign w:val="bottom"/>
            <w:gridSpan w:val="3"/>
            <w:shd w:val="clear" w:color="auto" w:fill="E6E6E6"/>
          </w:tcPr>
          <w:p>
            <w:pPr>
              <w:jc w:val="right"/>
              <w:spacing w:after="0"/>
              <w:rPr>
                <w:sz w:val="20"/>
                <w:szCs w:val="20"/>
                <w:color w:val="auto"/>
              </w:rPr>
            </w:pPr>
            <w:r>
              <w:rPr>
                <w:rFonts w:ascii="Arial" w:cs="Arial" w:eastAsia="Arial" w:hAnsi="Arial"/>
                <w:sz w:val="18"/>
                <w:szCs w:val="18"/>
                <w:color w:val="auto"/>
              </w:rPr>
              <w:t>29.9 %</w:t>
            </w:r>
          </w:p>
        </w:tc>
        <w:tc>
          <w:tcPr>
            <w:tcW w:w="1080" w:type="dxa"/>
            <w:vAlign w:val="bottom"/>
            <w:gridSpan w:val="3"/>
            <w:shd w:val="clear" w:color="auto" w:fill="E6E6E6"/>
          </w:tcPr>
          <w:p>
            <w:pPr>
              <w:jc w:val="right"/>
              <w:spacing w:after="0"/>
              <w:rPr>
                <w:sz w:val="20"/>
                <w:szCs w:val="20"/>
                <w:color w:val="auto"/>
              </w:rPr>
            </w:pPr>
            <w:r>
              <w:rPr>
                <w:rFonts w:ascii="Arial" w:cs="Arial" w:eastAsia="Arial" w:hAnsi="Arial"/>
                <w:sz w:val="18"/>
                <w:szCs w:val="18"/>
                <w:color w:val="auto"/>
              </w:rPr>
              <w:t>29.1 %</w:t>
            </w:r>
          </w:p>
        </w:tc>
      </w:tr>
      <w:tr>
        <w:trPr>
          <w:trHeight w:val="254"/>
        </w:trPr>
        <w:tc>
          <w:tcPr>
            <w:tcW w:w="7060" w:type="dxa"/>
            <w:vAlign w:val="bottom"/>
          </w:tcPr>
          <w:p>
            <w:pPr>
              <w:jc w:val="right"/>
              <w:spacing w:after="0" w:line="254" w:lineRule="exact"/>
              <w:rPr>
                <w:sz w:val="20"/>
                <w:szCs w:val="20"/>
                <w:color w:val="auto"/>
              </w:rPr>
            </w:pPr>
            <w:r>
              <w:rPr>
                <w:rFonts w:ascii="Arial" w:cs="Arial" w:eastAsia="Arial" w:hAnsi="Arial"/>
                <w:sz w:val="18"/>
                <w:szCs w:val="18"/>
                <w:color w:val="auto"/>
                <w:w w:val="90"/>
              </w:rPr>
              <w:t xml:space="preserve">Thermal MWt sold (in thousands) </w:t>
            </w:r>
            <w:r>
              <w:rPr>
                <w:rFonts w:ascii="Arial" w:cs="Arial" w:eastAsia="Arial" w:hAnsi="Arial"/>
                <w:sz w:val="23"/>
                <w:szCs w:val="23"/>
                <w:color w:val="auto"/>
                <w:w w:val="90"/>
                <w:vertAlign w:val="superscript"/>
              </w:rPr>
              <w:t>(e)</w:t>
            </w:r>
            <w:r>
              <w:rPr>
                <w:rFonts w:ascii="Arial" w:cs="Arial" w:eastAsia="Arial" w:hAnsi="Arial"/>
                <w:sz w:val="18"/>
                <w:szCs w:val="18"/>
                <w:color w:val="auto"/>
                <w:w w:val="90"/>
              </w:rPr>
              <w:t xml:space="preserve">  </w:t>
            </w:r>
            <w:r>
              <w:rPr>
                <w:rFonts w:ascii="Arial" w:cs="Arial" w:eastAsia="Arial" w:hAnsi="Arial"/>
                <w:sz w:val="18"/>
                <w:szCs w:val="18"/>
                <w:color w:val="BDBDBD"/>
                <w:w w:val="90"/>
              </w:rPr>
              <w:t>. . . . . . . . . . . . . . . . . . . . . . . . . . . . . . . . . . . . . . . . . . . . . . . .</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835</w:t>
            </w:r>
          </w:p>
        </w:tc>
        <w:tc>
          <w:tcPr>
            <w:tcW w:w="18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2,035</w:t>
            </w:r>
          </w:p>
        </w:tc>
        <w:tc>
          <w:tcPr>
            <w:tcW w:w="180" w:type="dxa"/>
            <w:vAlign w:val="bottom"/>
          </w:tcPr>
          <w:p>
            <w:pPr>
              <w:spacing w:after="0"/>
              <w:rPr>
                <w:sz w:val="22"/>
                <w:szCs w:val="22"/>
                <w:color w:val="auto"/>
              </w:rPr>
            </w:pPr>
          </w:p>
        </w:tc>
      </w:tr>
      <w:tr>
        <w:trPr>
          <w:trHeight w:val="254"/>
        </w:trPr>
        <w:tc>
          <w:tcPr>
            <w:tcW w:w="7060" w:type="dxa"/>
            <w:vAlign w:val="bottom"/>
            <w:shd w:val="clear" w:color="auto" w:fill="E6E6E6"/>
          </w:tcPr>
          <w:p>
            <w:pPr>
              <w:jc w:val="right"/>
              <w:spacing w:after="0" w:line="254" w:lineRule="exact"/>
              <w:rPr>
                <w:sz w:val="20"/>
                <w:szCs w:val="20"/>
                <w:color w:val="auto"/>
              </w:rPr>
            </w:pPr>
            <w:r>
              <w:rPr>
                <w:rFonts w:ascii="Arial" w:cs="Arial" w:eastAsia="Arial" w:hAnsi="Arial"/>
                <w:sz w:val="18"/>
                <w:szCs w:val="18"/>
                <w:color w:val="auto"/>
                <w:w w:val="90"/>
              </w:rPr>
              <w:t xml:space="preserve">Thermal MWh sold (in thousands) </w:t>
            </w:r>
            <w:r>
              <w:rPr>
                <w:rFonts w:ascii="Arial" w:cs="Arial" w:eastAsia="Arial" w:hAnsi="Arial"/>
                <w:sz w:val="23"/>
                <w:szCs w:val="23"/>
                <w:color w:val="auto"/>
                <w:w w:val="90"/>
                <w:vertAlign w:val="superscript"/>
              </w:rPr>
              <w:t>(e)</w:t>
            </w:r>
            <w:r>
              <w:rPr>
                <w:rFonts w:ascii="Arial" w:cs="Arial" w:eastAsia="Arial" w:hAnsi="Arial"/>
                <w:sz w:val="18"/>
                <w:szCs w:val="18"/>
                <w:color w:val="auto"/>
                <w:w w:val="90"/>
              </w:rPr>
              <w:t xml:space="preserve"> </w:t>
            </w:r>
            <w:r>
              <w:rPr>
                <w:rFonts w:ascii="Arial" w:cs="Arial" w:eastAsia="Arial" w:hAnsi="Arial"/>
                <w:sz w:val="18"/>
                <w:szCs w:val="18"/>
                <w:color w:val="BDBDBD"/>
                <w:w w:val="90"/>
              </w:rPr>
              <w:t>. . . . . . . . . . . . . . . . . . . . . . . . . . . . . . . . . . . . . . . . . . . . . . . .</w:t>
            </w: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6E6E6"/>
          </w:tcPr>
          <w:p>
            <w:pPr>
              <w:spacing w:after="0"/>
              <w:rPr>
                <w:sz w:val="22"/>
                <w:szCs w:val="22"/>
                <w:color w:val="auto"/>
              </w:rPr>
            </w:pPr>
          </w:p>
        </w:tc>
        <w:tc>
          <w:tcPr>
            <w:tcW w:w="88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E6E6E6"/>
          </w:tcPr>
          <w:p>
            <w:pPr>
              <w:spacing w:after="0"/>
              <w:rPr>
                <w:sz w:val="22"/>
                <w:szCs w:val="22"/>
                <w:color w:val="auto"/>
              </w:rPr>
            </w:pPr>
          </w:p>
        </w:tc>
        <w:tc>
          <w:tcPr>
            <w:tcW w:w="90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59</w:t>
            </w:r>
          </w:p>
        </w:tc>
        <w:tc>
          <w:tcPr>
            <w:tcW w:w="180" w:type="dxa"/>
            <w:vAlign w:val="bottom"/>
            <w:shd w:val="clear" w:color="auto" w:fill="E6E6E6"/>
          </w:tcPr>
          <w:p>
            <w:pPr>
              <w:spacing w:after="0"/>
              <w:rPr>
                <w:sz w:val="22"/>
                <w:szCs w:val="22"/>
                <w:color w:val="auto"/>
              </w:rPr>
            </w:pPr>
          </w:p>
        </w:tc>
      </w:tr>
      <w:tr>
        <w:trPr>
          <w:trHeight w:val="254"/>
        </w:trPr>
        <w:tc>
          <w:tcPr>
            <w:tcW w:w="7060" w:type="dxa"/>
            <w:vAlign w:val="bottom"/>
          </w:tcPr>
          <w:p>
            <w:pPr>
              <w:jc w:val="right"/>
              <w:spacing w:after="0" w:line="254" w:lineRule="exact"/>
              <w:rPr>
                <w:sz w:val="20"/>
                <w:szCs w:val="20"/>
                <w:color w:val="auto"/>
              </w:rPr>
            </w:pPr>
            <w:r>
              <w:rPr>
                <w:rFonts w:ascii="Arial" w:cs="Arial" w:eastAsia="Arial" w:hAnsi="Arial"/>
                <w:sz w:val="18"/>
                <w:szCs w:val="18"/>
                <w:color w:val="auto"/>
                <w:w w:val="89"/>
              </w:rPr>
              <w:t xml:space="preserve">Conventional MWh generated (in thousands) </w:t>
            </w:r>
            <w:r>
              <w:rPr>
                <w:rFonts w:ascii="Arial" w:cs="Arial" w:eastAsia="Arial" w:hAnsi="Arial"/>
                <w:sz w:val="23"/>
                <w:szCs w:val="23"/>
                <w:color w:val="auto"/>
                <w:w w:val="89"/>
                <w:vertAlign w:val="superscript"/>
              </w:rPr>
              <w:t>(a) (f)</w:t>
            </w:r>
            <w:r>
              <w:rPr>
                <w:rFonts w:ascii="Arial" w:cs="Arial" w:eastAsia="Arial" w:hAnsi="Arial"/>
                <w:sz w:val="18"/>
                <w:szCs w:val="18"/>
                <w:color w:val="auto"/>
                <w:w w:val="89"/>
              </w:rPr>
              <w:t xml:space="preserve"> </w:t>
            </w:r>
            <w:r>
              <w:rPr>
                <w:rFonts w:ascii="Arial" w:cs="Arial" w:eastAsia="Arial" w:hAnsi="Arial"/>
                <w:sz w:val="18"/>
                <w:szCs w:val="18"/>
                <w:color w:val="BDBDBD"/>
                <w:w w:val="89"/>
              </w:rPr>
              <w:t>. . . . . . . . . . . . . . . . . . . . . . . . . . . . . . . . . . . . . .</w:t>
            </w:r>
          </w:p>
        </w:tc>
        <w:tc>
          <w:tcPr>
            <w:tcW w:w="800" w:type="dxa"/>
            <w:vAlign w:val="bottom"/>
          </w:tcPr>
          <w:p>
            <w:pPr>
              <w:jc w:val="right"/>
              <w:spacing w:after="0"/>
              <w:rPr>
                <w:sz w:val="20"/>
                <w:szCs w:val="20"/>
                <w:color w:val="auto"/>
              </w:rPr>
            </w:pPr>
            <w:r>
              <w:rPr>
                <w:rFonts w:ascii="Arial" w:cs="Arial" w:eastAsia="Arial" w:hAnsi="Arial"/>
                <w:sz w:val="18"/>
                <w:szCs w:val="18"/>
                <w:color w:val="auto"/>
              </w:rPr>
              <w:t>996</w:t>
            </w:r>
          </w:p>
        </w:tc>
        <w:tc>
          <w:tcPr>
            <w:tcW w:w="20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1,236</w:t>
            </w:r>
          </w:p>
        </w:tc>
        <w:tc>
          <w:tcPr>
            <w:tcW w:w="18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1,108</w:t>
            </w:r>
          </w:p>
        </w:tc>
        <w:tc>
          <w:tcPr>
            <w:tcW w:w="180" w:type="dxa"/>
            <w:vAlign w:val="bottom"/>
          </w:tcPr>
          <w:p>
            <w:pPr>
              <w:spacing w:after="0"/>
              <w:rPr>
                <w:sz w:val="22"/>
                <w:szCs w:val="22"/>
                <w:color w:val="auto"/>
              </w:rPr>
            </w:pPr>
          </w:p>
        </w:tc>
      </w:tr>
      <w:tr>
        <w:trPr>
          <w:trHeight w:val="254"/>
        </w:trPr>
        <w:tc>
          <w:tcPr>
            <w:tcW w:w="706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1"/>
              </w:rPr>
              <w:t xml:space="preserve">Conventional equivalent availability factor </w:t>
            </w:r>
            <w:r>
              <w:rPr>
                <w:rFonts w:ascii="Arial" w:cs="Arial" w:eastAsia="Arial" w:hAnsi="Arial"/>
                <w:sz w:val="18"/>
                <w:szCs w:val="18"/>
                <w:color w:val="BDBDBD"/>
                <w:w w:val="91"/>
              </w:rPr>
              <w:t>. . . . . . . . . . . . . . . . . . . . . . . . . . . . . . . . . . . . . . . . . . .</w:t>
            </w: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90.2</w:t>
            </w:r>
          </w:p>
        </w:tc>
        <w:tc>
          <w:tcPr>
            <w:tcW w:w="20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92.2</w:t>
            </w:r>
          </w:p>
        </w:tc>
        <w:tc>
          <w:tcPr>
            <w:tcW w:w="18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94.7</w:t>
            </w:r>
          </w:p>
        </w:tc>
        <w:tc>
          <w:tcPr>
            <w:tcW w:w="180" w:type="dxa"/>
            <w:vAlign w:val="bottom"/>
            <w:shd w:val="clear" w:color="auto" w:fill="E6E6E6"/>
          </w:tcPr>
          <w:p>
            <w:pPr>
              <w:jc w:val="right"/>
              <w:spacing w:after="0"/>
              <w:rPr>
                <w:sz w:val="20"/>
                <w:szCs w:val="20"/>
                <w:color w:val="auto"/>
              </w:rPr>
            </w:pPr>
            <w:r>
              <w:rPr>
                <w:rFonts w:ascii="Arial" w:cs="Arial" w:eastAsia="Arial" w:hAnsi="Arial"/>
                <w:sz w:val="18"/>
                <w:szCs w:val="18"/>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4467225</wp:posOffset>
            </wp:positionH>
            <wp:positionV relativeFrom="paragraph">
              <wp:posOffset>-1462405</wp:posOffset>
            </wp:positionV>
            <wp:extent cx="20250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7">
                      <a:extLst>
                        <a:ext uri="{28A0092B-C50C-407E-A947-70E740481C1C}"/>
                      </a:extLst>
                    </a:blip>
                    <a:srcRect/>
                    <a:stretch>
                      <a:fillRect/>
                    </a:stretch>
                  </pic:blipFill>
                  <pic:spPr bwMode="auto">
                    <a:xfrm>
                      <a:off x="0" y="0"/>
                      <a:ext cx="2025015" cy="25400"/>
                    </a:xfrm>
                    <a:prstGeom prst="rect">
                      <a:avLst/>
                    </a:prstGeom>
                    <a:noFill/>
                  </pic:spPr>
                </pic:pic>
              </a:graphicData>
            </a:graphic>
          </wp:anchor>
        </w:drawing>
        <w:drawing>
          <wp:anchor simplePos="0" relativeHeight="251657728" behindDoc="1" locked="0" layoutInCell="0" allowOverlap="1">
            <wp:simplePos x="0" y="0"/>
            <wp:positionH relativeFrom="column">
              <wp:posOffset>4467225</wp:posOffset>
            </wp:positionH>
            <wp:positionV relativeFrom="paragraph">
              <wp:posOffset>-1139825</wp:posOffset>
            </wp:positionV>
            <wp:extent cx="20250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8">
                      <a:extLst>
                        <a:ext uri="{28A0092B-C50C-407E-A947-70E740481C1C}"/>
                      </a:extLst>
                    </a:blip>
                    <a:srcRect/>
                    <a:stretch>
                      <a:fillRect/>
                    </a:stretch>
                  </pic:blipFill>
                  <pic:spPr bwMode="auto">
                    <a:xfrm>
                      <a:off x="0" y="0"/>
                      <a:ext cx="2025015" cy="25400"/>
                    </a:xfrm>
                    <a:prstGeom prst="rect">
                      <a:avLst/>
                    </a:prstGeom>
                    <a:noFill/>
                  </pic:spPr>
                </pic:pic>
              </a:graphicData>
            </a:graphic>
          </wp:anchor>
        </w:drawing>
        <w:drawing>
          <wp:anchor simplePos="0" relativeHeight="251657728" behindDoc="1" locked="0" layoutInCell="0" allowOverlap="1">
            <wp:simplePos x="0" y="0"/>
            <wp:positionH relativeFrom="column">
              <wp:posOffset>4467225</wp:posOffset>
            </wp:positionH>
            <wp:positionV relativeFrom="paragraph">
              <wp:posOffset>-991235</wp:posOffset>
            </wp:positionV>
            <wp:extent cx="2025015" cy="50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9">
                      <a:extLst>
                        <a:ext uri="{28A0092B-C50C-407E-A947-70E740481C1C}"/>
                      </a:extLst>
                    </a:blip>
                    <a:srcRect/>
                    <a:stretch>
                      <a:fillRect/>
                    </a:stretch>
                  </pic:blipFill>
                  <pic:spPr bwMode="auto">
                    <a:xfrm>
                      <a:off x="0" y="0"/>
                      <a:ext cx="2025015" cy="508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-2540</wp:posOffset>
                </wp:positionH>
                <wp:positionV relativeFrom="paragraph">
                  <wp:posOffset>110490</wp:posOffset>
                </wp:positionV>
                <wp:extent cx="1259840"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598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8.7pt" to="99pt,8.7pt" o:allowincell="f" strokecolor="#000000" strokeweight="1pt"/>
            </w:pict>
          </mc:Fallback>
        </mc:AlternateContent>
      </w:r>
    </w:p>
    <w:p>
      <w:pPr>
        <w:spacing w:after="0" w:line="170" w:lineRule="exact"/>
        <w:rPr>
          <w:sz w:val="20"/>
          <w:szCs w:val="20"/>
          <w:color w:val="auto"/>
        </w:rPr>
      </w:pPr>
    </w:p>
    <w:p>
      <w:pPr>
        <w:ind w:left="280" w:hanging="195"/>
        <w:spacing w:after="0"/>
        <w:tabs>
          <w:tab w:leader="none" w:pos="280" w:val="left"/>
        </w:tabs>
        <w:numPr>
          <w:ilvl w:val="0"/>
          <w:numId w:val="26"/>
        </w:numPr>
        <w:rPr>
          <w:rFonts w:ascii="Arial" w:cs="Arial" w:eastAsia="Arial" w:hAnsi="Arial"/>
          <w:sz w:val="21"/>
          <w:szCs w:val="21"/>
          <w:color w:val="auto"/>
          <w:vertAlign w:val="superscript"/>
        </w:rPr>
      </w:pPr>
      <w:r>
        <w:rPr>
          <w:rFonts w:ascii="Arial" w:cs="Arial" w:eastAsia="Arial" w:hAnsi="Arial"/>
          <w:sz w:val="16"/>
          <w:szCs w:val="16"/>
          <w:color w:val="auto"/>
        </w:rPr>
        <w:t>Volumes do not include the MWh generated/sold by the Company’s equity method investments.</w:t>
      </w:r>
    </w:p>
    <w:p>
      <w:pPr>
        <w:spacing w:after="0" w:line="2" w:lineRule="exact"/>
        <w:rPr>
          <w:rFonts w:ascii="Arial" w:cs="Arial" w:eastAsia="Arial" w:hAnsi="Arial"/>
          <w:sz w:val="21"/>
          <w:szCs w:val="21"/>
          <w:color w:val="auto"/>
          <w:vertAlign w:val="superscript"/>
        </w:rPr>
      </w:pPr>
    </w:p>
    <w:p>
      <w:pPr>
        <w:ind w:left="280" w:hanging="195"/>
        <w:spacing w:after="0" w:line="217" w:lineRule="auto"/>
        <w:tabs>
          <w:tab w:leader="none" w:pos="280" w:val="left"/>
        </w:tabs>
        <w:numPr>
          <w:ilvl w:val="0"/>
          <w:numId w:val="26"/>
        </w:numPr>
        <w:rPr>
          <w:rFonts w:ascii="Arial" w:cs="Arial" w:eastAsia="Arial" w:hAnsi="Arial"/>
          <w:sz w:val="20"/>
          <w:szCs w:val="20"/>
          <w:color w:val="auto"/>
          <w:vertAlign w:val="superscript"/>
        </w:rPr>
      </w:pPr>
      <w:r>
        <w:rPr>
          <w:rFonts w:ascii="Arial" w:cs="Arial" w:eastAsia="Arial" w:hAnsi="Arial"/>
          <w:sz w:val="15"/>
          <w:szCs w:val="15"/>
          <w:color w:val="auto"/>
        </w:rPr>
        <w:t>Typical average capacity factors for solar facilities is 25%. The weighted-average capacity factors can vary based on seasonality and weather.</w:t>
      </w:r>
    </w:p>
    <w:p>
      <w:pPr>
        <w:spacing w:after="0" w:line="3" w:lineRule="exact"/>
        <w:rPr>
          <w:rFonts w:ascii="Arial" w:cs="Arial" w:eastAsia="Arial" w:hAnsi="Arial"/>
          <w:sz w:val="20"/>
          <w:szCs w:val="20"/>
          <w:color w:val="auto"/>
          <w:vertAlign w:val="superscript"/>
        </w:rPr>
      </w:pPr>
    </w:p>
    <w:p>
      <w:pPr>
        <w:ind w:left="280" w:hanging="195"/>
        <w:spacing w:after="0" w:line="207" w:lineRule="auto"/>
        <w:tabs>
          <w:tab w:leader="none" w:pos="280" w:val="left"/>
        </w:tabs>
        <w:numPr>
          <w:ilvl w:val="0"/>
          <w:numId w:val="26"/>
        </w:numPr>
        <w:rPr>
          <w:rFonts w:ascii="Arial" w:cs="Arial" w:eastAsia="Arial" w:hAnsi="Arial"/>
          <w:sz w:val="21"/>
          <w:szCs w:val="21"/>
          <w:color w:val="auto"/>
          <w:vertAlign w:val="superscript"/>
        </w:rPr>
      </w:pPr>
      <w:r>
        <w:rPr>
          <w:rFonts w:ascii="Arial" w:cs="Arial" w:eastAsia="Arial" w:hAnsi="Arial"/>
          <w:sz w:val="16"/>
          <w:szCs w:val="16"/>
          <w:color w:val="auto"/>
        </w:rPr>
        <w:t>The 2021 solar weighted-average capacity factor is lower, due to the Company owning the Utah Solar Portfolio for one month.</w:t>
      </w:r>
    </w:p>
    <w:p>
      <w:pPr>
        <w:spacing w:after="0" w:line="2" w:lineRule="exact"/>
        <w:rPr>
          <w:rFonts w:ascii="Arial" w:cs="Arial" w:eastAsia="Arial" w:hAnsi="Arial"/>
          <w:sz w:val="21"/>
          <w:szCs w:val="21"/>
          <w:color w:val="auto"/>
          <w:vertAlign w:val="superscript"/>
        </w:rPr>
      </w:pPr>
    </w:p>
    <w:p>
      <w:pPr>
        <w:ind w:left="280" w:hanging="195"/>
        <w:spacing w:after="0" w:line="217" w:lineRule="auto"/>
        <w:tabs>
          <w:tab w:leader="none" w:pos="280" w:val="left"/>
        </w:tabs>
        <w:numPr>
          <w:ilvl w:val="0"/>
          <w:numId w:val="26"/>
        </w:numPr>
        <w:rPr>
          <w:rFonts w:ascii="Arial" w:cs="Arial" w:eastAsia="Arial" w:hAnsi="Arial"/>
          <w:sz w:val="20"/>
          <w:szCs w:val="20"/>
          <w:color w:val="auto"/>
          <w:vertAlign w:val="superscript"/>
        </w:rPr>
      </w:pPr>
      <w:r>
        <w:rPr>
          <w:rFonts w:ascii="Arial" w:cs="Arial" w:eastAsia="Arial" w:hAnsi="Arial"/>
          <w:sz w:val="15"/>
          <w:szCs w:val="15"/>
          <w:color w:val="auto"/>
        </w:rPr>
        <w:t>Typical average capacity factors for wind facilities is 25-45%. The weighted-average capacity factors can vary based on seasonality and weather.</w:t>
      </w:r>
    </w:p>
    <w:p>
      <w:pPr>
        <w:spacing w:after="0" w:line="3" w:lineRule="exact"/>
        <w:rPr>
          <w:rFonts w:ascii="Arial" w:cs="Arial" w:eastAsia="Arial" w:hAnsi="Arial"/>
          <w:sz w:val="20"/>
          <w:szCs w:val="20"/>
          <w:color w:val="auto"/>
          <w:vertAlign w:val="superscript"/>
        </w:rPr>
      </w:pPr>
    </w:p>
    <w:p>
      <w:pPr>
        <w:ind w:left="280" w:hanging="195"/>
        <w:spacing w:after="0" w:line="207" w:lineRule="auto"/>
        <w:tabs>
          <w:tab w:leader="none" w:pos="280" w:val="left"/>
        </w:tabs>
        <w:numPr>
          <w:ilvl w:val="0"/>
          <w:numId w:val="26"/>
        </w:numPr>
        <w:rPr>
          <w:rFonts w:ascii="Arial" w:cs="Arial" w:eastAsia="Arial" w:hAnsi="Arial"/>
          <w:sz w:val="21"/>
          <w:szCs w:val="21"/>
          <w:color w:val="auto"/>
          <w:vertAlign w:val="superscript"/>
        </w:rPr>
      </w:pPr>
      <w:r>
        <w:rPr>
          <w:rFonts w:ascii="Arial" w:cs="Arial" w:eastAsia="Arial" w:hAnsi="Arial"/>
          <w:sz w:val="16"/>
          <w:szCs w:val="16"/>
          <w:color w:val="auto"/>
        </w:rPr>
        <w:t>On May 1, 2022, the Company completed the sale of 100% of its interests in the Thermal Business to KKR.</w:t>
      </w:r>
    </w:p>
    <w:p>
      <w:pPr>
        <w:spacing w:after="0" w:line="2" w:lineRule="exact"/>
        <w:rPr>
          <w:rFonts w:ascii="Arial" w:cs="Arial" w:eastAsia="Arial" w:hAnsi="Arial"/>
          <w:sz w:val="21"/>
          <w:szCs w:val="21"/>
          <w:color w:val="auto"/>
          <w:vertAlign w:val="superscript"/>
        </w:rPr>
      </w:pPr>
    </w:p>
    <w:p>
      <w:pPr>
        <w:ind w:left="260" w:hanging="175"/>
        <w:spacing w:after="0" w:line="207" w:lineRule="auto"/>
        <w:tabs>
          <w:tab w:leader="none" w:pos="260" w:val="left"/>
        </w:tabs>
        <w:numPr>
          <w:ilvl w:val="0"/>
          <w:numId w:val="26"/>
        </w:numPr>
        <w:rPr>
          <w:rFonts w:ascii="Arial" w:cs="Arial" w:eastAsia="Arial" w:hAnsi="Arial"/>
          <w:sz w:val="21"/>
          <w:szCs w:val="21"/>
          <w:color w:val="auto"/>
          <w:vertAlign w:val="superscript"/>
        </w:rPr>
      </w:pPr>
      <w:r>
        <w:rPr>
          <w:rFonts w:ascii="Arial" w:cs="Arial" w:eastAsia="Arial" w:hAnsi="Arial"/>
          <w:sz w:val="16"/>
          <w:szCs w:val="16"/>
          <w:color w:val="auto"/>
        </w:rPr>
        <w:t>Volumes generated in 2022 and 2021 were not sold as the Conventional facilities sold only capacity rather than energy prior to 2023.</w:t>
      </w:r>
    </w:p>
    <w:p>
      <w:pPr>
        <w:sectPr>
          <w:pgSz w:w="11880" w:h="15480" w:orient="portrait"/>
          <w:cols w:equalWidth="0" w:num="1">
            <w:col w:w="10200"/>
          </w:cols>
          <w:pgMar w:left="840" w:top="404"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ectPr>
          <w:pgSz w:w="11880" w:h="15480" w:orient="portrait"/>
          <w:cols w:equalWidth="0" w:num="1">
            <w:col w:w="10200"/>
          </w:cols>
          <w:pgMar w:left="840" w:top="404" w:right="840" w:bottom="0" w:gutter="0" w:footer="0" w:header="0"/>
          <w:type w:val="continuous"/>
        </w:sectPr>
      </w:pPr>
    </w:p>
    <w:bookmarkStart w:id="51" w:name="page52"/>
    <w:bookmarkEnd w:id="51"/>
    <w:p>
      <w:pPr>
        <w:ind w:right="1580"/>
        <w:spacing w:after="0" w:line="439" w:lineRule="auto"/>
        <w:rPr>
          <w:sz w:val="20"/>
          <w:szCs w:val="20"/>
          <w:color w:val="auto"/>
        </w:rPr>
      </w:pPr>
      <w:r>
        <w:rPr>
          <w:rFonts w:ascii="Arial" w:cs="Arial" w:eastAsia="Arial" w:hAnsi="Arial"/>
          <w:sz w:val="20"/>
          <w:szCs w:val="20"/>
          <w:b w:val="1"/>
          <w:bCs w:val="1"/>
          <w:color w:val="auto"/>
        </w:rPr>
        <w:t xml:space="preserve">Management’s discussion of the results of operations for the years ended December 31, 2023 and 2022 </w:t>
      </w:r>
      <w:r>
        <w:rPr>
          <w:rFonts w:ascii="Arial" w:cs="Arial" w:eastAsia="Arial" w:hAnsi="Arial"/>
          <w:sz w:val="20"/>
          <w:szCs w:val="20"/>
          <w:b w:val="1"/>
          <w:bCs w:val="1"/>
          <w:i w:val="1"/>
          <w:iCs w:val="1"/>
          <w:color w:val="auto"/>
        </w:rPr>
        <w:t>Operating Revenues</w:t>
      </w:r>
    </w:p>
    <w:p>
      <w:pPr>
        <w:spacing w:after="0" w:line="1" w:lineRule="exact"/>
        <w:rPr>
          <w:sz w:val="20"/>
          <w:szCs w:val="20"/>
          <w:color w:val="auto"/>
        </w:rPr>
      </w:pPr>
    </w:p>
    <w:p>
      <w:pPr>
        <w:ind w:firstLine="448"/>
        <w:spacing w:after="0" w:line="280" w:lineRule="auto"/>
        <w:rPr>
          <w:sz w:val="20"/>
          <w:szCs w:val="20"/>
          <w:color w:val="auto"/>
        </w:rPr>
      </w:pPr>
      <w:r>
        <w:rPr>
          <w:rFonts w:ascii="Arial" w:cs="Arial" w:eastAsia="Arial" w:hAnsi="Arial"/>
          <w:sz w:val="20"/>
          <w:szCs w:val="20"/>
          <w:color w:val="auto"/>
        </w:rPr>
        <w:t>Operating revenues increased by $124 million for the year ended December 31, 2023, compared to the same period in 2022, due to a combination of the drivers summarized in the table below:</w:t>
      </w:r>
    </w:p>
    <w:p>
      <w:pPr>
        <w:sectPr>
          <w:pgSz w:w="11880" w:h="15480" w:orient="portrait"/>
          <w:cols w:equalWidth="0" w:num="1">
            <w:col w:w="10200"/>
          </w:cols>
          <w:pgMar w:left="840" w:top="404" w:right="840" w:bottom="0" w:gutter="0" w:footer="0" w:header="0"/>
        </w:sectPr>
      </w:pPr>
    </w:p>
    <w:p>
      <w:pPr>
        <w:spacing w:after="0" w:line="328" w:lineRule="exact"/>
        <w:rPr>
          <w:sz w:val="20"/>
          <w:szCs w:val="20"/>
          <w:color w:val="auto"/>
        </w:rPr>
      </w:pPr>
    </w:p>
    <w:p>
      <w:pPr>
        <w:ind w:left="40"/>
        <w:spacing w:after="0"/>
        <w:tabs>
          <w:tab w:leader="none" w:pos="2420" w:val="left"/>
        </w:tabs>
        <w:rPr>
          <w:sz w:val="20"/>
          <w:szCs w:val="20"/>
          <w:color w:val="auto"/>
        </w:rPr>
      </w:pPr>
      <w:r>
        <w:rPr>
          <w:rFonts w:ascii="Arial" w:cs="Arial" w:eastAsia="Arial" w:hAnsi="Arial"/>
          <w:sz w:val="20"/>
          <w:szCs w:val="20"/>
          <w:b w:val="1"/>
          <w:bCs w:val="1"/>
          <w:color w:val="auto"/>
        </w:rPr>
        <w:t>Renewables Segment</w:t>
      </w:r>
      <w:r>
        <w:rPr>
          <w:sz w:val="20"/>
          <w:szCs w:val="20"/>
          <w:color w:val="auto"/>
        </w:rPr>
        <w:tab/>
      </w:r>
      <w:r>
        <w:rPr>
          <w:rFonts w:ascii="Arial" w:cs="Arial" w:eastAsia="Arial" w:hAnsi="Arial"/>
          <w:sz w:val="19"/>
          <w:szCs w:val="19"/>
          <w:color w:val="auto"/>
        </w:rPr>
        <w:t>Increase driven by the acquisition of the Capistrano Wind Portfolio in August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-146050</wp:posOffset>
            </wp:positionV>
            <wp:extent cx="6495415" cy="3257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0">
                      <a:extLst>
                        <a:ext uri="{28A0092B-C50C-407E-A947-70E740481C1C}"/>
                      </a:extLst>
                    </a:blip>
                    <a:srcRect/>
                    <a:stretch>
                      <a:fillRect/>
                    </a:stretch>
                  </pic:blipFill>
                  <pic:spPr bwMode="auto">
                    <a:xfrm>
                      <a:off x="0" y="0"/>
                      <a:ext cx="6495415" cy="325755"/>
                    </a:xfrm>
                    <a:prstGeom prst="rect">
                      <a:avLst/>
                    </a:prstGeom>
                    <a:noFill/>
                  </pic:spPr>
                </pic:pic>
              </a:graphicData>
            </a:graphic>
          </wp:anchor>
        </w:drawing>
      </w:r>
    </w:p>
    <w:p>
      <w:pPr>
        <w:ind w:left="2440"/>
        <w:spacing w:after="0"/>
        <w:rPr>
          <w:sz w:val="20"/>
          <w:szCs w:val="20"/>
          <w:color w:val="auto"/>
        </w:rPr>
      </w:pPr>
      <w:r>
        <w:rPr>
          <w:rFonts w:ascii="Arial" w:cs="Arial" w:eastAsia="Arial" w:hAnsi="Arial"/>
          <w:sz w:val="20"/>
          <w:szCs w:val="20"/>
          <w:color w:val="auto"/>
        </w:rPr>
        <w:t>2022.</w:t>
      </w:r>
    </w:p>
    <w:p>
      <w:pPr>
        <w:spacing w:after="0" w:line="56"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Increase for solar acquisitions driven by Mililani I, Waiawa and Daggett 3, which</w:t>
      </w:r>
    </w:p>
    <w:p>
      <w:pPr>
        <w:ind w:left="2440" w:right="20"/>
        <w:spacing w:after="0" w:line="239" w:lineRule="auto"/>
        <w:rPr>
          <w:sz w:val="20"/>
          <w:szCs w:val="20"/>
          <w:color w:val="auto"/>
        </w:rPr>
      </w:pPr>
      <w:r>
        <w:rPr>
          <w:rFonts w:ascii="Arial" w:cs="Arial" w:eastAsia="Arial" w:hAnsi="Arial"/>
          <w:sz w:val="20"/>
          <w:szCs w:val="20"/>
          <w:color w:val="auto"/>
        </w:rPr>
        <w:t>reached commercial operations in July 2022, January 2023 and July 2023, respectively, offset by the disposition of Kawailoa in August 2022.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20320</wp:posOffset>
                </wp:positionV>
                <wp:extent cx="6481445" cy="44577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1445" cy="445770"/>
                        </a:xfrm>
                        <a:prstGeom prst="rect">
                          <a:avLst/>
                        </a:prstGeom>
                        <a:solidFill>
                          <a:srgbClr val="E6E6E6"/>
                        </a:solidFill>
                      </wps:spPr>
                      <wps:bodyPr/>
                    </wps:wsp>
                  </a:graphicData>
                </a:graphic>
              </wp:anchor>
            </w:drawing>
          </mc:Choice>
          <mc:Fallback>
            <w:pict>
              <v:rect id="Shape 41" o:spid="_x0000_s1066" style="position:absolute;margin-left:-0.1499pt;margin-top:1.6pt;width:510.35pt;height:35.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jc w:val="right"/>
        <w:spacing w:after="0"/>
        <w:rPr>
          <w:sz w:val="20"/>
          <w:szCs w:val="20"/>
          <w:color w:val="auto"/>
        </w:rPr>
      </w:pPr>
      <w:r>
        <w:rPr>
          <w:rFonts w:ascii="Arial" w:cs="Arial" w:eastAsia="Arial" w:hAnsi="Arial"/>
          <w:sz w:val="20"/>
          <w:szCs w:val="20"/>
          <w:color w:val="auto"/>
        </w:rPr>
        <w:t>Decrease driven primarily by lower than average wind production primarily</w:t>
      </w:r>
    </w:p>
    <w:p>
      <w:pPr>
        <w:ind w:left="2440"/>
        <w:spacing w:after="0" w:line="218" w:lineRule="auto"/>
        <w:rPr>
          <w:sz w:val="20"/>
          <w:szCs w:val="20"/>
          <w:color w:val="auto"/>
        </w:rPr>
      </w:pPr>
      <w:r>
        <w:rPr>
          <w:rFonts w:ascii="Arial" w:cs="Arial" w:eastAsia="Arial" w:hAnsi="Arial"/>
          <w:sz w:val="19"/>
          <w:szCs w:val="19"/>
          <w:color w:val="auto"/>
        </w:rPr>
        <w:t>during the second quarter of 2023, compared with higher than average wind</w:t>
      </w:r>
    </w:p>
    <w:p>
      <w:pPr>
        <w:spacing w:after="0" w:line="1" w:lineRule="exact"/>
        <w:rPr>
          <w:sz w:val="20"/>
          <w:szCs w:val="20"/>
          <w:color w:val="auto"/>
        </w:rPr>
      </w:pPr>
    </w:p>
    <w:p>
      <w:pPr>
        <w:ind w:left="2440"/>
        <w:spacing w:after="0"/>
        <w:rPr>
          <w:sz w:val="20"/>
          <w:szCs w:val="20"/>
          <w:color w:val="auto"/>
        </w:rPr>
      </w:pPr>
      <w:r>
        <w:rPr>
          <w:rFonts w:ascii="Arial" w:cs="Arial" w:eastAsia="Arial" w:hAnsi="Arial"/>
          <w:sz w:val="20"/>
          <w:szCs w:val="20"/>
          <w:color w:val="auto"/>
        </w:rPr>
        <w:t>production during the second quarter of 2022.</w:t>
      </w:r>
    </w:p>
    <w:p>
      <w:pPr>
        <w:spacing w:after="0" w:line="73" w:lineRule="exact"/>
        <w:rPr>
          <w:sz w:val="20"/>
          <w:szCs w:val="20"/>
          <w:color w:val="auto"/>
        </w:rPr>
      </w:pPr>
    </w:p>
    <w:p>
      <w:pPr>
        <w:ind w:left="2440"/>
        <w:spacing w:after="0"/>
        <w:rPr>
          <w:sz w:val="20"/>
          <w:szCs w:val="20"/>
          <w:color w:val="auto"/>
        </w:rPr>
      </w:pPr>
      <w:r>
        <w:rPr>
          <w:rFonts w:ascii="Arial" w:cs="Arial" w:eastAsia="Arial" w:hAnsi="Arial"/>
          <w:sz w:val="20"/>
          <w:szCs w:val="20"/>
          <w:color w:val="auto"/>
        </w:rPr>
        <w:t>Decrease driven primarily by lower solar generation due to weather.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35560</wp:posOffset>
                </wp:positionV>
                <wp:extent cx="6481445" cy="56896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1445" cy="568960"/>
                        </a:xfrm>
                        <a:prstGeom prst="rect">
                          <a:avLst/>
                        </a:prstGeom>
                        <a:solidFill>
                          <a:srgbClr val="E6E6E6"/>
                        </a:solidFill>
                      </wps:spPr>
                      <wps:bodyPr/>
                    </wps:wsp>
                  </a:graphicData>
                </a:graphic>
              </wp:anchor>
            </w:drawing>
          </mc:Choice>
          <mc:Fallback>
            <w:pict>
              <v:rect id="Shape 42" o:spid="_x0000_s1067" style="position:absolute;margin-left:-0.1499pt;margin-top:2.8pt;width:510.35pt;height:44.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31" w:lineRule="exact"/>
        <w:rPr>
          <w:sz w:val="20"/>
          <w:szCs w:val="20"/>
          <w:color w:val="auto"/>
        </w:rPr>
      </w:pPr>
    </w:p>
    <w:p>
      <w:pPr>
        <w:ind w:left="40"/>
        <w:spacing w:after="0"/>
        <w:tabs>
          <w:tab w:leader="none" w:pos="2420" w:val="left"/>
        </w:tabs>
        <w:rPr>
          <w:sz w:val="20"/>
          <w:szCs w:val="20"/>
          <w:color w:val="auto"/>
        </w:rPr>
      </w:pPr>
      <w:r>
        <w:rPr>
          <w:rFonts w:ascii="Arial" w:cs="Arial" w:eastAsia="Arial" w:hAnsi="Arial"/>
          <w:sz w:val="20"/>
          <w:szCs w:val="20"/>
          <w:b w:val="1"/>
          <w:bCs w:val="1"/>
          <w:color w:val="auto"/>
        </w:rPr>
        <w:t>Conventional Segment</w:t>
      </w:r>
      <w:r>
        <w:rPr>
          <w:sz w:val="20"/>
          <w:szCs w:val="20"/>
          <w:color w:val="auto"/>
        </w:rPr>
        <w:tab/>
      </w:r>
      <w:r>
        <w:rPr>
          <w:rFonts w:ascii="Arial" w:cs="Arial" w:eastAsia="Arial" w:hAnsi="Arial"/>
          <w:sz w:val="18"/>
          <w:szCs w:val="18"/>
          <w:color w:val="auto"/>
        </w:rPr>
        <w:t>Increase primarily driven by higher energy revenue due to the commencement of</w:t>
      </w:r>
    </w:p>
    <w:p>
      <w:pPr>
        <w:ind w:left="2440"/>
        <w:spacing w:after="0" w:line="230" w:lineRule="auto"/>
        <w:rPr>
          <w:sz w:val="20"/>
          <w:szCs w:val="20"/>
          <w:color w:val="auto"/>
        </w:rPr>
      </w:pPr>
      <w:r>
        <w:rPr>
          <w:rFonts w:ascii="Arial" w:cs="Arial" w:eastAsia="Arial" w:hAnsi="Arial"/>
          <w:sz w:val="18"/>
          <w:szCs w:val="18"/>
          <w:color w:val="auto"/>
        </w:rPr>
        <w:t>merchant operations following the expiration of PPAs at the Walnut Creek and</w:t>
      </w:r>
    </w:p>
    <w:p>
      <w:pPr>
        <w:ind w:left="2440"/>
        <w:spacing w:after="0" w:line="231" w:lineRule="auto"/>
        <w:rPr>
          <w:sz w:val="20"/>
          <w:szCs w:val="20"/>
          <w:color w:val="auto"/>
        </w:rPr>
      </w:pPr>
      <w:r>
        <w:rPr>
          <w:rFonts w:ascii="Arial" w:cs="Arial" w:eastAsia="Arial" w:hAnsi="Arial"/>
          <w:sz w:val="18"/>
          <w:szCs w:val="18"/>
          <w:color w:val="auto"/>
        </w:rPr>
        <w:t>Marsh Landing facilities during the second quarter of 2023 and the El Segundo</w:t>
      </w:r>
    </w:p>
    <w:p>
      <w:pPr>
        <w:ind w:left="2440"/>
        <w:spacing w:after="0"/>
        <w:rPr>
          <w:sz w:val="20"/>
          <w:szCs w:val="20"/>
          <w:color w:val="auto"/>
        </w:rPr>
      </w:pPr>
      <w:r>
        <w:rPr>
          <w:rFonts w:ascii="Arial" w:cs="Arial" w:eastAsia="Arial" w:hAnsi="Arial"/>
          <w:sz w:val="20"/>
          <w:szCs w:val="20"/>
          <w:color w:val="auto"/>
        </w:rPr>
        <w:t>facility during the third quarter of 2023.</w:t>
      </w:r>
    </w:p>
    <w:p>
      <w:pPr>
        <w:spacing w:after="0" w:line="55" w:lineRule="exact"/>
        <w:rPr>
          <w:sz w:val="20"/>
          <w:szCs w:val="20"/>
          <w:color w:val="auto"/>
        </w:rPr>
      </w:pPr>
    </w:p>
    <w:p>
      <w:pPr>
        <w:ind w:left="2440" w:right="20"/>
        <w:spacing w:after="0" w:line="264" w:lineRule="auto"/>
        <w:rPr>
          <w:sz w:val="20"/>
          <w:szCs w:val="20"/>
          <w:color w:val="auto"/>
        </w:rPr>
      </w:pPr>
      <w:r>
        <w:rPr>
          <w:rFonts w:ascii="Arial" w:cs="Arial" w:eastAsia="Arial" w:hAnsi="Arial"/>
          <w:sz w:val="19"/>
          <w:szCs w:val="19"/>
          <w:color w:val="auto"/>
        </w:rPr>
        <w:t>Increase driven by the sales-type lease revenue recognition of the Marsh Landing Black Start addition that commenced operations on May 31,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0</wp:posOffset>
                </wp:positionV>
                <wp:extent cx="6481445" cy="31242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1445" cy="312420"/>
                        </a:xfrm>
                        <a:prstGeom prst="rect">
                          <a:avLst/>
                        </a:prstGeom>
                        <a:solidFill>
                          <a:srgbClr val="E6E6E6"/>
                        </a:solidFill>
                      </wps:spPr>
                      <wps:bodyPr/>
                    </wps:wsp>
                  </a:graphicData>
                </a:graphic>
              </wp:anchor>
            </w:drawing>
          </mc:Choice>
          <mc:Fallback>
            <w:pict>
              <v:rect id="Shape 43" o:spid="_x0000_s1068" style="position:absolute;margin-left:-0.1499pt;margin-top:0pt;width:510.35pt;height:24.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ind w:left="2440" w:right="20"/>
        <w:spacing w:after="0" w:line="239" w:lineRule="auto"/>
        <w:rPr>
          <w:sz w:val="20"/>
          <w:szCs w:val="20"/>
          <w:color w:val="auto"/>
        </w:rPr>
      </w:pPr>
      <w:r>
        <w:rPr>
          <w:rFonts w:ascii="Arial" w:cs="Arial" w:eastAsia="Arial" w:hAnsi="Arial"/>
          <w:sz w:val="20"/>
          <w:szCs w:val="20"/>
          <w:color w:val="auto"/>
        </w:rPr>
        <w:t>Increase primarily driven by increased availability at the El Segundo facility in 2023 due to longer maintenance outages in 2022.</w:t>
      </w:r>
    </w:p>
    <w:p>
      <w:pPr>
        <w:spacing w:after="0" w:line="4" w:lineRule="exact"/>
        <w:rPr>
          <w:sz w:val="20"/>
          <w:szCs w:val="20"/>
          <w:color w:val="auto"/>
        </w:rPr>
      </w:pPr>
    </w:p>
    <w:p>
      <w:pPr>
        <w:ind w:left="2440"/>
        <w:spacing w:after="0"/>
        <w:rPr>
          <w:sz w:val="20"/>
          <w:szCs w:val="20"/>
          <w:color w:val="auto"/>
        </w:rPr>
      </w:pPr>
      <w:r>
        <w:rPr>
          <w:rFonts w:ascii="Arial" w:cs="Arial" w:eastAsia="Arial" w:hAnsi="Arial"/>
          <w:sz w:val="20"/>
          <w:szCs w:val="20"/>
          <w:color w:val="auto"/>
        </w:rPr>
        <w:t>Decrease primarily driven by lower prices for capacity revenue due to the</w:t>
      </w:r>
    </w:p>
    <w:p>
      <w:pPr>
        <w:ind w:left="2440"/>
        <w:spacing w:after="0" w:line="230" w:lineRule="auto"/>
        <w:rPr>
          <w:sz w:val="20"/>
          <w:szCs w:val="20"/>
          <w:color w:val="auto"/>
        </w:rPr>
      </w:pPr>
      <w:r>
        <w:rPr>
          <w:rFonts w:ascii="Arial" w:cs="Arial" w:eastAsia="Arial" w:hAnsi="Arial"/>
          <w:sz w:val="18"/>
          <w:szCs w:val="18"/>
          <w:color w:val="auto"/>
        </w:rPr>
        <w:t>expiration of PPAs and commencement of RA capacity revenue at the Walnut</w:t>
      </w:r>
    </w:p>
    <w:p>
      <w:pPr>
        <w:spacing w:after="0" w:line="1" w:lineRule="exact"/>
        <w:rPr>
          <w:sz w:val="20"/>
          <w:szCs w:val="20"/>
          <w:color w:val="auto"/>
        </w:rPr>
      </w:pPr>
    </w:p>
    <w:p>
      <w:pPr>
        <w:ind w:left="2440"/>
        <w:spacing w:after="0"/>
        <w:rPr>
          <w:sz w:val="20"/>
          <w:szCs w:val="20"/>
          <w:color w:val="auto"/>
        </w:rPr>
      </w:pPr>
      <w:r>
        <w:rPr>
          <w:rFonts w:ascii="Arial" w:cs="Arial" w:eastAsia="Arial" w:hAnsi="Arial"/>
          <w:sz w:val="20"/>
          <w:szCs w:val="20"/>
          <w:color w:val="auto"/>
        </w:rPr>
        <w:t>Creek, Marsh Landing and El Segundo facilities during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38735</wp:posOffset>
                </wp:positionV>
                <wp:extent cx="6481445" cy="189865"/>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1445" cy="189865"/>
                        </a:xfrm>
                        <a:prstGeom prst="rect">
                          <a:avLst/>
                        </a:prstGeom>
                        <a:solidFill>
                          <a:srgbClr val="E6E6E6"/>
                        </a:solidFill>
                      </wps:spPr>
                      <wps:bodyPr/>
                    </wps:wsp>
                  </a:graphicData>
                </a:graphic>
              </wp:anchor>
            </w:drawing>
          </mc:Choice>
          <mc:Fallback>
            <w:pict>
              <v:rect id="Shape 44" o:spid="_x0000_s1069" style="position:absolute;margin-left:-0.1499pt;margin-top:3.05pt;width:510.35pt;height:14.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47" w:lineRule="exact"/>
        <w:rPr>
          <w:sz w:val="20"/>
          <w:szCs w:val="20"/>
          <w:color w:val="auto"/>
        </w:rPr>
      </w:pPr>
    </w:p>
    <w:p>
      <w:pPr>
        <w:ind w:left="40"/>
        <w:spacing w:after="0"/>
        <w:tabs>
          <w:tab w:leader="none" w:pos="2420" w:val="left"/>
        </w:tabs>
        <w:rPr>
          <w:sz w:val="20"/>
          <w:szCs w:val="20"/>
          <w:color w:val="auto"/>
        </w:rPr>
      </w:pPr>
      <w:r>
        <w:rPr>
          <w:rFonts w:ascii="Arial" w:cs="Arial" w:eastAsia="Arial" w:hAnsi="Arial"/>
          <w:sz w:val="20"/>
          <w:szCs w:val="20"/>
          <w:b w:val="1"/>
          <w:bCs w:val="1"/>
          <w:color w:val="auto"/>
        </w:rPr>
        <w:t>Thermal Segment</w:t>
      </w:r>
      <w:r>
        <w:rPr>
          <w:sz w:val="20"/>
          <w:szCs w:val="20"/>
          <w:color w:val="auto"/>
        </w:rPr>
        <w:tab/>
      </w:r>
      <w:r>
        <w:rPr>
          <w:rFonts w:ascii="Arial" w:cs="Arial" w:eastAsia="Arial" w:hAnsi="Arial"/>
          <w:sz w:val="18"/>
          <w:szCs w:val="18"/>
          <w:color w:val="auto"/>
        </w:rPr>
        <w:t>Decrease primarily driven by the sale of the Thermal Business on May 1, 2022.</w:t>
      </w:r>
    </w:p>
    <w:p>
      <w:pPr>
        <w:spacing w:after="0" w:line="45" w:lineRule="exact"/>
        <w:rPr>
          <w:sz w:val="20"/>
          <w:szCs w:val="20"/>
          <w:color w:val="auto"/>
        </w:rPr>
      </w:pPr>
    </w:p>
    <w:p>
      <w:pPr>
        <w:ind w:left="40"/>
        <w:spacing w:after="0"/>
        <w:tabs>
          <w:tab w:leader="none" w:pos="2420" w:val="left"/>
        </w:tabs>
        <w:rPr>
          <w:sz w:val="20"/>
          <w:szCs w:val="20"/>
          <w:color w:val="auto"/>
        </w:rPr>
      </w:pPr>
      <w:r>
        <w:rPr>
          <w:rFonts w:ascii="Arial" w:cs="Arial" w:eastAsia="Arial" w:hAnsi="Arial"/>
          <w:sz w:val="20"/>
          <w:szCs w:val="20"/>
          <w:b w:val="1"/>
          <w:bCs w:val="1"/>
          <w:color w:val="auto"/>
        </w:rPr>
        <w:t>Contract amortization</w:t>
      </w:r>
      <w:r>
        <w:rPr>
          <w:sz w:val="20"/>
          <w:szCs w:val="20"/>
          <w:color w:val="auto"/>
        </w:rPr>
        <w:tab/>
      </w:r>
      <w:r>
        <w:rPr>
          <w:rFonts w:ascii="Arial" w:cs="Arial" w:eastAsia="Arial" w:hAnsi="Arial"/>
          <w:sz w:val="19"/>
          <w:szCs w:val="19"/>
          <w:color w:val="auto"/>
        </w:rPr>
        <w:t>Increase primarily driven by a full year of amortization for intangible assets</w:t>
      </w:r>
    </w:p>
    <w:p>
      <w:pPr>
        <w:ind w:left="2440"/>
        <w:spacing w:after="0" w:line="230" w:lineRule="auto"/>
        <w:rPr>
          <w:sz w:val="20"/>
          <w:szCs w:val="20"/>
          <w:color w:val="auto"/>
        </w:rPr>
      </w:pPr>
      <w:r>
        <w:rPr>
          <w:rFonts w:ascii="Arial" w:cs="Arial" w:eastAsia="Arial" w:hAnsi="Arial"/>
          <w:sz w:val="18"/>
          <w:szCs w:val="18"/>
          <w:color w:val="auto"/>
        </w:rPr>
        <w:t>related to PPAs from the acquisition of the Capistrano Wind Portfolio in August</w:t>
      </w:r>
    </w:p>
    <w:p>
      <w:pPr>
        <w:ind w:left="2440"/>
        <w:spacing w:after="0" w:line="231" w:lineRule="auto"/>
        <w:rPr>
          <w:sz w:val="20"/>
          <w:szCs w:val="20"/>
          <w:color w:val="auto"/>
        </w:rPr>
      </w:pPr>
      <w:r>
        <w:rPr>
          <w:rFonts w:ascii="Arial" w:cs="Arial" w:eastAsia="Arial" w:hAnsi="Arial"/>
          <w:sz w:val="18"/>
          <w:szCs w:val="18"/>
          <w:color w:val="auto"/>
        </w:rPr>
        <w:t>2022, partially offset by the Walnut Creek PPA, which was fully amortized in the</w:t>
      </w:r>
    </w:p>
    <w:p>
      <w:pPr>
        <w:ind w:left="2440"/>
        <w:spacing w:after="0"/>
        <w:rPr>
          <w:sz w:val="20"/>
          <w:szCs w:val="20"/>
          <w:color w:val="auto"/>
        </w:rPr>
      </w:pPr>
      <w:r>
        <w:rPr>
          <w:rFonts w:ascii="Arial" w:cs="Arial" w:eastAsia="Arial" w:hAnsi="Arial"/>
          <w:sz w:val="20"/>
          <w:szCs w:val="20"/>
          <w:color w:val="auto"/>
        </w:rPr>
        <w:t>first half of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35560</wp:posOffset>
                </wp:positionV>
                <wp:extent cx="6481445" cy="313055"/>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1445" cy="313055"/>
                        </a:xfrm>
                        <a:prstGeom prst="rect">
                          <a:avLst/>
                        </a:prstGeom>
                        <a:solidFill>
                          <a:srgbClr val="E6E6E6"/>
                        </a:solidFill>
                      </wps:spPr>
                      <wps:bodyPr/>
                    </wps:wsp>
                  </a:graphicData>
                </a:graphic>
              </wp:anchor>
            </w:drawing>
          </mc:Choice>
          <mc:Fallback>
            <w:pict>
              <v:rect id="Shape 45" o:spid="_x0000_s1070" style="position:absolute;margin-left:-0.1499pt;margin-top:2.8pt;width:510.35pt;height:24.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Mark-to-market economic  </w:t>
      </w:r>
      <w:r>
        <w:rPr>
          <w:rFonts w:ascii="Arial" w:cs="Arial" w:eastAsia="Arial" w:hAnsi="Arial"/>
          <w:sz w:val="18"/>
          <w:szCs w:val="18"/>
          <w:color w:val="auto"/>
        </w:rPr>
        <w:t>Increase driven by decreases in forward power prices in the ERCOT and PJM</w:t>
      </w:r>
    </w:p>
    <w:p>
      <w:pPr>
        <w:ind w:left="40"/>
        <w:spacing w:after="0"/>
        <w:tabs>
          <w:tab w:leader="none" w:pos="2420" w:val="left"/>
        </w:tabs>
        <w:rPr>
          <w:sz w:val="20"/>
          <w:szCs w:val="20"/>
          <w:color w:val="auto"/>
        </w:rPr>
      </w:pPr>
      <w:r>
        <w:rPr>
          <w:rFonts w:ascii="Arial" w:cs="Arial" w:eastAsia="Arial" w:hAnsi="Arial"/>
          <w:sz w:val="20"/>
          <w:szCs w:val="20"/>
          <w:b w:val="1"/>
          <w:bCs w:val="1"/>
          <w:color w:val="auto"/>
        </w:rPr>
        <w:t>hedges</w:t>
      </w:r>
      <w:r>
        <w:rPr>
          <w:sz w:val="20"/>
          <w:szCs w:val="20"/>
          <w:color w:val="auto"/>
        </w:rPr>
        <w:tab/>
      </w:r>
      <w:r>
        <w:rPr>
          <w:rFonts w:ascii="Arial" w:cs="Arial" w:eastAsia="Arial" w:hAnsi="Arial"/>
          <w:sz w:val="20"/>
          <w:szCs w:val="20"/>
          <w:color w:val="auto"/>
        </w:rPr>
        <w:t>markets.</w:t>
      </w:r>
    </w:p>
    <w:p>
      <w:pPr>
        <w:spacing w:after="0" w:line="79" w:lineRule="exact"/>
        <w:rPr>
          <w:sz w:val="20"/>
          <w:szCs w:val="20"/>
          <w:color w:val="auto"/>
        </w:rPr>
      </w:pPr>
    </w:p>
    <w:p>
      <w:pPr>
        <w:ind w:left="2440" w:right="40"/>
        <w:spacing w:after="0" w:line="239" w:lineRule="auto"/>
        <w:rPr>
          <w:sz w:val="20"/>
          <w:szCs w:val="20"/>
          <w:color w:val="auto"/>
        </w:rPr>
      </w:pPr>
      <w:r>
        <w:rPr>
          <w:rFonts w:ascii="Arial" w:cs="Arial" w:eastAsia="Arial" w:hAnsi="Arial"/>
          <w:sz w:val="20"/>
          <w:szCs w:val="20"/>
          <w:color w:val="auto"/>
        </w:rPr>
        <w:t>Increase due to heat rate call option entered into by El Segundo, Marsh Landing and Walnut Creek during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6495415" cy="2178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1">
                      <a:extLst>
                        <a:ext uri="{28A0092B-C50C-407E-A947-70E740481C1C}"/>
                      </a:extLst>
                    </a:blip>
                    <a:srcRect/>
                    <a:stretch>
                      <a:fillRect/>
                    </a:stretch>
                  </pic:blipFill>
                  <pic:spPr bwMode="auto">
                    <a:xfrm>
                      <a:off x="0" y="0"/>
                      <a:ext cx="6495415" cy="2178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jc w:val="center"/>
        <w:ind w:right="38"/>
        <w:spacing w:after="0"/>
        <w:rPr>
          <w:sz w:val="20"/>
          <w:szCs w:val="20"/>
          <w:color w:val="auto"/>
        </w:rPr>
      </w:pPr>
      <w:r>
        <w:rPr>
          <w:rFonts w:ascii="Arial" w:cs="Arial" w:eastAsia="Arial" w:hAnsi="Arial"/>
          <w:sz w:val="18"/>
          <w:szCs w:val="18"/>
          <w:b w:val="1"/>
          <w:bCs w:val="1"/>
          <w:color w:val="auto"/>
        </w:rPr>
        <w:t>(In millions)</w:t>
      </w:r>
    </w:p>
    <w:p>
      <w:pPr>
        <w:spacing w:after="0" w:line="265" w:lineRule="exact"/>
        <w:rPr>
          <w:sz w:val="20"/>
          <w:szCs w:val="20"/>
          <w:color w:val="auto"/>
        </w:rPr>
      </w:pPr>
    </w:p>
    <w:p>
      <w:pPr>
        <w:ind w:left="902" w:hanging="902"/>
        <w:spacing w:after="0"/>
        <w:tabs>
          <w:tab w:leader="none" w:pos="902" w:val="left"/>
        </w:tabs>
        <w:numPr>
          <w:ilvl w:val="0"/>
          <w:numId w:val="27"/>
        </w:numPr>
        <w:rPr>
          <w:rFonts w:ascii="Arial" w:cs="Arial" w:eastAsia="Arial" w:hAnsi="Arial"/>
          <w:sz w:val="20"/>
          <w:szCs w:val="20"/>
          <w:color w:val="auto"/>
        </w:rPr>
      </w:pPr>
      <w:r>
        <w:rPr>
          <w:rFonts w:ascii="Arial" w:cs="Arial" w:eastAsia="Arial" w:hAnsi="Arial"/>
          <w:sz w:val="20"/>
          <w:szCs w:val="20"/>
          <w:color w:val="auto"/>
        </w:rPr>
        <w:t>44</w:t>
      </w:r>
    </w:p>
    <w:p>
      <w:pPr>
        <w:spacing w:after="0" w:line="200" w:lineRule="exact"/>
        <w:rPr>
          <w:rFonts w:ascii="Arial" w:cs="Arial" w:eastAsia="Arial" w:hAnsi="Arial"/>
          <w:sz w:val="20"/>
          <w:szCs w:val="20"/>
          <w:color w:val="auto"/>
        </w:rPr>
      </w:pPr>
    </w:p>
    <w:p>
      <w:pPr>
        <w:spacing w:after="0" w:line="271" w:lineRule="exact"/>
        <w:rPr>
          <w:rFonts w:ascii="Arial" w:cs="Arial" w:eastAsia="Arial" w:hAnsi="Arial"/>
          <w:sz w:val="20"/>
          <w:szCs w:val="20"/>
          <w:color w:val="auto"/>
        </w:rPr>
      </w:pPr>
    </w:p>
    <w:p>
      <w:pPr>
        <w:ind w:left="902"/>
        <w:spacing w:after="0"/>
        <w:rPr>
          <w:rFonts w:ascii="Arial" w:cs="Arial" w:eastAsia="Arial" w:hAnsi="Arial"/>
          <w:sz w:val="20"/>
          <w:szCs w:val="20"/>
          <w:color w:val="auto"/>
        </w:rPr>
      </w:pPr>
      <w:r>
        <w:rPr>
          <w:rFonts w:ascii="Arial" w:cs="Arial" w:eastAsia="Arial" w:hAnsi="Arial"/>
          <w:sz w:val="20"/>
          <w:szCs w:val="20"/>
          <w:color w:val="auto"/>
        </w:rPr>
        <w:t>22</w:t>
      </w:r>
    </w:p>
    <w:p>
      <w:pPr>
        <w:spacing w:after="0" w:line="200" w:lineRule="exact"/>
        <w:rPr>
          <w:sz w:val="20"/>
          <w:szCs w:val="20"/>
          <w:color w:val="auto"/>
        </w:rPr>
      </w:pPr>
    </w:p>
    <w:p>
      <w:pPr>
        <w:spacing w:after="0" w:line="271" w:lineRule="exact"/>
        <w:rPr>
          <w:sz w:val="20"/>
          <w:szCs w:val="20"/>
          <w:color w:val="auto"/>
        </w:rPr>
      </w:pPr>
    </w:p>
    <w:p>
      <w:pPr>
        <w:jc w:val="right"/>
        <w:ind w:right="20"/>
        <w:spacing w:after="0"/>
        <w:rPr>
          <w:sz w:val="20"/>
          <w:szCs w:val="20"/>
          <w:color w:val="auto"/>
        </w:rPr>
      </w:pPr>
      <w:r>
        <w:rPr>
          <w:rFonts w:ascii="Arial" w:cs="Arial" w:eastAsia="Arial" w:hAnsi="Arial"/>
          <w:sz w:val="20"/>
          <w:szCs w:val="20"/>
          <w:color w:val="auto"/>
        </w:rPr>
        <w:t>(43)</w:t>
      </w:r>
    </w:p>
    <w:p>
      <w:pPr>
        <w:spacing w:after="0" w:line="69" w:lineRule="exact"/>
        <w:rPr>
          <w:sz w:val="20"/>
          <w:szCs w:val="20"/>
          <w:color w:val="auto"/>
        </w:rPr>
      </w:pPr>
    </w:p>
    <w:p>
      <w:pPr>
        <w:jc w:val="right"/>
        <w:ind w:right="20"/>
        <w:spacing w:after="0"/>
        <w:rPr>
          <w:sz w:val="20"/>
          <w:szCs w:val="20"/>
          <w:color w:val="auto"/>
        </w:rPr>
      </w:pPr>
      <w:r>
        <w:rPr>
          <w:rFonts w:ascii="Arial" w:cs="Arial" w:eastAsia="Arial" w:hAnsi="Arial"/>
          <w:sz w:val="20"/>
          <w:szCs w:val="20"/>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ind w:right="80"/>
        <w:spacing w:after="0"/>
        <w:rPr>
          <w:sz w:val="20"/>
          <w:szCs w:val="20"/>
          <w:color w:val="auto"/>
        </w:rPr>
      </w:pPr>
      <w:r>
        <w:rPr>
          <w:rFonts w:ascii="Arial" w:cs="Arial" w:eastAsia="Arial" w:hAnsi="Arial"/>
          <w:sz w:val="20"/>
          <w:szCs w:val="20"/>
          <w:color w:val="auto"/>
        </w:rPr>
        <w:t>81</w:t>
      </w:r>
    </w:p>
    <w:p>
      <w:pPr>
        <w:spacing w:after="0" w:line="263" w:lineRule="exact"/>
        <w:rPr>
          <w:sz w:val="20"/>
          <w:szCs w:val="20"/>
          <w:color w:val="auto"/>
        </w:rPr>
      </w:pPr>
    </w:p>
    <w:p>
      <w:pPr>
        <w:jc w:val="right"/>
        <w:ind w:right="80"/>
        <w:spacing w:after="0"/>
        <w:rPr>
          <w:sz w:val="20"/>
          <w:szCs w:val="20"/>
          <w:color w:val="auto"/>
        </w:rPr>
      </w:pPr>
      <w:r>
        <w:rPr>
          <w:rFonts w:ascii="Arial" w:cs="Arial" w:eastAsia="Arial" w:hAnsi="Arial"/>
          <w:sz w:val="20"/>
          <w:szCs w:val="20"/>
          <w:color w:val="auto"/>
        </w:rPr>
        <w:t>21</w:t>
      </w:r>
    </w:p>
    <w:p>
      <w:pPr>
        <w:spacing w:after="0" w:line="263" w:lineRule="exact"/>
        <w:rPr>
          <w:sz w:val="20"/>
          <w:szCs w:val="20"/>
          <w:color w:val="auto"/>
        </w:rPr>
      </w:pPr>
    </w:p>
    <w:p>
      <w:pPr>
        <w:jc w:val="right"/>
        <w:ind w:right="80"/>
        <w:spacing w:after="0"/>
        <w:rPr>
          <w:sz w:val="20"/>
          <w:szCs w:val="20"/>
          <w:color w:val="auto"/>
        </w:rPr>
      </w:pPr>
      <w:r>
        <w:rPr>
          <w:rFonts w:ascii="Arial" w:cs="Arial" w:eastAsia="Arial" w:hAnsi="Arial"/>
          <w:sz w:val="20"/>
          <w:szCs w:val="20"/>
          <w:color w:val="auto"/>
        </w:rPr>
        <w:t>7</w:t>
      </w:r>
    </w:p>
    <w:p>
      <w:pPr>
        <w:spacing w:after="0" w:line="200" w:lineRule="exact"/>
        <w:rPr>
          <w:sz w:val="20"/>
          <w:szCs w:val="20"/>
          <w:color w:val="auto"/>
        </w:rPr>
      </w:pPr>
    </w:p>
    <w:p>
      <w:pPr>
        <w:spacing w:after="0" w:line="271" w:lineRule="exact"/>
        <w:rPr>
          <w:sz w:val="20"/>
          <w:szCs w:val="20"/>
          <w:color w:val="auto"/>
        </w:rPr>
      </w:pPr>
    </w:p>
    <w:p>
      <w:pPr>
        <w:jc w:val="right"/>
        <w:ind w:right="20"/>
        <w:spacing w:after="0"/>
        <w:rPr>
          <w:sz w:val="20"/>
          <w:szCs w:val="20"/>
          <w:color w:val="auto"/>
        </w:rPr>
      </w:pPr>
      <w:r>
        <w:rPr>
          <w:rFonts w:ascii="Arial" w:cs="Arial" w:eastAsia="Arial" w:hAnsi="Arial"/>
          <w:sz w:val="20"/>
          <w:szCs w:val="20"/>
          <w:color w:val="auto"/>
        </w:rPr>
        <w:t>(105)</w:t>
      </w:r>
    </w:p>
    <w:p>
      <w:pPr>
        <w:spacing w:after="0" w:line="69" w:lineRule="exact"/>
        <w:rPr>
          <w:sz w:val="20"/>
          <w:szCs w:val="20"/>
          <w:color w:val="auto"/>
        </w:rPr>
      </w:pPr>
    </w:p>
    <w:p>
      <w:pPr>
        <w:jc w:val="right"/>
        <w:ind w:right="20"/>
        <w:spacing w:after="0"/>
        <w:rPr>
          <w:sz w:val="20"/>
          <w:szCs w:val="20"/>
          <w:color w:val="auto"/>
        </w:rPr>
      </w:pPr>
      <w:r>
        <w:rPr>
          <w:rFonts w:ascii="Arial" w:cs="Arial" w:eastAsia="Arial" w:hAnsi="Arial"/>
          <w:sz w:val="20"/>
          <w:szCs w:val="20"/>
          <w:color w:val="auto"/>
        </w:rPr>
        <w:t>(77)</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ind w:right="20"/>
        <w:spacing w:after="0"/>
        <w:rPr>
          <w:sz w:val="20"/>
          <w:szCs w:val="20"/>
          <w:color w:val="auto"/>
        </w:rPr>
      </w:pPr>
      <w:r>
        <w:rPr>
          <w:rFonts w:ascii="Arial" w:cs="Arial" w:eastAsia="Arial" w:hAnsi="Arial"/>
          <w:sz w:val="20"/>
          <w:szCs w:val="20"/>
          <w:color w:val="auto"/>
        </w:rPr>
        <w:t>(11)</w:t>
      </w:r>
    </w:p>
    <w:p>
      <w:pPr>
        <w:spacing w:after="0" w:line="263" w:lineRule="exact"/>
        <w:rPr>
          <w:sz w:val="20"/>
          <w:szCs w:val="20"/>
          <w:color w:val="auto"/>
        </w:rPr>
      </w:pPr>
    </w:p>
    <w:p>
      <w:pPr>
        <w:jc w:val="right"/>
        <w:ind w:right="80"/>
        <w:spacing w:after="0"/>
        <w:rPr>
          <w:sz w:val="20"/>
          <w:szCs w:val="20"/>
          <w:color w:val="auto"/>
        </w:rPr>
      </w:pPr>
      <w:r>
        <w:rPr>
          <w:rFonts w:ascii="Arial" w:cs="Arial" w:eastAsia="Arial" w:hAnsi="Arial"/>
          <w:sz w:val="20"/>
          <w:szCs w:val="20"/>
          <w:color w:val="auto"/>
        </w:rPr>
        <w:t>196</w:t>
      </w:r>
    </w:p>
    <w:p>
      <w:pPr>
        <w:spacing w:after="0" w:line="263" w:lineRule="exact"/>
        <w:rPr>
          <w:sz w:val="20"/>
          <w:szCs w:val="20"/>
          <w:color w:val="auto"/>
        </w:rPr>
      </w:pPr>
    </w:p>
    <w:p>
      <w:pPr>
        <w:jc w:val="right"/>
        <w:ind w:right="80"/>
        <w:spacing w:after="0"/>
        <w:rPr>
          <w:sz w:val="20"/>
          <w:szCs w:val="20"/>
          <w:color w:val="auto"/>
        </w:rPr>
      </w:pPr>
      <w:r>
        <w:rPr>
          <w:rFonts w:ascii="Arial" w:cs="Arial" w:eastAsia="Arial" w:hAnsi="Arial"/>
          <w:sz w:val="20"/>
          <w:szCs w:val="20"/>
          <w:color w:val="auto"/>
        </w:rPr>
        <w:t>5</w:t>
      </w:r>
    </w:p>
    <w:p>
      <w:pPr>
        <w:spacing w:after="0" w:line="54" w:lineRule="exact"/>
        <w:rPr>
          <w:sz w:val="20"/>
          <w:szCs w:val="20"/>
          <w:color w:val="auto"/>
        </w:rPr>
      </w:pPr>
    </w:p>
    <w:p>
      <w:pPr>
        <w:ind w:left="802" w:hanging="802"/>
        <w:spacing w:after="0"/>
        <w:tabs>
          <w:tab w:leader="none" w:pos="802" w:val="left"/>
        </w:tabs>
        <w:numPr>
          <w:ilvl w:val="0"/>
          <w:numId w:val="28"/>
        </w:numPr>
        <w:rPr>
          <w:rFonts w:ascii="Arial" w:cs="Arial" w:eastAsia="Arial" w:hAnsi="Arial"/>
          <w:sz w:val="20"/>
          <w:szCs w:val="20"/>
          <w:color w:val="auto"/>
        </w:rPr>
      </w:pPr>
      <w:r>
        <w:rPr>
          <w:rFonts w:ascii="Arial" w:cs="Arial" w:eastAsia="Arial" w:hAnsi="Arial"/>
          <w:sz w:val="20"/>
          <w:szCs w:val="20"/>
          <w:color w:val="auto"/>
        </w:rPr>
        <w:t>124</w:t>
      </w:r>
    </w:p>
    <w:p>
      <w:pPr>
        <w:spacing w:after="0" w:line="200" w:lineRule="exact"/>
        <w:rPr>
          <w:sz w:val="20"/>
          <w:szCs w:val="20"/>
          <w:color w:val="auto"/>
        </w:rPr>
      </w:pPr>
    </w:p>
    <w:p>
      <w:pPr>
        <w:sectPr>
          <w:pgSz w:w="11880" w:h="15480" w:orient="portrait"/>
          <w:cols w:equalWidth="0" w:num="2">
            <w:col w:w="8960" w:space="58"/>
            <w:col w:w="1182"/>
          </w:cols>
          <w:pgMar w:left="840" w:top="404" w:right="840" w:bottom="0" w:gutter="0" w:footer="0" w:header="0"/>
          <w:type w:val="continuous"/>
        </w:sectPr>
      </w:pP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Cost of Fuels</w:t>
      </w:r>
    </w:p>
    <w:p>
      <w:pPr>
        <w:spacing w:after="0" w:line="196" w:lineRule="exact"/>
        <w:rPr>
          <w:sz w:val="20"/>
          <w:szCs w:val="20"/>
          <w:color w:val="auto"/>
        </w:rPr>
      </w:pPr>
    </w:p>
    <w:p>
      <w:pPr>
        <w:ind w:firstLine="448"/>
        <w:spacing w:after="0" w:line="280" w:lineRule="auto"/>
        <w:rPr>
          <w:sz w:val="20"/>
          <w:szCs w:val="20"/>
          <w:color w:val="auto"/>
        </w:rPr>
      </w:pPr>
      <w:r>
        <w:rPr>
          <w:rFonts w:ascii="Arial" w:cs="Arial" w:eastAsia="Arial" w:hAnsi="Arial"/>
          <w:sz w:val="20"/>
          <w:szCs w:val="20"/>
          <w:color w:val="auto"/>
        </w:rPr>
        <w:t>Cost of fuels increased by $33 million during the year ended December 31, 2023, compared to the same period in 2022, due to a combination of the drivers summarized in the table below:</w:t>
      </w:r>
    </w:p>
    <w:p>
      <w:pPr>
        <w:sectPr>
          <w:pgSz w:w="11880" w:h="15480" w:orient="portrait"/>
          <w:cols w:equalWidth="0" w:num="1">
            <w:col w:w="10200"/>
          </w:cols>
          <w:pgMar w:left="840" w:top="404" w:right="840" w:bottom="0" w:gutter="0" w:footer="0" w:header="0"/>
          <w:type w:val="continuous"/>
        </w:sectPr>
      </w:pPr>
    </w:p>
    <w:p>
      <w:pPr>
        <w:spacing w:after="0" w:line="298" w:lineRule="exact"/>
        <w:rPr>
          <w:sz w:val="20"/>
          <w:szCs w:val="20"/>
          <w:color w:val="auto"/>
        </w:rPr>
      </w:pPr>
    </w:p>
    <w:p>
      <w:pPr>
        <w:ind w:left="40"/>
        <w:spacing w:after="0"/>
        <w:tabs>
          <w:tab w:leader="none" w:pos="2420" w:val="left"/>
        </w:tabs>
        <w:rPr>
          <w:sz w:val="20"/>
          <w:szCs w:val="20"/>
          <w:color w:val="auto"/>
        </w:rPr>
      </w:pPr>
      <w:r>
        <w:rPr>
          <w:rFonts w:ascii="Arial" w:cs="Arial" w:eastAsia="Arial" w:hAnsi="Arial"/>
          <w:sz w:val="20"/>
          <w:szCs w:val="20"/>
          <w:b w:val="1"/>
          <w:bCs w:val="1"/>
          <w:color w:val="auto"/>
        </w:rPr>
        <w:t>Conventional Segment</w:t>
      </w:r>
      <w:r>
        <w:rPr>
          <w:sz w:val="20"/>
          <w:szCs w:val="20"/>
          <w:color w:val="auto"/>
        </w:rPr>
        <w:tab/>
      </w:r>
      <w:r>
        <w:rPr>
          <w:rFonts w:ascii="Arial" w:cs="Arial" w:eastAsia="Arial" w:hAnsi="Arial"/>
          <w:sz w:val="19"/>
          <w:szCs w:val="19"/>
          <w:color w:val="auto"/>
        </w:rPr>
        <w:t>Increase primarily driven by fuel purchases and the related cost of emissions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-146050</wp:posOffset>
            </wp:positionV>
            <wp:extent cx="6495415" cy="5816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2">
                      <a:extLst>
                        <a:ext uri="{28A0092B-C50C-407E-A947-70E740481C1C}"/>
                      </a:extLst>
                    </a:blip>
                    <a:srcRect/>
                    <a:stretch>
                      <a:fillRect/>
                    </a:stretch>
                  </pic:blipFill>
                  <pic:spPr bwMode="auto">
                    <a:xfrm>
                      <a:off x="0" y="0"/>
                      <a:ext cx="6495415" cy="581660"/>
                    </a:xfrm>
                    <a:prstGeom prst="rect">
                      <a:avLst/>
                    </a:prstGeom>
                    <a:noFill/>
                  </pic:spPr>
                </pic:pic>
              </a:graphicData>
            </a:graphic>
          </wp:anchor>
        </w:drawing>
      </w:r>
    </w:p>
    <w:p>
      <w:pPr>
        <w:jc w:val="right"/>
        <w:spacing w:after="0" w:line="207" w:lineRule="auto"/>
        <w:rPr>
          <w:sz w:val="20"/>
          <w:szCs w:val="20"/>
          <w:color w:val="auto"/>
        </w:rPr>
      </w:pPr>
      <w:r>
        <w:rPr>
          <w:rFonts w:ascii="Arial" w:cs="Arial" w:eastAsia="Arial" w:hAnsi="Arial"/>
          <w:sz w:val="20"/>
          <w:szCs w:val="20"/>
          <w:color w:val="auto"/>
        </w:rPr>
        <w:t>obligations at the Walnut Creek, Marsh Landing and El Segundo facilities as a</w:t>
      </w:r>
    </w:p>
    <w:p>
      <w:pPr>
        <w:ind w:left="2440"/>
        <w:spacing w:after="0" w:line="231" w:lineRule="auto"/>
        <w:rPr>
          <w:sz w:val="20"/>
          <w:szCs w:val="20"/>
          <w:color w:val="auto"/>
        </w:rPr>
      </w:pPr>
      <w:r>
        <w:rPr>
          <w:rFonts w:ascii="Arial" w:cs="Arial" w:eastAsia="Arial" w:hAnsi="Arial"/>
          <w:sz w:val="18"/>
          <w:szCs w:val="18"/>
          <w:color w:val="auto"/>
        </w:rPr>
        <w:t>result  of  the  expiration  of  PPAs  and  the  facilities  commencing  merchant</w:t>
      </w:r>
    </w:p>
    <w:p>
      <w:pPr>
        <w:ind w:left="2440"/>
        <w:spacing w:after="0"/>
        <w:rPr>
          <w:sz w:val="20"/>
          <w:szCs w:val="20"/>
          <w:color w:val="auto"/>
        </w:rPr>
      </w:pPr>
      <w:r>
        <w:rPr>
          <w:rFonts w:ascii="Arial" w:cs="Arial" w:eastAsia="Arial" w:hAnsi="Arial"/>
          <w:sz w:val="20"/>
          <w:szCs w:val="20"/>
          <w:color w:val="auto"/>
        </w:rPr>
        <w:t>operations during 2023.</w:t>
      </w:r>
    </w:p>
    <w:p>
      <w:pPr>
        <w:spacing w:after="0" w:line="61"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Increase due to the associated costs of the sales-type lease recognition of the</w:t>
      </w:r>
    </w:p>
    <w:p>
      <w:pPr>
        <w:ind w:left="2440"/>
        <w:spacing w:after="0" w:line="218" w:lineRule="auto"/>
        <w:rPr>
          <w:sz w:val="20"/>
          <w:szCs w:val="20"/>
          <w:color w:val="auto"/>
        </w:rPr>
      </w:pPr>
      <w:r>
        <w:rPr>
          <w:rFonts w:ascii="Arial" w:cs="Arial" w:eastAsia="Arial" w:hAnsi="Arial"/>
          <w:sz w:val="19"/>
          <w:szCs w:val="19"/>
          <w:color w:val="auto"/>
        </w:rPr>
        <w:t>Marsh Landing Black Start addition that commenced operations on May 31,</w:t>
      </w:r>
    </w:p>
    <w:p>
      <w:pPr>
        <w:spacing w:after="0" w:line="1" w:lineRule="exact"/>
        <w:rPr>
          <w:sz w:val="20"/>
          <w:szCs w:val="20"/>
          <w:color w:val="auto"/>
        </w:rPr>
      </w:pPr>
    </w:p>
    <w:p>
      <w:pPr>
        <w:ind w:left="2440"/>
        <w:spacing w:after="0"/>
        <w:rPr>
          <w:sz w:val="20"/>
          <w:szCs w:val="20"/>
          <w:color w:val="auto"/>
        </w:rPr>
      </w:pPr>
      <w:r>
        <w:rPr>
          <w:rFonts w:ascii="Arial" w:cs="Arial" w:eastAsia="Arial" w:hAnsi="Arial"/>
          <w:sz w:val="20"/>
          <w:szCs w:val="20"/>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6495415" cy="2025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3">
                      <a:extLst>
                        <a:ext uri="{28A0092B-C50C-407E-A947-70E740481C1C}"/>
                      </a:extLst>
                    </a:blip>
                    <a:srcRect/>
                    <a:stretch>
                      <a:fillRect/>
                    </a:stretch>
                  </pic:blipFill>
                  <pic:spPr bwMode="auto">
                    <a:xfrm>
                      <a:off x="0" y="0"/>
                      <a:ext cx="6495415" cy="202565"/>
                    </a:xfrm>
                    <a:prstGeom prst="rect">
                      <a:avLst/>
                    </a:prstGeom>
                    <a:noFill/>
                  </pic:spPr>
                </pic:pic>
              </a:graphicData>
            </a:graphic>
          </wp:anchor>
        </w:drawing>
      </w:r>
    </w:p>
    <w:p>
      <w:pPr>
        <w:spacing w:after="0" w:line="47" w:lineRule="exact"/>
        <w:rPr>
          <w:sz w:val="20"/>
          <w:szCs w:val="20"/>
          <w:color w:val="auto"/>
        </w:rPr>
      </w:pPr>
    </w:p>
    <w:p>
      <w:pPr>
        <w:ind w:left="40"/>
        <w:spacing w:after="0"/>
        <w:tabs>
          <w:tab w:leader="none" w:pos="2420" w:val="left"/>
        </w:tabs>
        <w:rPr>
          <w:sz w:val="20"/>
          <w:szCs w:val="20"/>
          <w:color w:val="auto"/>
        </w:rPr>
      </w:pPr>
      <w:r>
        <w:rPr>
          <w:rFonts w:ascii="Arial" w:cs="Arial" w:eastAsia="Arial" w:hAnsi="Arial"/>
          <w:sz w:val="20"/>
          <w:szCs w:val="20"/>
          <w:b w:val="1"/>
          <w:bCs w:val="1"/>
          <w:color w:val="auto"/>
        </w:rPr>
        <w:t>Thermal Segment</w:t>
      </w:r>
      <w:r>
        <w:rPr>
          <w:sz w:val="20"/>
          <w:szCs w:val="20"/>
          <w:color w:val="auto"/>
        </w:rPr>
        <w:tab/>
      </w:r>
      <w:r>
        <w:rPr>
          <w:rFonts w:ascii="Arial" w:cs="Arial" w:eastAsia="Arial" w:hAnsi="Arial"/>
          <w:sz w:val="18"/>
          <w:szCs w:val="18"/>
          <w:color w:val="auto"/>
        </w:rPr>
        <w:t>Decrease primarily driven by the sale of the Thermal Business on May 1, 2022.</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jc w:val="center"/>
        <w:ind w:right="38"/>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902" w:hanging="902"/>
        <w:spacing w:after="0"/>
        <w:tabs>
          <w:tab w:leader="none" w:pos="902" w:val="left"/>
        </w:tabs>
        <w:numPr>
          <w:ilvl w:val="0"/>
          <w:numId w:val="29"/>
        </w:numPr>
        <w:rPr>
          <w:rFonts w:ascii="Arial" w:cs="Arial" w:eastAsia="Arial" w:hAnsi="Arial"/>
          <w:sz w:val="20"/>
          <w:szCs w:val="20"/>
          <w:color w:val="auto"/>
        </w:rPr>
      </w:pPr>
      <w:r>
        <w:rPr>
          <w:rFonts w:ascii="Arial" w:cs="Arial" w:eastAsia="Arial" w:hAnsi="Arial"/>
          <w:sz w:val="20"/>
          <w:szCs w:val="20"/>
          <w:color w:val="auto"/>
        </w:rPr>
        <w:t>48</w:t>
      </w:r>
    </w:p>
    <w:p>
      <w:pPr>
        <w:spacing w:after="0" w:line="200" w:lineRule="exact"/>
        <w:rPr>
          <w:rFonts w:ascii="Arial" w:cs="Arial" w:eastAsia="Arial" w:hAnsi="Arial"/>
          <w:sz w:val="20"/>
          <w:szCs w:val="20"/>
          <w:color w:val="auto"/>
        </w:rPr>
      </w:pPr>
    </w:p>
    <w:p>
      <w:pPr>
        <w:spacing w:after="0" w:line="271" w:lineRule="exact"/>
        <w:rPr>
          <w:rFonts w:ascii="Arial" w:cs="Arial" w:eastAsia="Arial" w:hAnsi="Arial"/>
          <w:sz w:val="20"/>
          <w:szCs w:val="20"/>
          <w:color w:val="auto"/>
        </w:rPr>
      </w:pPr>
    </w:p>
    <w:p>
      <w:pPr>
        <w:ind w:left="902"/>
        <w:spacing w:after="0"/>
        <w:rPr>
          <w:rFonts w:ascii="Arial" w:cs="Arial" w:eastAsia="Arial" w:hAnsi="Arial"/>
          <w:sz w:val="20"/>
          <w:szCs w:val="20"/>
          <w:color w:val="auto"/>
        </w:rPr>
      </w:pPr>
      <w:r>
        <w:rPr>
          <w:rFonts w:ascii="Arial" w:cs="Arial" w:eastAsia="Arial" w:hAnsi="Arial"/>
          <w:sz w:val="20"/>
          <w:szCs w:val="20"/>
          <w:color w:val="auto"/>
        </w:rPr>
        <w:t>13</w:t>
      </w:r>
    </w:p>
    <w:p>
      <w:pPr>
        <w:spacing w:after="0" w:line="69" w:lineRule="exact"/>
        <w:rPr>
          <w:sz w:val="20"/>
          <w:szCs w:val="20"/>
          <w:color w:val="auto"/>
        </w:rPr>
      </w:pPr>
    </w:p>
    <w:p>
      <w:pPr>
        <w:jc w:val="right"/>
        <w:ind w:right="20"/>
        <w:spacing w:after="0"/>
        <w:rPr>
          <w:sz w:val="20"/>
          <w:szCs w:val="20"/>
          <w:color w:val="auto"/>
        </w:rPr>
      </w:pPr>
      <w:r>
        <w:rPr>
          <w:rFonts w:ascii="Arial" w:cs="Arial" w:eastAsia="Arial" w:hAnsi="Arial"/>
          <w:sz w:val="20"/>
          <w:szCs w:val="20"/>
          <w:color w:val="auto"/>
        </w:rPr>
        <w:t>(28)</w:t>
      </w:r>
    </w:p>
    <w:p>
      <w:pPr>
        <w:spacing w:after="0" w:line="69" w:lineRule="exact"/>
        <w:rPr>
          <w:sz w:val="20"/>
          <w:szCs w:val="20"/>
          <w:color w:val="auto"/>
        </w:rPr>
      </w:pPr>
    </w:p>
    <w:p>
      <w:pPr>
        <w:ind w:left="902" w:hanging="902"/>
        <w:spacing w:after="0"/>
        <w:tabs>
          <w:tab w:leader="none" w:pos="902" w:val="left"/>
        </w:tabs>
        <w:numPr>
          <w:ilvl w:val="0"/>
          <w:numId w:val="30"/>
        </w:numPr>
        <w:rPr>
          <w:rFonts w:ascii="Arial" w:cs="Arial" w:eastAsia="Arial" w:hAnsi="Arial"/>
          <w:sz w:val="20"/>
          <w:szCs w:val="20"/>
          <w:color w:val="auto"/>
        </w:rPr>
      </w:pPr>
      <w:r>
        <w:rPr>
          <w:rFonts w:ascii="Arial" w:cs="Arial" w:eastAsia="Arial" w:hAnsi="Arial"/>
          <w:sz w:val="20"/>
          <w:szCs w:val="20"/>
          <w:color w:val="auto"/>
        </w:rPr>
        <w:t>33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-33020</wp:posOffset>
                </wp:positionH>
                <wp:positionV relativeFrom="paragraph">
                  <wp:posOffset>14605</wp:posOffset>
                </wp:positionV>
                <wp:extent cx="786130"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613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99pt,1.15pt" to="59.3pt,1.1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-33020</wp:posOffset>
                </wp:positionH>
                <wp:positionV relativeFrom="paragraph">
                  <wp:posOffset>39370</wp:posOffset>
                </wp:positionV>
                <wp:extent cx="786130"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613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99pt,3.1pt" to="59.3pt,3.1pt" o:allowincell="f" strokecolor="#000000" strokeweight="1pt"/>
            </w:pict>
          </mc:Fallback>
        </mc:AlternateContent>
      </w:r>
    </w:p>
    <w:p>
      <w:pPr>
        <w:spacing w:after="0" w:line="200" w:lineRule="exact"/>
        <w:rPr>
          <w:sz w:val="20"/>
          <w:szCs w:val="20"/>
          <w:color w:val="auto"/>
        </w:rPr>
      </w:pPr>
    </w:p>
    <w:p>
      <w:pPr>
        <w:sectPr>
          <w:pgSz w:w="11880" w:h="15480" w:orient="portrait"/>
          <w:cols w:equalWidth="0" w:num="2">
            <w:col w:w="8960" w:space="58"/>
            <w:col w:w="1182"/>
          </w:cols>
          <w:pgMar w:left="840" w:top="404" w:right="8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880" w:h="15480" w:orient="portrait"/>
          <w:cols w:equalWidth="0" w:num="1">
            <w:col w:w="10200"/>
          </w:cols>
          <w:pgMar w:left="840" w:top="404" w:right="840" w:bottom="0" w:gutter="0" w:footer="0" w:header="0"/>
          <w:type w:val="continuous"/>
        </w:sectPr>
      </w:pPr>
    </w:p>
    <w:bookmarkStart w:id="52" w:name="page53"/>
    <w:bookmarkEnd w:id="52"/>
    <w:p>
      <w:pPr>
        <w:spacing w:after="0"/>
        <w:rPr>
          <w:sz w:val="20"/>
          <w:szCs w:val="20"/>
          <w:color w:val="auto"/>
        </w:rPr>
      </w:pPr>
      <w:r>
        <w:rPr>
          <w:rFonts w:ascii="Arial" w:cs="Arial" w:eastAsia="Arial" w:hAnsi="Arial"/>
          <w:sz w:val="20"/>
          <w:szCs w:val="20"/>
          <w:b w:val="1"/>
          <w:bCs w:val="1"/>
          <w:i w:val="1"/>
          <w:iCs w:val="1"/>
          <w:color w:val="auto"/>
        </w:rPr>
        <w:t>Operations and Maintenance Expense</w:t>
      </w:r>
    </w:p>
    <w:p>
      <w:pPr>
        <w:spacing w:after="0" w:line="196" w:lineRule="exact"/>
        <w:rPr>
          <w:sz w:val="20"/>
          <w:szCs w:val="20"/>
          <w:color w:val="auto"/>
        </w:rPr>
      </w:pPr>
    </w:p>
    <w:p>
      <w:pPr>
        <w:ind w:firstLine="448"/>
        <w:spacing w:after="0" w:line="280" w:lineRule="auto"/>
        <w:rPr>
          <w:sz w:val="20"/>
          <w:szCs w:val="20"/>
          <w:color w:val="auto"/>
        </w:rPr>
      </w:pPr>
      <w:r>
        <w:rPr>
          <w:rFonts w:ascii="Arial" w:cs="Arial" w:eastAsia="Arial" w:hAnsi="Arial"/>
          <w:sz w:val="20"/>
          <w:szCs w:val="20"/>
          <w:color w:val="auto"/>
        </w:rPr>
        <w:t>Operations and maintenance expense increased by $19 million during the year ended December 31, 2023, compared to the same period in 2022, due to a combination of the drivers summarized in the table below:</w:t>
      </w:r>
    </w:p>
    <w:p>
      <w:pPr>
        <w:sectPr>
          <w:pgSz w:w="11880" w:h="15480" w:orient="portrait"/>
          <w:cols w:equalWidth="0" w:num="1">
            <w:col w:w="10200"/>
          </w:cols>
          <w:pgMar w:left="840" w:top="403" w:right="840" w:bottom="0" w:gutter="0" w:footer="0" w:header="0"/>
        </w:sectPr>
      </w:pPr>
    </w:p>
    <w:p>
      <w:pPr>
        <w:spacing w:after="0" w:line="322" w:lineRule="exact"/>
        <w:rPr>
          <w:sz w:val="20"/>
          <w:szCs w:val="20"/>
          <w:color w:val="auto"/>
        </w:rPr>
      </w:pPr>
    </w:p>
    <w:p>
      <w:pPr>
        <w:ind w:left="2440" w:hanging="2387"/>
        <w:spacing w:after="0" w:line="239" w:lineRule="auto"/>
        <w:tabs>
          <w:tab w:leader="none" w:pos="2420" w:val="left"/>
        </w:tabs>
        <w:rPr>
          <w:sz w:val="20"/>
          <w:szCs w:val="20"/>
          <w:color w:val="auto"/>
        </w:rPr>
      </w:pPr>
      <w:r>
        <w:rPr>
          <w:rFonts w:ascii="Arial" w:cs="Arial" w:eastAsia="Arial" w:hAnsi="Arial"/>
          <w:sz w:val="20"/>
          <w:szCs w:val="20"/>
          <w:b w:val="1"/>
          <w:bCs w:val="1"/>
          <w:color w:val="auto"/>
        </w:rPr>
        <w:t>Renewables Segment</w:t>
      </w:r>
      <w:r>
        <w:rPr>
          <w:sz w:val="20"/>
          <w:szCs w:val="20"/>
          <w:color w:val="auto"/>
        </w:rPr>
        <w:tab/>
      </w:r>
      <w:r>
        <w:rPr>
          <w:rFonts w:ascii="Arial" w:cs="Arial" w:eastAsia="Arial" w:hAnsi="Arial"/>
          <w:sz w:val="20"/>
          <w:szCs w:val="20"/>
          <w:color w:val="auto"/>
        </w:rPr>
        <w:t>Increase driven by the acquisition of the Capistrano Wind Portfolio in August 2022.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-293370</wp:posOffset>
                </wp:positionV>
                <wp:extent cx="6481445" cy="311785"/>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1445" cy="311785"/>
                        </a:xfrm>
                        <a:prstGeom prst="rect">
                          <a:avLst/>
                        </a:prstGeom>
                        <a:solidFill>
                          <a:srgbClr val="E6E6E6"/>
                        </a:solidFill>
                      </wps:spPr>
                      <wps:bodyPr/>
                    </wps:wsp>
                  </a:graphicData>
                </a:graphic>
              </wp:anchor>
            </w:drawing>
          </mc:Choice>
          <mc:Fallback>
            <w:pict>
              <v:rect id="Shape 51" o:spid="_x0000_s1076" style="position:absolute;margin-left:-0.1499pt;margin-top:-23.0999pt;width:510.35pt;height:24.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13"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Increase for solar acquisitions driven by Daggett 3 in February 2023, Mililani I in</w:t>
      </w:r>
    </w:p>
    <w:p>
      <w:pPr>
        <w:ind w:left="2440"/>
        <w:spacing w:after="0" w:line="230" w:lineRule="auto"/>
        <w:rPr>
          <w:sz w:val="20"/>
          <w:szCs w:val="20"/>
          <w:color w:val="auto"/>
        </w:rPr>
      </w:pPr>
      <w:r>
        <w:rPr>
          <w:rFonts w:ascii="Arial" w:cs="Arial" w:eastAsia="Arial" w:hAnsi="Arial"/>
          <w:sz w:val="18"/>
          <w:szCs w:val="18"/>
          <w:color w:val="auto"/>
        </w:rPr>
        <w:t>March 2022 and Waiawa in November 2022, partially offset by the disposition of</w:t>
      </w:r>
    </w:p>
    <w:p>
      <w:pPr>
        <w:spacing w:after="0" w:line="1" w:lineRule="exact"/>
        <w:rPr>
          <w:sz w:val="20"/>
          <w:szCs w:val="20"/>
          <w:color w:val="auto"/>
        </w:rPr>
      </w:pPr>
    </w:p>
    <w:p>
      <w:pPr>
        <w:ind w:left="2440"/>
        <w:spacing w:after="0"/>
        <w:rPr>
          <w:sz w:val="20"/>
          <w:szCs w:val="20"/>
          <w:color w:val="auto"/>
        </w:rPr>
      </w:pPr>
      <w:r>
        <w:rPr>
          <w:rFonts w:ascii="Arial" w:cs="Arial" w:eastAsia="Arial" w:hAnsi="Arial"/>
          <w:sz w:val="20"/>
          <w:szCs w:val="20"/>
          <w:color w:val="auto"/>
        </w:rPr>
        <w:t>Kawailoa in August 2022.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38735</wp:posOffset>
                </wp:positionV>
                <wp:extent cx="6481445" cy="189865"/>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1445" cy="189865"/>
                        </a:xfrm>
                        <a:prstGeom prst="rect">
                          <a:avLst/>
                        </a:prstGeom>
                        <a:solidFill>
                          <a:srgbClr val="E6E6E6"/>
                        </a:solidFill>
                      </wps:spPr>
                      <wps:bodyPr/>
                    </wps:wsp>
                  </a:graphicData>
                </a:graphic>
              </wp:anchor>
            </w:drawing>
          </mc:Choice>
          <mc:Fallback>
            <w:pict>
              <v:rect id="Shape 52" o:spid="_x0000_s1077" style="position:absolute;margin-left:-0.1499pt;margin-top:3.05pt;width:510.35pt;height:14.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53" w:lineRule="exact"/>
        <w:rPr>
          <w:sz w:val="20"/>
          <w:szCs w:val="20"/>
          <w:color w:val="auto"/>
        </w:rPr>
      </w:pPr>
    </w:p>
    <w:p>
      <w:pPr>
        <w:ind w:left="2440"/>
        <w:spacing w:after="0"/>
        <w:rPr>
          <w:sz w:val="20"/>
          <w:szCs w:val="20"/>
          <w:color w:val="auto"/>
        </w:rPr>
      </w:pPr>
      <w:r>
        <w:rPr>
          <w:rFonts w:ascii="Arial" w:cs="Arial" w:eastAsia="Arial" w:hAnsi="Arial"/>
          <w:sz w:val="20"/>
          <w:szCs w:val="20"/>
          <w:color w:val="auto"/>
        </w:rPr>
        <w:t>Increase primarily driven by maintenance activities at the wind facilities.</w:t>
      </w:r>
    </w:p>
    <w:p>
      <w:pPr>
        <w:spacing w:after="0" w:line="62" w:lineRule="exact"/>
        <w:rPr>
          <w:sz w:val="20"/>
          <w:szCs w:val="20"/>
          <w:color w:val="auto"/>
        </w:rPr>
      </w:pPr>
    </w:p>
    <w:p>
      <w:pPr>
        <w:ind w:left="2440" w:right="20" w:hanging="2387"/>
        <w:spacing w:after="0" w:line="239" w:lineRule="auto"/>
        <w:tabs>
          <w:tab w:leader="none" w:pos="2420" w:val="left"/>
        </w:tabs>
        <w:rPr>
          <w:sz w:val="20"/>
          <w:szCs w:val="20"/>
          <w:color w:val="auto"/>
        </w:rPr>
      </w:pPr>
      <w:r>
        <w:rPr>
          <w:rFonts w:ascii="Arial" w:cs="Arial" w:eastAsia="Arial" w:hAnsi="Arial"/>
          <w:sz w:val="20"/>
          <w:szCs w:val="20"/>
          <w:b w:val="1"/>
          <w:bCs w:val="1"/>
          <w:color w:val="auto"/>
        </w:rPr>
        <w:t>Conventional Segment</w:t>
      </w:r>
      <w:r>
        <w:rPr>
          <w:sz w:val="20"/>
          <w:szCs w:val="20"/>
          <w:color w:val="auto"/>
        </w:rPr>
        <w:tab/>
      </w:r>
      <w:r>
        <w:rPr>
          <w:rFonts w:ascii="Arial" w:cs="Arial" w:eastAsia="Arial" w:hAnsi="Arial"/>
          <w:sz w:val="20"/>
          <w:szCs w:val="20"/>
          <w:color w:val="auto"/>
        </w:rPr>
        <w:t>Increase primarily driven by higher costs related to outages at the Walnut Creek and Marsh Landing facilities.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18415</wp:posOffset>
                </wp:positionV>
                <wp:extent cx="6481445" cy="313055"/>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1445" cy="313055"/>
                        </a:xfrm>
                        <a:prstGeom prst="rect">
                          <a:avLst/>
                        </a:prstGeom>
                        <a:solidFill>
                          <a:srgbClr val="E6E6E6"/>
                        </a:solidFill>
                      </wps:spPr>
                      <wps:bodyPr/>
                    </wps:wsp>
                  </a:graphicData>
                </a:graphic>
              </wp:anchor>
            </w:drawing>
          </mc:Choice>
          <mc:Fallback>
            <w:pict>
              <v:rect id="Shape 53" o:spid="_x0000_s1078" style="position:absolute;margin-left:-0.1499pt;margin-top:1.45pt;width:510.35pt;height:24.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21" w:lineRule="exact"/>
        <w:rPr>
          <w:sz w:val="20"/>
          <w:szCs w:val="20"/>
          <w:color w:val="auto"/>
        </w:rPr>
      </w:pPr>
    </w:p>
    <w:p>
      <w:pPr>
        <w:ind w:left="2440" w:right="20"/>
        <w:spacing w:after="0" w:line="239" w:lineRule="auto"/>
        <w:rPr>
          <w:sz w:val="20"/>
          <w:szCs w:val="20"/>
          <w:color w:val="auto"/>
        </w:rPr>
      </w:pPr>
      <w:r>
        <w:rPr>
          <w:rFonts w:ascii="Arial" w:cs="Arial" w:eastAsia="Arial" w:hAnsi="Arial"/>
          <w:sz w:val="20"/>
          <w:szCs w:val="20"/>
          <w:color w:val="auto"/>
        </w:rPr>
        <w:t>Increase primarily driven by higher costs related to planned maintenance outages at the Carlsbad and El Segundo facilities.</w:t>
      </w:r>
    </w:p>
    <w:p>
      <w:pPr>
        <w:spacing w:after="0" w:line="28" w:lineRule="exact"/>
        <w:rPr>
          <w:sz w:val="20"/>
          <w:szCs w:val="20"/>
          <w:color w:val="auto"/>
        </w:rPr>
      </w:pPr>
    </w:p>
    <w:p>
      <w:pPr>
        <w:ind w:left="40"/>
        <w:spacing w:after="0"/>
        <w:tabs>
          <w:tab w:leader="none" w:pos="2420" w:val="left"/>
        </w:tabs>
        <w:rPr>
          <w:sz w:val="20"/>
          <w:szCs w:val="20"/>
          <w:color w:val="auto"/>
        </w:rPr>
      </w:pPr>
      <w:r>
        <w:rPr>
          <w:rFonts w:ascii="Arial" w:cs="Arial" w:eastAsia="Arial" w:hAnsi="Arial"/>
          <w:sz w:val="20"/>
          <w:szCs w:val="20"/>
          <w:b w:val="1"/>
          <w:bCs w:val="1"/>
          <w:color w:val="auto"/>
        </w:rPr>
        <w:t>Thermal Segment</w:t>
      </w:r>
      <w:r>
        <w:rPr>
          <w:sz w:val="20"/>
          <w:szCs w:val="20"/>
          <w:color w:val="auto"/>
        </w:rPr>
        <w:tab/>
      </w:r>
      <w:r>
        <w:rPr>
          <w:rFonts w:ascii="Arial" w:cs="Arial" w:eastAsia="Arial" w:hAnsi="Arial"/>
          <w:sz w:val="18"/>
          <w:szCs w:val="18"/>
          <w:color w:val="auto"/>
        </w:rPr>
        <w:t>Decrease primarily driven by the sale of the Thermal Business on May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27305</wp:posOffset>
            </wp:positionV>
            <wp:extent cx="6495415" cy="2273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4">
                      <a:extLst>
                        <a:ext uri="{28A0092B-C50C-407E-A947-70E740481C1C}"/>
                      </a:extLst>
                    </a:blip>
                    <a:srcRect/>
                    <a:stretch>
                      <a:fillRect/>
                    </a:stretch>
                  </pic:blipFill>
                  <pic:spPr bwMode="auto">
                    <a:xfrm>
                      <a:off x="0" y="0"/>
                      <a:ext cx="6495415" cy="2273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jc w:val="center"/>
        <w:ind w:right="38"/>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-33020</wp:posOffset>
                </wp:positionH>
                <wp:positionV relativeFrom="paragraph">
                  <wp:posOffset>28575</wp:posOffset>
                </wp:positionV>
                <wp:extent cx="786130"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613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99pt,2.25pt" to="59.3pt,2.25pt" o:allowincell="f" strokecolor="#000000" strokeweight="1pt"/>
            </w:pict>
          </mc:Fallback>
        </mc:AlternateContent>
      </w:r>
    </w:p>
    <w:p>
      <w:pPr>
        <w:spacing w:after="0" w:line="245" w:lineRule="exact"/>
        <w:rPr>
          <w:sz w:val="20"/>
          <w:szCs w:val="20"/>
          <w:color w:val="auto"/>
        </w:rPr>
      </w:pPr>
    </w:p>
    <w:p>
      <w:pPr>
        <w:ind w:left="902" w:hanging="902"/>
        <w:spacing w:after="0"/>
        <w:tabs>
          <w:tab w:leader="none" w:pos="902" w:val="left"/>
        </w:tabs>
        <w:numPr>
          <w:ilvl w:val="0"/>
          <w:numId w:val="31"/>
        </w:numPr>
        <w:rPr>
          <w:rFonts w:ascii="Arial" w:cs="Arial" w:eastAsia="Arial" w:hAnsi="Arial"/>
          <w:sz w:val="20"/>
          <w:szCs w:val="20"/>
          <w:color w:val="auto"/>
        </w:rPr>
      </w:pPr>
      <w:r>
        <w:rPr>
          <w:rFonts w:ascii="Arial" w:cs="Arial" w:eastAsia="Arial" w:hAnsi="Arial"/>
          <w:sz w:val="20"/>
          <w:szCs w:val="20"/>
          <w:color w:val="auto"/>
        </w:rPr>
        <w:t>16</w:t>
      </w:r>
    </w:p>
    <w:p>
      <w:pPr>
        <w:spacing w:after="0" w:line="200" w:lineRule="exact"/>
        <w:rPr>
          <w:sz w:val="20"/>
          <w:szCs w:val="20"/>
          <w:color w:val="auto"/>
        </w:rPr>
      </w:pPr>
    </w:p>
    <w:p>
      <w:pPr>
        <w:spacing w:after="0" w:line="271" w:lineRule="exact"/>
        <w:rPr>
          <w:sz w:val="20"/>
          <w:szCs w:val="20"/>
          <w:color w:val="auto"/>
        </w:rPr>
      </w:pPr>
    </w:p>
    <w:p>
      <w:pPr>
        <w:ind w:left="1002"/>
        <w:spacing w:after="0"/>
        <w:rPr>
          <w:sz w:val="20"/>
          <w:szCs w:val="20"/>
          <w:color w:val="auto"/>
        </w:rPr>
      </w:pPr>
      <w:r>
        <w:rPr>
          <w:rFonts w:ascii="Arial" w:cs="Arial" w:eastAsia="Arial" w:hAnsi="Arial"/>
          <w:sz w:val="20"/>
          <w:szCs w:val="20"/>
          <w:color w:val="auto"/>
        </w:rPr>
        <w:t>8</w:t>
      </w:r>
    </w:p>
    <w:p>
      <w:pPr>
        <w:spacing w:after="0" w:line="69" w:lineRule="exact"/>
        <w:rPr>
          <w:sz w:val="20"/>
          <w:szCs w:val="20"/>
          <w:color w:val="auto"/>
        </w:rPr>
      </w:pPr>
    </w:p>
    <w:p>
      <w:pPr>
        <w:ind w:left="1002"/>
        <w:spacing w:after="0"/>
        <w:rPr>
          <w:sz w:val="20"/>
          <w:szCs w:val="20"/>
          <w:color w:val="auto"/>
        </w:rPr>
      </w:pPr>
      <w:r>
        <w:rPr>
          <w:rFonts w:ascii="Arial" w:cs="Arial" w:eastAsia="Arial" w:hAnsi="Arial"/>
          <w:sz w:val="20"/>
          <w:szCs w:val="20"/>
          <w:color w:val="auto"/>
        </w:rPr>
        <w:t>4</w:t>
      </w:r>
    </w:p>
    <w:p>
      <w:pPr>
        <w:spacing w:after="0" w:line="263" w:lineRule="exact"/>
        <w:rPr>
          <w:sz w:val="20"/>
          <w:szCs w:val="20"/>
          <w:color w:val="auto"/>
        </w:rPr>
      </w:pPr>
    </w:p>
    <w:p>
      <w:pPr>
        <w:ind w:left="1002"/>
        <w:spacing w:after="0"/>
        <w:rPr>
          <w:sz w:val="20"/>
          <w:szCs w:val="20"/>
          <w:color w:val="auto"/>
        </w:rPr>
      </w:pPr>
      <w:r>
        <w:rPr>
          <w:rFonts w:ascii="Arial" w:cs="Arial" w:eastAsia="Arial" w:hAnsi="Arial"/>
          <w:sz w:val="20"/>
          <w:szCs w:val="20"/>
          <w:color w:val="auto"/>
        </w:rPr>
        <w:t>5</w:t>
      </w:r>
    </w:p>
    <w:p>
      <w:pPr>
        <w:spacing w:after="0" w:line="263" w:lineRule="exact"/>
        <w:rPr>
          <w:sz w:val="20"/>
          <w:szCs w:val="20"/>
          <w:color w:val="auto"/>
        </w:rPr>
      </w:pPr>
    </w:p>
    <w:p>
      <w:pPr>
        <w:ind w:left="1002"/>
        <w:spacing w:after="0"/>
        <w:rPr>
          <w:sz w:val="20"/>
          <w:szCs w:val="20"/>
          <w:color w:val="auto"/>
        </w:rPr>
      </w:pPr>
      <w:r>
        <w:rPr>
          <w:rFonts w:ascii="Arial" w:cs="Arial" w:eastAsia="Arial" w:hAnsi="Arial"/>
          <w:sz w:val="20"/>
          <w:szCs w:val="20"/>
          <w:color w:val="auto"/>
        </w:rPr>
        <w:t>4</w:t>
      </w:r>
    </w:p>
    <w:p>
      <w:pPr>
        <w:spacing w:after="0" w:line="69" w:lineRule="exact"/>
        <w:rPr>
          <w:sz w:val="20"/>
          <w:szCs w:val="20"/>
          <w:color w:val="auto"/>
        </w:rPr>
      </w:pPr>
    </w:p>
    <w:p>
      <w:pPr>
        <w:jc w:val="right"/>
        <w:ind w:right="20"/>
        <w:spacing w:after="0"/>
        <w:rPr>
          <w:sz w:val="20"/>
          <w:szCs w:val="20"/>
          <w:color w:val="auto"/>
        </w:rPr>
      </w:pPr>
      <w:r>
        <w:rPr>
          <w:rFonts w:ascii="Arial" w:cs="Arial" w:eastAsia="Arial" w:hAnsi="Arial"/>
          <w:sz w:val="20"/>
          <w:szCs w:val="20"/>
          <w:color w:val="auto"/>
        </w:rPr>
        <w:t>(18)</w:t>
      </w:r>
    </w:p>
    <w:p>
      <w:pPr>
        <w:spacing w:after="0" w:line="69" w:lineRule="exact"/>
        <w:rPr>
          <w:sz w:val="20"/>
          <w:szCs w:val="20"/>
          <w:color w:val="auto"/>
        </w:rPr>
      </w:pPr>
    </w:p>
    <w:p>
      <w:pPr>
        <w:ind w:left="902" w:hanging="902"/>
        <w:spacing w:after="0"/>
        <w:tabs>
          <w:tab w:leader="none" w:pos="902" w:val="left"/>
        </w:tabs>
        <w:numPr>
          <w:ilvl w:val="0"/>
          <w:numId w:val="32"/>
        </w:numPr>
        <w:rPr>
          <w:rFonts w:ascii="Arial" w:cs="Arial" w:eastAsia="Arial" w:hAnsi="Arial"/>
          <w:sz w:val="20"/>
          <w:szCs w:val="20"/>
          <w:color w:val="auto"/>
        </w:rPr>
      </w:pPr>
      <w:r>
        <w:rPr>
          <w:rFonts w:ascii="Arial" w:cs="Arial" w:eastAsia="Arial" w:hAnsi="Arial"/>
          <w:sz w:val="20"/>
          <w:szCs w:val="20"/>
          <w:color w:val="auto"/>
        </w:rPr>
        <w:t>19</w:t>
      </w:r>
    </w:p>
    <w:p>
      <w:pPr>
        <w:spacing w:after="0" w:line="200" w:lineRule="exact"/>
        <w:rPr>
          <w:sz w:val="20"/>
          <w:szCs w:val="20"/>
          <w:color w:val="auto"/>
        </w:rPr>
      </w:pPr>
    </w:p>
    <w:p>
      <w:pPr>
        <w:sectPr>
          <w:pgSz w:w="11880" w:h="15480" w:orient="portrait"/>
          <w:cols w:equalWidth="0" w:num="2">
            <w:col w:w="8960" w:space="58"/>
            <w:col w:w="1182"/>
          </w:cols>
          <w:pgMar w:left="840" w:top="403" w:right="840" w:bottom="0" w:gutter="0" w:footer="0" w:header="0"/>
          <w:type w:val="continuous"/>
        </w:sectPr>
      </w:pP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Gain on Sale of Business</w:t>
      </w:r>
    </w:p>
    <w:p>
      <w:pPr>
        <w:spacing w:after="0" w:line="196"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20"/>
          <w:szCs w:val="20"/>
          <w:color w:val="auto"/>
        </w:rPr>
        <w:t xml:space="preserve">On May 1, 2022, the Company completed the sale of 100% of its interests in the Thermal Business to KKR resulting in a gain on sale of business of approximately $1.29 billion, as further described in Item 15 — Note 3, </w:t>
      </w:r>
      <w:r>
        <w:rPr>
          <w:rFonts w:ascii="Arial" w:cs="Arial" w:eastAsia="Arial" w:hAnsi="Arial"/>
          <w:sz w:val="20"/>
          <w:szCs w:val="20"/>
          <w:b w:val="1"/>
          <w:bCs w:val="1"/>
          <w:i w:val="1"/>
          <w:iCs w:val="1"/>
          <w:color w:val="auto"/>
        </w:rPr>
        <w:t>Acquisitions and</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Dispositions</w:t>
      </w:r>
      <w:r>
        <w:rPr>
          <w:rFonts w:ascii="Arial" w:cs="Arial" w:eastAsia="Arial" w:hAnsi="Arial"/>
          <w:sz w:val="20"/>
          <w:szCs w:val="20"/>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Equity in Earnings of Unconsolidated Affiliates</w:t>
      </w:r>
    </w:p>
    <w:p>
      <w:pPr>
        <w:spacing w:after="0" w:line="196"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20"/>
          <w:szCs w:val="20"/>
          <w:color w:val="auto"/>
        </w:rPr>
        <w:t>Equity in earnings of unconsolidated affiliates decreased by $17 million during the year ended December 31, 2023, compared to the same period in 2022, primarily due to the change in fair value of interest swaps and higher depreciation expense, as well as lower wind production during the second quarter of 2023.</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Income, Net</w:t>
      </w:r>
    </w:p>
    <w:p>
      <w:pPr>
        <w:spacing w:after="0" w:line="196" w:lineRule="exact"/>
        <w:rPr>
          <w:sz w:val="20"/>
          <w:szCs w:val="20"/>
          <w:color w:val="auto"/>
        </w:rPr>
      </w:pPr>
    </w:p>
    <w:p>
      <w:pPr>
        <w:jc w:val="both"/>
        <w:ind w:firstLine="448"/>
        <w:spacing w:after="0" w:line="277" w:lineRule="auto"/>
        <w:rPr>
          <w:sz w:val="20"/>
          <w:szCs w:val="20"/>
          <w:color w:val="auto"/>
        </w:rPr>
      </w:pPr>
      <w:r>
        <w:rPr>
          <w:rFonts w:ascii="Arial" w:cs="Arial" w:eastAsia="Arial" w:hAnsi="Arial"/>
          <w:sz w:val="19"/>
          <w:szCs w:val="19"/>
          <w:color w:val="auto"/>
        </w:rPr>
        <w:t>Other income, net increased $35 million during the year ended December 31, 2023, compared to the same period in 2022, primarily due to higher interest income earned on investments in money market and time deposit accounts, which have retained larger balances as a result of the proceeds received from the sale of the Thermal Business on May 1, 2022, along with higher interest income earned across the portfolio as a result of higher interest rates.</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Expense</w:t>
      </w:r>
    </w:p>
    <w:p>
      <w:pPr>
        <w:spacing w:after="0" w:line="196" w:lineRule="exact"/>
        <w:rPr>
          <w:sz w:val="20"/>
          <w:szCs w:val="20"/>
          <w:color w:val="auto"/>
        </w:rPr>
      </w:pPr>
    </w:p>
    <w:p>
      <w:pPr>
        <w:jc w:val="both"/>
        <w:ind w:firstLine="448"/>
        <w:spacing w:after="0" w:line="280" w:lineRule="auto"/>
        <w:rPr>
          <w:sz w:val="20"/>
          <w:szCs w:val="20"/>
          <w:color w:val="auto"/>
        </w:rPr>
      </w:pPr>
      <w:r>
        <w:rPr>
          <w:rFonts w:ascii="Arial" w:cs="Arial" w:eastAsia="Arial" w:hAnsi="Arial"/>
          <w:sz w:val="20"/>
          <w:szCs w:val="20"/>
          <w:color w:val="auto"/>
        </w:rPr>
        <w:t>Interest expense increased by $105 million during the year ended December 31, 2023, compared to the same period in 2022, primarily due to the following:</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8960" w:type="dxa"/>
            <w:vAlign w:val="bottom"/>
            <w:tcBorders>
              <w:bottom w:val="single" w:sz="8" w:color="E6E6E6"/>
            </w:tcBorders>
          </w:tcPr>
          <w:p>
            <w:pPr>
              <w:spacing w:after="0"/>
              <w:rPr>
                <w:sz w:val="21"/>
                <w:szCs w:val="21"/>
                <w:color w:val="auto"/>
              </w:rPr>
            </w:pPr>
          </w:p>
        </w:tc>
        <w:tc>
          <w:tcPr>
            <w:tcW w:w="1240" w:type="dxa"/>
            <w:vAlign w:val="bottom"/>
            <w:tcBorders>
              <w:bottom w:val="single" w:sz="8" w:color="auto"/>
            </w:tcBorders>
            <w:gridSpan w:val="2"/>
          </w:tcPr>
          <w:p>
            <w:pPr>
              <w:jc w:val="right"/>
              <w:ind w:right="41"/>
              <w:spacing w:after="0"/>
              <w:rPr>
                <w:sz w:val="20"/>
                <w:szCs w:val="20"/>
                <w:color w:val="auto"/>
              </w:rPr>
            </w:pPr>
            <w:r>
              <w:rPr>
                <w:rFonts w:ascii="Arial" w:cs="Arial" w:eastAsia="Arial" w:hAnsi="Arial"/>
                <w:sz w:val="18"/>
                <w:szCs w:val="18"/>
                <w:b w:val="1"/>
                <w:bCs w:val="1"/>
                <w:color w:val="auto"/>
              </w:rPr>
              <w:t>(In millions)</w:t>
            </w:r>
          </w:p>
        </w:tc>
        <w:tc>
          <w:tcPr>
            <w:tcW w:w="0" w:type="dxa"/>
            <w:vAlign w:val="bottom"/>
          </w:tcPr>
          <w:p>
            <w:pPr>
              <w:spacing w:after="0"/>
              <w:rPr>
                <w:sz w:val="1"/>
                <w:szCs w:val="1"/>
                <w:color w:val="auto"/>
              </w:rPr>
            </w:pPr>
          </w:p>
        </w:tc>
      </w:tr>
      <w:tr>
        <w:trPr>
          <w:trHeight w:val="289"/>
        </w:trPr>
        <w:tc>
          <w:tcPr>
            <w:tcW w:w="8960" w:type="dxa"/>
            <w:vAlign w:val="bottom"/>
            <w:shd w:val="clear" w:color="auto" w:fill="E6E6E6"/>
          </w:tcPr>
          <w:p>
            <w:pPr>
              <w:ind w:left="40"/>
              <w:spacing w:after="0"/>
              <w:rPr>
                <w:sz w:val="20"/>
                <w:szCs w:val="20"/>
                <w:color w:val="auto"/>
              </w:rPr>
            </w:pPr>
            <w:r>
              <w:rPr>
                <w:rFonts w:ascii="Arial" w:cs="Arial" w:eastAsia="Arial" w:hAnsi="Arial"/>
                <w:sz w:val="20"/>
                <w:szCs w:val="20"/>
                <w:color w:val="auto"/>
                <w:w w:val="89"/>
              </w:rPr>
              <w:t xml:space="preserve">Change in fair value of interest rate swaps due to changes in interest rates </w:t>
            </w:r>
            <w:r>
              <w:rPr>
                <w:rFonts w:ascii="Arial" w:cs="Arial" w:eastAsia="Arial" w:hAnsi="Arial"/>
                <w:sz w:val="20"/>
                <w:szCs w:val="20"/>
                <w:color w:val="BDBDBD"/>
                <w:w w:val="89"/>
              </w:rPr>
              <w:t>. . . . . . . . . . . . . . . . . . . . . . . . . . . . . .</w:t>
            </w:r>
          </w:p>
        </w:tc>
        <w:tc>
          <w:tcPr>
            <w:tcW w:w="520" w:type="dxa"/>
            <w:vAlign w:val="bottom"/>
            <w:shd w:val="clear" w:color="auto" w:fill="E6E6E6"/>
          </w:tcPr>
          <w:p>
            <w:pPr>
              <w:jc w:val="right"/>
              <w:ind w:right="264"/>
              <w:spacing w:after="0"/>
              <w:rPr>
                <w:sz w:val="20"/>
                <w:szCs w:val="20"/>
                <w:color w:val="auto"/>
              </w:rPr>
            </w:pPr>
            <w:r>
              <w:rPr>
                <w:rFonts w:ascii="Arial" w:cs="Arial" w:eastAsia="Arial" w:hAnsi="Arial"/>
                <w:sz w:val="20"/>
                <w:szCs w:val="20"/>
                <w:color w:val="auto"/>
              </w:rPr>
              <w:t>$</w:t>
            </w:r>
          </w:p>
        </w:tc>
        <w:tc>
          <w:tcPr>
            <w:tcW w:w="7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117</w:t>
            </w:r>
          </w:p>
        </w:tc>
        <w:tc>
          <w:tcPr>
            <w:tcW w:w="0" w:type="dxa"/>
            <w:vAlign w:val="bottom"/>
          </w:tcPr>
          <w:p>
            <w:pPr>
              <w:spacing w:after="0"/>
              <w:rPr>
                <w:sz w:val="1"/>
                <w:szCs w:val="1"/>
                <w:color w:val="auto"/>
              </w:rPr>
            </w:pPr>
          </w:p>
        </w:tc>
      </w:tr>
      <w:tr>
        <w:trPr>
          <w:trHeight w:val="292"/>
        </w:trPr>
        <w:tc>
          <w:tcPr>
            <w:tcW w:w="8960" w:type="dxa"/>
            <w:vAlign w:val="bottom"/>
          </w:tcPr>
          <w:p>
            <w:pPr>
              <w:ind w:left="40"/>
              <w:spacing w:after="0"/>
              <w:rPr>
                <w:sz w:val="20"/>
                <w:szCs w:val="20"/>
                <w:color w:val="auto"/>
              </w:rPr>
            </w:pPr>
            <w:r>
              <w:rPr>
                <w:rFonts w:ascii="Arial" w:cs="Arial" w:eastAsia="Arial" w:hAnsi="Arial"/>
                <w:sz w:val="20"/>
                <w:szCs w:val="20"/>
                <w:color w:val="auto"/>
                <w:w w:val="89"/>
              </w:rPr>
              <w:t xml:space="preserve">Increase in interest expense due to an increase in principal balances of Renewables segment project-level debt </w:t>
            </w:r>
            <w:r>
              <w:rPr>
                <w:rFonts w:ascii="Arial" w:cs="Arial" w:eastAsia="Arial" w:hAnsi="Arial"/>
                <w:sz w:val="20"/>
                <w:szCs w:val="20"/>
                <w:color w:val="BDBDBD"/>
                <w:w w:val="89"/>
              </w:rPr>
              <w:t>.</w:t>
            </w:r>
          </w:p>
        </w:tc>
        <w:tc>
          <w:tcPr>
            <w:tcW w:w="5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305"/>
        </w:trPr>
        <w:tc>
          <w:tcPr>
            <w:tcW w:w="8960" w:type="dxa"/>
            <w:vAlign w:val="bottom"/>
            <w:shd w:val="clear" w:color="auto" w:fill="E6E6E6"/>
          </w:tcPr>
          <w:p>
            <w:pPr>
              <w:ind w:left="40"/>
              <w:spacing w:after="0"/>
              <w:rPr>
                <w:sz w:val="20"/>
                <w:szCs w:val="20"/>
                <w:color w:val="auto"/>
              </w:rPr>
            </w:pPr>
            <w:r>
              <w:rPr>
                <w:rFonts w:ascii="Arial" w:cs="Arial" w:eastAsia="Arial" w:hAnsi="Arial"/>
                <w:sz w:val="20"/>
                <w:szCs w:val="20"/>
                <w:color w:val="auto"/>
                <w:w w:val="89"/>
              </w:rPr>
              <w:t>Decrease in interest expense due to a decrease in principal balances of Conventional segment project-level debt</w:t>
            </w:r>
          </w:p>
        </w:tc>
        <w:tc>
          <w:tcPr>
            <w:tcW w:w="52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(17)</w:t>
            </w:r>
          </w:p>
        </w:tc>
        <w:tc>
          <w:tcPr>
            <w:tcW w:w="0" w:type="dxa"/>
            <w:vAlign w:val="bottom"/>
          </w:tcPr>
          <w:p>
            <w:pPr>
              <w:spacing w:after="0"/>
              <w:rPr>
                <w:sz w:val="1"/>
                <w:szCs w:val="1"/>
                <w:color w:val="auto"/>
              </w:rPr>
            </w:pPr>
          </w:p>
        </w:tc>
      </w:tr>
      <w:tr>
        <w:trPr>
          <w:trHeight w:val="292"/>
        </w:trPr>
        <w:tc>
          <w:tcPr>
            <w:tcW w:w="8960" w:type="dxa"/>
            <w:vAlign w:val="bottom"/>
          </w:tcPr>
          <w:p>
            <w:pPr>
              <w:ind w:left="40"/>
              <w:spacing w:after="0"/>
              <w:rPr>
                <w:sz w:val="20"/>
                <w:szCs w:val="20"/>
                <w:color w:val="auto"/>
              </w:rPr>
            </w:pPr>
            <w:r>
              <w:rPr>
                <w:rFonts w:ascii="Arial" w:cs="Arial" w:eastAsia="Arial" w:hAnsi="Arial"/>
                <w:sz w:val="20"/>
                <w:szCs w:val="20"/>
                <w:color w:val="auto"/>
                <w:w w:val="89"/>
              </w:rPr>
              <w:t xml:space="preserve">Decrease in interest expense due to the sale of the Thermal Business on May 1, 2022 </w:t>
            </w:r>
            <w:r>
              <w:rPr>
                <w:rFonts w:ascii="Arial" w:cs="Arial" w:eastAsia="Arial" w:hAnsi="Arial"/>
                <w:sz w:val="20"/>
                <w:szCs w:val="20"/>
                <w:color w:val="BDBDBD"/>
                <w:w w:val="89"/>
              </w:rPr>
              <w:t>. . . . . . . . . . . . . . . . . . . . .</w:t>
            </w:r>
          </w:p>
        </w:tc>
        <w:tc>
          <w:tcPr>
            <w:tcW w:w="5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37"/>
        </w:trPr>
        <w:tc>
          <w:tcPr>
            <w:tcW w:w="8960" w:type="dxa"/>
            <w:vAlign w:val="bottom"/>
            <w:shd w:val="clear" w:color="auto" w:fill="E6E6E6"/>
          </w:tcPr>
          <w:p>
            <w:pPr>
              <w:ind w:left="40"/>
              <w:spacing w:after="0"/>
              <w:rPr>
                <w:sz w:val="20"/>
                <w:szCs w:val="20"/>
                <w:color w:val="auto"/>
              </w:rPr>
            </w:pPr>
            <w:r>
              <w:rPr>
                <w:rFonts w:ascii="Arial" w:cs="Arial" w:eastAsia="Arial" w:hAnsi="Arial"/>
                <w:sz w:val="20"/>
                <w:szCs w:val="20"/>
                <w:color w:val="auto"/>
                <w:w w:val="90"/>
              </w:rPr>
              <w:t>Decrease in interest expense due to decreased principal balances of Corporate debt, which includes repayment</w:t>
            </w:r>
          </w:p>
        </w:tc>
        <w:tc>
          <w:tcPr>
            <w:tcW w:w="520" w:type="dxa"/>
            <w:vAlign w:val="bottom"/>
            <w:shd w:val="clear" w:color="auto" w:fill="E6E6E6"/>
          </w:tcPr>
          <w:p>
            <w:pPr>
              <w:spacing w:after="0"/>
              <w:rPr>
                <w:sz w:val="20"/>
                <w:szCs w:val="20"/>
                <w:color w:val="auto"/>
              </w:rPr>
            </w:pPr>
          </w:p>
        </w:tc>
        <w:tc>
          <w:tcPr>
            <w:tcW w:w="720" w:type="dxa"/>
            <w:vAlign w:val="bottom"/>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8960" w:type="dxa"/>
            <w:vAlign w:val="bottom"/>
            <w:shd w:val="clear" w:color="auto" w:fill="E6E6E6"/>
          </w:tcPr>
          <w:p>
            <w:pPr>
              <w:ind w:left="40"/>
              <w:spacing w:after="0" w:line="199" w:lineRule="exact"/>
              <w:rPr>
                <w:sz w:val="20"/>
                <w:szCs w:val="20"/>
                <w:color w:val="auto"/>
              </w:rPr>
            </w:pPr>
            <w:r>
              <w:rPr>
                <w:rFonts w:ascii="Arial" w:cs="Arial" w:eastAsia="Arial" w:hAnsi="Arial"/>
                <w:sz w:val="20"/>
                <w:szCs w:val="20"/>
                <w:color w:val="auto"/>
                <w:w w:val="95"/>
              </w:rPr>
              <w:t>of the outstanding borrowings under the Bridge Loan Agreement and the revolving credit facility on May 3,</w:t>
            </w:r>
          </w:p>
        </w:tc>
        <w:tc>
          <w:tcPr>
            <w:tcW w:w="520" w:type="dxa"/>
            <w:vAlign w:val="bottom"/>
            <w:shd w:val="clear" w:color="auto" w:fill="E6E6E6"/>
          </w:tcPr>
          <w:p>
            <w:pPr>
              <w:spacing w:after="0"/>
              <w:rPr>
                <w:sz w:val="17"/>
                <w:szCs w:val="17"/>
                <w:color w:val="auto"/>
              </w:rPr>
            </w:pPr>
          </w:p>
        </w:tc>
        <w:tc>
          <w:tcPr>
            <w:tcW w:w="72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62"/>
        </w:trPr>
        <w:tc>
          <w:tcPr>
            <w:tcW w:w="896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w w:val="89"/>
              </w:rPr>
              <w:t xml:space="preserve">2022 </w:t>
            </w:r>
            <w:r>
              <w:rPr>
                <w:rFonts w:ascii="Arial" w:cs="Arial" w:eastAsia="Arial" w:hAnsi="Arial"/>
                <w:sz w:val="20"/>
                <w:szCs w:val="20"/>
                <w:color w:val="BDBDBD"/>
                <w:w w:val="89"/>
              </w:rPr>
              <w:t>. . . . . . . . . . . . . . . . . . . . . . . . . . . . . . . . . . . . . . . . . . . . . . . . . . . . . . . . . . . . . . . . . . . . . . . . . . . . . . . . . . . . .</w:t>
            </w:r>
          </w:p>
        </w:tc>
        <w:tc>
          <w:tcPr>
            <w:tcW w:w="520" w:type="dxa"/>
            <w:vAlign w:val="bottom"/>
            <w:tcBorders>
              <w:bottom w:val="single" w:sz="8" w:color="auto"/>
            </w:tcBorders>
            <w:shd w:val="clear" w:color="auto" w:fill="E6E6E6"/>
          </w:tcPr>
          <w:p>
            <w:pPr>
              <w:spacing w:after="0"/>
              <w:rPr>
                <w:sz w:val="22"/>
                <w:szCs w:val="22"/>
                <w:color w:val="auto"/>
              </w:rPr>
            </w:pPr>
          </w:p>
        </w:tc>
        <w:tc>
          <w:tcPr>
            <w:tcW w:w="720" w:type="dxa"/>
            <w:vAlign w:val="bottom"/>
            <w:tcBorders>
              <w:bottom w:val="single" w:sz="8" w:color="auto"/>
            </w:tcBorders>
            <w:vMerge w:val="continue"/>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8960" w:type="dxa"/>
            <w:vAlign w:val="bottom"/>
          </w:tcPr>
          <w:p>
            <w:pPr>
              <w:spacing w:after="0"/>
              <w:rPr>
                <w:sz w:val="23"/>
                <w:szCs w:val="23"/>
                <w:color w:val="auto"/>
              </w:rPr>
            </w:pPr>
          </w:p>
        </w:tc>
        <w:tc>
          <w:tcPr>
            <w:tcW w:w="520" w:type="dxa"/>
            <w:vAlign w:val="bottom"/>
            <w:tcBorders>
              <w:bottom w:val="single" w:sz="8" w:color="auto"/>
            </w:tcBorders>
          </w:tcPr>
          <w:p>
            <w:pPr>
              <w:jc w:val="right"/>
              <w:ind w:right="264"/>
              <w:spacing w:after="0"/>
              <w:rPr>
                <w:sz w:val="20"/>
                <w:szCs w:val="20"/>
                <w:color w:val="auto"/>
              </w:rPr>
            </w:pPr>
            <w:r>
              <w:rPr>
                <w:rFonts w:ascii="Arial" w:cs="Arial" w:eastAsia="Arial" w:hAnsi="Arial"/>
                <w:sz w:val="20"/>
                <w:szCs w:val="20"/>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105</w:t>
            </w:r>
          </w:p>
        </w:tc>
        <w:tc>
          <w:tcPr>
            <w:tcW w:w="0" w:type="dxa"/>
            <w:vAlign w:val="bottom"/>
          </w:tcPr>
          <w:p>
            <w:pPr>
              <w:spacing w:after="0"/>
              <w:rPr>
                <w:sz w:val="1"/>
                <w:szCs w:val="1"/>
                <w:color w:val="auto"/>
              </w:rPr>
            </w:pPr>
          </w:p>
        </w:tc>
      </w:tr>
      <w:tr>
        <w:trPr>
          <w:trHeight w:val="20"/>
        </w:trPr>
        <w:tc>
          <w:tcPr>
            <w:tcW w:w="89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5680710</wp:posOffset>
            </wp:positionH>
            <wp:positionV relativeFrom="paragraph">
              <wp:posOffset>-1433830</wp:posOffset>
            </wp:positionV>
            <wp:extent cx="8121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5">
                      <a:extLst>
                        <a:ext uri="{28A0092B-C50C-407E-A947-70E740481C1C}"/>
                      </a:extLst>
                    </a:blip>
                    <a:srcRect/>
                    <a:stretch>
                      <a:fillRect/>
                    </a:stretch>
                  </pic:blipFill>
                  <pic:spPr bwMode="auto">
                    <a:xfrm>
                      <a:off x="0" y="0"/>
                      <a:ext cx="812165" cy="25400"/>
                    </a:xfrm>
                    <a:prstGeom prst="rect">
                      <a:avLst/>
                    </a:prstGeom>
                    <a:noFill/>
                  </pic:spPr>
                </pic:pic>
              </a:graphicData>
            </a:graphic>
          </wp:anchor>
        </w:drawing>
        <w:drawing>
          <wp:anchor simplePos="0" relativeHeight="251657728" behindDoc="1" locked="0" layoutInCell="0" allowOverlap="1">
            <wp:simplePos x="0" y="0"/>
            <wp:positionH relativeFrom="column">
              <wp:posOffset>5680710</wp:posOffset>
            </wp:positionH>
            <wp:positionV relativeFrom="paragraph">
              <wp:posOffset>-229870</wp:posOffset>
            </wp:positionV>
            <wp:extent cx="8121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46">
                      <a:extLst>
                        <a:ext uri="{28A0092B-C50C-407E-A947-70E740481C1C}"/>
                      </a:extLst>
                    </a:blip>
                    <a:srcRect/>
                    <a:stretch>
                      <a:fillRect/>
                    </a:stretch>
                  </pic:blipFill>
                  <pic:spPr bwMode="auto">
                    <a:xfrm>
                      <a:off x="0" y="0"/>
                      <a:ext cx="812165" cy="2540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 (Benefit) Expense</w:t>
      </w:r>
    </w:p>
    <w:p>
      <w:pPr>
        <w:spacing w:after="0" w:line="196"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20"/>
          <w:szCs w:val="20"/>
          <w:color w:val="auto"/>
        </w:rPr>
        <w:t>For the year ended December 31, 2023, the Company recorded an income tax benefit of $2 million on pretax loss of $16 million. For the same period in 2022, the Company recorded an income tax expense of $222 million on pretax income of $1,282 million.</w:t>
      </w:r>
    </w:p>
    <w:p>
      <w:pPr>
        <w:sectPr>
          <w:pgSz w:w="11880" w:h="15480" w:orient="portrait"/>
          <w:cols w:equalWidth="0" w:num="1">
            <w:col w:w="10200"/>
          </w:cols>
          <w:pgMar w:left="840" w:top="403" w:right="8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ectPr>
          <w:pgSz w:w="11880" w:h="15480" w:orient="portrait"/>
          <w:cols w:equalWidth="0" w:num="1">
            <w:col w:w="10200"/>
          </w:cols>
          <w:pgMar w:left="840" w:top="403" w:right="840" w:bottom="0" w:gutter="0" w:footer="0" w:header="0"/>
          <w:type w:val="continuous"/>
        </w:sectPr>
      </w:pPr>
    </w:p>
    <w:bookmarkStart w:id="53" w:name="page54"/>
    <w:bookmarkEnd w:id="53"/>
    <w:p>
      <w:pPr>
        <w:ind w:left="440"/>
        <w:spacing w:after="0"/>
        <w:rPr>
          <w:sz w:val="20"/>
          <w:szCs w:val="20"/>
          <w:color w:val="auto"/>
        </w:rPr>
      </w:pPr>
      <w:r>
        <w:rPr>
          <w:rFonts w:ascii="Arial" w:cs="Arial" w:eastAsia="Arial" w:hAnsi="Arial"/>
          <w:sz w:val="20"/>
          <w:szCs w:val="20"/>
          <w:color w:val="auto"/>
        </w:rPr>
        <w:t>A reconciliation of the U.S. federal statutory rate of 21% to the Company’s effective rate is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360" w:type="dxa"/>
            <w:vAlign w:val="bottom"/>
          </w:tcPr>
          <w:p>
            <w:pPr>
              <w:spacing w:after="0"/>
              <w:rPr>
                <w:sz w:val="18"/>
                <w:szCs w:val="18"/>
                <w:color w:val="auto"/>
              </w:rPr>
            </w:pPr>
          </w:p>
        </w:tc>
        <w:tc>
          <w:tcPr>
            <w:tcW w:w="2840" w:type="dxa"/>
            <w:vAlign w:val="bottom"/>
            <w:tcBorders>
              <w:bottom w:val="single" w:sz="8" w:color="auto"/>
            </w:tcBorders>
            <w:gridSpan w:val="5"/>
          </w:tcPr>
          <w:p>
            <w:pPr>
              <w:jc w:val="right"/>
              <w:ind w:right="431"/>
              <w:spacing w:after="0"/>
              <w:rPr>
                <w:sz w:val="20"/>
                <w:szCs w:val="20"/>
                <w:color w:val="auto"/>
              </w:rPr>
            </w:pPr>
            <w:r>
              <w:rPr>
                <w:rFonts w:ascii="Arial" w:cs="Arial" w:eastAsia="Arial" w:hAnsi="Arial"/>
                <w:sz w:val="16"/>
                <w:szCs w:val="16"/>
                <w:b w:val="1"/>
                <w:bCs w:val="1"/>
                <w:color w:val="auto"/>
              </w:rPr>
              <w:t>Year Ended December 31,</w:t>
            </w:r>
          </w:p>
        </w:tc>
      </w:tr>
      <w:tr>
        <w:trPr>
          <w:trHeight w:val="234"/>
        </w:trPr>
        <w:tc>
          <w:tcPr>
            <w:tcW w:w="736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2022</w:t>
            </w:r>
          </w:p>
        </w:tc>
      </w:tr>
      <w:tr>
        <w:trPr>
          <w:trHeight w:val="236"/>
        </w:trPr>
        <w:tc>
          <w:tcPr>
            <w:tcW w:w="7360" w:type="dxa"/>
            <w:vAlign w:val="bottom"/>
          </w:tcPr>
          <w:p>
            <w:pPr>
              <w:spacing w:after="0"/>
              <w:rPr>
                <w:sz w:val="20"/>
                <w:szCs w:val="20"/>
                <w:color w:val="auto"/>
              </w:rPr>
            </w:pPr>
          </w:p>
        </w:tc>
        <w:tc>
          <w:tcPr>
            <w:tcW w:w="2840" w:type="dxa"/>
            <w:vAlign w:val="bottom"/>
            <w:gridSpan w:val="5"/>
          </w:tcPr>
          <w:p>
            <w:pPr>
              <w:jc w:val="right"/>
              <w:ind w:right="231"/>
              <w:spacing w:after="0"/>
              <w:rPr>
                <w:sz w:val="20"/>
                <w:szCs w:val="20"/>
                <w:color w:val="auto"/>
              </w:rPr>
            </w:pPr>
            <w:r>
              <w:rPr>
                <w:rFonts w:ascii="Arial" w:cs="Arial" w:eastAsia="Arial" w:hAnsi="Arial"/>
                <w:sz w:val="16"/>
                <w:szCs w:val="16"/>
                <w:b w:val="1"/>
                <w:bCs w:val="1"/>
                <w:color w:val="auto"/>
              </w:rPr>
              <w:t>(In millions, except percentages)</w:t>
            </w:r>
          </w:p>
        </w:tc>
      </w:tr>
      <w:tr>
        <w:trPr>
          <w:trHeight w:val="314"/>
        </w:trPr>
        <w:tc>
          <w:tcPr>
            <w:tcW w:w="736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0"/>
              </w:rPr>
              <w:t xml:space="preserve">(Loss) Income Before Income Taxes </w:t>
            </w:r>
            <w:r>
              <w:rPr>
                <w:rFonts w:ascii="Arial" w:cs="Arial" w:eastAsia="Arial" w:hAnsi="Arial"/>
                <w:sz w:val="18"/>
                <w:szCs w:val="18"/>
                <w:color w:val="BDBDBD"/>
                <w:w w:val="90"/>
              </w:rPr>
              <w:t>. . . . . . . . . . . . . . . . . . . . . . . . . . . . . . . . . . . . . . . . . . . . . . . . . . .</w:t>
            </w:r>
          </w:p>
        </w:tc>
        <w:tc>
          <w:tcPr>
            <w:tcW w:w="840" w:type="dxa"/>
            <w:vAlign w:val="bottom"/>
            <w:shd w:val="clear" w:color="auto" w:fill="E6E6E6"/>
          </w:tcPr>
          <w:p>
            <w:pPr>
              <w:jc w:val="right"/>
              <w:ind w:right="616"/>
              <w:spacing w:after="0"/>
              <w:rPr>
                <w:sz w:val="20"/>
                <w:szCs w:val="20"/>
                <w:color w:val="auto"/>
              </w:rPr>
            </w:pPr>
            <w:r>
              <w:rPr>
                <w:rFonts w:ascii="Arial" w:cs="Arial" w:eastAsia="Arial" w:hAnsi="Arial"/>
                <w:sz w:val="18"/>
                <w:szCs w:val="18"/>
                <w:color w:val="auto"/>
              </w:rPr>
              <w:t>$</w:t>
            </w:r>
          </w:p>
        </w:tc>
        <w:tc>
          <w:tcPr>
            <w:tcW w:w="540" w:type="dxa"/>
            <w:vAlign w:val="bottom"/>
            <w:shd w:val="clear" w:color="auto" w:fill="E6E6E6"/>
          </w:tcPr>
          <w:p>
            <w:pPr>
              <w:jc w:val="right"/>
              <w:ind w:right="70"/>
              <w:spacing w:after="0"/>
              <w:rPr>
                <w:sz w:val="20"/>
                <w:szCs w:val="20"/>
                <w:color w:val="auto"/>
              </w:rPr>
            </w:pPr>
            <w:r>
              <w:rPr>
                <w:rFonts w:ascii="Arial" w:cs="Arial" w:eastAsia="Arial" w:hAnsi="Arial"/>
                <w:sz w:val="18"/>
                <w:szCs w:val="18"/>
                <w:color w:val="auto"/>
              </w:rPr>
              <w:t>(16)</w:t>
            </w:r>
          </w:p>
        </w:tc>
        <w:tc>
          <w:tcPr>
            <w:tcW w:w="420" w:type="dxa"/>
            <w:vAlign w:val="bottom"/>
            <w:gridSpan w:val="2"/>
            <w:shd w:val="clear" w:color="auto" w:fill="E6E6E6"/>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6E6E6"/>
          </w:tcPr>
          <w:p>
            <w:pPr>
              <w:jc w:val="right"/>
              <w:ind w:right="131"/>
              <w:spacing w:after="0"/>
              <w:rPr>
                <w:sz w:val="20"/>
                <w:szCs w:val="20"/>
                <w:color w:val="auto"/>
              </w:rPr>
            </w:pPr>
            <w:r>
              <w:rPr>
                <w:rFonts w:ascii="Arial" w:cs="Arial" w:eastAsia="Arial" w:hAnsi="Arial"/>
                <w:sz w:val="18"/>
                <w:szCs w:val="18"/>
                <w:color w:val="auto"/>
              </w:rPr>
              <w:t>1,282</w:t>
            </w:r>
          </w:p>
        </w:tc>
      </w:tr>
      <w:tr>
        <w:trPr>
          <w:trHeight w:val="264"/>
        </w:trPr>
        <w:tc>
          <w:tcPr>
            <w:tcW w:w="7360" w:type="dxa"/>
            <w:vAlign w:val="bottom"/>
            <w:tcBorders>
              <w:top w:val="single" w:sz="8" w:color="E6E6E6"/>
            </w:tcBorders>
          </w:tcPr>
          <w:p>
            <w:pPr>
              <w:jc w:val="right"/>
              <w:spacing w:after="0"/>
              <w:rPr>
                <w:sz w:val="20"/>
                <w:szCs w:val="20"/>
                <w:color w:val="auto"/>
              </w:rPr>
            </w:pPr>
            <w:r>
              <w:rPr>
                <w:rFonts w:ascii="Arial" w:cs="Arial" w:eastAsia="Arial" w:hAnsi="Arial"/>
                <w:sz w:val="18"/>
                <w:szCs w:val="18"/>
                <w:color w:val="auto"/>
                <w:w w:val="90"/>
              </w:rPr>
              <w:t xml:space="preserve">Tax at 21% </w:t>
            </w:r>
            <w:r>
              <w:rPr>
                <w:rFonts w:ascii="Arial" w:cs="Arial" w:eastAsia="Arial" w:hAnsi="Arial"/>
                <w:sz w:val="18"/>
                <w:szCs w:val="18"/>
                <w:color w:val="BDBDBD"/>
                <w:w w:val="90"/>
              </w:rPr>
              <w:t>. . . . . . . . . . . . . . . . . . . . . . . . . . . . . . . . . . . . . . . . . . . . . . . . . . . . . . . . . . . . . . . . . . . . . . .</w:t>
            </w:r>
          </w:p>
        </w:tc>
        <w:tc>
          <w:tcPr>
            <w:tcW w:w="84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w:t>
            </w:r>
          </w:p>
        </w:tc>
        <w:tc>
          <w:tcPr>
            <w:tcW w:w="80" w:type="dxa"/>
            <w:vAlign w:val="bottom"/>
            <w:tcBorders>
              <w:top w:val="single" w:sz="8" w:color="E6E6E6"/>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269</w:t>
            </w:r>
          </w:p>
        </w:tc>
      </w:tr>
      <w:tr>
        <w:trPr>
          <w:trHeight w:val="306"/>
        </w:trPr>
        <w:tc>
          <w:tcPr>
            <w:tcW w:w="736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1"/>
              </w:rPr>
              <w:t xml:space="preserve">State taxes, net of federal benefit </w:t>
            </w:r>
            <w:r>
              <w:rPr>
                <w:rFonts w:ascii="Arial" w:cs="Arial" w:eastAsia="Arial" w:hAnsi="Arial"/>
                <w:sz w:val="18"/>
                <w:szCs w:val="18"/>
                <w:color w:val="BDBDBD"/>
                <w:w w:val="91"/>
              </w:rPr>
              <w:t>. . . . . . . . . . . . . . . . . . . . . . . . . . . . . . . . . . . . . . . . . . . . . . . . . . . . .</w:t>
            </w:r>
          </w:p>
        </w:tc>
        <w:tc>
          <w:tcPr>
            <w:tcW w:w="840" w:type="dxa"/>
            <w:vAlign w:val="bottom"/>
            <w:shd w:val="clear" w:color="auto" w:fill="E6E6E6"/>
          </w:tcPr>
          <w:p>
            <w:pPr>
              <w:spacing w:after="0"/>
              <w:rPr>
                <w:sz w:val="24"/>
                <w:szCs w:val="24"/>
                <w:color w:val="auto"/>
              </w:rPr>
            </w:pPr>
          </w:p>
        </w:tc>
        <w:tc>
          <w:tcPr>
            <w:tcW w:w="540" w:type="dxa"/>
            <w:vAlign w:val="bottom"/>
            <w:shd w:val="clear" w:color="auto" w:fill="E6E6E6"/>
          </w:tcPr>
          <w:p>
            <w:pPr>
              <w:jc w:val="right"/>
              <w:ind w:right="70"/>
              <w:spacing w:after="0"/>
              <w:rPr>
                <w:sz w:val="20"/>
                <w:szCs w:val="20"/>
                <w:color w:val="auto"/>
              </w:rPr>
            </w:pPr>
            <w:r>
              <w:rPr>
                <w:rFonts w:ascii="Arial" w:cs="Arial" w:eastAsia="Arial" w:hAnsi="Arial"/>
                <w:sz w:val="18"/>
                <w:szCs w:val="18"/>
                <w:color w:val="auto"/>
              </w:rPr>
              <w:t>(2)</w:t>
            </w:r>
          </w:p>
        </w:tc>
        <w:tc>
          <w:tcPr>
            <w:tcW w:w="8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040" w:type="dxa"/>
            <w:vAlign w:val="bottom"/>
            <w:shd w:val="clear" w:color="auto" w:fill="E6E6E6"/>
          </w:tcPr>
          <w:p>
            <w:pPr>
              <w:jc w:val="right"/>
              <w:ind w:right="131"/>
              <w:spacing w:after="0"/>
              <w:rPr>
                <w:sz w:val="20"/>
                <w:szCs w:val="20"/>
                <w:color w:val="auto"/>
              </w:rPr>
            </w:pPr>
            <w:r>
              <w:rPr>
                <w:rFonts w:ascii="Arial" w:cs="Arial" w:eastAsia="Arial" w:hAnsi="Arial"/>
                <w:sz w:val="18"/>
                <w:szCs w:val="18"/>
                <w:color w:val="auto"/>
              </w:rPr>
              <w:t>58</w:t>
            </w:r>
          </w:p>
        </w:tc>
      </w:tr>
      <w:tr>
        <w:trPr>
          <w:trHeight w:val="291"/>
        </w:trPr>
        <w:tc>
          <w:tcPr>
            <w:tcW w:w="7360" w:type="dxa"/>
            <w:vAlign w:val="bottom"/>
          </w:tcPr>
          <w:p>
            <w:pPr>
              <w:jc w:val="right"/>
              <w:spacing w:after="0"/>
              <w:rPr>
                <w:sz w:val="20"/>
                <w:szCs w:val="20"/>
                <w:color w:val="auto"/>
              </w:rPr>
            </w:pPr>
            <w:r>
              <w:rPr>
                <w:rFonts w:ascii="Arial" w:cs="Arial" w:eastAsia="Arial" w:hAnsi="Arial"/>
                <w:sz w:val="18"/>
                <w:szCs w:val="18"/>
                <w:color w:val="auto"/>
                <w:w w:val="92"/>
              </w:rPr>
              <w:t xml:space="preserve">Impact of non-taxable partnership earnings (losses) </w:t>
            </w:r>
            <w:r>
              <w:rPr>
                <w:rFonts w:ascii="Arial" w:cs="Arial" w:eastAsia="Arial" w:hAnsi="Arial"/>
                <w:sz w:val="18"/>
                <w:szCs w:val="18"/>
                <w:color w:val="BDBDBD"/>
                <w:w w:val="92"/>
              </w:rPr>
              <w:t>. . . . . . . . . . . . . . . . . . . . . . . . . . . . . . . . . . . . . .</w:t>
            </w:r>
          </w:p>
        </w:tc>
        <w:tc>
          <w:tcPr>
            <w:tcW w:w="840" w:type="dxa"/>
            <w:vAlign w:val="bottom"/>
          </w:tcPr>
          <w:p>
            <w:pPr>
              <w:spacing w:after="0"/>
              <w:rPr>
                <w:sz w:val="24"/>
                <w:szCs w:val="24"/>
                <w:color w:val="auto"/>
              </w:rPr>
            </w:pP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(101)</w:t>
            </w:r>
          </w:p>
        </w:tc>
      </w:tr>
      <w:tr>
        <w:trPr>
          <w:trHeight w:val="306"/>
        </w:trPr>
        <w:tc>
          <w:tcPr>
            <w:tcW w:w="736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2"/>
              </w:rPr>
              <w:t xml:space="preserve">Valuation allowance </w:t>
            </w:r>
            <w:r>
              <w:rPr>
                <w:rFonts w:ascii="Arial" w:cs="Arial" w:eastAsia="Arial" w:hAnsi="Arial"/>
                <w:sz w:val="18"/>
                <w:szCs w:val="18"/>
                <w:color w:val="BDBDBD"/>
                <w:w w:val="92"/>
              </w:rPr>
              <w:t>. . . . . . . . . . . . . . . . . . . . . . . . . . . . . . . . . . . . . . . . . . . . . . . . . . . . . . . . . . . . . . .</w:t>
            </w:r>
          </w:p>
        </w:tc>
        <w:tc>
          <w:tcPr>
            <w:tcW w:w="840" w:type="dxa"/>
            <w:vAlign w:val="bottom"/>
            <w:shd w:val="clear" w:color="auto" w:fill="E6E6E6"/>
          </w:tcPr>
          <w:p>
            <w:pPr>
              <w:spacing w:after="0"/>
              <w:rPr>
                <w:sz w:val="24"/>
                <w:szCs w:val="24"/>
                <w:color w:val="auto"/>
              </w:rPr>
            </w:pPr>
          </w:p>
        </w:tc>
        <w:tc>
          <w:tcPr>
            <w:tcW w:w="540" w:type="dxa"/>
            <w:vAlign w:val="bottom"/>
            <w:shd w:val="clear" w:color="auto" w:fill="E6E6E6"/>
          </w:tcPr>
          <w:p>
            <w:pPr>
              <w:jc w:val="right"/>
              <w:ind w:right="130"/>
              <w:spacing w:after="0"/>
              <w:rPr>
                <w:sz w:val="20"/>
                <w:szCs w:val="20"/>
                <w:color w:val="auto"/>
              </w:rPr>
            </w:pPr>
            <w:r>
              <w:rPr>
                <w:rFonts w:ascii="Arial" w:cs="Arial" w:eastAsia="Arial" w:hAnsi="Arial"/>
                <w:sz w:val="18"/>
                <w:szCs w:val="18"/>
                <w:color w:val="auto"/>
              </w:rPr>
              <w:t>3</w:t>
            </w:r>
          </w:p>
        </w:tc>
        <w:tc>
          <w:tcPr>
            <w:tcW w:w="8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040" w:type="dxa"/>
            <w:vAlign w:val="bottom"/>
            <w:shd w:val="clear" w:color="auto" w:fill="E6E6E6"/>
          </w:tcPr>
          <w:p>
            <w:pPr>
              <w:jc w:val="right"/>
              <w:ind w:right="131"/>
              <w:spacing w:after="0"/>
              <w:rPr>
                <w:sz w:val="20"/>
                <w:szCs w:val="20"/>
                <w:color w:val="auto"/>
              </w:rPr>
            </w:pPr>
            <w:r>
              <w:rPr>
                <w:rFonts w:ascii="Arial" w:cs="Arial" w:eastAsia="Arial" w:hAnsi="Arial"/>
                <w:sz w:val="18"/>
                <w:szCs w:val="18"/>
                <w:color w:val="auto"/>
              </w:rPr>
              <w:t>—</w:t>
            </w:r>
          </w:p>
        </w:tc>
      </w:tr>
      <w:tr>
        <w:trPr>
          <w:trHeight w:val="291"/>
        </w:trPr>
        <w:tc>
          <w:tcPr>
            <w:tcW w:w="7360" w:type="dxa"/>
            <w:vAlign w:val="bottom"/>
          </w:tcPr>
          <w:p>
            <w:pPr>
              <w:jc w:val="right"/>
              <w:spacing w:after="0"/>
              <w:rPr>
                <w:sz w:val="20"/>
                <w:szCs w:val="20"/>
                <w:color w:val="auto"/>
              </w:rPr>
            </w:pPr>
            <w:r>
              <w:rPr>
                <w:rFonts w:ascii="Arial" w:cs="Arial" w:eastAsia="Arial" w:hAnsi="Arial"/>
                <w:sz w:val="18"/>
                <w:szCs w:val="18"/>
                <w:color w:val="auto"/>
                <w:w w:val="92"/>
              </w:rPr>
              <w:t xml:space="preserve">Investment tax credits </w:t>
            </w:r>
            <w:r>
              <w:rPr>
                <w:rFonts w:ascii="Arial" w:cs="Arial" w:eastAsia="Arial" w:hAnsi="Arial"/>
                <w:sz w:val="18"/>
                <w:szCs w:val="18"/>
                <w:color w:val="BDBDBD"/>
                <w:w w:val="92"/>
              </w:rPr>
              <w:t>. . . . . . . . . . . . . . . . . . . . . . . . . . . . . . . . . . . . . . . . . . . . . . . . . . . . . . . . . . . . .</w:t>
            </w:r>
          </w:p>
        </w:tc>
        <w:tc>
          <w:tcPr>
            <w:tcW w:w="840" w:type="dxa"/>
            <w:vAlign w:val="bottom"/>
          </w:tcPr>
          <w:p>
            <w:pPr>
              <w:spacing w:after="0"/>
              <w:rPr>
                <w:sz w:val="24"/>
                <w:szCs w:val="24"/>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306"/>
        </w:trPr>
        <w:tc>
          <w:tcPr>
            <w:tcW w:w="736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1"/>
              </w:rPr>
              <w:t xml:space="preserve">Production tax credits </w:t>
            </w:r>
            <w:r>
              <w:rPr>
                <w:rFonts w:ascii="Arial" w:cs="Arial" w:eastAsia="Arial" w:hAnsi="Arial"/>
                <w:sz w:val="23"/>
                <w:szCs w:val="23"/>
                <w:color w:val="auto"/>
                <w:w w:val="91"/>
                <w:vertAlign w:val="superscript"/>
              </w:rPr>
              <w:t>(a)</w:t>
            </w:r>
            <w:r>
              <w:rPr>
                <w:rFonts w:ascii="Arial" w:cs="Arial" w:eastAsia="Arial" w:hAnsi="Arial"/>
                <w:sz w:val="18"/>
                <w:szCs w:val="18"/>
                <w:color w:val="auto"/>
                <w:w w:val="91"/>
              </w:rPr>
              <w:t xml:space="preserve"> </w:t>
            </w:r>
            <w:r>
              <w:rPr>
                <w:rFonts w:ascii="Arial" w:cs="Arial" w:eastAsia="Arial" w:hAnsi="Arial"/>
                <w:sz w:val="18"/>
                <w:szCs w:val="18"/>
                <w:color w:val="BDBDBD"/>
                <w:w w:val="91"/>
              </w:rPr>
              <w:t>. . . . . . . . . . . . . . . . . . . . . . . . . . . . . . . . . . . . . . . . . . . . . . . . . . . . . . . . . . . .</w:t>
            </w:r>
          </w:p>
        </w:tc>
        <w:tc>
          <w:tcPr>
            <w:tcW w:w="840" w:type="dxa"/>
            <w:vAlign w:val="bottom"/>
            <w:shd w:val="clear" w:color="auto" w:fill="E6E6E6"/>
          </w:tcPr>
          <w:p>
            <w:pPr>
              <w:spacing w:after="0"/>
              <w:rPr>
                <w:sz w:val="24"/>
                <w:szCs w:val="24"/>
                <w:color w:val="auto"/>
              </w:rPr>
            </w:pPr>
          </w:p>
        </w:tc>
        <w:tc>
          <w:tcPr>
            <w:tcW w:w="540" w:type="dxa"/>
            <w:vAlign w:val="bottom"/>
            <w:shd w:val="clear" w:color="auto" w:fill="E6E6E6"/>
          </w:tcPr>
          <w:p>
            <w:pPr>
              <w:jc w:val="right"/>
              <w:ind w:right="70"/>
              <w:spacing w:after="0"/>
              <w:rPr>
                <w:sz w:val="20"/>
                <w:szCs w:val="20"/>
                <w:color w:val="auto"/>
              </w:rPr>
            </w:pPr>
            <w:r>
              <w:rPr>
                <w:rFonts w:ascii="Arial" w:cs="Arial" w:eastAsia="Arial" w:hAnsi="Arial"/>
                <w:sz w:val="18"/>
                <w:szCs w:val="18"/>
                <w:color w:val="auto"/>
              </w:rPr>
              <w:t>(16)</w:t>
            </w:r>
          </w:p>
        </w:tc>
        <w:tc>
          <w:tcPr>
            <w:tcW w:w="8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040" w:type="dxa"/>
            <w:vAlign w:val="bottom"/>
            <w:shd w:val="clear" w:color="auto" w:fill="E6E6E6"/>
          </w:tcPr>
          <w:p>
            <w:pPr>
              <w:jc w:val="right"/>
              <w:ind w:right="71"/>
              <w:spacing w:after="0"/>
              <w:rPr>
                <w:sz w:val="20"/>
                <w:szCs w:val="20"/>
                <w:color w:val="auto"/>
              </w:rPr>
            </w:pPr>
            <w:r>
              <w:rPr>
                <w:rFonts w:ascii="Arial" w:cs="Arial" w:eastAsia="Arial" w:hAnsi="Arial"/>
                <w:sz w:val="18"/>
                <w:szCs w:val="18"/>
                <w:color w:val="auto"/>
              </w:rPr>
              <w:t>(2)</w:t>
            </w:r>
          </w:p>
        </w:tc>
      </w:tr>
      <w:tr>
        <w:trPr>
          <w:trHeight w:val="291"/>
        </w:trPr>
        <w:tc>
          <w:tcPr>
            <w:tcW w:w="7360" w:type="dxa"/>
            <w:vAlign w:val="bottom"/>
          </w:tcPr>
          <w:p>
            <w:pPr>
              <w:jc w:val="right"/>
              <w:spacing w:after="0"/>
              <w:rPr>
                <w:sz w:val="20"/>
                <w:szCs w:val="20"/>
                <w:color w:val="auto"/>
              </w:rPr>
            </w:pPr>
            <w:r>
              <w:rPr>
                <w:rFonts w:ascii="Arial" w:cs="Arial" w:eastAsia="Arial" w:hAnsi="Arial"/>
                <w:sz w:val="18"/>
                <w:szCs w:val="18"/>
                <w:color w:val="auto"/>
                <w:w w:val="91"/>
              </w:rPr>
              <w:t xml:space="preserve">Rate change </w:t>
            </w:r>
            <w:r>
              <w:rPr>
                <w:rFonts w:ascii="Arial" w:cs="Arial" w:eastAsia="Arial" w:hAnsi="Arial"/>
                <w:sz w:val="18"/>
                <w:szCs w:val="18"/>
                <w:color w:val="BDBDBD"/>
                <w:w w:val="91"/>
              </w:rPr>
              <w:t>. . . . . . . . . . . . . . . . . . . . . . . . . . . . . . . . . . . . . . . . . . . . . . . . . . . . . . . . . . . . . . . . . . . . .</w:t>
            </w:r>
          </w:p>
        </w:tc>
        <w:tc>
          <w:tcPr>
            <w:tcW w:w="840" w:type="dxa"/>
            <w:vAlign w:val="bottom"/>
          </w:tcPr>
          <w:p>
            <w:pPr>
              <w:spacing w:after="0"/>
              <w:rPr>
                <w:sz w:val="24"/>
                <w:szCs w:val="24"/>
                <w:color w:val="auto"/>
              </w:rPr>
            </w:pP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(2)</w:t>
            </w:r>
          </w:p>
        </w:tc>
      </w:tr>
      <w:tr>
        <w:trPr>
          <w:trHeight w:val="306"/>
        </w:trPr>
        <w:tc>
          <w:tcPr>
            <w:tcW w:w="736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0"/>
              </w:rPr>
              <w:t xml:space="preserve">State taxes assessed at subsidiaries </w:t>
            </w:r>
            <w:r>
              <w:rPr>
                <w:rFonts w:ascii="Arial" w:cs="Arial" w:eastAsia="Arial" w:hAnsi="Arial"/>
                <w:sz w:val="18"/>
                <w:szCs w:val="18"/>
                <w:color w:val="BDBDBD"/>
                <w:w w:val="90"/>
              </w:rPr>
              <w:t>. . . . . . . . . . . . . . . . . . . . . . . . . . . . . . . . . . . . . . . . . . . . . . . . . . .</w:t>
            </w:r>
          </w:p>
        </w:tc>
        <w:tc>
          <w:tcPr>
            <w:tcW w:w="840" w:type="dxa"/>
            <w:vAlign w:val="bottom"/>
            <w:shd w:val="clear" w:color="auto" w:fill="E6E6E6"/>
          </w:tcPr>
          <w:p>
            <w:pPr>
              <w:spacing w:after="0"/>
              <w:rPr>
                <w:sz w:val="24"/>
                <w:szCs w:val="24"/>
                <w:color w:val="auto"/>
              </w:rPr>
            </w:pPr>
          </w:p>
        </w:tc>
        <w:tc>
          <w:tcPr>
            <w:tcW w:w="540" w:type="dxa"/>
            <w:vAlign w:val="bottom"/>
            <w:shd w:val="clear" w:color="auto" w:fill="E6E6E6"/>
          </w:tcPr>
          <w:p>
            <w:pPr>
              <w:jc w:val="right"/>
              <w:ind w:right="70"/>
              <w:spacing w:after="0"/>
              <w:rPr>
                <w:sz w:val="20"/>
                <w:szCs w:val="20"/>
                <w:color w:val="auto"/>
              </w:rPr>
            </w:pPr>
            <w:r>
              <w:rPr>
                <w:rFonts w:ascii="Arial" w:cs="Arial" w:eastAsia="Arial" w:hAnsi="Arial"/>
                <w:sz w:val="18"/>
                <w:szCs w:val="18"/>
                <w:color w:val="auto"/>
              </w:rPr>
              <w:t>(3)</w:t>
            </w:r>
          </w:p>
        </w:tc>
        <w:tc>
          <w:tcPr>
            <w:tcW w:w="8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040" w:type="dxa"/>
            <w:vAlign w:val="bottom"/>
            <w:shd w:val="clear" w:color="auto" w:fill="E6E6E6"/>
          </w:tcPr>
          <w:p>
            <w:pPr>
              <w:jc w:val="right"/>
              <w:ind w:right="131"/>
              <w:spacing w:after="0"/>
              <w:rPr>
                <w:sz w:val="20"/>
                <w:szCs w:val="20"/>
                <w:color w:val="auto"/>
              </w:rPr>
            </w:pPr>
            <w:r>
              <w:rPr>
                <w:rFonts w:ascii="Arial" w:cs="Arial" w:eastAsia="Arial" w:hAnsi="Arial"/>
                <w:sz w:val="18"/>
                <w:szCs w:val="18"/>
                <w:color w:val="auto"/>
              </w:rPr>
              <w:t>2</w:t>
            </w:r>
          </w:p>
        </w:tc>
      </w:tr>
      <w:tr>
        <w:trPr>
          <w:trHeight w:val="303"/>
        </w:trPr>
        <w:tc>
          <w:tcPr>
            <w:tcW w:w="7360" w:type="dxa"/>
            <w:vAlign w:val="bottom"/>
            <w:tcBorders>
              <w:bottom w:val="single" w:sz="8" w:color="E6E6E6"/>
            </w:tcBorders>
          </w:tcPr>
          <w:p>
            <w:pPr>
              <w:jc w:val="right"/>
              <w:spacing w:after="0"/>
              <w:rPr>
                <w:sz w:val="20"/>
                <w:szCs w:val="20"/>
                <w:color w:val="auto"/>
              </w:rPr>
            </w:pPr>
            <w:r>
              <w:rPr>
                <w:rFonts w:ascii="Arial" w:cs="Arial" w:eastAsia="Arial" w:hAnsi="Arial"/>
                <w:sz w:val="18"/>
                <w:szCs w:val="18"/>
                <w:color w:val="auto"/>
                <w:w w:val="92"/>
              </w:rPr>
              <w:t xml:space="preserve">Other  </w:t>
            </w:r>
            <w:r>
              <w:rPr>
                <w:rFonts w:ascii="Arial" w:cs="Arial" w:eastAsia="Arial" w:hAnsi="Arial"/>
                <w:sz w:val="18"/>
                <w:szCs w:val="18"/>
                <w:color w:val="BDBDBD"/>
                <w:w w:val="92"/>
              </w:rPr>
              <w:t>. . . . . . . . . . . . . . . . . . . . . . . . . . . . . . . . . . . . . . . . . . . . . . . . . . . . . . . . . . . . . . . . . . . . . . . . . .</w:t>
            </w:r>
          </w:p>
        </w:tc>
        <w:tc>
          <w:tcPr>
            <w:tcW w:w="8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E6E6E6"/>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w:t>
            </w:r>
          </w:p>
        </w:tc>
      </w:tr>
      <w:tr>
        <w:trPr>
          <w:trHeight w:val="313"/>
        </w:trPr>
        <w:tc>
          <w:tcPr>
            <w:tcW w:w="736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3"/>
              </w:rPr>
              <w:t xml:space="preserve">Income tax (benefit) expense  </w:t>
            </w:r>
            <w:r>
              <w:rPr>
                <w:rFonts w:ascii="Arial" w:cs="Arial" w:eastAsia="Arial" w:hAnsi="Arial"/>
                <w:sz w:val="18"/>
                <w:szCs w:val="18"/>
                <w:color w:val="BDBDBD"/>
                <w:w w:val="93"/>
              </w:rPr>
              <w:t>. . . . . . . . . . . . . . . . . . . . . . . . . . . . . . . . . . . . . . . . . . . . . . . . . . . . . .</w:t>
            </w:r>
          </w:p>
        </w:tc>
        <w:tc>
          <w:tcPr>
            <w:tcW w:w="840" w:type="dxa"/>
            <w:vAlign w:val="bottom"/>
            <w:shd w:val="clear" w:color="auto" w:fill="E6E6E6"/>
          </w:tcPr>
          <w:p>
            <w:pPr>
              <w:jc w:val="right"/>
              <w:ind w:right="616"/>
              <w:spacing w:after="0"/>
              <w:rPr>
                <w:sz w:val="20"/>
                <w:szCs w:val="20"/>
                <w:color w:val="auto"/>
              </w:rPr>
            </w:pPr>
            <w:r>
              <w:rPr>
                <w:rFonts w:ascii="Arial" w:cs="Arial" w:eastAsia="Arial" w:hAnsi="Arial"/>
                <w:sz w:val="18"/>
                <w:szCs w:val="18"/>
                <w:color w:val="auto"/>
              </w:rPr>
              <w:t>$</w:t>
            </w:r>
          </w:p>
        </w:tc>
        <w:tc>
          <w:tcPr>
            <w:tcW w:w="540" w:type="dxa"/>
            <w:vAlign w:val="bottom"/>
            <w:shd w:val="clear" w:color="auto" w:fill="E6E6E6"/>
          </w:tcPr>
          <w:p>
            <w:pPr>
              <w:jc w:val="right"/>
              <w:ind w:right="50"/>
              <w:spacing w:after="0"/>
              <w:rPr>
                <w:sz w:val="20"/>
                <w:szCs w:val="20"/>
                <w:color w:val="auto"/>
              </w:rPr>
            </w:pPr>
            <w:r>
              <w:rPr>
                <w:rFonts w:ascii="Arial" w:cs="Arial" w:eastAsia="Arial" w:hAnsi="Arial"/>
                <w:sz w:val="18"/>
                <w:szCs w:val="18"/>
                <w:color w:val="auto"/>
              </w:rPr>
              <w:t>(2)</w:t>
            </w:r>
          </w:p>
        </w:tc>
        <w:tc>
          <w:tcPr>
            <w:tcW w:w="420" w:type="dxa"/>
            <w:vAlign w:val="bottom"/>
            <w:gridSpan w:val="2"/>
            <w:shd w:val="clear" w:color="auto" w:fill="E6E6E6"/>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6E6E6"/>
          </w:tcPr>
          <w:p>
            <w:pPr>
              <w:jc w:val="right"/>
              <w:ind w:right="31"/>
              <w:spacing w:after="0"/>
              <w:rPr>
                <w:sz w:val="20"/>
                <w:szCs w:val="20"/>
                <w:color w:val="auto"/>
              </w:rPr>
            </w:pPr>
            <w:r>
              <w:rPr>
                <w:rFonts w:ascii="Arial" w:cs="Arial" w:eastAsia="Arial" w:hAnsi="Arial"/>
                <w:sz w:val="18"/>
                <w:szCs w:val="18"/>
                <w:color w:val="auto"/>
              </w:rPr>
              <w:t>222</w:t>
            </w:r>
          </w:p>
        </w:tc>
      </w:tr>
      <w:tr>
        <w:trPr>
          <w:trHeight w:val="269"/>
        </w:trPr>
        <w:tc>
          <w:tcPr>
            <w:tcW w:w="7360" w:type="dxa"/>
            <w:vAlign w:val="bottom"/>
            <w:tcBorders>
              <w:top w:val="single" w:sz="8" w:color="E6E6E6"/>
            </w:tcBorders>
          </w:tcPr>
          <w:p>
            <w:pPr>
              <w:jc w:val="right"/>
              <w:spacing w:after="0"/>
              <w:rPr>
                <w:sz w:val="20"/>
                <w:szCs w:val="20"/>
                <w:color w:val="auto"/>
              </w:rPr>
            </w:pPr>
            <w:r>
              <w:rPr>
                <w:rFonts w:ascii="Arial" w:cs="Arial" w:eastAsia="Arial" w:hAnsi="Arial"/>
                <w:sz w:val="18"/>
                <w:szCs w:val="18"/>
                <w:color w:val="auto"/>
                <w:w w:val="91"/>
              </w:rPr>
              <w:t xml:space="preserve">Effective income tax rate </w:t>
            </w:r>
            <w:r>
              <w:rPr>
                <w:rFonts w:ascii="Arial" w:cs="Arial" w:eastAsia="Arial" w:hAnsi="Arial"/>
                <w:sz w:val="18"/>
                <w:szCs w:val="18"/>
                <w:color w:val="BDBDBD"/>
                <w:w w:val="91"/>
              </w:rPr>
              <w:t>. . . . . . . . . . . . . . . . . . . . . . . . . . . . . . . . . . . . . . . . . . . . . . . . . . . . . . . . . . . .</w:t>
            </w:r>
          </w:p>
        </w:tc>
        <w:tc>
          <w:tcPr>
            <w:tcW w:w="84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12.5 %</w:t>
            </w:r>
          </w:p>
        </w:tc>
        <w:tc>
          <w:tcPr>
            <w:tcW w:w="80" w:type="dxa"/>
            <w:vAlign w:val="bottom"/>
            <w:tcBorders>
              <w:top w:val="single" w:sz="8" w:color="E6E6E6"/>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4657090</wp:posOffset>
            </wp:positionH>
            <wp:positionV relativeFrom="paragraph">
              <wp:posOffset>-2116455</wp:posOffset>
            </wp:positionV>
            <wp:extent cx="183578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47">
                      <a:extLst>
                        <a:ext uri="{28A0092B-C50C-407E-A947-70E740481C1C}"/>
                      </a:extLst>
                    </a:blip>
                    <a:srcRect/>
                    <a:stretch>
                      <a:fillRect/>
                    </a:stretch>
                  </pic:blipFill>
                  <pic:spPr bwMode="auto">
                    <a:xfrm>
                      <a:off x="0" y="0"/>
                      <a:ext cx="1835785" cy="25400"/>
                    </a:xfrm>
                    <a:prstGeom prst="rect">
                      <a:avLst/>
                    </a:prstGeom>
                    <a:noFill/>
                  </pic:spPr>
                </pic:pic>
              </a:graphicData>
            </a:graphic>
          </wp:anchor>
        </w:drawing>
        <w:drawing>
          <wp:anchor simplePos="0" relativeHeight="251657728" behindDoc="1" locked="0" layoutInCell="0" allowOverlap="1">
            <wp:simplePos x="0" y="0"/>
            <wp:positionH relativeFrom="column">
              <wp:posOffset>4657090</wp:posOffset>
            </wp:positionH>
            <wp:positionV relativeFrom="paragraph">
              <wp:posOffset>-401320</wp:posOffset>
            </wp:positionV>
            <wp:extent cx="183578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8">
                      <a:extLst>
                        <a:ext uri="{28A0092B-C50C-407E-A947-70E740481C1C}"/>
                      </a:extLst>
                    </a:blip>
                    <a:srcRect/>
                    <a:stretch>
                      <a:fillRect/>
                    </a:stretch>
                  </pic:blipFill>
                  <pic:spPr bwMode="auto">
                    <a:xfrm>
                      <a:off x="0" y="0"/>
                      <a:ext cx="1835785" cy="25400"/>
                    </a:xfrm>
                    <a:prstGeom prst="rect">
                      <a:avLst/>
                    </a:prstGeom>
                    <a:noFill/>
                  </pic:spPr>
                </pic:pic>
              </a:graphicData>
            </a:graphic>
          </wp:anchor>
        </w:drawing>
        <w:drawing>
          <wp:anchor simplePos="0" relativeHeight="251657728" behindDoc="1" locked="0" layoutInCell="0" allowOverlap="1">
            <wp:simplePos x="0" y="0"/>
            <wp:positionH relativeFrom="column">
              <wp:posOffset>4657090</wp:posOffset>
            </wp:positionH>
            <wp:positionV relativeFrom="paragraph">
              <wp:posOffset>-214630</wp:posOffset>
            </wp:positionV>
            <wp:extent cx="1835785" cy="508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49">
                      <a:extLst>
                        <a:ext uri="{28A0092B-C50C-407E-A947-70E740481C1C}"/>
                      </a:extLst>
                    </a:blip>
                    <a:srcRect/>
                    <a:stretch>
                      <a:fillRect/>
                    </a:stretch>
                  </pic:blipFill>
                  <pic:spPr bwMode="auto">
                    <a:xfrm>
                      <a:off x="0" y="0"/>
                      <a:ext cx="1835785" cy="508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-2540</wp:posOffset>
                </wp:positionH>
                <wp:positionV relativeFrom="paragraph">
                  <wp:posOffset>119380</wp:posOffset>
                </wp:positionV>
                <wp:extent cx="1259840"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598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9.4pt" to="99pt,9.4pt" o:allowincell="f" strokecolor="#000000" strokeweight="1pt"/>
            </w:pict>
          </mc:Fallback>
        </mc:AlternateContent>
      </w:r>
    </w:p>
    <w:p>
      <w:pPr>
        <w:spacing w:after="0" w:line="212" w:lineRule="exact"/>
        <w:rPr>
          <w:sz w:val="20"/>
          <w:szCs w:val="20"/>
          <w:color w:val="auto"/>
        </w:rPr>
      </w:pPr>
    </w:p>
    <w:p>
      <w:pPr>
        <w:ind w:left="80" w:firstLine="5"/>
        <w:spacing w:after="0" w:line="252" w:lineRule="auto"/>
        <w:tabs>
          <w:tab w:leader="none" w:pos="303" w:val="left"/>
        </w:tabs>
        <w:numPr>
          <w:ilvl w:val="0"/>
          <w:numId w:val="33"/>
        </w:numPr>
        <w:rPr>
          <w:rFonts w:ascii="Arial" w:cs="Arial" w:eastAsia="Arial" w:hAnsi="Arial"/>
          <w:sz w:val="21"/>
          <w:szCs w:val="21"/>
          <w:color w:val="auto"/>
          <w:vertAlign w:val="superscript"/>
        </w:rPr>
      </w:pPr>
      <w:r>
        <w:rPr>
          <w:rFonts w:ascii="Arial" w:cs="Arial" w:eastAsia="Arial" w:hAnsi="Arial"/>
          <w:sz w:val="16"/>
          <w:szCs w:val="16"/>
          <w:color w:val="auto"/>
        </w:rPr>
        <w:t>On December 6, 2023, the Company executed an agreement with a third party to sell the PTCs generated by the Alta X and Alta XI wind projects, which resulted in a $14 million income tax benefit (reduction to income tax expense) during the year ended December 31, 2023.</w:t>
      </w:r>
    </w:p>
    <w:p>
      <w:pPr>
        <w:spacing w:after="0" w:line="127" w:lineRule="exact"/>
        <w:rPr>
          <w:sz w:val="20"/>
          <w:szCs w:val="20"/>
          <w:color w:val="auto"/>
        </w:rPr>
      </w:pPr>
    </w:p>
    <w:p>
      <w:pPr>
        <w:jc w:val="both"/>
        <w:ind w:firstLine="448"/>
        <w:spacing w:after="0" w:line="273" w:lineRule="auto"/>
        <w:rPr>
          <w:sz w:val="20"/>
          <w:szCs w:val="20"/>
          <w:color w:val="auto"/>
        </w:rPr>
      </w:pPr>
      <w:r>
        <w:rPr>
          <w:rFonts w:ascii="Arial" w:cs="Arial" w:eastAsia="Arial" w:hAnsi="Arial"/>
          <w:sz w:val="19"/>
          <w:szCs w:val="19"/>
          <w:color w:val="auto"/>
        </w:rPr>
        <w:t>The effective income tax rate may vary from period to period depending on, among other factors, the geographic and business mix of earnings and losses, earnings and losses allocated to partners’ interest in Clearway Energy LLC which includes the effects of applying the HLBV method of accounting for book purposes to certain partnerships and changes in valuation allowances in accordance with ASC 740. These factors and others, including the Company’s history of pre-tax earnings and losses, are taken into account in assessing the ability to realize deferred tax assets.</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Net (Loss) Income Attributable to Noncontrolling Interests and Redeemable Noncontrolling Interests</w:t>
      </w:r>
    </w:p>
    <w:p>
      <w:pPr>
        <w:spacing w:after="0" w:line="196" w:lineRule="exact"/>
        <w:rPr>
          <w:sz w:val="20"/>
          <w:szCs w:val="20"/>
          <w:color w:val="auto"/>
        </w:rPr>
      </w:pPr>
    </w:p>
    <w:p>
      <w:pPr>
        <w:jc w:val="both"/>
        <w:ind w:firstLine="448"/>
        <w:spacing w:after="0" w:line="280" w:lineRule="auto"/>
        <w:rPr>
          <w:sz w:val="20"/>
          <w:szCs w:val="20"/>
          <w:color w:val="auto"/>
        </w:rPr>
      </w:pPr>
      <w:r>
        <w:rPr>
          <w:rFonts w:ascii="Arial" w:cs="Arial" w:eastAsia="Arial" w:hAnsi="Arial"/>
          <w:sz w:val="20"/>
          <w:szCs w:val="20"/>
          <w:color w:val="auto"/>
        </w:rPr>
        <w:t>For the year ended December 31, 2023, the Company had a net loss of $93 million attributable to noncontrolling interests and redeemable noncontrolling interests comprised of the following:</w:t>
      </w:r>
    </w:p>
    <w:p>
      <w:pPr>
        <w:sectPr>
          <w:pgSz w:w="11880" w:h="15480" w:orient="portrait"/>
          <w:cols w:equalWidth="0" w:num="1">
            <w:col w:w="10200"/>
          </w:cols>
          <w:pgMar w:left="840" w:top="411" w:right="840" w:bottom="0" w:gutter="0" w:footer="0" w:header="0"/>
        </w:sectPr>
      </w:pPr>
    </w:p>
    <w:p>
      <w:pPr>
        <w:spacing w:after="0" w:line="382" w:lineRule="exact"/>
        <w:rPr>
          <w:sz w:val="20"/>
          <w:szCs w:val="20"/>
          <w:color w:val="auto"/>
        </w:rPr>
      </w:pPr>
    </w:p>
    <w:p>
      <w:pPr>
        <w:ind w:left="40"/>
        <w:spacing w:after="0" w:line="285" w:lineRule="auto"/>
        <w:rPr>
          <w:sz w:val="20"/>
          <w:szCs w:val="20"/>
          <w:color w:val="auto"/>
        </w:rPr>
      </w:pPr>
      <w:r>
        <w:rPr>
          <w:rFonts w:ascii="Arial" w:cs="Arial" w:eastAsia="Arial" w:hAnsi="Arial"/>
          <w:sz w:val="18"/>
          <w:szCs w:val="18"/>
          <w:color w:val="auto"/>
        </w:rPr>
        <w:t xml:space="preserve">Losses attributable to tax equity financing arrangements and the application of the HLBV method (primarily due to Daggett TE Holdco LLC and Daggett 2 TE Holdco LLC HLBV losses) </w:t>
      </w:r>
      <w:r>
        <w:rPr>
          <w:rFonts w:ascii="Arial" w:cs="Arial" w:eastAsia="Arial" w:hAnsi="Arial"/>
          <w:sz w:val="18"/>
          <w:szCs w:val="18"/>
          <w:color w:val="BDBDBD"/>
        </w:rPr>
        <w:t>.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-337185</wp:posOffset>
            </wp:positionV>
            <wp:extent cx="6495415" cy="3257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50">
                      <a:extLst>
                        <a:ext uri="{28A0092B-C50C-407E-A947-70E740481C1C}"/>
                      </a:extLst>
                    </a:blip>
                    <a:srcRect/>
                    <a:stretch>
                      <a:fillRect/>
                    </a:stretch>
                  </pic:blipFill>
                  <pic:spPr bwMode="auto">
                    <a:xfrm>
                      <a:off x="0" y="0"/>
                      <a:ext cx="6495415" cy="325755"/>
                    </a:xfrm>
                    <a:prstGeom prst="rect">
                      <a:avLst/>
                    </a:prstGeom>
                    <a:noFill/>
                  </pic:spPr>
                </pic:pic>
              </a:graphicData>
            </a:graphic>
          </wp:anchor>
        </w:drawing>
      </w:r>
    </w:p>
    <w:p>
      <w:pPr>
        <w:ind w:left="40"/>
        <w:spacing w:after="0" w:line="288" w:lineRule="auto"/>
        <w:rPr>
          <w:sz w:val="20"/>
          <w:szCs w:val="20"/>
          <w:color w:val="auto"/>
        </w:rPr>
      </w:pPr>
      <w:r>
        <w:rPr>
          <w:rFonts w:ascii="Arial" w:cs="Arial" w:eastAsia="Arial" w:hAnsi="Arial"/>
          <w:sz w:val="18"/>
          <w:szCs w:val="18"/>
          <w:color w:val="auto"/>
        </w:rPr>
        <w:t xml:space="preserve">Income attributable to third-party partnerships (primarily due to Daggett TE Holdco LLC and Daggett 2 TE Holdco LLC HLBV losses) </w:t>
      </w:r>
      <w:r>
        <w:rPr>
          <w:rFonts w:ascii="Arial" w:cs="Arial" w:eastAsia="Arial" w:hAnsi="Arial"/>
          <w:sz w:val="18"/>
          <w:szCs w:val="18"/>
          <w:color w:val="BDBDBD"/>
        </w:rPr>
        <w:t>. . . . . . . . . . . . . . . . . . . . . . . .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6495415" cy="2019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51">
                      <a:extLst>
                        <a:ext uri="{28A0092B-C50C-407E-A947-70E740481C1C}"/>
                      </a:extLst>
                    </a:blip>
                    <a:srcRect/>
                    <a:stretch>
                      <a:fillRect/>
                    </a:stretch>
                  </pic:blipFill>
                  <pic:spPr bwMode="auto">
                    <a:xfrm>
                      <a:off x="0" y="0"/>
                      <a:ext cx="6495415" cy="20193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 xml:space="preserve">CEG’s economic interest in Clearway Energy LLC </w:t>
      </w:r>
      <w:r>
        <w:rPr>
          <w:rFonts w:ascii="Arial" w:cs="Arial" w:eastAsia="Arial" w:hAnsi="Arial"/>
          <w:sz w:val="18"/>
          <w:szCs w:val="18"/>
          <w:color w:val="BDBDBD"/>
        </w:rPr>
        <w:t>. . . . . . . . . . . . . . . . . . . . . . . . . . . . . . . . . . . . . . . . . . . . . . .</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ind w:left="102"/>
        <w:spacing w:after="0"/>
        <w:rPr>
          <w:sz w:val="20"/>
          <w:szCs w:val="20"/>
          <w:color w:val="auto"/>
        </w:rPr>
      </w:pPr>
      <w:r>
        <w:rPr>
          <w:rFonts w:ascii="Arial" w:cs="Arial" w:eastAsia="Arial" w:hAnsi="Arial"/>
          <w:sz w:val="18"/>
          <w:szCs w:val="18"/>
          <w:b w:val="1"/>
          <w:bCs w:val="1"/>
          <w:color w:val="auto"/>
        </w:rPr>
        <w:t>(In millions)</w:t>
      </w:r>
    </w:p>
    <w:p>
      <w:pPr>
        <w:spacing w:after="0" w:line="265" w:lineRule="exact"/>
        <w:rPr>
          <w:sz w:val="20"/>
          <w:szCs w:val="20"/>
          <w:color w:val="auto"/>
        </w:rPr>
      </w:pPr>
    </w:p>
    <w:p>
      <w:pPr>
        <w:ind w:left="742" w:hanging="742"/>
        <w:spacing w:after="0"/>
        <w:tabs>
          <w:tab w:leader="none" w:pos="742" w:val="left"/>
        </w:tabs>
        <w:numPr>
          <w:ilvl w:val="0"/>
          <w:numId w:val="34"/>
        </w:numPr>
        <w:rPr>
          <w:rFonts w:ascii="Arial" w:cs="Arial" w:eastAsia="Arial" w:hAnsi="Arial"/>
          <w:sz w:val="17"/>
          <w:szCs w:val="17"/>
          <w:color w:val="auto"/>
        </w:rPr>
      </w:pPr>
      <w:r>
        <w:rPr>
          <w:rFonts w:ascii="Arial" w:cs="Arial" w:eastAsia="Arial" w:hAnsi="Arial"/>
          <w:sz w:val="17"/>
          <w:szCs w:val="17"/>
          <w:color w:val="auto"/>
        </w:rPr>
        <w:t>(388)</w:t>
      </w:r>
    </w:p>
    <w:p>
      <w:pPr>
        <w:spacing w:after="0" w:line="297" w:lineRule="exact"/>
        <w:rPr>
          <w:sz w:val="20"/>
          <w:szCs w:val="20"/>
          <w:color w:val="auto"/>
        </w:rPr>
      </w:pPr>
    </w:p>
    <w:p>
      <w:pPr>
        <w:jc w:val="right"/>
        <w:ind w:right="80"/>
        <w:spacing w:after="0"/>
        <w:rPr>
          <w:sz w:val="20"/>
          <w:szCs w:val="20"/>
          <w:color w:val="auto"/>
        </w:rPr>
      </w:pPr>
      <w:r>
        <w:rPr>
          <w:rFonts w:ascii="Arial" w:cs="Arial" w:eastAsia="Arial" w:hAnsi="Arial"/>
          <w:sz w:val="20"/>
          <w:szCs w:val="20"/>
          <w:color w:val="auto"/>
        </w:rPr>
        <w:t>226</w:t>
      </w:r>
    </w:p>
    <w:p>
      <w:pPr>
        <w:spacing w:after="0" w:line="69" w:lineRule="exact"/>
        <w:rPr>
          <w:sz w:val="20"/>
          <w:szCs w:val="20"/>
          <w:color w:val="auto"/>
        </w:rPr>
      </w:pPr>
    </w:p>
    <w:p>
      <w:pPr>
        <w:jc w:val="right"/>
        <w:ind w:right="80"/>
        <w:spacing w:after="0"/>
        <w:rPr>
          <w:sz w:val="20"/>
          <w:szCs w:val="20"/>
          <w:color w:val="auto"/>
        </w:rPr>
      </w:pPr>
      <w:r>
        <w:rPr>
          <w:rFonts w:ascii="Arial" w:cs="Arial" w:eastAsia="Arial" w:hAnsi="Arial"/>
          <w:sz w:val="20"/>
          <w:szCs w:val="20"/>
          <w:color w:val="auto"/>
        </w:rPr>
        <w:t>69</w:t>
      </w:r>
    </w:p>
    <w:p>
      <w:pPr>
        <w:spacing w:after="0" w:line="69" w:lineRule="exact"/>
        <w:rPr>
          <w:sz w:val="20"/>
          <w:szCs w:val="20"/>
          <w:color w:val="auto"/>
        </w:rPr>
      </w:pPr>
    </w:p>
    <w:p>
      <w:pPr>
        <w:ind w:left="842" w:hanging="842"/>
        <w:spacing w:after="0"/>
        <w:tabs>
          <w:tab w:leader="none" w:pos="842" w:val="left"/>
        </w:tabs>
        <w:numPr>
          <w:ilvl w:val="0"/>
          <w:numId w:val="35"/>
        </w:numPr>
        <w:rPr>
          <w:rFonts w:ascii="Arial" w:cs="Arial" w:eastAsia="Arial" w:hAnsi="Arial"/>
          <w:sz w:val="17"/>
          <w:szCs w:val="17"/>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-33020</wp:posOffset>
                </wp:positionH>
                <wp:positionV relativeFrom="paragraph">
                  <wp:posOffset>36195</wp:posOffset>
                </wp:positionV>
                <wp:extent cx="786130"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613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99pt,2.85pt" to="59.3pt,2.8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-33020</wp:posOffset>
                </wp:positionH>
                <wp:positionV relativeFrom="paragraph">
                  <wp:posOffset>61595</wp:posOffset>
                </wp:positionV>
                <wp:extent cx="786130"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613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99pt,4.85pt" to="59.3pt,4.85pt" o:allowincell="f" strokecolor="#000000" strokeweight="1pt"/>
            </w:pict>
          </mc:Fallback>
        </mc:AlternateContent>
      </w:r>
    </w:p>
    <w:p>
      <w:pPr>
        <w:spacing w:after="0" w:line="200" w:lineRule="exact"/>
        <w:rPr>
          <w:sz w:val="20"/>
          <w:szCs w:val="20"/>
          <w:color w:val="auto"/>
        </w:rPr>
      </w:pPr>
    </w:p>
    <w:p>
      <w:pPr>
        <w:sectPr>
          <w:pgSz w:w="11880" w:h="15480" w:orient="portrait"/>
          <w:cols w:equalWidth="0" w:num="2">
            <w:col w:w="8840" w:space="178"/>
            <w:col w:w="1182"/>
          </w:cols>
          <w:pgMar w:left="840" w:top="411" w:right="840" w:bottom="0" w:gutter="0" w:footer="0" w:header="0"/>
          <w:type w:val="continuous"/>
        </w:sectPr>
      </w:pPr>
    </w:p>
    <w:p>
      <w:pPr>
        <w:spacing w:after="0" w:line="94" w:lineRule="exact"/>
        <w:rPr>
          <w:sz w:val="20"/>
          <w:szCs w:val="20"/>
          <w:color w:val="auto"/>
        </w:rPr>
      </w:pPr>
    </w:p>
    <w:p>
      <w:pPr>
        <w:ind w:firstLine="448"/>
        <w:spacing w:after="0" w:line="280" w:lineRule="auto"/>
        <w:rPr>
          <w:sz w:val="20"/>
          <w:szCs w:val="20"/>
          <w:color w:val="auto"/>
        </w:rPr>
      </w:pPr>
      <w:r>
        <w:rPr>
          <w:rFonts w:ascii="Arial" w:cs="Arial" w:eastAsia="Arial" w:hAnsi="Arial"/>
          <w:sz w:val="20"/>
          <w:szCs w:val="20"/>
          <w:color w:val="auto"/>
        </w:rPr>
        <w:t>For the year ended December 31, 2022, the Company had a net income of $478 million attributable to noncontrolling interests and redeemable noncontrolling interests comprised of the following:</w:t>
      </w:r>
    </w:p>
    <w:p>
      <w:pPr>
        <w:sectPr>
          <w:pgSz w:w="11880" w:h="15480" w:orient="portrait"/>
          <w:cols w:equalWidth="0" w:num="1">
            <w:col w:w="10200"/>
          </w:cols>
          <w:pgMar w:left="840" w:top="411" w:right="840" w:bottom="0" w:gutter="0" w:footer="0" w:header="0"/>
          <w:type w:val="continuous"/>
        </w:sectPr>
      </w:pPr>
    </w:p>
    <w:p>
      <w:pPr>
        <w:spacing w:after="0" w:line="382" w:lineRule="exact"/>
        <w:rPr>
          <w:sz w:val="20"/>
          <w:szCs w:val="20"/>
          <w:color w:val="auto"/>
        </w:rPr>
      </w:pPr>
    </w:p>
    <w:p>
      <w:pPr>
        <w:ind w:left="40"/>
        <w:spacing w:after="0" w:line="288" w:lineRule="auto"/>
        <w:rPr>
          <w:sz w:val="20"/>
          <w:szCs w:val="20"/>
          <w:color w:val="auto"/>
        </w:rPr>
      </w:pPr>
      <w:r>
        <w:rPr>
          <w:rFonts w:ascii="Arial" w:cs="Arial" w:eastAsia="Arial" w:hAnsi="Arial"/>
          <w:sz w:val="18"/>
          <w:szCs w:val="18"/>
          <w:color w:val="auto"/>
        </w:rPr>
        <w:t xml:space="preserve">CEG’s economic interest in Clearway Energy LLC (primarily driven by the gain on sale of the Thermal Business on May 1, 2022) </w:t>
      </w:r>
      <w:r>
        <w:rPr>
          <w:rFonts w:ascii="Arial" w:cs="Arial" w:eastAsia="Arial" w:hAnsi="Arial"/>
          <w:sz w:val="18"/>
          <w:szCs w:val="18"/>
          <w:color w:val="BDBDBD"/>
        </w:rPr>
        <w:t>. . . . . . . . . . . . . . . . . . . . . . . . .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-340360</wp:posOffset>
            </wp:positionV>
            <wp:extent cx="6495415" cy="3257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52">
                      <a:extLst>
                        <a:ext uri="{28A0092B-C50C-407E-A947-70E740481C1C}"/>
                      </a:extLst>
                    </a:blip>
                    <a:srcRect/>
                    <a:stretch>
                      <a:fillRect/>
                    </a:stretch>
                  </pic:blipFill>
                  <pic:spPr bwMode="auto">
                    <a:xfrm>
                      <a:off x="0" y="0"/>
                      <a:ext cx="6495415" cy="325755"/>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 xml:space="preserve">Losses attributable to tax equity financing arrangements and the application of HLBV </w:t>
      </w:r>
      <w:r>
        <w:rPr>
          <w:rFonts w:ascii="Arial" w:cs="Arial" w:eastAsia="Arial" w:hAnsi="Arial"/>
          <w:sz w:val="18"/>
          <w:szCs w:val="18"/>
          <w:color w:val="BDBDBD"/>
        </w:rPr>
        <w:t>.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41910</wp:posOffset>
            </wp:positionV>
            <wp:extent cx="6495415" cy="2025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53">
                      <a:extLst>
                        <a:ext uri="{28A0092B-C50C-407E-A947-70E740481C1C}"/>
                      </a:extLst>
                    </a:blip>
                    <a:srcRect/>
                    <a:stretch>
                      <a:fillRect/>
                    </a:stretch>
                  </pic:blipFill>
                  <pic:spPr bwMode="auto">
                    <a:xfrm>
                      <a:off x="0" y="0"/>
                      <a:ext cx="6495415" cy="202565"/>
                    </a:xfrm>
                    <a:prstGeom prst="rect">
                      <a:avLst/>
                    </a:prstGeom>
                    <a:noFill/>
                  </pic:spPr>
                </pic:pic>
              </a:graphicData>
            </a:graphic>
          </wp:anchor>
        </w:drawing>
      </w:r>
    </w:p>
    <w:p>
      <w:pPr>
        <w:spacing w:after="0" w:line="72"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Losses attributable to third-party partnerships  </w:t>
      </w:r>
      <w:r>
        <w:rPr>
          <w:rFonts w:ascii="Arial" w:cs="Arial" w:eastAsia="Arial" w:hAnsi="Arial"/>
          <w:sz w:val="18"/>
          <w:szCs w:val="18"/>
          <w:color w:val="BDBDBD"/>
        </w:rPr>
        <w:t>. . . . . . . . . . . . . . . . . . . . . . . . . . . . . . . . . . . . . . . . . . . . . . . . . . .</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ind w:left="102"/>
        <w:spacing w:after="0"/>
        <w:rPr>
          <w:sz w:val="20"/>
          <w:szCs w:val="20"/>
          <w:color w:val="auto"/>
        </w:rPr>
      </w:pPr>
      <w:r>
        <w:rPr>
          <w:rFonts w:ascii="Arial" w:cs="Arial" w:eastAsia="Arial" w:hAnsi="Arial"/>
          <w:sz w:val="18"/>
          <w:szCs w:val="18"/>
          <w:b w:val="1"/>
          <w:bCs w:val="1"/>
          <w:color w:val="auto"/>
        </w:rPr>
        <w:t>(In millions)</w:t>
      </w:r>
    </w:p>
    <w:p>
      <w:pPr>
        <w:spacing w:after="0" w:line="265" w:lineRule="exact"/>
        <w:rPr>
          <w:sz w:val="20"/>
          <w:szCs w:val="20"/>
          <w:color w:val="auto"/>
        </w:rPr>
      </w:pPr>
    </w:p>
    <w:p>
      <w:pPr>
        <w:ind w:left="802" w:hanging="802"/>
        <w:spacing w:after="0"/>
        <w:tabs>
          <w:tab w:leader="none" w:pos="802" w:val="left"/>
        </w:tabs>
        <w:numPr>
          <w:ilvl w:val="0"/>
          <w:numId w:val="36"/>
        </w:numPr>
        <w:rPr>
          <w:rFonts w:ascii="Arial" w:cs="Arial" w:eastAsia="Arial" w:hAnsi="Arial"/>
          <w:sz w:val="20"/>
          <w:szCs w:val="20"/>
          <w:color w:val="auto"/>
        </w:rPr>
      </w:pPr>
      <w:r>
        <w:rPr>
          <w:rFonts w:ascii="Arial" w:cs="Arial" w:eastAsia="Arial" w:hAnsi="Arial"/>
          <w:sz w:val="20"/>
          <w:szCs w:val="20"/>
          <w:color w:val="auto"/>
        </w:rPr>
        <w:t>584</w:t>
      </w:r>
    </w:p>
    <w:p>
      <w:pPr>
        <w:spacing w:after="0" w:line="68" w:lineRule="exact"/>
        <w:rPr>
          <w:rFonts w:ascii="Arial" w:cs="Arial" w:eastAsia="Arial" w:hAnsi="Arial"/>
          <w:sz w:val="20"/>
          <w:szCs w:val="20"/>
          <w:color w:val="auto"/>
        </w:rPr>
      </w:pPr>
    </w:p>
    <w:p>
      <w:pPr>
        <w:ind w:left="842"/>
        <w:spacing w:after="0"/>
        <w:rPr>
          <w:rFonts w:ascii="Arial" w:cs="Arial" w:eastAsia="Arial" w:hAnsi="Arial"/>
          <w:sz w:val="20"/>
          <w:szCs w:val="20"/>
          <w:color w:val="auto"/>
        </w:rPr>
      </w:pPr>
      <w:r>
        <w:rPr>
          <w:rFonts w:ascii="Arial" w:cs="Arial" w:eastAsia="Arial" w:hAnsi="Arial"/>
          <w:sz w:val="17"/>
          <w:szCs w:val="17"/>
          <w:color w:val="auto"/>
        </w:rPr>
        <w:t>(87)</w:t>
      </w:r>
    </w:p>
    <w:p>
      <w:pPr>
        <w:spacing w:after="0" w:line="103" w:lineRule="exact"/>
        <w:rPr>
          <w:rFonts w:ascii="Arial" w:cs="Arial" w:eastAsia="Arial" w:hAnsi="Arial"/>
          <w:sz w:val="20"/>
          <w:szCs w:val="20"/>
          <w:color w:val="auto"/>
        </w:rPr>
      </w:pPr>
    </w:p>
    <w:p>
      <w:pPr>
        <w:ind w:left="842"/>
        <w:spacing w:after="0"/>
        <w:rPr>
          <w:rFonts w:ascii="Arial" w:cs="Arial" w:eastAsia="Arial" w:hAnsi="Arial"/>
          <w:sz w:val="20"/>
          <w:szCs w:val="20"/>
          <w:color w:val="auto"/>
        </w:rPr>
      </w:pPr>
      <w:r>
        <w:rPr>
          <w:rFonts w:ascii="Arial" w:cs="Arial" w:eastAsia="Arial" w:hAnsi="Arial"/>
          <w:sz w:val="17"/>
          <w:szCs w:val="17"/>
          <w:color w:val="auto"/>
        </w:rPr>
        <w:t>(19)</w:t>
      </w:r>
    </w:p>
    <w:p>
      <w:pPr>
        <w:spacing w:after="0" w:line="103" w:lineRule="exact"/>
        <w:rPr>
          <w:sz w:val="20"/>
          <w:szCs w:val="20"/>
          <w:color w:val="auto"/>
        </w:rPr>
      </w:pPr>
    </w:p>
    <w:p>
      <w:pPr>
        <w:ind w:left="802" w:hanging="802"/>
        <w:spacing w:after="0"/>
        <w:tabs>
          <w:tab w:leader="none" w:pos="802" w:val="left"/>
        </w:tabs>
        <w:numPr>
          <w:ilvl w:val="0"/>
          <w:numId w:val="37"/>
        </w:numPr>
        <w:rPr>
          <w:rFonts w:ascii="Arial" w:cs="Arial" w:eastAsia="Arial" w:hAnsi="Arial"/>
          <w:sz w:val="20"/>
          <w:szCs w:val="20"/>
          <w:color w:val="auto"/>
        </w:rPr>
      </w:pPr>
      <w:r>
        <w:rPr>
          <w:rFonts w:ascii="Arial" w:cs="Arial" w:eastAsia="Arial" w:hAnsi="Arial"/>
          <w:sz w:val="20"/>
          <w:szCs w:val="20"/>
          <w:color w:val="auto"/>
        </w:rPr>
        <w:t>478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-33020</wp:posOffset>
                </wp:positionH>
                <wp:positionV relativeFrom="paragraph">
                  <wp:posOffset>14605</wp:posOffset>
                </wp:positionV>
                <wp:extent cx="786130"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613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99pt,1.15pt" to="59.3pt,1.1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-33020</wp:posOffset>
                </wp:positionH>
                <wp:positionV relativeFrom="paragraph">
                  <wp:posOffset>39370</wp:posOffset>
                </wp:positionV>
                <wp:extent cx="786130"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613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99pt,3.1pt" to="59.3pt,3.1pt" o:allowincell="f" strokecolor="#000000" strokeweight="1pt"/>
            </w:pict>
          </mc:Fallback>
        </mc:AlternateContent>
      </w:r>
    </w:p>
    <w:p>
      <w:pPr>
        <w:spacing w:after="0" w:line="200" w:lineRule="exact"/>
        <w:rPr>
          <w:sz w:val="20"/>
          <w:szCs w:val="20"/>
          <w:color w:val="auto"/>
        </w:rPr>
      </w:pPr>
    </w:p>
    <w:p>
      <w:pPr>
        <w:sectPr>
          <w:pgSz w:w="11880" w:h="15480" w:orient="portrait"/>
          <w:cols w:equalWidth="0" w:num="2">
            <w:col w:w="8840" w:space="178"/>
            <w:col w:w="1182"/>
          </w:cols>
          <w:pgMar w:left="840" w:top="411" w:right="8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ectPr>
          <w:pgSz w:w="11880" w:h="15480" w:orient="portrait"/>
          <w:cols w:equalWidth="0" w:num="1">
            <w:col w:w="10200"/>
          </w:cols>
          <w:pgMar w:left="840" w:top="411" w:right="840" w:bottom="0" w:gutter="0" w:footer="0" w:header="0"/>
          <w:type w:val="continuous"/>
        </w:sectPr>
      </w:pPr>
    </w:p>
    <w:bookmarkStart w:id="54" w:name="page55"/>
    <w:bookmarkEnd w:id="54"/>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175" w:lineRule="exact"/>
        <w:rPr>
          <w:sz w:val="20"/>
          <w:szCs w:val="20"/>
          <w:color w:val="auto"/>
        </w:rPr>
      </w:pPr>
    </w:p>
    <w:p>
      <w:pPr>
        <w:jc w:val="both"/>
        <w:ind w:firstLine="448"/>
        <w:spacing w:after="0" w:line="287" w:lineRule="auto"/>
        <w:rPr>
          <w:sz w:val="20"/>
          <w:szCs w:val="20"/>
          <w:color w:val="auto"/>
        </w:rPr>
      </w:pPr>
      <w:r>
        <w:rPr>
          <w:rFonts w:ascii="Arial" w:cs="Arial" w:eastAsia="Arial" w:hAnsi="Arial"/>
          <w:sz w:val="18"/>
          <w:szCs w:val="18"/>
          <w:color w:val="auto"/>
        </w:rPr>
        <w:t>The Company’s principal liquidity requirements are to meet its financial commitments, finance current operations, fund capital expenditures, including acquisitions from time to time, service debt and pay dividends. As a normal part of the Company’s business, depending on market conditions, the Company will from time to time consider opportunities to repay, redeem, repurchase or refinance its indebtedness. Changes 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Current Liquidity Position</w:t>
      </w:r>
    </w:p>
    <w:p>
      <w:pPr>
        <w:spacing w:after="0" w:line="176" w:lineRule="exact"/>
        <w:rPr>
          <w:sz w:val="20"/>
          <w:szCs w:val="20"/>
          <w:color w:val="auto"/>
        </w:rPr>
      </w:pPr>
    </w:p>
    <w:p>
      <w:pPr>
        <w:jc w:val="both"/>
        <w:ind w:firstLine="448"/>
        <w:spacing w:after="0" w:line="280" w:lineRule="auto"/>
        <w:rPr>
          <w:sz w:val="20"/>
          <w:szCs w:val="20"/>
          <w:color w:val="auto"/>
        </w:rPr>
      </w:pPr>
      <w:r>
        <w:rPr>
          <w:rFonts w:ascii="Arial" w:cs="Arial" w:eastAsia="Arial" w:hAnsi="Arial"/>
          <w:sz w:val="20"/>
          <w:szCs w:val="20"/>
          <w:color w:val="auto"/>
        </w:rPr>
        <w:t>As of December 31, 2023 and 2022, the Company’s liquidity was approximately $1.51 billion and $1.37 billion, respectively, comprised of cash, restricted cash and availability under the Company’s revolving credit facility.</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77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rPr>
              <w:t>As of December 31,</w:t>
            </w:r>
          </w:p>
        </w:tc>
      </w:tr>
      <w:tr>
        <w:trPr>
          <w:trHeight w:val="234"/>
        </w:trPr>
        <w:tc>
          <w:tcPr>
            <w:tcW w:w="7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r>
      <w:tr>
        <w:trPr>
          <w:trHeight w:val="281"/>
        </w:trPr>
        <w:tc>
          <w:tcPr>
            <w:tcW w:w="7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8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(In millions)</w:t>
            </w:r>
          </w:p>
        </w:tc>
      </w:tr>
      <w:tr>
        <w:trPr>
          <w:trHeight w:val="306"/>
        </w:trPr>
        <w:tc>
          <w:tcPr>
            <w:tcW w:w="7740" w:type="dxa"/>
            <w:vAlign w:val="bottom"/>
            <w:shd w:val="clear" w:color="auto" w:fill="E6E6E6"/>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28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00" w:type="dxa"/>
            <w:vAlign w:val="bottom"/>
            <w:shd w:val="clear" w:color="auto" w:fill="E6E6E6"/>
          </w:tcPr>
          <w:p>
            <w:pPr>
              <w:spacing w:after="0"/>
              <w:rPr>
                <w:sz w:val="24"/>
                <w:szCs w:val="24"/>
                <w:color w:val="auto"/>
              </w:rPr>
            </w:pPr>
          </w:p>
        </w:tc>
      </w:tr>
      <w:tr>
        <w:trPr>
          <w:trHeight w:val="291"/>
        </w:trPr>
        <w:tc>
          <w:tcPr>
            <w:tcW w:w="7740" w:type="dxa"/>
            <w:vAlign w:val="bottom"/>
          </w:tcPr>
          <w:p>
            <w:pPr>
              <w:jc w:val="right"/>
              <w:spacing w:after="0"/>
              <w:rPr>
                <w:sz w:val="20"/>
                <w:szCs w:val="20"/>
                <w:color w:val="auto"/>
              </w:rPr>
            </w:pPr>
            <w:r>
              <w:rPr>
                <w:rFonts w:ascii="Arial" w:cs="Arial" w:eastAsia="Arial" w:hAnsi="Arial"/>
                <w:sz w:val="18"/>
                <w:szCs w:val="18"/>
                <w:color w:val="auto"/>
                <w:w w:val="94"/>
              </w:rPr>
              <w:t xml:space="preserve">Clearway Energy, Inc. and Clearway Energy LLC, excluding subsidiaries  </w:t>
            </w:r>
            <w:r>
              <w:rPr>
                <w:rFonts w:ascii="Arial" w:cs="Arial" w:eastAsia="Arial" w:hAnsi="Arial"/>
                <w:sz w:val="18"/>
                <w:szCs w:val="18"/>
                <w:color w:val="BDBDBD"/>
                <w:w w:val="94"/>
              </w:rPr>
              <w:t>. . . . . . . . . . . . . . . . . . . . . . .</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410</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536</w:t>
            </w:r>
          </w:p>
        </w:tc>
      </w:tr>
      <w:tr>
        <w:trPr>
          <w:trHeight w:val="306"/>
        </w:trPr>
        <w:tc>
          <w:tcPr>
            <w:tcW w:w="774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2"/>
              </w:rPr>
              <w:t xml:space="preserve">Subsidiaries </w:t>
            </w:r>
            <w:r>
              <w:rPr>
                <w:rFonts w:ascii="Arial" w:cs="Arial" w:eastAsia="Arial" w:hAnsi="Arial"/>
                <w:sz w:val="18"/>
                <w:szCs w:val="18"/>
                <w:color w:val="BDBDBD"/>
                <w:w w:val="92"/>
              </w:rPr>
              <w:t>. . . . . . . . . . . . . . . . . . . . . . . . . . . . . . . . . . . . . . . . . . . . . . . . . . . . . . . . . . . . . . . . . . . . . . . . .</w:t>
            </w:r>
          </w:p>
        </w:tc>
        <w:tc>
          <w:tcPr>
            <w:tcW w:w="28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125</w:t>
            </w:r>
          </w:p>
        </w:tc>
        <w:tc>
          <w:tcPr>
            <w:tcW w:w="8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121</w:t>
            </w:r>
          </w:p>
        </w:tc>
      </w:tr>
      <w:tr>
        <w:trPr>
          <w:trHeight w:val="291"/>
        </w:trPr>
        <w:tc>
          <w:tcPr>
            <w:tcW w:w="7740" w:type="dxa"/>
            <w:vAlign w:val="bottom"/>
          </w:tcPr>
          <w:p>
            <w:pPr>
              <w:ind w:left="40"/>
              <w:spacing w:after="0"/>
              <w:rPr>
                <w:sz w:val="20"/>
                <w:szCs w:val="20"/>
                <w:color w:val="auto"/>
              </w:rPr>
            </w:pPr>
            <w:r>
              <w:rPr>
                <w:rFonts w:ascii="Arial" w:cs="Arial" w:eastAsia="Arial" w:hAnsi="Arial"/>
                <w:sz w:val="18"/>
                <w:szCs w:val="18"/>
                <w:b w:val="1"/>
                <w:bCs w:val="1"/>
                <w:color w:val="auto"/>
              </w:rPr>
              <w:t>Restricted cash:</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06"/>
        </w:trPr>
        <w:tc>
          <w:tcPr>
            <w:tcW w:w="774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3"/>
              </w:rPr>
              <w:t xml:space="preserve">Operating accounts  </w:t>
            </w:r>
            <w:r>
              <w:rPr>
                <w:rFonts w:ascii="Arial" w:cs="Arial" w:eastAsia="Arial" w:hAnsi="Arial"/>
                <w:sz w:val="18"/>
                <w:szCs w:val="18"/>
                <w:color w:val="BDBDBD"/>
                <w:w w:val="93"/>
              </w:rPr>
              <w:t>. . . . . . . . . . . . . . . . . . . . . . . . . . . . . . . . . . . . . . . . . . . . . . . . . . . . . . . . . . . . . . . . . .</w:t>
            </w:r>
          </w:p>
        </w:tc>
        <w:tc>
          <w:tcPr>
            <w:tcW w:w="28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176</w:t>
            </w:r>
          </w:p>
        </w:tc>
        <w:tc>
          <w:tcPr>
            <w:tcW w:w="8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109</w:t>
            </w:r>
          </w:p>
        </w:tc>
      </w:tr>
      <w:tr>
        <w:trPr>
          <w:trHeight w:val="289"/>
        </w:trPr>
        <w:tc>
          <w:tcPr>
            <w:tcW w:w="7740" w:type="dxa"/>
            <w:vAlign w:val="bottom"/>
            <w:tcBorders>
              <w:bottom w:val="single" w:sz="8" w:color="E6E6E6"/>
            </w:tcBorders>
          </w:tcPr>
          <w:p>
            <w:pPr>
              <w:jc w:val="right"/>
              <w:spacing w:after="0"/>
              <w:rPr>
                <w:sz w:val="20"/>
                <w:szCs w:val="20"/>
                <w:color w:val="auto"/>
              </w:rPr>
            </w:pPr>
            <w:r>
              <w:rPr>
                <w:rFonts w:ascii="Arial" w:cs="Arial" w:eastAsia="Arial" w:hAnsi="Arial"/>
                <w:sz w:val="18"/>
                <w:szCs w:val="18"/>
                <w:color w:val="auto"/>
                <w:w w:val="93"/>
              </w:rPr>
              <w:t xml:space="preserve">Reserves, including debt service, distributions, performance obligations and other reserves  </w:t>
            </w:r>
            <w:r>
              <w:rPr>
                <w:rFonts w:ascii="Arial" w:cs="Arial" w:eastAsia="Arial" w:hAnsi="Arial"/>
                <w:sz w:val="18"/>
                <w:szCs w:val="18"/>
                <w:color w:val="BDBDBD"/>
                <w:w w:val="93"/>
              </w:rPr>
              <w:t>. . . . . . . . .</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80" w:type="dxa"/>
            <w:vAlign w:val="bottom"/>
            <w:tcBorders>
              <w:bottom w:val="single" w:sz="8" w:color="E6E6E6"/>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r>
      <w:tr>
        <w:trPr>
          <w:trHeight w:val="288"/>
        </w:trPr>
        <w:tc>
          <w:tcPr>
            <w:tcW w:w="7740" w:type="dxa"/>
            <w:vAlign w:val="bottom"/>
            <w:shd w:val="clear" w:color="auto" w:fill="E6E6E6"/>
          </w:tcPr>
          <w:p>
            <w:pPr>
              <w:jc w:val="right"/>
              <w:spacing w:after="0"/>
              <w:rPr>
                <w:sz w:val="20"/>
                <w:szCs w:val="20"/>
                <w:color w:val="auto"/>
              </w:rPr>
            </w:pPr>
            <w:r>
              <w:rPr>
                <w:rFonts w:ascii="Arial" w:cs="Arial" w:eastAsia="Arial" w:hAnsi="Arial"/>
                <w:sz w:val="18"/>
                <w:szCs w:val="18"/>
                <w:color w:val="auto"/>
                <w:w w:val="89"/>
              </w:rPr>
              <w:t xml:space="preserve">Total cash, cash equivalents and restricted cash </w:t>
            </w:r>
            <w:r>
              <w:rPr>
                <w:rFonts w:ascii="Arial" w:cs="Arial" w:eastAsia="Arial" w:hAnsi="Arial"/>
                <w:sz w:val="18"/>
                <w:szCs w:val="18"/>
                <w:color w:val="BDBDBD"/>
                <w:w w:val="89"/>
              </w:rPr>
              <w:t>. . . . . . . . . . . . . . . . . . . . . . . . . . . . . . . . . . . . . . . . . . . . . . .</w:t>
            </w:r>
          </w:p>
        </w:tc>
        <w:tc>
          <w:tcPr>
            <w:tcW w:w="28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1,051</w:t>
            </w:r>
          </w:p>
        </w:tc>
        <w:tc>
          <w:tcPr>
            <w:tcW w:w="8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996</w:t>
            </w:r>
          </w:p>
        </w:tc>
      </w:tr>
      <w:tr>
        <w:trPr>
          <w:trHeight w:val="288"/>
        </w:trPr>
        <w:tc>
          <w:tcPr>
            <w:tcW w:w="7740" w:type="dxa"/>
            <w:vAlign w:val="bottom"/>
            <w:tcBorders>
              <w:bottom w:val="single" w:sz="8" w:color="E6E6E6"/>
            </w:tcBorders>
          </w:tcPr>
          <w:p>
            <w:pPr>
              <w:jc w:val="right"/>
              <w:spacing w:after="0"/>
              <w:rPr>
                <w:sz w:val="20"/>
                <w:szCs w:val="20"/>
                <w:color w:val="auto"/>
              </w:rPr>
            </w:pPr>
            <w:r>
              <w:rPr>
                <w:rFonts w:ascii="Arial" w:cs="Arial" w:eastAsia="Arial" w:hAnsi="Arial"/>
                <w:sz w:val="18"/>
                <w:szCs w:val="18"/>
                <w:color w:val="auto"/>
                <w:w w:val="95"/>
              </w:rPr>
              <w:t xml:space="preserve">Revolving credit facility availability </w:t>
            </w:r>
            <w:r>
              <w:rPr>
                <w:rFonts w:ascii="Arial" w:cs="Arial" w:eastAsia="Arial" w:hAnsi="Arial"/>
                <w:sz w:val="18"/>
                <w:szCs w:val="18"/>
                <w:color w:val="BDBDBD"/>
                <w:w w:val="95"/>
              </w:rPr>
              <w:t>. . . . . . . . . . . . . . . . . . . . . . . . . . . . . . . . . . . . . . . . . . . . . . . . . . . . .</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80" w:type="dxa"/>
            <w:vAlign w:val="bottom"/>
            <w:tcBorders>
              <w:bottom w:val="single" w:sz="8" w:color="E6E6E6"/>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r>
      <w:tr>
        <w:trPr>
          <w:trHeight w:val="298"/>
        </w:trPr>
        <w:tc>
          <w:tcPr>
            <w:tcW w:w="77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auto"/>
                <w:w w:val="90"/>
              </w:rPr>
              <w:t xml:space="preserve">Total liquidity </w:t>
            </w:r>
            <w:r>
              <w:rPr>
                <w:rFonts w:ascii="Arial" w:cs="Arial" w:eastAsia="Arial" w:hAnsi="Arial"/>
                <w:sz w:val="18"/>
                <w:szCs w:val="18"/>
                <w:b w:val="1"/>
                <w:bCs w:val="1"/>
                <w:color w:val="BDBDBD"/>
                <w:w w:val="90"/>
              </w:rPr>
              <w:t>. . . . . . . . . . . . . . . . . . . . . . . . . . . . . . . . . . . . . . . . . . . . . . . . . . . . . . . . . . . . . . . . . . . . . . . . .</w:t>
            </w:r>
          </w:p>
        </w:tc>
        <w:tc>
          <w:tcPr>
            <w:tcW w:w="280" w:type="dxa"/>
            <w:vAlign w:val="bottom"/>
            <w:tcBorders>
              <w:bottom w:val="single" w:sz="8" w:color="auto"/>
            </w:tcBorders>
            <w:shd w:val="clear" w:color="auto" w:fill="E6E6E6"/>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1,505</w:t>
            </w:r>
          </w:p>
        </w:tc>
        <w:tc>
          <w:tcPr>
            <w:tcW w:w="8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auto"/>
            </w:tcBorders>
            <w:shd w:val="clear" w:color="auto" w:fill="E6E6E6"/>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1,366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-599440</wp:posOffset>
            </wp:positionV>
            <wp:extent cx="158940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54">
                      <a:extLst>
                        <a:ext uri="{28A0092B-C50C-407E-A947-70E740481C1C}"/>
                      </a:extLst>
                    </a:blip>
                    <a:srcRect/>
                    <a:stretch>
                      <a:fillRect/>
                    </a:stretch>
                  </pic:blipFill>
                  <pic:spPr bwMode="auto">
                    <a:xfrm>
                      <a:off x="0" y="0"/>
                      <a:ext cx="1589405" cy="25400"/>
                    </a:xfrm>
                    <a:prstGeom prst="rect">
                      <a:avLst/>
                    </a:prstGeom>
                    <a:noFill/>
                  </pic:spPr>
                </pic:pic>
              </a:graphicData>
            </a:graphic>
          </wp:anchor>
        </w:drawing>
        <w:drawing>
          <wp:anchor simplePos="0" relativeHeight="251657728" behindDoc="1" locked="0" layoutInCell="0" allowOverlap="1">
            <wp:simplePos x="0" y="0"/>
            <wp:positionH relativeFrom="column">
              <wp:posOffset>4903470</wp:posOffset>
            </wp:positionH>
            <wp:positionV relativeFrom="paragraph">
              <wp:posOffset>-220345</wp:posOffset>
            </wp:positionV>
            <wp:extent cx="158940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55">
                      <a:extLst>
                        <a:ext uri="{28A0092B-C50C-407E-A947-70E740481C1C}"/>
                      </a:extLst>
                    </a:blip>
                    <a:srcRect/>
                    <a:stretch>
                      <a:fillRect/>
                    </a:stretch>
                  </pic:blipFill>
                  <pic:spPr bwMode="auto">
                    <a:xfrm>
                      <a:off x="0" y="0"/>
                      <a:ext cx="1589405" cy="25400"/>
                    </a:xfrm>
                    <a:prstGeom prst="rect">
                      <a:avLst/>
                    </a:prstGeom>
                    <a:noFill/>
                  </pic:spPr>
                </pic:pic>
              </a:graphicData>
            </a:graphic>
          </wp:anchor>
        </w:drawing>
        <w:drawing>
          <wp:anchor simplePos="0" relativeHeight="251657728" behindDoc="1" locked="0" layoutInCell="0" allowOverlap="1">
            <wp:simplePos x="0" y="0"/>
            <wp:positionH relativeFrom="column">
              <wp:posOffset>4903470</wp:posOffset>
            </wp:positionH>
            <wp:positionV relativeFrom="paragraph">
              <wp:posOffset>-43815</wp:posOffset>
            </wp:positionV>
            <wp:extent cx="1589405" cy="508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56">
                      <a:extLst>
                        <a:ext uri="{28A0092B-C50C-407E-A947-70E740481C1C}"/>
                      </a:extLst>
                    </a:blip>
                    <a:srcRect/>
                    <a:stretch>
                      <a:fillRect/>
                    </a:stretch>
                  </pic:blipFill>
                  <pic:spPr bwMode="auto">
                    <a:xfrm>
                      <a:off x="0" y="0"/>
                      <a:ext cx="1589405" cy="50800"/>
                    </a:xfrm>
                    <a:prstGeom prst="rect">
                      <a:avLst/>
                    </a:prstGeom>
                    <a:noFill/>
                  </pic:spPr>
                </pic:pic>
              </a:graphicData>
            </a:graphic>
          </wp:anchor>
        </w:drawing>
      </w:r>
    </w:p>
    <w:p>
      <w:pPr>
        <w:spacing w:after="0" w:line="166" w:lineRule="exact"/>
        <w:rPr>
          <w:sz w:val="20"/>
          <w:szCs w:val="20"/>
          <w:color w:val="auto"/>
        </w:rPr>
      </w:pPr>
    </w:p>
    <w:p>
      <w:pPr>
        <w:jc w:val="both"/>
        <w:ind w:firstLine="448"/>
        <w:spacing w:after="0" w:line="289" w:lineRule="auto"/>
        <w:rPr>
          <w:sz w:val="20"/>
          <w:szCs w:val="20"/>
          <w:color w:val="auto"/>
        </w:rPr>
      </w:pPr>
      <w:r>
        <w:rPr>
          <w:rFonts w:ascii="Arial" w:cs="Arial" w:eastAsia="Arial" w:hAnsi="Arial"/>
          <w:sz w:val="18"/>
          <w:szCs w:val="18"/>
          <w:color w:val="auto"/>
        </w:rPr>
        <w:t>The Company’s liquidity includes $516 million and $339 million of restricted cash balances as of December 31, 2023 and 2022, respectively. Restricted cash consists primarily of funds to satisfy the requirements of certain debt arrangements and funds held within the Company’s projects that are restricted in their use. As of December 31, 2023, these restricted funds were comprised of $176 million designated to fund operating expenses, approximately $178 million designated for current debt service payments, and $85 million restricted for reserves including debt service, performance obligations and other reserves, as well as capital expenditures. The remaining $77 million is held in distribution reserve accounts.</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Clearway Energy LLC and Clearway Energy Operating LLC Revolving Credit Facility</w:t>
      </w:r>
    </w:p>
    <w:p>
      <w:pPr>
        <w:spacing w:after="0" w:line="191" w:lineRule="exact"/>
        <w:rPr>
          <w:sz w:val="20"/>
          <w:szCs w:val="20"/>
          <w:color w:val="auto"/>
        </w:rPr>
      </w:pPr>
    </w:p>
    <w:p>
      <w:pPr>
        <w:jc w:val="both"/>
        <w:ind w:firstLine="448"/>
        <w:spacing w:after="0" w:line="297" w:lineRule="auto"/>
        <w:rPr>
          <w:sz w:val="20"/>
          <w:szCs w:val="20"/>
          <w:color w:val="auto"/>
        </w:rPr>
      </w:pPr>
      <w:r>
        <w:rPr>
          <w:rFonts w:ascii="Arial" w:cs="Arial" w:eastAsia="Arial" w:hAnsi="Arial"/>
          <w:sz w:val="18"/>
          <w:szCs w:val="18"/>
          <w:color w:val="auto"/>
        </w:rPr>
        <w:t>On March 15, 2023, Clearway Energy Operating LLC refinanced the Amended and Restated Credit Agreement, which (i) replaced LIBOR with SOFR plus a credit spread adjustment of 0.10% as the applicable reference rate, (ii) increased the available revolving commitments to an aggregate principal amount of $700 million, (iii) extended the maturity date to March 15, 2028, (iv) increased the letter of credit sublimit to $594 million and (v) implemented certain other technical modifications.</w:t>
      </w:r>
    </w:p>
    <w:p>
      <w:pPr>
        <w:spacing w:after="0" w:line="110"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20"/>
          <w:szCs w:val="20"/>
          <w:color w:val="auto"/>
        </w:rPr>
        <w:t>As of December 31, 2023, the Company had no outstanding borrowings under the revolving credit facility and $246 million in letters of credit outstanding. The facility will continue to be used for general corporate purposes, including financing of future acquisitions and posting letters of credit.</w:t>
      </w:r>
    </w:p>
    <w:p>
      <w:pPr>
        <w:spacing w:after="0" w:line="134" w:lineRule="exact"/>
        <w:rPr>
          <w:sz w:val="20"/>
          <w:szCs w:val="20"/>
          <w:color w:val="auto"/>
        </w:rPr>
      </w:pPr>
    </w:p>
    <w:p>
      <w:pPr>
        <w:jc w:val="both"/>
        <w:ind w:firstLine="448"/>
        <w:spacing w:after="0" w:line="273" w:lineRule="auto"/>
        <w:rPr>
          <w:sz w:val="20"/>
          <w:szCs w:val="20"/>
          <w:color w:val="auto"/>
        </w:rPr>
      </w:pPr>
      <w:r>
        <w:rPr>
          <w:rFonts w:ascii="Arial" w:cs="Arial" w:eastAsia="Arial" w:hAnsi="Arial"/>
          <w:sz w:val="19"/>
          <w:szCs w:val="19"/>
          <w:color w:val="auto"/>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dividends to holders of the Company’s Class A common stock and Class C common stock. Management continues to regularly monitor the Company’s ability to finance the needs of its operating, financing and investing activity within the dictates of prudent balance sheet management.</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Credit Ratings</w:t>
      </w:r>
    </w:p>
    <w:p>
      <w:pPr>
        <w:spacing w:after="0" w:line="196" w:lineRule="exact"/>
        <w:rPr>
          <w:sz w:val="20"/>
          <w:szCs w:val="20"/>
          <w:color w:val="auto"/>
        </w:rPr>
      </w:pPr>
    </w:p>
    <w:p>
      <w:pPr>
        <w:jc w:val="both"/>
        <w:ind w:firstLine="448"/>
        <w:spacing w:after="0" w:line="277" w:lineRule="auto"/>
        <w:rPr>
          <w:sz w:val="20"/>
          <w:szCs w:val="20"/>
          <w:color w:val="auto"/>
        </w:rPr>
      </w:pPr>
      <w:r>
        <w:rPr>
          <w:rFonts w:ascii="Arial" w:cs="Arial" w:eastAsia="Arial" w:hAnsi="Arial"/>
          <w:sz w:val="19"/>
          <w:szCs w:val="19"/>
          <w:color w:val="auto"/>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w:t>
      </w:r>
    </w:p>
    <w:p>
      <w:pPr>
        <w:sectPr>
          <w:pgSz w:w="11880" w:h="15480" w:orient="portrait"/>
          <w:cols w:equalWidth="0" w:num="1">
            <w:col w:w="10200"/>
          </w:cols>
          <w:pgMar w:left="840" w:top="404"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ectPr>
          <w:pgSz w:w="11880" w:h="15480" w:orient="portrait"/>
          <w:cols w:equalWidth="0" w:num="1">
            <w:col w:w="10200"/>
          </w:cols>
          <w:pgMar w:left="840" w:top="404" w:right="840" w:bottom="0" w:gutter="0" w:footer="0" w:header="0"/>
          <w:type w:val="continuous"/>
        </w:sectPr>
      </w:pPr>
    </w:p>
    <w:bookmarkStart w:id="55" w:name="page56"/>
    <w:bookmarkEnd w:id="55"/>
    <w:p>
      <w:pPr>
        <w:jc w:val="both"/>
        <w:ind w:left="4" w:firstLine="448"/>
        <w:spacing w:after="0" w:line="280" w:lineRule="auto"/>
        <w:rPr>
          <w:sz w:val="20"/>
          <w:szCs w:val="20"/>
          <w:color w:val="auto"/>
        </w:rPr>
      </w:pPr>
      <w:r>
        <w:rPr>
          <w:rFonts w:ascii="Arial" w:cs="Arial" w:eastAsia="Arial" w:hAnsi="Arial"/>
          <w:sz w:val="20"/>
          <w:szCs w:val="20"/>
          <w:color w:val="auto"/>
        </w:rPr>
        <w:t>The following table summarizes the credit ratings for the Company and its Senior Notes as of December 31, 2023. The ratings outlook is stable.</w:t>
      </w:r>
    </w:p>
    <w:p>
      <w:pPr>
        <w:spacing w:after="0" w:line="89" w:lineRule="exact"/>
        <w:rPr>
          <w:sz w:val="20"/>
          <w:szCs w:val="20"/>
          <w:color w:val="auto"/>
        </w:rPr>
      </w:pPr>
    </w:p>
    <w:tbl>
      <w:tblPr>
        <w:tblLayout w:type="fixed"/>
        <w:tblInd w:w="4" w:type="dxa"/>
        <w:tblCellMar>
          <w:top w:w="0" w:type="dxa"/>
          <w:left w:w="0" w:type="dxa"/>
          <w:bottom w:w="0" w:type="dxa"/>
          <w:right w:w="0" w:type="dxa"/>
        </w:tblCellMar>
      </w:tblPr>
      <w:tr>
        <w:trPr>
          <w:trHeight w:val="217"/>
        </w:trPr>
        <w:tc>
          <w:tcPr>
            <w:tcW w:w="7400" w:type="dxa"/>
            <w:vAlign w:val="bottom"/>
            <w:tcBorders>
              <w:bottom w:val="single" w:sz="8" w:color="E6E6E6"/>
            </w:tcBorders>
          </w:tcPr>
          <w:p>
            <w:pPr>
              <w:spacing w:after="0"/>
              <w:rPr>
                <w:sz w:val="18"/>
                <w:szCs w:val="18"/>
                <w:color w:val="auto"/>
              </w:rPr>
            </w:pPr>
          </w:p>
        </w:tc>
        <w:tc>
          <w:tcPr>
            <w:tcW w:w="1360" w:type="dxa"/>
            <w:vAlign w:val="bottom"/>
            <w:tcBorders>
              <w:bottom w:val="single" w:sz="8" w:color="auto"/>
            </w:tcBorders>
          </w:tcPr>
          <w:p>
            <w:pPr>
              <w:ind w:left="520"/>
              <w:spacing w:after="0"/>
              <w:rPr>
                <w:sz w:val="20"/>
                <w:szCs w:val="20"/>
                <w:color w:val="auto"/>
              </w:rPr>
            </w:pPr>
            <w:r>
              <w:rPr>
                <w:rFonts w:ascii="Arial" w:cs="Arial" w:eastAsia="Arial" w:hAnsi="Arial"/>
                <w:sz w:val="16"/>
                <w:szCs w:val="16"/>
                <w:b w:val="1"/>
                <w:bCs w:val="1"/>
                <w:color w:val="auto"/>
              </w:rPr>
              <w:t>S&amp;P</w:t>
            </w:r>
          </w:p>
        </w:tc>
        <w:tc>
          <w:tcPr>
            <w:tcW w:w="80" w:type="dxa"/>
            <w:vAlign w:val="bottom"/>
            <w:tcBorders>
              <w:bottom w:val="single" w:sz="8" w:color="E6E6E6"/>
            </w:tcBorders>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Moody’s</w:t>
            </w:r>
          </w:p>
        </w:tc>
        <w:tc>
          <w:tcPr>
            <w:tcW w:w="20" w:type="dxa"/>
            <w:vAlign w:val="bottom"/>
            <w:tcBorders>
              <w:bottom w:val="single" w:sz="8" w:color="E6E6E6"/>
            </w:tcBorders>
          </w:tcPr>
          <w:p>
            <w:pPr>
              <w:spacing w:after="0"/>
              <w:rPr>
                <w:sz w:val="18"/>
                <w:szCs w:val="18"/>
                <w:color w:val="auto"/>
              </w:rPr>
            </w:pPr>
          </w:p>
        </w:tc>
      </w:tr>
      <w:tr>
        <w:trPr>
          <w:trHeight w:val="244"/>
        </w:trPr>
        <w:tc>
          <w:tcPr>
            <w:tcW w:w="7400" w:type="dxa"/>
            <w:vAlign w:val="bottom"/>
            <w:shd w:val="clear" w:color="auto" w:fill="E6E6E6"/>
          </w:tcPr>
          <w:p>
            <w:pPr>
              <w:ind w:left="40"/>
              <w:spacing w:after="0"/>
              <w:rPr>
                <w:sz w:val="20"/>
                <w:szCs w:val="20"/>
                <w:color w:val="auto"/>
              </w:rPr>
            </w:pPr>
            <w:r>
              <w:rPr>
                <w:rFonts w:ascii="Arial" w:cs="Arial" w:eastAsia="Arial" w:hAnsi="Arial"/>
                <w:sz w:val="20"/>
                <w:szCs w:val="20"/>
                <w:color w:val="auto"/>
                <w:w w:val="91"/>
              </w:rPr>
              <w:t xml:space="preserve">Clearway Energy, Inc.  </w:t>
            </w:r>
            <w:r>
              <w:rPr>
                <w:rFonts w:ascii="Arial" w:cs="Arial" w:eastAsia="Arial" w:hAnsi="Arial"/>
                <w:sz w:val="20"/>
                <w:szCs w:val="20"/>
                <w:color w:val="BDBDBD"/>
                <w:w w:val="91"/>
              </w:rPr>
              <w:t>. . . . . . . . . . . . . . . . . . . . . . . . . . . . . . . . . . . . . . . . . . . . . . . . . . . . . .</w:t>
            </w:r>
          </w:p>
        </w:tc>
        <w:tc>
          <w:tcPr>
            <w:tcW w:w="1360" w:type="dxa"/>
            <w:vAlign w:val="bottom"/>
            <w:shd w:val="clear" w:color="auto" w:fill="E6E6E6"/>
          </w:tcPr>
          <w:p>
            <w:pPr>
              <w:ind w:left="540"/>
              <w:spacing w:after="0"/>
              <w:rPr>
                <w:sz w:val="20"/>
                <w:szCs w:val="20"/>
                <w:color w:val="auto"/>
              </w:rPr>
            </w:pPr>
            <w:r>
              <w:rPr>
                <w:rFonts w:ascii="Arial" w:cs="Arial" w:eastAsia="Arial" w:hAnsi="Arial"/>
                <w:sz w:val="20"/>
                <w:szCs w:val="20"/>
                <w:color w:val="auto"/>
              </w:rPr>
              <w:t>BB</w:t>
            </w:r>
          </w:p>
        </w:tc>
        <w:tc>
          <w:tcPr>
            <w:tcW w:w="80" w:type="dxa"/>
            <w:vAlign w:val="bottom"/>
            <w:shd w:val="clear" w:color="auto" w:fill="E6E6E6"/>
          </w:tcPr>
          <w:p>
            <w:pPr>
              <w:spacing w:after="0"/>
              <w:rPr>
                <w:sz w:val="21"/>
                <w:szCs w:val="21"/>
                <w:color w:val="auto"/>
              </w:rPr>
            </w:pPr>
          </w:p>
        </w:tc>
        <w:tc>
          <w:tcPr>
            <w:tcW w:w="1340" w:type="dxa"/>
            <w:vAlign w:val="bottom"/>
            <w:shd w:val="clear" w:color="auto" w:fill="E6E6E6"/>
          </w:tcPr>
          <w:p>
            <w:pPr>
              <w:jc w:val="center"/>
              <w:spacing w:after="0"/>
              <w:rPr>
                <w:sz w:val="20"/>
                <w:szCs w:val="20"/>
                <w:color w:val="auto"/>
              </w:rPr>
            </w:pPr>
            <w:r>
              <w:rPr>
                <w:rFonts w:ascii="Arial" w:cs="Arial" w:eastAsia="Arial" w:hAnsi="Arial"/>
                <w:sz w:val="20"/>
                <w:szCs w:val="20"/>
                <w:color w:val="auto"/>
                <w:w w:val="89"/>
              </w:rPr>
              <w:t>Ba2</w:t>
            </w:r>
          </w:p>
        </w:tc>
        <w:tc>
          <w:tcPr>
            <w:tcW w:w="20" w:type="dxa"/>
            <w:vAlign w:val="bottom"/>
            <w:shd w:val="clear" w:color="auto" w:fill="E6E6E6"/>
          </w:tcPr>
          <w:p>
            <w:pPr>
              <w:spacing w:after="0"/>
              <w:rPr>
                <w:sz w:val="21"/>
                <w:szCs w:val="21"/>
                <w:color w:val="auto"/>
              </w:rPr>
            </w:pPr>
          </w:p>
        </w:tc>
      </w:tr>
      <w:tr>
        <w:trPr>
          <w:trHeight w:val="254"/>
        </w:trPr>
        <w:tc>
          <w:tcPr>
            <w:tcW w:w="7400" w:type="dxa"/>
            <w:vAlign w:val="bottom"/>
          </w:tcPr>
          <w:p>
            <w:pPr>
              <w:ind w:left="40"/>
              <w:spacing w:after="0"/>
              <w:rPr>
                <w:sz w:val="20"/>
                <w:szCs w:val="20"/>
                <w:color w:val="auto"/>
              </w:rPr>
            </w:pPr>
            <w:r>
              <w:rPr>
                <w:rFonts w:ascii="Arial" w:cs="Arial" w:eastAsia="Arial" w:hAnsi="Arial"/>
                <w:sz w:val="20"/>
                <w:szCs w:val="20"/>
                <w:color w:val="auto"/>
                <w:w w:val="90"/>
              </w:rPr>
              <w:t xml:space="preserve">4.750% Senior Notes, due 2028  </w:t>
            </w:r>
            <w:r>
              <w:rPr>
                <w:rFonts w:ascii="Arial" w:cs="Arial" w:eastAsia="Arial" w:hAnsi="Arial"/>
                <w:sz w:val="20"/>
                <w:szCs w:val="20"/>
                <w:color w:val="BDBDBD"/>
                <w:w w:val="90"/>
              </w:rPr>
              <w:t>. . . . . . . . . . . . . . . . . . . . . . . . . . . . . . . . . . . . . . . . . . . . . . .</w:t>
            </w:r>
          </w:p>
        </w:tc>
        <w:tc>
          <w:tcPr>
            <w:tcW w:w="1360" w:type="dxa"/>
            <w:vAlign w:val="bottom"/>
          </w:tcPr>
          <w:p>
            <w:pPr>
              <w:ind w:left="540"/>
              <w:spacing w:after="0"/>
              <w:rPr>
                <w:sz w:val="20"/>
                <w:szCs w:val="20"/>
                <w:color w:val="auto"/>
              </w:rPr>
            </w:pPr>
            <w:r>
              <w:rPr>
                <w:rFonts w:ascii="Arial" w:cs="Arial" w:eastAsia="Arial" w:hAnsi="Arial"/>
                <w:sz w:val="20"/>
                <w:szCs w:val="20"/>
                <w:color w:val="auto"/>
              </w:rPr>
              <w:t>BB</w:t>
            </w:r>
          </w:p>
        </w:tc>
        <w:tc>
          <w:tcPr>
            <w:tcW w:w="8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20"/>
                <w:szCs w:val="20"/>
                <w:color w:val="auto"/>
                <w:w w:val="89"/>
              </w:rPr>
              <w:t>Ba2</w:t>
            </w:r>
          </w:p>
        </w:tc>
        <w:tc>
          <w:tcPr>
            <w:tcW w:w="20" w:type="dxa"/>
            <w:vAlign w:val="bottom"/>
          </w:tcPr>
          <w:p>
            <w:pPr>
              <w:spacing w:after="0"/>
              <w:rPr>
                <w:sz w:val="22"/>
                <w:szCs w:val="22"/>
                <w:color w:val="auto"/>
              </w:rPr>
            </w:pPr>
          </w:p>
        </w:tc>
      </w:tr>
      <w:tr>
        <w:trPr>
          <w:trHeight w:val="254"/>
        </w:trPr>
        <w:tc>
          <w:tcPr>
            <w:tcW w:w="7400" w:type="dxa"/>
            <w:vAlign w:val="bottom"/>
            <w:shd w:val="clear" w:color="auto" w:fill="E6E6E6"/>
          </w:tcPr>
          <w:p>
            <w:pPr>
              <w:ind w:left="40"/>
              <w:spacing w:after="0"/>
              <w:rPr>
                <w:sz w:val="20"/>
                <w:szCs w:val="20"/>
                <w:color w:val="auto"/>
              </w:rPr>
            </w:pPr>
            <w:r>
              <w:rPr>
                <w:rFonts w:ascii="Arial" w:cs="Arial" w:eastAsia="Arial" w:hAnsi="Arial"/>
                <w:sz w:val="20"/>
                <w:szCs w:val="20"/>
                <w:color w:val="auto"/>
                <w:w w:val="90"/>
              </w:rPr>
              <w:t xml:space="preserve">3.750% Senior Notes, due 2031  </w:t>
            </w:r>
            <w:r>
              <w:rPr>
                <w:rFonts w:ascii="Arial" w:cs="Arial" w:eastAsia="Arial" w:hAnsi="Arial"/>
                <w:sz w:val="20"/>
                <w:szCs w:val="20"/>
                <w:color w:val="BDBDBD"/>
                <w:w w:val="90"/>
              </w:rPr>
              <w:t>. . . . . . . . . . . . . . . . . . . . . . . . . . . . . . . . . . . . . . . . . . . . . . .</w:t>
            </w:r>
          </w:p>
        </w:tc>
        <w:tc>
          <w:tcPr>
            <w:tcW w:w="1360" w:type="dxa"/>
            <w:vAlign w:val="bottom"/>
            <w:shd w:val="clear" w:color="auto" w:fill="E6E6E6"/>
          </w:tcPr>
          <w:p>
            <w:pPr>
              <w:ind w:left="540"/>
              <w:spacing w:after="0"/>
              <w:rPr>
                <w:sz w:val="20"/>
                <w:szCs w:val="20"/>
                <w:color w:val="auto"/>
              </w:rPr>
            </w:pPr>
            <w:r>
              <w:rPr>
                <w:rFonts w:ascii="Arial" w:cs="Arial" w:eastAsia="Arial" w:hAnsi="Arial"/>
                <w:sz w:val="20"/>
                <w:szCs w:val="20"/>
                <w:color w:val="auto"/>
              </w:rPr>
              <w:t>BB</w:t>
            </w:r>
          </w:p>
        </w:tc>
        <w:tc>
          <w:tcPr>
            <w:tcW w:w="80" w:type="dxa"/>
            <w:vAlign w:val="bottom"/>
            <w:shd w:val="clear" w:color="auto" w:fill="E6E6E6"/>
          </w:tcPr>
          <w:p>
            <w:pPr>
              <w:spacing w:after="0"/>
              <w:rPr>
                <w:sz w:val="22"/>
                <w:szCs w:val="22"/>
                <w:color w:val="auto"/>
              </w:rPr>
            </w:pPr>
          </w:p>
        </w:tc>
        <w:tc>
          <w:tcPr>
            <w:tcW w:w="1340" w:type="dxa"/>
            <w:vAlign w:val="bottom"/>
            <w:shd w:val="clear" w:color="auto" w:fill="E6E6E6"/>
          </w:tcPr>
          <w:p>
            <w:pPr>
              <w:jc w:val="center"/>
              <w:spacing w:after="0"/>
              <w:rPr>
                <w:sz w:val="20"/>
                <w:szCs w:val="20"/>
                <w:color w:val="auto"/>
              </w:rPr>
            </w:pPr>
            <w:r>
              <w:rPr>
                <w:rFonts w:ascii="Arial" w:cs="Arial" w:eastAsia="Arial" w:hAnsi="Arial"/>
                <w:sz w:val="20"/>
                <w:szCs w:val="20"/>
                <w:color w:val="auto"/>
                <w:w w:val="89"/>
              </w:rPr>
              <w:t>Ba2</w:t>
            </w:r>
          </w:p>
        </w:tc>
        <w:tc>
          <w:tcPr>
            <w:tcW w:w="20" w:type="dxa"/>
            <w:vAlign w:val="bottom"/>
            <w:shd w:val="clear" w:color="auto" w:fill="E6E6E6"/>
          </w:tcPr>
          <w:p>
            <w:pPr>
              <w:spacing w:after="0"/>
              <w:rPr>
                <w:sz w:val="22"/>
                <w:szCs w:val="22"/>
                <w:color w:val="auto"/>
              </w:rPr>
            </w:pPr>
          </w:p>
        </w:tc>
      </w:tr>
      <w:tr>
        <w:trPr>
          <w:trHeight w:val="260"/>
        </w:trPr>
        <w:tc>
          <w:tcPr>
            <w:tcW w:w="7400" w:type="dxa"/>
            <w:vAlign w:val="bottom"/>
          </w:tcPr>
          <w:p>
            <w:pPr>
              <w:ind w:left="40"/>
              <w:spacing w:after="0"/>
              <w:rPr>
                <w:sz w:val="20"/>
                <w:szCs w:val="20"/>
                <w:color w:val="auto"/>
              </w:rPr>
            </w:pPr>
            <w:r>
              <w:rPr>
                <w:rFonts w:ascii="Arial" w:cs="Arial" w:eastAsia="Arial" w:hAnsi="Arial"/>
                <w:sz w:val="20"/>
                <w:szCs w:val="20"/>
                <w:color w:val="auto"/>
                <w:w w:val="90"/>
              </w:rPr>
              <w:t xml:space="preserve">3.750% Senior Notes, due 2032  </w:t>
            </w:r>
            <w:r>
              <w:rPr>
                <w:rFonts w:ascii="Arial" w:cs="Arial" w:eastAsia="Arial" w:hAnsi="Arial"/>
                <w:sz w:val="20"/>
                <w:szCs w:val="20"/>
                <w:color w:val="BDBDBD"/>
                <w:w w:val="90"/>
              </w:rPr>
              <w:t>. . . . . . . . . . . . . . . . . . . . . . . . . . . . . . . . . . . . . . . . . . . . . . .</w:t>
            </w:r>
          </w:p>
        </w:tc>
        <w:tc>
          <w:tcPr>
            <w:tcW w:w="1360" w:type="dxa"/>
            <w:vAlign w:val="bottom"/>
          </w:tcPr>
          <w:p>
            <w:pPr>
              <w:ind w:left="540"/>
              <w:spacing w:after="0"/>
              <w:rPr>
                <w:sz w:val="20"/>
                <w:szCs w:val="20"/>
                <w:color w:val="auto"/>
              </w:rPr>
            </w:pPr>
            <w:r>
              <w:rPr>
                <w:rFonts w:ascii="Arial" w:cs="Arial" w:eastAsia="Arial" w:hAnsi="Arial"/>
                <w:sz w:val="20"/>
                <w:szCs w:val="20"/>
                <w:color w:val="auto"/>
              </w:rPr>
              <w:t>BB</w:t>
            </w:r>
          </w:p>
        </w:tc>
        <w:tc>
          <w:tcPr>
            <w:tcW w:w="8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20"/>
                <w:szCs w:val="20"/>
                <w:color w:val="auto"/>
                <w:w w:val="89"/>
              </w:rPr>
              <w:t>Ba2</w:t>
            </w:r>
          </w:p>
        </w:tc>
        <w:tc>
          <w:tcPr>
            <w:tcW w:w="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5598160</wp:posOffset>
            </wp:positionH>
            <wp:positionV relativeFrom="paragraph">
              <wp:posOffset>-661035</wp:posOffset>
            </wp:positionV>
            <wp:extent cx="887730" cy="6699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57">
                      <a:extLst>
                        <a:ext uri="{28A0092B-C50C-407E-A947-70E740481C1C}"/>
                      </a:extLst>
                    </a:blip>
                    <a:srcRect/>
                    <a:stretch>
                      <a:fillRect/>
                    </a:stretch>
                  </pic:blipFill>
                  <pic:spPr bwMode="auto">
                    <a:xfrm>
                      <a:off x="0" y="0"/>
                      <a:ext cx="887730" cy="669925"/>
                    </a:xfrm>
                    <a:prstGeom prst="rect">
                      <a:avLst/>
                    </a:prstGeom>
                    <a:noFill/>
                  </pic:spPr>
                </pic:pic>
              </a:graphicData>
            </a:graphic>
          </wp:anchor>
        </w:drawing>
      </w:r>
    </w:p>
    <w:p>
      <w:pPr>
        <w:spacing w:after="0" w:line="181" w:lineRule="exact"/>
        <w:rPr>
          <w:sz w:val="20"/>
          <w:szCs w:val="20"/>
          <w:color w:val="auto"/>
        </w:rPr>
      </w:pPr>
    </w:p>
    <w:p>
      <w:pPr>
        <w:ind w:left="4"/>
        <w:spacing w:after="0"/>
        <w:rPr>
          <w:sz w:val="20"/>
          <w:szCs w:val="20"/>
          <w:color w:val="auto"/>
        </w:rPr>
      </w:pPr>
      <w:r>
        <w:rPr>
          <w:rFonts w:ascii="Arial" w:cs="Arial" w:eastAsia="Arial" w:hAnsi="Arial"/>
          <w:sz w:val="20"/>
          <w:szCs w:val="20"/>
          <w:b w:val="1"/>
          <w:bCs w:val="1"/>
          <w:i w:val="1"/>
          <w:iCs w:val="1"/>
          <w:color w:val="auto"/>
        </w:rPr>
        <w:t>Sources of Liquidity</w:t>
      </w:r>
    </w:p>
    <w:p>
      <w:pPr>
        <w:spacing w:after="0" w:line="196" w:lineRule="exact"/>
        <w:rPr>
          <w:sz w:val="20"/>
          <w:szCs w:val="20"/>
          <w:color w:val="auto"/>
        </w:rPr>
      </w:pPr>
    </w:p>
    <w:p>
      <w:pPr>
        <w:jc w:val="both"/>
        <w:ind w:left="4" w:firstLine="448"/>
        <w:spacing w:after="0" w:line="257" w:lineRule="auto"/>
        <w:rPr>
          <w:sz w:val="20"/>
          <w:szCs w:val="20"/>
          <w:color w:val="auto"/>
        </w:rPr>
      </w:pPr>
      <w:r>
        <w:rPr>
          <w:rFonts w:ascii="Arial" w:cs="Arial" w:eastAsia="Arial" w:hAnsi="Arial"/>
          <w:sz w:val="20"/>
          <w:szCs w:val="20"/>
          <w:color w:val="auto"/>
        </w:rPr>
        <w:t xml:space="preserve">The Company’s principal sources of liquidity include cash on hand, cash generated from operations, proceeds from sales of assets, borrowings under new and existing financing arrangements and the issuance of additional equity and debt securities as appropriate given market conditions. As described in Item 15 — Note 10, </w:t>
      </w:r>
      <w:r>
        <w:rPr>
          <w:rFonts w:ascii="Arial" w:cs="Arial" w:eastAsia="Arial" w:hAnsi="Arial"/>
          <w:sz w:val="20"/>
          <w:szCs w:val="20"/>
          <w:b w:val="1"/>
          <w:bCs w:val="1"/>
          <w:i w:val="1"/>
          <w:iCs w:val="1"/>
          <w:color w:val="auto"/>
        </w:rPr>
        <w:t>Long-term Debt</w:t>
      </w:r>
      <w:r>
        <w:rPr>
          <w:rFonts w:ascii="Arial" w:cs="Arial" w:eastAsia="Arial" w:hAnsi="Arial"/>
          <w:sz w:val="20"/>
          <w:szCs w:val="20"/>
          <w:color w:val="auto"/>
        </w:rPr>
        <w:t>, the Company’s financing arrangements consist of corporate level debt, which includes Senior Notes and the revolving credit facility; the ATM Program; and project-level financings for its various assets.</w:t>
      </w:r>
    </w:p>
    <w:p>
      <w:pPr>
        <w:spacing w:after="0" w:line="139" w:lineRule="exact"/>
        <w:rPr>
          <w:sz w:val="20"/>
          <w:szCs w:val="20"/>
          <w:color w:val="auto"/>
        </w:rPr>
      </w:pPr>
    </w:p>
    <w:p>
      <w:pPr>
        <w:jc w:val="both"/>
        <w:ind w:left="4" w:firstLine="448"/>
        <w:spacing w:after="0" w:line="272" w:lineRule="auto"/>
        <w:rPr>
          <w:sz w:val="20"/>
          <w:szCs w:val="20"/>
          <w:color w:val="auto"/>
        </w:rPr>
      </w:pPr>
      <w:r>
        <w:rPr>
          <w:rFonts w:ascii="Arial" w:cs="Arial" w:eastAsia="Arial" w:hAnsi="Arial"/>
          <w:sz w:val="19"/>
          <w:szCs w:val="19"/>
          <w:b w:val="1"/>
          <w:bCs w:val="1"/>
          <w:i w:val="1"/>
          <w:iCs w:val="1"/>
          <w:color w:val="auto"/>
        </w:rPr>
        <w:t xml:space="preserve">Cedro Hill Repowering Financing </w:t>
      </w:r>
      <w:r>
        <w:rPr>
          <w:rFonts w:ascii="Arial" w:cs="Arial" w:eastAsia="Arial" w:hAnsi="Arial"/>
          <w:sz w:val="19"/>
          <w:szCs w:val="19"/>
          <w:color w:val="auto"/>
        </w:rPr>
        <w:t>— On December 12, 2023, the Company entered into a financing agreement for non-recourse debt for a total commitment of $254 million related to the repowering of the Cedro Hill wind project. The Company’s initial borrowing of $165 million was utilized to repay the $72 million of outstanding principal under the original financing agreement, to pay $55 million to Clearway Renew for the future delivery of equipment, to pay $27 million to a third party for the future delivery of equipment, to pay a $4 million development services fee to Clearway Renew, to pay for $4 million in debt issuance costs that were deferred and to pay for $3 million in capital expenditures.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20"/>
          <w:szCs w:val="20"/>
          <w:b w:val="1"/>
          <w:bCs w:val="1"/>
          <w:i w:val="1"/>
          <w:iCs w:val="1"/>
          <w:color w:val="auto"/>
        </w:rPr>
        <w:t>Uses of Liquidity</w:t>
      </w:r>
    </w:p>
    <w:p>
      <w:pPr>
        <w:spacing w:after="0" w:line="19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Company’s requirements for liquidity and capital resources, other than for operating its facilities, are categorized as:</w:t>
      </w:r>
    </w:p>
    <w:p>
      <w:pPr>
        <w:spacing w:after="0" w:line="29" w:lineRule="exact"/>
        <w:rPr>
          <w:sz w:val="20"/>
          <w:szCs w:val="20"/>
          <w:color w:val="auto"/>
        </w:rPr>
      </w:pPr>
    </w:p>
    <w:p>
      <w:pPr>
        <w:jc w:val="both"/>
        <w:ind w:left="4" w:hanging="4"/>
        <w:spacing w:after="0" w:line="260" w:lineRule="auto"/>
        <w:tabs>
          <w:tab w:leader="none" w:pos="252" w:val="left"/>
        </w:tabs>
        <w:numPr>
          <w:ilvl w:val="0"/>
          <w:numId w:val="38"/>
        </w:numPr>
        <w:rPr>
          <w:rFonts w:ascii="Arial" w:cs="Arial" w:eastAsia="Arial" w:hAnsi="Arial"/>
          <w:sz w:val="20"/>
          <w:szCs w:val="20"/>
          <w:color w:val="auto"/>
        </w:rPr>
      </w:pPr>
      <w:r>
        <w:rPr>
          <w:rFonts w:ascii="Arial" w:cs="Arial" w:eastAsia="Arial" w:hAnsi="Arial"/>
          <w:sz w:val="20"/>
          <w:szCs w:val="20"/>
          <w:color w:val="auto"/>
        </w:rPr>
        <w:t xml:space="preserve">debt service obligations, as described more fully in Item 15 — Note 10, </w:t>
      </w:r>
      <w:r>
        <w:rPr>
          <w:rFonts w:ascii="Arial" w:cs="Arial" w:eastAsia="Arial" w:hAnsi="Arial"/>
          <w:sz w:val="20"/>
          <w:szCs w:val="20"/>
          <w:b w:val="1"/>
          <w:bCs w:val="1"/>
          <w:i w:val="1"/>
          <w:iCs w:val="1"/>
          <w:color w:val="auto"/>
        </w:rPr>
        <w:t>Long-term Debt</w:t>
      </w:r>
      <w:r>
        <w:rPr>
          <w:rFonts w:ascii="Arial" w:cs="Arial" w:eastAsia="Arial" w:hAnsi="Arial"/>
          <w:sz w:val="20"/>
          <w:szCs w:val="20"/>
          <w:color w:val="auto"/>
        </w:rPr>
        <w:t xml:space="preserve">; (ii) capital expenditures; (iii) off-balance sheet arrangements; (iv) acquisitions and investments, as described more fully in Item 15 — Note 3, </w:t>
      </w:r>
      <w:r>
        <w:rPr>
          <w:rFonts w:ascii="Arial" w:cs="Arial" w:eastAsia="Arial" w:hAnsi="Arial"/>
          <w:sz w:val="20"/>
          <w:szCs w:val="20"/>
          <w:b w:val="1"/>
          <w:bCs w:val="1"/>
          <w:i w:val="1"/>
          <w:iCs w:val="1"/>
          <w:color w:val="auto"/>
        </w:rPr>
        <w:t>Acquisitions and</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 xml:space="preserve">Dispositions </w:t>
      </w:r>
      <w:r>
        <w:rPr>
          <w:rFonts w:ascii="Arial" w:cs="Arial" w:eastAsia="Arial" w:hAnsi="Arial"/>
          <w:sz w:val="20"/>
          <w:szCs w:val="20"/>
          <w:color w:val="auto"/>
        </w:rPr>
        <w:t>and Note 5,</w:t>
      </w:r>
      <w:r>
        <w:rPr>
          <w:rFonts w:ascii="Arial" w:cs="Arial" w:eastAsia="Arial" w:hAnsi="Arial"/>
          <w:sz w:val="20"/>
          <w:szCs w:val="20"/>
          <w:b w:val="1"/>
          <w:bCs w:val="1"/>
          <w:i w:val="1"/>
          <w:iCs w:val="1"/>
          <w:color w:val="auto"/>
        </w:rPr>
        <w:t xml:space="preserve"> Investments Accounted for by the Equity Method and Variable Interest Entities</w:t>
      </w:r>
      <w:r>
        <w:rPr>
          <w:rFonts w:ascii="Arial" w:cs="Arial" w:eastAsia="Arial" w:hAnsi="Arial"/>
          <w:sz w:val="20"/>
          <w:szCs w:val="20"/>
          <w:color w:val="auto"/>
        </w:rPr>
        <w:t>; and (v) cash dividends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to investors.</w:t>
      </w:r>
    </w:p>
    <w:p>
      <w:pPr>
        <w:sectPr>
          <w:pgSz w:w="11880" w:h="15480" w:orient="portrait"/>
          <w:cols w:equalWidth="0" w:num="1">
            <w:col w:w="10204"/>
          </w:cols>
          <w:pgMar w:left="836" w:top="411"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
        <w:spacing w:after="0"/>
        <w:rPr>
          <w:sz w:val="20"/>
          <w:szCs w:val="20"/>
          <w:color w:val="auto"/>
        </w:rPr>
      </w:pPr>
      <w:r>
        <w:rPr>
          <w:rFonts w:ascii="Arial" w:cs="Arial" w:eastAsia="Arial" w:hAnsi="Arial"/>
          <w:sz w:val="17"/>
          <w:szCs w:val="17"/>
          <w:color w:val="auto"/>
        </w:rPr>
        <w:t>54</w:t>
      </w:r>
    </w:p>
    <w:p>
      <w:pPr>
        <w:sectPr>
          <w:pgSz w:w="11880" w:h="15480" w:orient="portrait"/>
          <w:cols w:equalWidth="0" w:num="1">
            <w:col w:w="10204"/>
          </w:cols>
          <w:pgMar w:left="836" w:top="411" w:right="840" w:bottom="0" w:gutter="0" w:footer="0" w:header="0"/>
          <w:type w:val="continuous"/>
        </w:sectPr>
      </w:pPr>
    </w:p>
    <w:bookmarkStart w:id="56" w:name="page57"/>
    <w:bookmarkEnd w:id="56"/>
    <w:p>
      <w:pPr>
        <w:ind w:left="440"/>
        <w:spacing w:after="0"/>
        <w:rPr>
          <w:sz w:val="20"/>
          <w:szCs w:val="20"/>
          <w:color w:val="auto"/>
        </w:rPr>
      </w:pPr>
      <w:r>
        <w:rPr>
          <w:rFonts w:ascii="Arial" w:cs="Arial" w:eastAsia="Arial" w:hAnsi="Arial"/>
          <w:sz w:val="20"/>
          <w:szCs w:val="20"/>
          <w:b w:val="1"/>
          <w:bCs w:val="1"/>
          <w:i w:val="1"/>
          <w:iCs w:val="1"/>
          <w:color w:val="auto"/>
        </w:rPr>
        <w:t>Debt Service Obligations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20"/>
          <w:szCs w:val="20"/>
          <w:color w:val="auto"/>
        </w:rPr>
        <w:t>Principal payments on debt as of December 31, 2023, are due in the following periods: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4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Description</w:t>
            </w:r>
          </w:p>
        </w:tc>
        <w:tc>
          <w:tcPr>
            <w:tcW w:w="180" w:type="dxa"/>
            <w:vAlign w:val="bottom"/>
          </w:tcPr>
          <w:p>
            <w:pPr>
              <w:spacing w:after="0"/>
              <w:rPr>
                <w:sz w:val="17"/>
                <w:szCs w:val="17"/>
                <w:color w:val="auto"/>
              </w:rPr>
            </w:pPr>
          </w:p>
        </w:tc>
        <w:tc>
          <w:tcPr>
            <w:tcW w:w="56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89"/>
              </w:rPr>
              <w:t>2024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84"/>
              </w:rPr>
              <w:t>2025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84"/>
              </w:rPr>
              <w:t>2026</w:t>
            </w:r>
          </w:p>
        </w:tc>
        <w:tc>
          <w:tcPr>
            <w:tcW w:w="680" w:type="dxa"/>
            <w:vAlign w:val="bottom"/>
            <w:gridSpan w:val="3"/>
            <w:vMerge w:val="restart"/>
          </w:tcPr>
          <w:p>
            <w:pPr>
              <w:jc w:val="right"/>
              <w:ind w:right="30"/>
              <w:spacing w:after="0"/>
              <w:rPr>
                <w:sz w:val="20"/>
                <w:szCs w:val="20"/>
                <w:color w:val="auto"/>
              </w:rPr>
            </w:pPr>
            <w:r>
              <w:rPr>
                <w:rFonts w:ascii="Arial" w:cs="Arial" w:eastAsia="Arial" w:hAnsi="Arial"/>
                <w:sz w:val="18"/>
                <w:szCs w:val="18"/>
                <w:b w:val="1"/>
                <w:bCs w:val="1"/>
                <w:color w:val="auto"/>
              </w:rPr>
              <w:t>2027</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84"/>
              </w:rPr>
              <w:t>2028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There-</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47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130"/>
              <w:spacing w:after="0" w:line="194" w:lineRule="exact"/>
              <w:rPr>
                <w:sz w:val="20"/>
                <w:szCs w:val="20"/>
                <w:color w:val="auto"/>
              </w:rPr>
            </w:pPr>
            <w:r>
              <w:rPr>
                <w:rFonts w:ascii="Arial" w:cs="Arial" w:eastAsia="Arial" w:hAnsi="Arial"/>
                <w:sz w:val="18"/>
                <w:szCs w:val="18"/>
                <w:b w:val="1"/>
                <w:bCs w:val="1"/>
                <w:color w:val="auto"/>
              </w:rPr>
              <w:t>after</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38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20" w:type="dxa"/>
            <w:vAlign w:val="bottom"/>
            <w:gridSpan w:val="7"/>
          </w:tcPr>
          <w:p>
            <w:pPr>
              <w:jc w:val="right"/>
              <w:ind w:right="370"/>
              <w:spacing w:after="0"/>
              <w:rPr>
                <w:sz w:val="20"/>
                <w:szCs w:val="20"/>
                <w:color w:val="auto"/>
              </w:rPr>
            </w:pPr>
            <w:r>
              <w:rPr>
                <w:rFonts w:ascii="Arial" w:cs="Arial" w:eastAsia="Arial" w:hAnsi="Arial"/>
                <w:sz w:val="18"/>
                <w:szCs w:val="18"/>
                <w:b w:val="1"/>
                <w:bCs w:val="1"/>
                <w:color w:val="auto"/>
                <w:w w:val="93"/>
              </w:rPr>
              <w:t>(In millions)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E6E6E6"/>
          </w:tcPr>
          <w:p>
            <w:pPr>
              <w:spacing w:after="0"/>
              <w:rPr>
                <w:sz w:val="22"/>
                <w:szCs w:val="22"/>
                <w:color w:val="auto"/>
              </w:rPr>
            </w:pPr>
          </w:p>
        </w:tc>
        <w:tc>
          <w:tcPr>
            <w:tcW w:w="4740" w:type="dxa"/>
            <w:vAlign w:val="bottom"/>
            <w:gridSpan w:val="2"/>
            <w:shd w:val="clear" w:color="auto" w:fill="E6E6E6"/>
          </w:tcPr>
          <w:p>
            <w:pPr>
              <w:spacing w:after="0"/>
              <w:rPr>
                <w:sz w:val="20"/>
                <w:szCs w:val="20"/>
                <w:color w:val="auto"/>
              </w:rPr>
            </w:pPr>
            <w:r>
              <w:rPr>
                <w:rFonts w:ascii="Arial" w:cs="Arial" w:eastAsia="Arial" w:hAnsi="Arial"/>
                <w:sz w:val="18"/>
                <w:szCs w:val="18"/>
                <w:b w:val="1"/>
                <w:bCs w:val="1"/>
                <w:color w:val="auto"/>
              </w:rPr>
              <w:t>Corporate-level debt:</w:t>
            </w:r>
          </w:p>
        </w:tc>
        <w:tc>
          <w:tcPr>
            <w:tcW w:w="180" w:type="dxa"/>
            <w:vAlign w:val="bottom"/>
            <w:shd w:val="clear" w:color="auto" w:fill="E6E6E6"/>
          </w:tcPr>
          <w:p>
            <w:pPr>
              <w:spacing w:after="0"/>
              <w:rPr>
                <w:sz w:val="22"/>
                <w:szCs w:val="22"/>
                <w:color w:val="auto"/>
              </w:rPr>
            </w:pPr>
          </w:p>
        </w:tc>
        <w:tc>
          <w:tcPr>
            <w:tcW w:w="56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52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50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40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52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120" w:type="dxa"/>
            <w:vAlign w:val="bottom"/>
            <w:shd w:val="clear" w:color="auto" w:fill="E6E6E6"/>
          </w:tcPr>
          <w:p>
            <w:pPr>
              <w:spacing w:after="0"/>
              <w:rPr>
                <w:sz w:val="22"/>
                <w:szCs w:val="22"/>
                <w:color w:val="auto"/>
              </w:rPr>
            </w:pPr>
          </w:p>
        </w:tc>
        <w:tc>
          <w:tcPr>
            <w:tcW w:w="68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60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w w:val="91"/>
              </w:rPr>
              <w:t xml:space="preserve">Clearway Energy Operating LLC Senior Notes, due 2028 </w:t>
            </w:r>
            <w:r>
              <w:rPr>
                <w:rFonts w:ascii="Arial" w:cs="Arial" w:eastAsia="Arial" w:hAnsi="Arial"/>
                <w:sz w:val="18"/>
                <w:szCs w:val="18"/>
                <w:color w:val="BDBDBD"/>
                <w:w w:val="91"/>
              </w:rPr>
              <w:t>. . . . . .</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850</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Borders>
              <w:bottom w:val="single" w:sz="8" w:color="E6E6E6"/>
            </w:tcBorders>
            <w:shd w:val="clear" w:color="auto" w:fill="E6E6E6"/>
          </w:tcPr>
          <w:p>
            <w:pPr>
              <w:spacing w:after="0"/>
              <w:rPr>
                <w:sz w:val="22"/>
                <w:szCs w:val="22"/>
                <w:color w:val="auto"/>
              </w:rPr>
            </w:pPr>
          </w:p>
        </w:tc>
        <w:tc>
          <w:tcPr>
            <w:tcW w:w="4740" w:type="dxa"/>
            <w:vAlign w:val="bottom"/>
            <w:tcBorders>
              <w:bottom w:val="single" w:sz="8" w:color="E6E6E6"/>
            </w:tcBorders>
            <w:gridSpan w:val="2"/>
            <w:shd w:val="clear" w:color="auto" w:fill="E6E6E6"/>
          </w:tcPr>
          <w:p>
            <w:pPr>
              <w:spacing w:after="0"/>
              <w:rPr>
                <w:sz w:val="20"/>
                <w:szCs w:val="20"/>
                <w:color w:val="auto"/>
              </w:rPr>
            </w:pPr>
            <w:r>
              <w:rPr>
                <w:rFonts w:ascii="Arial" w:cs="Arial" w:eastAsia="Arial" w:hAnsi="Arial"/>
                <w:sz w:val="18"/>
                <w:szCs w:val="18"/>
                <w:color w:val="auto"/>
                <w:w w:val="91"/>
              </w:rPr>
              <w:t xml:space="preserve">Clearway Energy Operating LLC Senior Notes, due 2031 </w:t>
            </w:r>
            <w:r>
              <w:rPr>
                <w:rFonts w:ascii="Arial" w:cs="Arial" w:eastAsia="Arial" w:hAnsi="Arial"/>
                <w:sz w:val="18"/>
                <w:szCs w:val="18"/>
                <w:color w:val="BDBDBD"/>
                <w:w w:val="91"/>
              </w:rPr>
              <w:t>. . . . . .</w:t>
            </w:r>
          </w:p>
        </w:tc>
        <w:tc>
          <w:tcPr>
            <w:tcW w:w="180" w:type="dxa"/>
            <w:vAlign w:val="bottom"/>
            <w:tcBorders>
              <w:bottom w:val="single" w:sz="8" w:color="E6E6E6"/>
            </w:tcBorders>
            <w:shd w:val="clear" w:color="auto" w:fill="E6E6E6"/>
          </w:tcPr>
          <w:p>
            <w:pPr>
              <w:spacing w:after="0"/>
              <w:rPr>
                <w:sz w:val="22"/>
                <w:szCs w:val="22"/>
                <w:color w:val="auto"/>
              </w:rPr>
            </w:pPr>
          </w:p>
        </w:tc>
        <w:tc>
          <w:tcPr>
            <w:tcW w:w="5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6E6E6"/>
            </w:tcBorders>
            <w:shd w:val="clear" w:color="auto" w:fill="E6E6E6"/>
          </w:tcPr>
          <w:p>
            <w:pPr>
              <w:spacing w:after="0"/>
              <w:rPr>
                <w:sz w:val="22"/>
                <w:szCs w:val="22"/>
                <w:color w:val="auto"/>
              </w:rPr>
            </w:pPr>
          </w:p>
        </w:tc>
        <w:tc>
          <w:tcPr>
            <w:tcW w:w="140" w:type="dxa"/>
            <w:vAlign w:val="bottom"/>
            <w:tcBorders>
              <w:bottom w:val="single" w:sz="8" w:color="E6E6E6"/>
            </w:tcBorders>
            <w:shd w:val="clear" w:color="auto" w:fill="E6E6E6"/>
          </w:tcPr>
          <w:p>
            <w:pPr>
              <w:spacing w:after="0"/>
              <w:rPr>
                <w:sz w:val="22"/>
                <w:szCs w:val="22"/>
                <w:color w:val="auto"/>
              </w:rPr>
            </w:pPr>
          </w:p>
        </w:tc>
        <w:tc>
          <w:tcPr>
            <w:tcW w:w="5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6E6E6"/>
            </w:tcBorders>
            <w:shd w:val="clear" w:color="auto" w:fill="E6E6E6"/>
          </w:tcPr>
          <w:p>
            <w:pPr>
              <w:spacing w:after="0"/>
              <w:rPr>
                <w:sz w:val="22"/>
                <w:szCs w:val="22"/>
                <w:color w:val="auto"/>
              </w:rPr>
            </w:pPr>
          </w:p>
        </w:tc>
        <w:tc>
          <w:tcPr>
            <w:tcW w:w="140" w:type="dxa"/>
            <w:vAlign w:val="bottom"/>
            <w:tcBorders>
              <w:bottom w:val="single" w:sz="8" w:color="E6E6E6"/>
            </w:tcBorders>
            <w:shd w:val="clear" w:color="auto" w:fill="E6E6E6"/>
          </w:tcPr>
          <w:p>
            <w:pPr>
              <w:spacing w:after="0"/>
              <w:rPr>
                <w:sz w:val="22"/>
                <w:szCs w:val="22"/>
                <w:color w:val="auto"/>
              </w:rPr>
            </w:pPr>
          </w:p>
        </w:tc>
        <w:tc>
          <w:tcPr>
            <w:tcW w:w="5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6E6E6"/>
            </w:tcBorders>
            <w:shd w:val="clear" w:color="auto" w:fill="E6E6E6"/>
          </w:tcPr>
          <w:p>
            <w:pPr>
              <w:spacing w:after="0"/>
              <w:rPr>
                <w:sz w:val="22"/>
                <w:szCs w:val="22"/>
                <w:color w:val="auto"/>
              </w:rPr>
            </w:pPr>
          </w:p>
        </w:tc>
        <w:tc>
          <w:tcPr>
            <w:tcW w:w="200" w:type="dxa"/>
            <w:vAlign w:val="bottom"/>
            <w:tcBorders>
              <w:bottom w:val="single" w:sz="8" w:color="E6E6E6"/>
            </w:tcBorders>
            <w:shd w:val="clear" w:color="auto" w:fill="E6E6E6"/>
          </w:tcPr>
          <w:p>
            <w:pPr>
              <w:spacing w:after="0"/>
              <w:rPr>
                <w:sz w:val="22"/>
                <w:szCs w:val="22"/>
                <w:color w:val="auto"/>
              </w:rPr>
            </w:pPr>
          </w:p>
        </w:tc>
        <w:tc>
          <w:tcPr>
            <w:tcW w:w="4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c>
          <w:tcPr>
            <w:tcW w:w="140" w:type="dxa"/>
            <w:vAlign w:val="bottom"/>
            <w:tcBorders>
              <w:bottom w:val="single" w:sz="8" w:color="E6E6E6"/>
            </w:tcBorders>
            <w:shd w:val="clear" w:color="auto" w:fill="E6E6E6"/>
          </w:tcPr>
          <w:p>
            <w:pPr>
              <w:spacing w:after="0"/>
              <w:rPr>
                <w:sz w:val="22"/>
                <w:szCs w:val="22"/>
                <w:color w:val="auto"/>
              </w:rPr>
            </w:pPr>
          </w:p>
        </w:tc>
        <w:tc>
          <w:tcPr>
            <w:tcW w:w="5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c>
          <w:tcPr>
            <w:tcW w:w="120" w:type="dxa"/>
            <w:vAlign w:val="bottom"/>
            <w:tcBorders>
              <w:bottom w:val="single" w:sz="8" w:color="E6E6E6"/>
            </w:tcBorders>
            <w:shd w:val="clear" w:color="auto" w:fill="E6E6E6"/>
          </w:tcPr>
          <w:p>
            <w:pPr>
              <w:spacing w:after="0"/>
              <w:rPr>
                <w:sz w:val="22"/>
                <w:szCs w:val="22"/>
                <w:color w:val="auto"/>
              </w:rPr>
            </w:pPr>
          </w:p>
        </w:tc>
        <w:tc>
          <w:tcPr>
            <w:tcW w:w="6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925</w:t>
            </w:r>
          </w:p>
        </w:tc>
        <w:tc>
          <w:tcPr>
            <w:tcW w:w="80" w:type="dxa"/>
            <w:vAlign w:val="bottom"/>
            <w:tcBorders>
              <w:bottom w:val="single" w:sz="8" w:color="E6E6E6"/>
            </w:tcBorders>
            <w:shd w:val="clear" w:color="auto" w:fill="E6E6E6"/>
          </w:tcPr>
          <w:p>
            <w:pPr>
              <w:spacing w:after="0"/>
              <w:rPr>
                <w:sz w:val="22"/>
                <w:szCs w:val="22"/>
                <w:color w:val="auto"/>
              </w:rPr>
            </w:pPr>
          </w:p>
        </w:tc>
        <w:tc>
          <w:tcPr>
            <w:tcW w:w="160" w:type="dxa"/>
            <w:vAlign w:val="bottom"/>
            <w:tcBorders>
              <w:bottom w:val="single" w:sz="8" w:color="E6E6E6"/>
            </w:tcBorders>
            <w:shd w:val="clear" w:color="auto" w:fill="E6E6E6"/>
          </w:tcPr>
          <w:p>
            <w:pPr>
              <w:spacing w:after="0"/>
              <w:rPr>
                <w:sz w:val="22"/>
                <w:szCs w:val="22"/>
                <w:color w:val="auto"/>
              </w:rPr>
            </w:pPr>
          </w:p>
        </w:tc>
        <w:tc>
          <w:tcPr>
            <w:tcW w:w="6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74"/>
        </w:trPr>
        <w:tc>
          <w:tcPr>
            <w:tcW w:w="40" w:type="dxa"/>
            <w:vAlign w:val="bottom"/>
            <w:tcBorders>
              <w:bottom w:val="single" w:sz="8" w:color="E6E6E6"/>
            </w:tcBorders>
          </w:tcPr>
          <w:p>
            <w:pPr>
              <w:spacing w:after="0"/>
              <w:rPr>
                <w:sz w:val="23"/>
                <w:szCs w:val="23"/>
                <w:color w:val="auto"/>
              </w:rPr>
            </w:pPr>
          </w:p>
        </w:tc>
        <w:tc>
          <w:tcPr>
            <w:tcW w:w="4740" w:type="dxa"/>
            <w:vAlign w:val="bottom"/>
            <w:tcBorders>
              <w:bottom w:val="single" w:sz="8" w:color="E6E6E6"/>
            </w:tcBorders>
            <w:gridSpan w:val="2"/>
          </w:tcPr>
          <w:p>
            <w:pPr>
              <w:spacing w:after="0"/>
              <w:rPr>
                <w:sz w:val="20"/>
                <w:szCs w:val="20"/>
                <w:color w:val="auto"/>
              </w:rPr>
            </w:pPr>
            <w:r>
              <w:rPr>
                <w:rFonts w:ascii="Arial" w:cs="Arial" w:eastAsia="Arial" w:hAnsi="Arial"/>
                <w:sz w:val="18"/>
                <w:szCs w:val="18"/>
                <w:color w:val="auto"/>
                <w:w w:val="91"/>
              </w:rPr>
              <w:t xml:space="preserve">Clearway Energy Operating LLC Senior Notes, due 2032 </w:t>
            </w:r>
            <w:r>
              <w:rPr>
                <w:rFonts w:ascii="Arial" w:cs="Arial" w:eastAsia="Arial" w:hAnsi="Arial"/>
                <w:sz w:val="18"/>
                <w:szCs w:val="18"/>
                <w:color w:val="BDBDBD"/>
                <w:w w:val="91"/>
              </w:rPr>
              <w:t>. . . . . .</w:t>
            </w:r>
          </w:p>
        </w:tc>
        <w:tc>
          <w:tcPr>
            <w:tcW w:w="18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6E6E6"/>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6E6E6"/>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6E6E6"/>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E6E6E6"/>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6E6E6"/>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80" w:type="dxa"/>
            <w:vAlign w:val="bottom"/>
            <w:tcBorders>
              <w:bottom w:val="single" w:sz="8" w:color="E6E6E6"/>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54"/>
        </w:trPr>
        <w:tc>
          <w:tcPr>
            <w:tcW w:w="40" w:type="dxa"/>
            <w:vAlign w:val="bottom"/>
            <w:tcBorders>
              <w:bottom w:val="single" w:sz="8" w:color="E6E6E6"/>
            </w:tcBorders>
            <w:shd w:val="clear" w:color="auto" w:fill="E6E6E6"/>
          </w:tcPr>
          <w:p>
            <w:pPr>
              <w:spacing w:after="0"/>
              <w:rPr>
                <w:sz w:val="22"/>
                <w:szCs w:val="22"/>
                <w:color w:val="auto"/>
              </w:rPr>
            </w:pPr>
          </w:p>
        </w:tc>
        <w:tc>
          <w:tcPr>
            <w:tcW w:w="4740" w:type="dxa"/>
            <w:vAlign w:val="bottom"/>
            <w:tcBorders>
              <w:bottom w:val="single" w:sz="8" w:color="E6E6E6"/>
            </w:tcBorders>
            <w:gridSpan w:val="2"/>
            <w:shd w:val="clear" w:color="auto" w:fill="E6E6E6"/>
          </w:tcPr>
          <w:p>
            <w:pPr>
              <w:jc w:val="right"/>
              <w:ind w:right="40"/>
              <w:spacing w:after="0"/>
              <w:rPr>
                <w:sz w:val="20"/>
                <w:szCs w:val="20"/>
                <w:color w:val="auto"/>
              </w:rPr>
            </w:pPr>
            <w:r>
              <w:rPr>
                <w:rFonts w:ascii="Arial" w:cs="Arial" w:eastAsia="Arial" w:hAnsi="Arial"/>
                <w:sz w:val="18"/>
                <w:szCs w:val="18"/>
                <w:b w:val="1"/>
                <w:bCs w:val="1"/>
                <w:color w:val="BDBDBD"/>
                <w:w w:val="95"/>
              </w:rPr>
              <w:t>. . . . . . . . . . . . . . . . . . . . . . . . . . . .</w:t>
            </w:r>
            <w:r>
              <w:rPr>
                <w:rFonts w:ascii="Arial" w:cs="Arial" w:eastAsia="Arial" w:hAnsi="Arial"/>
                <w:sz w:val="18"/>
                <w:szCs w:val="18"/>
                <w:b w:val="1"/>
                <w:bCs w:val="1"/>
                <w:color w:val="000000"/>
                <w:w w:val="95"/>
              </w:rPr>
              <w:t>TotalCorporate-leveldebt</w:t>
            </w:r>
          </w:p>
        </w:tc>
        <w:tc>
          <w:tcPr>
            <w:tcW w:w="180" w:type="dxa"/>
            <w:vAlign w:val="bottom"/>
            <w:tcBorders>
              <w:bottom w:val="single" w:sz="8" w:color="E6E6E6"/>
            </w:tcBorders>
            <w:shd w:val="clear" w:color="auto" w:fill="E6E6E6"/>
          </w:tcPr>
          <w:p>
            <w:pPr>
              <w:spacing w:after="0"/>
              <w:rPr>
                <w:sz w:val="22"/>
                <w:szCs w:val="22"/>
                <w:color w:val="auto"/>
              </w:rPr>
            </w:pPr>
          </w:p>
        </w:tc>
        <w:tc>
          <w:tcPr>
            <w:tcW w:w="5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6E6E6"/>
            </w:tcBorders>
            <w:shd w:val="clear" w:color="auto" w:fill="E6E6E6"/>
          </w:tcPr>
          <w:p>
            <w:pPr>
              <w:spacing w:after="0"/>
              <w:rPr>
                <w:sz w:val="22"/>
                <w:szCs w:val="22"/>
                <w:color w:val="auto"/>
              </w:rPr>
            </w:pPr>
          </w:p>
        </w:tc>
        <w:tc>
          <w:tcPr>
            <w:tcW w:w="140" w:type="dxa"/>
            <w:vAlign w:val="bottom"/>
            <w:tcBorders>
              <w:bottom w:val="single" w:sz="8" w:color="E6E6E6"/>
            </w:tcBorders>
            <w:shd w:val="clear" w:color="auto" w:fill="E6E6E6"/>
          </w:tcPr>
          <w:p>
            <w:pPr>
              <w:spacing w:after="0"/>
              <w:rPr>
                <w:sz w:val="22"/>
                <w:szCs w:val="22"/>
                <w:color w:val="auto"/>
              </w:rPr>
            </w:pPr>
          </w:p>
        </w:tc>
        <w:tc>
          <w:tcPr>
            <w:tcW w:w="5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6E6E6"/>
            </w:tcBorders>
            <w:shd w:val="clear" w:color="auto" w:fill="E6E6E6"/>
          </w:tcPr>
          <w:p>
            <w:pPr>
              <w:spacing w:after="0"/>
              <w:rPr>
                <w:sz w:val="22"/>
                <w:szCs w:val="22"/>
                <w:color w:val="auto"/>
              </w:rPr>
            </w:pPr>
          </w:p>
        </w:tc>
        <w:tc>
          <w:tcPr>
            <w:tcW w:w="140" w:type="dxa"/>
            <w:vAlign w:val="bottom"/>
            <w:tcBorders>
              <w:bottom w:val="single" w:sz="8" w:color="E6E6E6"/>
            </w:tcBorders>
            <w:shd w:val="clear" w:color="auto" w:fill="E6E6E6"/>
          </w:tcPr>
          <w:p>
            <w:pPr>
              <w:spacing w:after="0"/>
              <w:rPr>
                <w:sz w:val="22"/>
                <w:szCs w:val="22"/>
                <w:color w:val="auto"/>
              </w:rPr>
            </w:pPr>
          </w:p>
        </w:tc>
        <w:tc>
          <w:tcPr>
            <w:tcW w:w="5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6E6E6"/>
            </w:tcBorders>
            <w:shd w:val="clear" w:color="auto" w:fill="E6E6E6"/>
          </w:tcPr>
          <w:p>
            <w:pPr>
              <w:spacing w:after="0"/>
              <w:rPr>
                <w:sz w:val="22"/>
                <w:szCs w:val="22"/>
                <w:color w:val="auto"/>
              </w:rPr>
            </w:pPr>
          </w:p>
        </w:tc>
        <w:tc>
          <w:tcPr>
            <w:tcW w:w="200" w:type="dxa"/>
            <w:vAlign w:val="bottom"/>
            <w:tcBorders>
              <w:bottom w:val="single" w:sz="8" w:color="E6E6E6"/>
            </w:tcBorders>
            <w:shd w:val="clear" w:color="auto" w:fill="E6E6E6"/>
          </w:tcPr>
          <w:p>
            <w:pPr>
              <w:spacing w:after="0"/>
              <w:rPr>
                <w:sz w:val="22"/>
                <w:szCs w:val="22"/>
                <w:color w:val="auto"/>
              </w:rPr>
            </w:pPr>
          </w:p>
        </w:tc>
        <w:tc>
          <w:tcPr>
            <w:tcW w:w="4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c>
          <w:tcPr>
            <w:tcW w:w="140" w:type="dxa"/>
            <w:vAlign w:val="bottom"/>
            <w:tcBorders>
              <w:bottom w:val="single" w:sz="8" w:color="E6E6E6"/>
            </w:tcBorders>
            <w:shd w:val="clear" w:color="auto" w:fill="E6E6E6"/>
          </w:tcPr>
          <w:p>
            <w:pPr>
              <w:spacing w:after="0"/>
              <w:rPr>
                <w:sz w:val="22"/>
                <w:szCs w:val="22"/>
                <w:color w:val="auto"/>
              </w:rPr>
            </w:pPr>
          </w:p>
        </w:tc>
        <w:tc>
          <w:tcPr>
            <w:tcW w:w="5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850</w:t>
            </w:r>
          </w:p>
        </w:tc>
        <w:tc>
          <w:tcPr>
            <w:tcW w:w="8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c>
          <w:tcPr>
            <w:tcW w:w="120" w:type="dxa"/>
            <w:vAlign w:val="bottom"/>
            <w:tcBorders>
              <w:bottom w:val="single" w:sz="8" w:color="E6E6E6"/>
            </w:tcBorders>
            <w:shd w:val="clear" w:color="auto" w:fill="E6E6E6"/>
          </w:tcPr>
          <w:p>
            <w:pPr>
              <w:spacing w:after="0"/>
              <w:rPr>
                <w:sz w:val="22"/>
                <w:szCs w:val="22"/>
                <w:color w:val="auto"/>
              </w:rPr>
            </w:pPr>
          </w:p>
        </w:tc>
        <w:tc>
          <w:tcPr>
            <w:tcW w:w="6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1,275</w:t>
            </w:r>
          </w:p>
        </w:tc>
        <w:tc>
          <w:tcPr>
            <w:tcW w:w="80" w:type="dxa"/>
            <w:vAlign w:val="bottom"/>
            <w:tcBorders>
              <w:bottom w:val="single" w:sz="8" w:color="E6E6E6"/>
            </w:tcBorders>
            <w:shd w:val="clear" w:color="auto" w:fill="E6E6E6"/>
          </w:tcPr>
          <w:p>
            <w:pPr>
              <w:spacing w:after="0"/>
              <w:rPr>
                <w:sz w:val="22"/>
                <w:szCs w:val="22"/>
                <w:color w:val="auto"/>
              </w:rPr>
            </w:pPr>
          </w:p>
        </w:tc>
        <w:tc>
          <w:tcPr>
            <w:tcW w:w="160" w:type="dxa"/>
            <w:vAlign w:val="bottom"/>
            <w:tcBorders>
              <w:bottom w:val="single" w:sz="8" w:color="E6E6E6"/>
            </w:tcBorders>
            <w:shd w:val="clear" w:color="auto" w:fill="E6E6E6"/>
          </w:tcPr>
          <w:p>
            <w:pPr>
              <w:spacing w:after="0"/>
              <w:rPr>
                <w:sz w:val="22"/>
                <w:szCs w:val="22"/>
                <w:color w:val="auto"/>
              </w:rPr>
            </w:pPr>
          </w:p>
        </w:tc>
        <w:tc>
          <w:tcPr>
            <w:tcW w:w="6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2,125</w:t>
            </w: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Project-level debt:</w:t>
            </w: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Borders>
              <w:bottom w:val="single" w:sz="8" w:color="E6E6E6"/>
            </w:tcBorders>
            <w:shd w:val="clear" w:color="auto" w:fill="E6E6E6"/>
          </w:tcPr>
          <w:p>
            <w:pPr>
              <w:spacing w:after="0"/>
              <w:rPr>
                <w:sz w:val="22"/>
                <w:szCs w:val="22"/>
                <w:color w:val="auto"/>
              </w:rPr>
            </w:pPr>
          </w:p>
        </w:tc>
        <w:tc>
          <w:tcPr>
            <w:tcW w:w="4740" w:type="dxa"/>
            <w:vAlign w:val="bottom"/>
            <w:tcBorders>
              <w:bottom w:val="single" w:sz="8" w:color="E6E6E6"/>
            </w:tcBorders>
            <w:gridSpan w:val="2"/>
            <w:shd w:val="clear" w:color="auto" w:fill="E6E6E6"/>
          </w:tcPr>
          <w:p>
            <w:pPr>
              <w:spacing w:after="0"/>
              <w:rPr>
                <w:sz w:val="20"/>
                <w:szCs w:val="20"/>
                <w:color w:val="auto"/>
              </w:rPr>
            </w:pPr>
            <w:r>
              <w:rPr>
                <w:rFonts w:ascii="Arial" w:cs="Arial" w:eastAsia="Arial" w:hAnsi="Arial"/>
                <w:sz w:val="18"/>
                <w:szCs w:val="18"/>
                <w:color w:val="auto"/>
                <w:w w:val="91"/>
              </w:rPr>
              <w:t xml:space="preserve">Agua Caliente Solar LLC, due 2037 </w:t>
            </w:r>
            <w:r>
              <w:rPr>
                <w:rFonts w:ascii="Arial" w:cs="Arial" w:eastAsia="Arial" w:hAnsi="Arial"/>
                <w:sz w:val="18"/>
                <w:szCs w:val="18"/>
                <w:color w:val="BDBDBD"/>
                <w:w w:val="91"/>
              </w:rPr>
              <w:t>. . . . . . . . . . . . . . . . . . . . . . .</w:t>
            </w:r>
          </w:p>
        </w:tc>
        <w:tc>
          <w:tcPr>
            <w:tcW w:w="180" w:type="dxa"/>
            <w:vAlign w:val="bottom"/>
            <w:tcBorders>
              <w:bottom w:val="single" w:sz="8" w:color="E6E6E6"/>
            </w:tcBorders>
            <w:shd w:val="clear" w:color="auto" w:fill="E6E6E6"/>
          </w:tcPr>
          <w:p>
            <w:pPr>
              <w:spacing w:after="0"/>
              <w:rPr>
                <w:sz w:val="22"/>
                <w:szCs w:val="22"/>
                <w:color w:val="auto"/>
              </w:rPr>
            </w:pPr>
          </w:p>
        </w:tc>
        <w:tc>
          <w:tcPr>
            <w:tcW w:w="5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38</w:t>
            </w:r>
          </w:p>
        </w:tc>
        <w:tc>
          <w:tcPr>
            <w:tcW w:w="80" w:type="dxa"/>
            <w:vAlign w:val="bottom"/>
            <w:tcBorders>
              <w:bottom w:val="single" w:sz="8" w:color="E6E6E6"/>
            </w:tcBorders>
            <w:shd w:val="clear" w:color="auto" w:fill="E6E6E6"/>
          </w:tcPr>
          <w:p>
            <w:pPr>
              <w:spacing w:after="0"/>
              <w:rPr>
                <w:sz w:val="22"/>
                <w:szCs w:val="22"/>
                <w:color w:val="auto"/>
              </w:rPr>
            </w:pPr>
          </w:p>
        </w:tc>
        <w:tc>
          <w:tcPr>
            <w:tcW w:w="140" w:type="dxa"/>
            <w:vAlign w:val="bottom"/>
            <w:tcBorders>
              <w:bottom w:val="single" w:sz="8" w:color="E6E6E6"/>
            </w:tcBorders>
            <w:shd w:val="clear" w:color="auto" w:fill="E6E6E6"/>
          </w:tcPr>
          <w:p>
            <w:pPr>
              <w:spacing w:after="0"/>
              <w:rPr>
                <w:sz w:val="22"/>
                <w:szCs w:val="22"/>
                <w:color w:val="auto"/>
              </w:rPr>
            </w:pPr>
          </w:p>
        </w:tc>
        <w:tc>
          <w:tcPr>
            <w:tcW w:w="5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39</w:t>
            </w:r>
          </w:p>
        </w:tc>
        <w:tc>
          <w:tcPr>
            <w:tcW w:w="80" w:type="dxa"/>
            <w:vAlign w:val="bottom"/>
            <w:tcBorders>
              <w:bottom w:val="single" w:sz="8" w:color="E6E6E6"/>
            </w:tcBorders>
            <w:shd w:val="clear" w:color="auto" w:fill="E6E6E6"/>
          </w:tcPr>
          <w:p>
            <w:pPr>
              <w:spacing w:after="0"/>
              <w:rPr>
                <w:sz w:val="22"/>
                <w:szCs w:val="22"/>
                <w:color w:val="auto"/>
              </w:rPr>
            </w:pPr>
          </w:p>
        </w:tc>
        <w:tc>
          <w:tcPr>
            <w:tcW w:w="140" w:type="dxa"/>
            <w:vAlign w:val="bottom"/>
            <w:tcBorders>
              <w:bottom w:val="single" w:sz="8" w:color="E6E6E6"/>
            </w:tcBorders>
            <w:shd w:val="clear" w:color="auto" w:fill="E6E6E6"/>
          </w:tcPr>
          <w:p>
            <w:pPr>
              <w:spacing w:after="0"/>
              <w:rPr>
                <w:sz w:val="22"/>
                <w:szCs w:val="22"/>
                <w:color w:val="auto"/>
              </w:rPr>
            </w:pPr>
          </w:p>
        </w:tc>
        <w:tc>
          <w:tcPr>
            <w:tcW w:w="5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40</w:t>
            </w:r>
          </w:p>
        </w:tc>
        <w:tc>
          <w:tcPr>
            <w:tcW w:w="80" w:type="dxa"/>
            <w:vAlign w:val="bottom"/>
            <w:tcBorders>
              <w:bottom w:val="single" w:sz="8" w:color="E6E6E6"/>
            </w:tcBorders>
            <w:shd w:val="clear" w:color="auto" w:fill="E6E6E6"/>
          </w:tcPr>
          <w:p>
            <w:pPr>
              <w:spacing w:after="0"/>
              <w:rPr>
                <w:sz w:val="22"/>
                <w:szCs w:val="22"/>
                <w:color w:val="auto"/>
              </w:rPr>
            </w:pPr>
          </w:p>
        </w:tc>
        <w:tc>
          <w:tcPr>
            <w:tcW w:w="200" w:type="dxa"/>
            <w:vAlign w:val="bottom"/>
            <w:tcBorders>
              <w:bottom w:val="single" w:sz="8" w:color="E6E6E6"/>
            </w:tcBorders>
            <w:shd w:val="clear" w:color="auto" w:fill="E6E6E6"/>
          </w:tcPr>
          <w:p>
            <w:pPr>
              <w:spacing w:after="0"/>
              <w:rPr>
                <w:sz w:val="22"/>
                <w:szCs w:val="22"/>
                <w:color w:val="auto"/>
              </w:rPr>
            </w:pPr>
          </w:p>
        </w:tc>
        <w:tc>
          <w:tcPr>
            <w:tcW w:w="4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41</w:t>
            </w:r>
          </w:p>
        </w:tc>
        <w:tc>
          <w:tcPr>
            <w:tcW w:w="6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c>
          <w:tcPr>
            <w:tcW w:w="140" w:type="dxa"/>
            <w:vAlign w:val="bottom"/>
            <w:tcBorders>
              <w:bottom w:val="single" w:sz="8" w:color="E6E6E6"/>
            </w:tcBorders>
            <w:shd w:val="clear" w:color="auto" w:fill="E6E6E6"/>
          </w:tcPr>
          <w:p>
            <w:pPr>
              <w:spacing w:after="0"/>
              <w:rPr>
                <w:sz w:val="22"/>
                <w:szCs w:val="22"/>
                <w:color w:val="auto"/>
              </w:rPr>
            </w:pPr>
          </w:p>
        </w:tc>
        <w:tc>
          <w:tcPr>
            <w:tcW w:w="5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43</w:t>
            </w:r>
          </w:p>
        </w:tc>
        <w:tc>
          <w:tcPr>
            <w:tcW w:w="8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c>
          <w:tcPr>
            <w:tcW w:w="120" w:type="dxa"/>
            <w:vAlign w:val="bottom"/>
            <w:tcBorders>
              <w:bottom w:val="single" w:sz="8" w:color="E6E6E6"/>
            </w:tcBorders>
            <w:shd w:val="clear" w:color="auto" w:fill="E6E6E6"/>
          </w:tcPr>
          <w:p>
            <w:pPr>
              <w:spacing w:after="0"/>
              <w:rPr>
                <w:sz w:val="22"/>
                <w:szCs w:val="22"/>
                <w:color w:val="auto"/>
              </w:rPr>
            </w:pPr>
          </w:p>
        </w:tc>
        <w:tc>
          <w:tcPr>
            <w:tcW w:w="6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411</w:t>
            </w:r>
          </w:p>
        </w:tc>
        <w:tc>
          <w:tcPr>
            <w:tcW w:w="80" w:type="dxa"/>
            <w:vAlign w:val="bottom"/>
            <w:tcBorders>
              <w:bottom w:val="single" w:sz="8" w:color="E6E6E6"/>
            </w:tcBorders>
            <w:shd w:val="clear" w:color="auto" w:fill="E6E6E6"/>
          </w:tcPr>
          <w:p>
            <w:pPr>
              <w:spacing w:after="0"/>
              <w:rPr>
                <w:sz w:val="22"/>
                <w:szCs w:val="22"/>
                <w:color w:val="auto"/>
              </w:rPr>
            </w:pPr>
          </w:p>
        </w:tc>
        <w:tc>
          <w:tcPr>
            <w:tcW w:w="160" w:type="dxa"/>
            <w:vAlign w:val="bottom"/>
            <w:tcBorders>
              <w:bottom w:val="single" w:sz="8" w:color="E6E6E6"/>
            </w:tcBorders>
            <w:shd w:val="clear" w:color="auto" w:fill="E6E6E6"/>
          </w:tcPr>
          <w:p>
            <w:pPr>
              <w:spacing w:after="0"/>
              <w:rPr>
                <w:sz w:val="22"/>
                <w:szCs w:val="22"/>
                <w:color w:val="auto"/>
              </w:rPr>
            </w:pPr>
          </w:p>
        </w:tc>
        <w:tc>
          <w:tcPr>
            <w:tcW w:w="6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w w:val="92"/>
              </w:rPr>
              <w:t xml:space="preserve">Alta Wind Asset Management LLC, due 2031 </w:t>
            </w:r>
            <w:r>
              <w:rPr>
                <w:rFonts w:ascii="Arial" w:cs="Arial" w:eastAsia="Arial" w:hAnsi="Arial"/>
                <w:sz w:val="18"/>
                <w:szCs w:val="18"/>
                <w:color w:val="BDBDBD"/>
                <w:w w:val="92"/>
              </w:rPr>
              <w:t>. . . . . . . . . . . . . . .</w:t>
            </w:r>
          </w:p>
        </w:tc>
        <w:tc>
          <w:tcPr>
            <w:tcW w:w="1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
        </w:trPr>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Borders>
              <w:bottom w:val="single" w:sz="8" w:color="E6E6E6"/>
            </w:tcBorders>
            <w:shd w:val="clear" w:color="auto" w:fill="E6E6E6"/>
          </w:tcPr>
          <w:p>
            <w:pPr>
              <w:spacing w:after="0"/>
              <w:rPr>
                <w:sz w:val="22"/>
                <w:szCs w:val="22"/>
                <w:color w:val="auto"/>
              </w:rPr>
            </w:pPr>
          </w:p>
        </w:tc>
        <w:tc>
          <w:tcPr>
            <w:tcW w:w="4740" w:type="dxa"/>
            <w:vAlign w:val="bottom"/>
            <w:tcBorders>
              <w:bottom w:val="single" w:sz="8" w:color="E6E6E6"/>
            </w:tcBorders>
            <w:gridSpan w:val="2"/>
            <w:shd w:val="clear" w:color="auto" w:fill="E6E6E6"/>
          </w:tcPr>
          <w:p>
            <w:pPr>
              <w:spacing w:after="0"/>
              <w:rPr>
                <w:sz w:val="20"/>
                <w:szCs w:val="20"/>
                <w:color w:val="auto"/>
              </w:rPr>
            </w:pPr>
            <w:r>
              <w:rPr>
                <w:rFonts w:ascii="Arial" w:cs="Arial" w:eastAsia="Arial" w:hAnsi="Arial"/>
                <w:sz w:val="18"/>
                <w:szCs w:val="18"/>
                <w:color w:val="auto"/>
                <w:w w:val="92"/>
              </w:rPr>
              <w:t>Alta Wind I-V lease financing arrangements, due 2034 and 2035</w:t>
            </w:r>
          </w:p>
        </w:tc>
        <w:tc>
          <w:tcPr>
            <w:tcW w:w="180" w:type="dxa"/>
            <w:vAlign w:val="bottom"/>
            <w:tcBorders>
              <w:bottom w:val="single" w:sz="8" w:color="E6E6E6"/>
            </w:tcBorders>
            <w:shd w:val="clear" w:color="auto" w:fill="E6E6E6"/>
          </w:tcPr>
          <w:p>
            <w:pPr>
              <w:spacing w:after="0"/>
              <w:rPr>
                <w:sz w:val="22"/>
                <w:szCs w:val="22"/>
                <w:color w:val="auto"/>
              </w:rPr>
            </w:pPr>
          </w:p>
        </w:tc>
        <w:tc>
          <w:tcPr>
            <w:tcW w:w="5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52</w:t>
            </w:r>
          </w:p>
        </w:tc>
        <w:tc>
          <w:tcPr>
            <w:tcW w:w="80" w:type="dxa"/>
            <w:vAlign w:val="bottom"/>
            <w:tcBorders>
              <w:bottom w:val="single" w:sz="8" w:color="E6E6E6"/>
            </w:tcBorders>
            <w:shd w:val="clear" w:color="auto" w:fill="E6E6E6"/>
          </w:tcPr>
          <w:p>
            <w:pPr>
              <w:spacing w:after="0"/>
              <w:rPr>
                <w:sz w:val="22"/>
                <w:szCs w:val="22"/>
                <w:color w:val="auto"/>
              </w:rPr>
            </w:pPr>
          </w:p>
        </w:tc>
        <w:tc>
          <w:tcPr>
            <w:tcW w:w="140" w:type="dxa"/>
            <w:vAlign w:val="bottom"/>
            <w:tcBorders>
              <w:bottom w:val="single" w:sz="8" w:color="E6E6E6"/>
            </w:tcBorders>
            <w:shd w:val="clear" w:color="auto" w:fill="E6E6E6"/>
          </w:tcPr>
          <w:p>
            <w:pPr>
              <w:spacing w:after="0"/>
              <w:rPr>
                <w:sz w:val="22"/>
                <w:szCs w:val="22"/>
                <w:color w:val="auto"/>
              </w:rPr>
            </w:pPr>
          </w:p>
        </w:tc>
        <w:tc>
          <w:tcPr>
            <w:tcW w:w="5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54</w:t>
            </w:r>
          </w:p>
        </w:tc>
        <w:tc>
          <w:tcPr>
            <w:tcW w:w="80" w:type="dxa"/>
            <w:vAlign w:val="bottom"/>
            <w:tcBorders>
              <w:bottom w:val="single" w:sz="8" w:color="E6E6E6"/>
            </w:tcBorders>
            <w:shd w:val="clear" w:color="auto" w:fill="E6E6E6"/>
          </w:tcPr>
          <w:p>
            <w:pPr>
              <w:spacing w:after="0"/>
              <w:rPr>
                <w:sz w:val="22"/>
                <w:szCs w:val="22"/>
                <w:color w:val="auto"/>
              </w:rPr>
            </w:pPr>
          </w:p>
        </w:tc>
        <w:tc>
          <w:tcPr>
            <w:tcW w:w="140" w:type="dxa"/>
            <w:vAlign w:val="bottom"/>
            <w:tcBorders>
              <w:bottom w:val="single" w:sz="8" w:color="E6E6E6"/>
            </w:tcBorders>
            <w:shd w:val="clear" w:color="auto" w:fill="E6E6E6"/>
          </w:tcPr>
          <w:p>
            <w:pPr>
              <w:spacing w:after="0"/>
              <w:rPr>
                <w:sz w:val="22"/>
                <w:szCs w:val="22"/>
                <w:color w:val="auto"/>
              </w:rPr>
            </w:pPr>
          </w:p>
        </w:tc>
        <w:tc>
          <w:tcPr>
            <w:tcW w:w="5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55</w:t>
            </w:r>
          </w:p>
        </w:tc>
        <w:tc>
          <w:tcPr>
            <w:tcW w:w="80" w:type="dxa"/>
            <w:vAlign w:val="bottom"/>
            <w:tcBorders>
              <w:bottom w:val="single" w:sz="8" w:color="E6E6E6"/>
            </w:tcBorders>
            <w:shd w:val="clear" w:color="auto" w:fill="E6E6E6"/>
          </w:tcPr>
          <w:p>
            <w:pPr>
              <w:spacing w:after="0"/>
              <w:rPr>
                <w:sz w:val="22"/>
                <w:szCs w:val="22"/>
                <w:color w:val="auto"/>
              </w:rPr>
            </w:pPr>
          </w:p>
        </w:tc>
        <w:tc>
          <w:tcPr>
            <w:tcW w:w="200" w:type="dxa"/>
            <w:vAlign w:val="bottom"/>
            <w:tcBorders>
              <w:bottom w:val="single" w:sz="8" w:color="E6E6E6"/>
            </w:tcBorders>
            <w:shd w:val="clear" w:color="auto" w:fill="E6E6E6"/>
          </w:tcPr>
          <w:p>
            <w:pPr>
              <w:spacing w:after="0"/>
              <w:rPr>
                <w:sz w:val="22"/>
                <w:szCs w:val="22"/>
                <w:color w:val="auto"/>
              </w:rPr>
            </w:pPr>
          </w:p>
        </w:tc>
        <w:tc>
          <w:tcPr>
            <w:tcW w:w="4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57</w:t>
            </w:r>
          </w:p>
        </w:tc>
        <w:tc>
          <w:tcPr>
            <w:tcW w:w="6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c>
          <w:tcPr>
            <w:tcW w:w="140" w:type="dxa"/>
            <w:vAlign w:val="bottom"/>
            <w:tcBorders>
              <w:bottom w:val="single" w:sz="8" w:color="E6E6E6"/>
            </w:tcBorders>
            <w:shd w:val="clear" w:color="auto" w:fill="E6E6E6"/>
          </w:tcPr>
          <w:p>
            <w:pPr>
              <w:spacing w:after="0"/>
              <w:rPr>
                <w:sz w:val="22"/>
                <w:szCs w:val="22"/>
                <w:color w:val="auto"/>
              </w:rPr>
            </w:pPr>
          </w:p>
        </w:tc>
        <w:tc>
          <w:tcPr>
            <w:tcW w:w="5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60</w:t>
            </w:r>
          </w:p>
        </w:tc>
        <w:tc>
          <w:tcPr>
            <w:tcW w:w="8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c>
          <w:tcPr>
            <w:tcW w:w="120" w:type="dxa"/>
            <w:vAlign w:val="bottom"/>
            <w:tcBorders>
              <w:bottom w:val="single" w:sz="8" w:color="E6E6E6"/>
            </w:tcBorders>
            <w:shd w:val="clear" w:color="auto" w:fill="E6E6E6"/>
          </w:tcPr>
          <w:p>
            <w:pPr>
              <w:spacing w:after="0"/>
              <w:rPr>
                <w:sz w:val="22"/>
                <w:szCs w:val="22"/>
                <w:color w:val="auto"/>
              </w:rPr>
            </w:pPr>
          </w:p>
        </w:tc>
        <w:tc>
          <w:tcPr>
            <w:tcW w:w="6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382</w:t>
            </w:r>
          </w:p>
        </w:tc>
        <w:tc>
          <w:tcPr>
            <w:tcW w:w="80" w:type="dxa"/>
            <w:vAlign w:val="bottom"/>
            <w:tcBorders>
              <w:bottom w:val="single" w:sz="8" w:color="E6E6E6"/>
            </w:tcBorders>
            <w:shd w:val="clear" w:color="auto" w:fill="E6E6E6"/>
          </w:tcPr>
          <w:p>
            <w:pPr>
              <w:spacing w:after="0"/>
              <w:rPr>
                <w:sz w:val="22"/>
                <w:szCs w:val="22"/>
                <w:color w:val="auto"/>
              </w:rPr>
            </w:pPr>
          </w:p>
        </w:tc>
        <w:tc>
          <w:tcPr>
            <w:tcW w:w="160" w:type="dxa"/>
            <w:vAlign w:val="bottom"/>
            <w:tcBorders>
              <w:bottom w:val="single" w:sz="8" w:color="E6E6E6"/>
            </w:tcBorders>
            <w:shd w:val="clear" w:color="auto" w:fill="E6E6E6"/>
          </w:tcPr>
          <w:p>
            <w:pPr>
              <w:spacing w:after="0"/>
              <w:rPr>
                <w:sz w:val="22"/>
                <w:szCs w:val="22"/>
                <w:color w:val="auto"/>
              </w:rPr>
            </w:pPr>
          </w:p>
        </w:tc>
        <w:tc>
          <w:tcPr>
            <w:tcW w:w="6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w w:val="93"/>
              </w:rPr>
              <w:t xml:space="preserve">Alta Wind Realty Investments LLC, due 2031  </w:t>
            </w:r>
            <w:r>
              <w:rPr>
                <w:rFonts w:ascii="Arial" w:cs="Arial" w:eastAsia="Arial" w:hAnsi="Arial"/>
                <w:sz w:val="18"/>
                <w:szCs w:val="18"/>
                <w:color w:val="BDBDBD"/>
                <w:w w:val="93"/>
              </w:rPr>
              <w:t>. . . . . . . . . . . . . .</w:t>
            </w:r>
          </w:p>
        </w:tc>
        <w:tc>
          <w:tcPr>
            <w:tcW w:w="1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Borders>
              <w:bottom w:val="single" w:sz="8" w:color="E6E6E6"/>
            </w:tcBorders>
            <w:shd w:val="clear" w:color="auto" w:fill="E6E6E6"/>
          </w:tcPr>
          <w:p>
            <w:pPr>
              <w:spacing w:after="0"/>
              <w:rPr>
                <w:sz w:val="22"/>
                <w:szCs w:val="22"/>
                <w:color w:val="auto"/>
              </w:rPr>
            </w:pPr>
          </w:p>
        </w:tc>
        <w:tc>
          <w:tcPr>
            <w:tcW w:w="4740" w:type="dxa"/>
            <w:vAlign w:val="bottom"/>
            <w:tcBorders>
              <w:bottom w:val="single" w:sz="8" w:color="E6E6E6"/>
            </w:tcBorders>
            <w:gridSpan w:val="2"/>
            <w:shd w:val="clear" w:color="auto" w:fill="E6E6E6"/>
          </w:tcPr>
          <w:p>
            <w:pPr>
              <w:spacing w:after="0"/>
              <w:rPr>
                <w:sz w:val="20"/>
                <w:szCs w:val="20"/>
                <w:color w:val="auto"/>
              </w:rPr>
            </w:pPr>
            <w:r>
              <w:rPr>
                <w:rFonts w:ascii="Arial" w:cs="Arial" w:eastAsia="Arial" w:hAnsi="Arial"/>
                <w:sz w:val="18"/>
                <w:szCs w:val="18"/>
                <w:color w:val="auto"/>
                <w:w w:val="90"/>
              </w:rPr>
              <w:t xml:space="preserve">Borrego, due 2024 and 2038 </w:t>
            </w:r>
            <w:r>
              <w:rPr>
                <w:rFonts w:ascii="Arial" w:cs="Arial" w:eastAsia="Arial" w:hAnsi="Arial"/>
                <w:sz w:val="18"/>
                <w:szCs w:val="18"/>
                <w:color w:val="BDBDBD"/>
                <w:w w:val="90"/>
              </w:rPr>
              <w:t>. . . . . . . . . . . . . . . . . . . . . . . . . . . . .</w:t>
            </w:r>
          </w:p>
        </w:tc>
        <w:tc>
          <w:tcPr>
            <w:tcW w:w="180" w:type="dxa"/>
            <w:vAlign w:val="bottom"/>
            <w:tcBorders>
              <w:bottom w:val="single" w:sz="8" w:color="E6E6E6"/>
            </w:tcBorders>
            <w:shd w:val="clear" w:color="auto" w:fill="E6E6E6"/>
          </w:tcPr>
          <w:p>
            <w:pPr>
              <w:spacing w:after="0"/>
              <w:rPr>
                <w:sz w:val="22"/>
                <w:szCs w:val="22"/>
                <w:color w:val="auto"/>
              </w:rPr>
            </w:pPr>
          </w:p>
        </w:tc>
        <w:tc>
          <w:tcPr>
            <w:tcW w:w="5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E6E6E6"/>
            </w:tcBorders>
            <w:shd w:val="clear" w:color="auto" w:fill="E6E6E6"/>
          </w:tcPr>
          <w:p>
            <w:pPr>
              <w:spacing w:after="0"/>
              <w:rPr>
                <w:sz w:val="22"/>
                <w:szCs w:val="22"/>
                <w:color w:val="auto"/>
              </w:rPr>
            </w:pPr>
          </w:p>
        </w:tc>
        <w:tc>
          <w:tcPr>
            <w:tcW w:w="140" w:type="dxa"/>
            <w:vAlign w:val="bottom"/>
            <w:tcBorders>
              <w:bottom w:val="single" w:sz="8" w:color="E6E6E6"/>
            </w:tcBorders>
            <w:shd w:val="clear" w:color="auto" w:fill="E6E6E6"/>
          </w:tcPr>
          <w:p>
            <w:pPr>
              <w:spacing w:after="0"/>
              <w:rPr>
                <w:sz w:val="22"/>
                <w:szCs w:val="22"/>
                <w:color w:val="auto"/>
              </w:rPr>
            </w:pPr>
          </w:p>
        </w:tc>
        <w:tc>
          <w:tcPr>
            <w:tcW w:w="5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E6E6E6"/>
            </w:tcBorders>
            <w:shd w:val="clear" w:color="auto" w:fill="E6E6E6"/>
          </w:tcPr>
          <w:p>
            <w:pPr>
              <w:spacing w:after="0"/>
              <w:rPr>
                <w:sz w:val="22"/>
                <w:szCs w:val="22"/>
                <w:color w:val="auto"/>
              </w:rPr>
            </w:pPr>
          </w:p>
        </w:tc>
        <w:tc>
          <w:tcPr>
            <w:tcW w:w="140" w:type="dxa"/>
            <w:vAlign w:val="bottom"/>
            <w:tcBorders>
              <w:bottom w:val="single" w:sz="8" w:color="E6E6E6"/>
            </w:tcBorders>
            <w:shd w:val="clear" w:color="auto" w:fill="E6E6E6"/>
          </w:tcPr>
          <w:p>
            <w:pPr>
              <w:spacing w:after="0"/>
              <w:rPr>
                <w:sz w:val="22"/>
                <w:szCs w:val="22"/>
                <w:color w:val="auto"/>
              </w:rPr>
            </w:pPr>
          </w:p>
        </w:tc>
        <w:tc>
          <w:tcPr>
            <w:tcW w:w="5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E6E6E6"/>
            </w:tcBorders>
            <w:shd w:val="clear" w:color="auto" w:fill="E6E6E6"/>
          </w:tcPr>
          <w:p>
            <w:pPr>
              <w:spacing w:after="0"/>
              <w:rPr>
                <w:sz w:val="22"/>
                <w:szCs w:val="22"/>
                <w:color w:val="auto"/>
              </w:rPr>
            </w:pPr>
          </w:p>
        </w:tc>
        <w:tc>
          <w:tcPr>
            <w:tcW w:w="200" w:type="dxa"/>
            <w:vAlign w:val="bottom"/>
            <w:tcBorders>
              <w:bottom w:val="single" w:sz="8" w:color="E6E6E6"/>
            </w:tcBorders>
            <w:shd w:val="clear" w:color="auto" w:fill="E6E6E6"/>
          </w:tcPr>
          <w:p>
            <w:pPr>
              <w:spacing w:after="0"/>
              <w:rPr>
                <w:sz w:val="22"/>
                <w:szCs w:val="22"/>
                <w:color w:val="auto"/>
              </w:rPr>
            </w:pPr>
          </w:p>
        </w:tc>
        <w:tc>
          <w:tcPr>
            <w:tcW w:w="4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c>
          <w:tcPr>
            <w:tcW w:w="140" w:type="dxa"/>
            <w:vAlign w:val="bottom"/>
            <w:tcBorders>
              <w:bottom w:val="single" w:sz="8" w:color="E6E6E6"/>
            </w:tcBorders>
            <w:shd w:val="clear" w:color="auto" w:fill="E6E6E6"/>
          </w:tcPr>
          <w:p>
            <w:pPr>
              <w:spacing w:after="0"/>
              <w:rPr>
                <w:sz w:val="22"/>
                <w:szCs w:val="22"/>
                <w:color w:val="auto"/>
              </w:rPr>
            </w:pPr>
          </w:p>
        </w:tc>
        <w:tc>
          <w:tcPr>
            <w:tcW w:w="5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c>
          <w:tcPr>
            <w:tcW w:w="120" w:type="dxa"/>
            <w:vAlign w:val="bottom"/>
            <w:tcBorders>
              <w:bottom w:val="single" w:sz="8" w:color="E6E6E6"/>
            </w:tcBorders>
            <w:shd w:val="clear" w:color="auto" w:fill="E6E6E6"/>
          </w:tcPr>
          <w:p>
            <w:pPr>
              <w:spacing w:after="0"/>
              <w:rPr>
                <w:sz w:val="22"/>
                <w:szCs w:val="22"/>
                <w:color w:val="auto"/>
              </w:rPr>
            </w:pPr>
          </w:p>
        </w:tc>
        <w:tc>
          <w:tcPr>
            <w:tcW w:w="6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34</w:t>
            </w:r>
          </w:p>
        </w:tc>
        <w:tc>
          <w:tcPr>
            <w:tcW w:w="80" w:type="dxa"/>
            <w:vAlign w:val="bottom"/>
            <w:tcBorders>
              <w:bottom w:val="single" w:sz="8" w:color="E6E6E6"/>
            </w:tcBorders>
            <w:shd w:val="clear" w:color="auto" w:fill="E6E6E6"/>
          </w:tcPr>
          <w:p>
            <w:pPr>
              <w:spacing w:after="0"/>
              <w:rPr>
                <w:sz w:val="22"/>
                <w:szCs w:val="22"/>
                <w:color w:val="auto"/>
              </w:rPr>
            </w:pPr>
          </w:p>
        </w:tc>
        <w:tc>
          <w:tcPr>
            <w:tcW w:w="160" w:type="dxa"/>
            <w:vAlign w:val="bottom"/>
            <w:tcBorders>
              <w:bottom w:val="single" w:sz="8" w:color="E6E6E6"/>
            </w:tcBorders>
            <w:shd w:val="clear" w:color="auto" w:fill="E6E6E6"/>
          </w:tcPr>
          <w:p>
            <w:pPr>
              <w:spacing w:after="0"/>
              <w:rPr>
                <w:sz w:val="22"/>
                <w:szCs w:val="22"/>
                <w:color w:val="auto"/>
              </w:rPr>
            </w:pPr>
          </w:p>
        </w:tc>
        <w:tc>
          <w:tcPr>
            <w:tcW w:w="6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w w:val="92"/>
              </w:rPr>
              <w:t xml:space="preserve">Broken Bow, due 2031 </w:t>
            </w:r>
            <w:r>
              <w:rPr>
                <w:rFonts w:ascii="Arial" w:cs="Arial" w:eastAsia="Arial" w:hAnsi="Arial"/>
                <w:sz w:val="18"/>
                <w:szCs w:val="18"/>
                <w:color w:val="BDBDBD"/>
                <w:w w:val="92"/>
              </w:rPr>
              <w:t>. . . . . . . . . . . . . . . . . . . . . . . . . . . . . . . . .</w:t>
            </w:r>
          </w:p>
        </w:tc>
        <w:tc>
          <w:tcPr>
            <w:tcW w:w="1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Borders>
              <w:bottom w:val="single" w:sz="8" w:color="E6E6E6"/>
            </w:tcBorders>
            <w:shd w:val="clear" w:color="auto" w:fill="E6E6E6"/>
          </w:tcPr>
          <w:p>
            <w:pPr>
              <w:spacing w:after="0"/>
              <w:rPr>
                <w:sz w:val="22"/>
                <w:szCs w:val="22"/>
                <w:color w:val="auto"/>
              </w:rPr>
            </w:pPr>
          </w:p>
        </w:tc>
        <w:tc>
          <w:tcPr>
            <w:tcW w:w="4740" w:type="dxa"/>
            <w:vAlign w:val="bottom"/>
            <w:tcBorders>
              <w:bottom w:val="single" w:sz="8" w:color="E6E6E6"/>
            </w:tcBorders>
            <w:gridSpan w:val="2"/>
            <w:shd w:val="clear" w:color="auto" w:fill="E6E6E6"/>
          </w:tcPr>
          <w:p>
            <w:pPr>
              <w:spacing w:after="0"/>
              <w:rPr>
                <w:sz w:val="20"/>
                <w:szCs w:val="20"/>
                <w:color w:val="auto"/>
              </w:rPr>
            </w:pPr>
            <w:r>
              <w:rPr>
                <w:rFonts w:ascii="Arial" w:cs="Arial" w:eastAsia="Arial" w:hAnsi="Arial"/>
                <w:sz w:val="18"/>
                <w:szCs w:val="18"/>
                <w:color w:val="auto"/>
                <w:w w:val="91"/>
              </w:rPr>
              <w:t xml:space="preserve">Buckthorn Solar, due 2025 </w:t>
            </w:r>
            <w:r>
              <w:rPr>
                <w:rFonts w:ascii="Arial" w:cs="Arial" w:eastAsia="Arial" w:hAnsi="Arial"/>
                <w:sz w:val="18"/>
                <w:szCs w:val="18"/>
                <w:color w:val="BDBDBD"/>
                <w:w w:val="91"/>
              </w:rPr>
              <w:t>. . . . . . . . . . . . . . . . . . . . . . . . . . . . . .</w:t>
            </w:r>
          </w:p>
        </w:tc>
        <w:tc>
          <w:tcPr>
            <w:tcW w:w="180" w:type="dxa"/>
            <w:vAlign w:val="bottom"/>
            <w:tcBorders>
              <w:bottom w:val="single" w:sz="8" w:color="E6E6E6"/>
            </w:tcBorders>
            <w:shd w:val="clear" w:color="auto" w:fill="E6E6E6"/>
          </w:tcPr>
          <w:p>
            <w:pPr>
              <w:spacing w:after="0"/>
              <w:rPr>
                <w:sz w:val="22"/>
                <w:szCs w:val="22"/>
                <w:color w:val="auto"/>
              </w:rPr>
            </w:pPr>
          </w:p>
        </w:tc>
        <w:tc>
          <w:tcPr>
            <w:tcW w:w="5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E6E6E6"/>
            </w:tcBorders>
            <w:shd w:val="clear" w:color="auto" w:fill="E6E6E6"/>
          </w:tcPr>
          <w:p>
            <w:pPr>
              <w:spacing w:after="0"/>
              <w:rPr>
                <w:sz w:val="22"/>
                <w:szCs w:val="22"/>
                <w:color w:val="auto"/>
              </w:rPr>
            </w:pPr>
          </w:p>
        </w:tc>
        <w:tc>
          <w:tcPr>
            <w:tcW w:w="140" w:type="dxa"/>
            <w:vAlign w:val="bottom"/>
            <w:tcBorders>
              <w:bottom w:val="single" w:sz="8" w:color="E6E6E6"/>
            </w:tcBorders>
            <w:shd w:val="clear" w:color="auto" w:fill="E6E6E6"/>
          </w:tcPr>
          <w:p>
            <w:pPr>
              <w:spacing w:after="0"/>
              <w:rPr>
                <w:sz w:val="22"/>
                <w:szCs w:val="22"/>
                <w:color w:val="auto"/>
              </w:rPr>
            </w:pPr>
          </w:p>
        </w:tc>
        <w:tc>
          <w:tcPr>
            <w:tcW w:w="5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112</w:t>
            </w:r>
          </w:p>
        </w:tc>
        <w:tc>
          <w:tcPr>
            <w:tcW w:w="80" w:type="dxa"/>
            <w:vAlign w:val="bottom"/>
            <w:tcBorders>
              <w:bottom w:val="single" w:sz="8" w:color="E6E6E6"/>
            </w:tcBorders>
            <w:shd w:val="clear" w:color="auto" w:fill="E6E6E6"/>
          </w:tcPr>
          <w:p>
            <w:pPr>
              <w:spacing w:after="0"/>
              <w:rPr>
                <w:sz w:val="22"/>
                <w:szCs w:val="22"/>
                <w:color w:val="auto"/>
              </w:rPr>
            </w:pPr>
          </w:p>
        </w:tc>
        <w:tc>
          <w:tcPr>
            <w:tcW w:w="140" w:type="dxa"/>
            <w:vAlign w:val="bottom"/>
            <w:tcBorders>
              <w:bottom w:val="single" w:sz="8" w:color="E6E6E6"/>
            </w:tcBorders>
            <w:shd w:val="clear" w:color="auto" w:fill="E6E6E6"/>
          </w:tcPr>
          <w:p>
            <w:pPr>
              <w:spacing w:after="0"/>
              <w:rPr>
                <w:sz w:val="22"/>
                <w:szCs w:val="22"/>
                <w:color w:val="auto"/>
              </w:rPr>
            </w:pPr>
          </w:p>
        </w:tc>
        <w:tc>
          <w:tcPr>
            <w:tcW w:w="5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6E6E6"/>
            </w:tcBorders>
            <w:shd w:val="clear" w:color="auto" w:fill="E6E6E6"/>
          </w:tcPr>
          <w:p>
            <w:pPr>
              <w:spacing w:after="0"/>
              <w:rPr>
                <w:sz w:val="22"/>
                <w:szCs w:val="22"/>
                <w:color w:val="auto"/>
              </w:rPr>
            </w:pPr>
          </w:p>
        </w:tc>
        <w:tc>
          <w:tcPr>
            <w:tcW w:w="200" w:type="dxa"/>
            <w:vAlign w:val="bottom"/>
            <w:tcBorders>
              <w:bottom w:val="single" w:sz="8" w:color="E6E6E6"/>
            </w:tcBorders>
            <w:shd w:val="clear" w:color="auto" w:fill="E6E6E6"/>
          </w:tcPr>
          <w:p>
            <w:pPr>
              <w:spacing w:after="0"/>
              <w:rPr>
                <w:sz w:val="22"/>
                <w:szCs w:val="22"/>
                <w:color w:val="auto"/>
              </w:rPr>
            </w:pPr>
          </w:p>
        </w:tc>
        <w:tc>
          <w:tcPr>
            <w:tcW w:w="4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c>
          <w:tcPr>
            <w:tcW w:w="140" w:type="dxa"/>
            <w:vAlign w:val="bottom"/>
            <w:tcBorders>
              <w:bottom w:val="single" w:sz="8" w:color="E6E6E6"/>
            </w:tcBorders>
            <w:shd w:val="clear" w:color="auto" w:fill="E6E6E6"/>
          </w:tcPr>
          <w:p>
            <w:pPr>
              <w:spacing w:after="0"/>
              <w:rPr>
                <w:sz w:val="22"/>
                <w:szCs w:val="22"/>
                <w:color w:val="auto"/>
              </w:rPr>
            </w:pPr>
          </w:p>
        </w:tc>
        <w:tc>
          <w:tcPr>
            <w:tcW w:w="5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c>
          <w:tcPr>
            <w:tcW w:w="120" w:type="dxa"/>
            <w:vAlign w:val="bottom"/>
            <w:tcBorders>
              <w:bottom w:val="single" w:sz="8" w:color="E6E6E6"/>
            </w:tcBorders>
            <w:shd w:val="clear" w:color="auto" w:fill="E6E6E6"/>
          </w:tcPr>
          <w:p>
            <w:pPr>
              <w:spacing w:after="0"/>
              <w:rPr>
                <w:sz w:val="22"/>
                <w:szCs w:val="22"/>
                <w:color w:val="auto"/>
              </w:rPr>
            </w:pPr>
          </w:p>
        </w:tc>
        <w:tc>
          <w:tcPr>
            <w:tcW w:w="6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6E6E6"/>
            </w:tcBorders>
            <w:shd w:val="clear" w:color="auto" w:fill="E6E6E6"/>
          </w:tcPr>
          <w:p>
            <w:pPr>
              <w:spacing w:after="0"/>
              <w:rPr>
                <w:sz w:val="22"/>
                <w:szCs w:val="22"/>
                <w:color w:val="auto"/>
              </w:rPr>
            </w:pPr>
          </w:p>
        </w:tc>
        <w:tc>
          <w:tcPr>
            <w:tcW w:w="160" w:type="dxa"/>
            <w:vAlign w:val="bottom"/>
            <w:tcBorders>
              <w:bottom w:val="single" w:sz="8" w:color="E6E6E6"/>
            </w:tcBorders>
            <w:shd w:val="clear" w:color="auto" w:fill="E6E6E6"/>
          </w:tcPr>
          <w:p>
            <w:pPr>
              <w:spacing w:after="0"/>
              <w:rPr>
                <w:sz w:val="22"/>
                <w:szCs w:val="22"/>
                <w:color w:val="auto"/>
              </w:rPr>
            </w:pPr>
          </w:p>
        </w:tc>
        <w:tc>
          <w:tcPr>
            <w:tcW w:w="6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w w:val="93"/>
              </w:rPr>
              <w:t xml:space="preserve">Carlsbad Energy Holdings LLC, due 2027  </w:t>
            </w:r>
            <w:r>
              <w:rPr>
                <w:rFonts w:ascii="Arial" w:cs="Arial" w:eastAsia="Arial" w:hAnsi="Arial"/>
                <w:sz w:val="18"/>
                <w:szCs w:val="18"/>
                <w:color w:val="BDBDBD"/>
                <w:w w:val="93"/>
              </w:rPr>
              <w:t>. . . . . . . . . . . . . . . . .</w:t>
            </w:r>
          </w:p>
        </w:tc>
        <w:tc>
          <w:tcPr>
            <w:tcW w:w="1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Borders>
              <w:bottom w:val="single" w:sz="8" w:color="E6E6E6"/>
            </w:tcBorders>
            <w:shd w:val="clear" w:color="auto" w:fill="E6E6E6"/>
          </w:tcPr>
          <w:p>
            <w:pPr>
              <w:spacing w:after="0"/>
              <w:rPr>
                <w:sz w:val="22"/>
                <w:szCs w:val="22"/>
                <w:color w:val="auto"/>
              </w:rPr>
            </w:pPr>
          </w:p>
        </w:tc>
        <w:tc>
          <w:tcPr>
            <w:tcW w:w="4740" w:type="dxa"/>
            <w:vAlign w:val="bottom"/>
            <w:tcBorders>
              <w:bottom w:val="single" w:sz="8" w:color="E6E6E6"/>
            </w:tcBorders>
            <w:gridSpan w:val="2"/>
            <w:shd w:val="clear" w:color="auto" w:fill="E6E6E6"/>
          </w:tcPr>
          <w:p>
            <w:pPr>
              <w:spacing w:after="0"/>
              <w:rPr>
                <w:sz w:val="20"/>
                <w:szCs w:val="20"/>
                <w:color w:val="auto"/>
              </w:rPr>
            </w:pPr>
            <w:r>
              <w:rPr>
                <w:rFonts w:ascii="Arial" w:cs="Arial" w:eastAsia="Arial" w:hAnsi="Arial"/>
                <w:sz w:val="18"/>
                <w:szCs w:val="18"/>
                <w:color w:val="auto"/>
                <w:w w:val="92"/>
              </w:rPr>
              <w:t xml:space="preserve">Carlsbad Energy Holdings LLC, due 2038 </w:t>
            </w:r>
            <w:r>
              <w:rPr>
                <w:rFonts w:ascii="Arial" w:cs="Arial" w:eastAsia="Arial" w:hAnsi="Arial"/>
                <w:sz w:val="18"/>
                <w:szCs w:val="18"/>
                <w:color w:val="BDBDBD"/>
                <w:w w:val="92"/>
              </w:rPr>
              <w:t>. . . . . . . . . . . . . . . . . .</w:t>
            </w:r>
          </w:p>
        </w:tc>
        <w:tc>
          <w:tcPr>
            <w:tcW w:w="180" w:type="dxa"/>
            <w:vAlign w:val="bottom"/>
            <w:tcBorders>
              <w:bottom w:val="single" w:sz="8" w:color="E6E6E6"/>
            </w:tcBorders>
            <w:shd w:val="clear" w:color="auto" w:fill="E6E6E6"/>
          </w:tcPr>
          <w:p>
            <w:pPr>
              <w:spacing w:after="0"/>
              <w:rPr>
                <w:sz w:val="22"/>
                <w:szCs w:val="22"/>
                <w:color w:val="auto"/>
              </w:rPr>
            </w:pPr>
          </w:p>
        </w:tc>
        <w:tc>
          <w:tcPr>
            <w:tcW w:w="5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6E6E6"/>
            </w:tcBorders>
            <w:shd w:val="clear" w:color="auto" w:fill="E6E6E6"/>
          </w:tcPr>
          <w:p>
            <w:pPr>
              <w:spacing w:after="0"/>
              <w:rPr>
                <w:sz w:val="22"/>
                <w:szCs w:val="22"/>
                <w:color w:val="auto"/>
              </w:rPr>
            </w:pPr>
          </w:p>
        </w:tc>
        <w:tc>
          <w:tcPr>
            <w:tcW w:w="140" w:type="dxa"/>
            <w:vAlign w:val="bottom"/>
            <w:tcBorders>
              <w:bottom w:val="single" w:sz="8" w:color="E6E6E6"/>
            </w:tcBorders>
            <w:shd w:val="clear" w:color="auto" w:fill="E6E6E6"/>
          </w:tcPr>
          <w:p>
            <w:pPr>
              <w:spacing w:after="0"/>
              <w:rPr>
                <w:sz w:val="22"/>
                <w:szCs w:val="22"/>
                <w:color w:val="auto"/>
              </w:rPr>
            </w:pPr>
          </w:p>
        </w:tc>
        <w:tc>
          <w:tcPr>
            <w:tcW w:w="5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6E6E6"/>
            </w:tcBorders>
            <w:shd w:val="clear" w:color="auto" w:fill="E6E6E6"/>
          </w:tcPr>
          <w:p>
            <w:pPr>
              <w:spacing w:after="0"/>
              <w:rPr>
                <w:sz w:val="22"/>
                <w:szCs w:val="22"/>
                <w:color w:val="auto"/>
              </w:rPr>
            </w:pPr>
          </w:p>
        </w:tc>
        <w:tc>
          <w:tcPr>
            <w:tcW w:w="140" w:type="dxa"/>
            <w:vAlign w:val="bottom"/>
            <w:tcBorders>
              <w:bottom w:val="single" w:sz="8" w:color="E6E6E6"/>
            </w:tcBorders>
            <w:shd w:val="clear" w:color="auto" w:fill="E6E6E6"/>
          </w:tcPr>
          <w:p>
            <w:pPr>
              <w:spacing w:after="0"/>
              <w:rPr>
                <w:sz w:val="22"/>
                <w:szCs w:val="22"/>
                <w:color w:val="auto"/>
              </w:rPr>
            </w:pPr>
          </w:p>
        </w:tc>
        <w:tc>
          <w:tcPr>
            <w:tcW w:w="5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6E6E6"/>
            </w:tcBorders>
            <w:shd w:val="clear" w:color="auto" w:fill="E6E6E6"/>
          </w:tcPr>
          <w:p>
            <w:pPr>
              <w:spacing w:after="0"/>
              <w:rPr>
                <w:sz w:val="22"/>
                <w:szCs w:val="22"/>
                <w:color w:val="auto"/>
              </w:rPr>
            </w:pPr>
          </w:p>
        </w:tc>
        <w:tc>
          <w:tcPr>
            <w:tcW w:w="200" w:type="dxa"/>
            <w:vAlign w:val="bottom"/>
            <w:tcBorders>
              <w:bottom w:val="single" w:sz="8" w:color="E6E6E6"/>
            </w:tcBorders>
            <w:shd w:val="clear" w:color="auto" w:fill="E6E6E6"/>
          </w:tcPr>
          <w:p>
            <w:pPr>
              <w:spacing w:after="0"/>
              <w:rPr>
                <w:sz w:val="22"/>
                <w:szCs w:val="22"/>
                <w:color w:val="auto"/>
              </w:rPr>
            </w:pPr>
          </w:p>
        </w:tc>
        <w:tc>
          <w:tcPr>
            <w:tcW w:w="4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7</w:t>
            </w:r>
          </w:p>
        </w:tc>
        <w:tc>
          <w:tcPr>
            <w:tcW w:w="6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c>
          <w:tcPr>
            <w:tcW w:w="140" w:type="dxa"/>
            <w:vAlign w:val="bottom"/>
            <w:tcBorders>
              <w:bottom w:val="single" w:sz="8" w:color="E6E6E6"/>
            </w:tcBorders>
            <w:shd w:val="clear" w:color="auto" w:fill="E6E6E6"/>
          </w:tcPr>
          <w:p>
            <w:pPr>
              <w:spacing w:after="0"/>
              <w:rPr>
                <w:sz w:val="22"/>
                <w:szCs w:val="22"/>
                <w:color w:val="auto"/>
              </w:rPr>
            </w:pPr>
          </w:p>
        </w:tc>
        <w:tc>
          <w:tcPr>
            <w:tcW w:w="5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c>
          <w:tcPr>
            <w:tcW w:w="120" w:type="dxa"/>
            <w:vAlign w:val="bottom"/>
            <w:tcBorders>
              <w:bottom w:val="single" w:sz="8" w:color="E6E6E6"/>
            </w:tcBorders>
            <w:shd w:val="clear" w:color="auto" w:fill="E6E6E6"/>
          </w:tcPr>
          <w:p>
            <w:pPr>
              <w:spacing w:after="0"/>
              <w:rPr>
                <w:sz w:val="22"/>
                <w:szCs w:val="22"/>
                <w:color w:val="auto"/>
              </w:rPr>
            </w:pPr>
          </w:p>
        </w:tc>
        <w:tc>
          <w:tcPr>
            <w:tcW w:w="6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375</w:t>
            </w:r>
          </w:p>
        </w:tc>
        <w:tc>
          <w:tcPr>
            <w:tcW w:w="80" w:type="dxa"/>
            <w:vAlign w:val="bottom"/>
            <w:tcBorders>
              <w:bottom w:val="single" w:sz="8" w:color="E6E6E6"/>
            </w:tcBorders>
            <w:shd w:val="clear" w:color="auto" w:fill="E6E6E6"/>
          </w:tcPr>
          <w:p>
            <w:pPr>
              <w:spacing w:after="0"/>
              <w:rPr>
                <w:sz w:val="22"/>
                <w:szCs w:val="22"/>
                <w:color w:val="auto"/>
              </w:rPr>
            </w:pPr>
          </w:p>
        </w:tc>
        <w:tc>
          <w:tcPr>
            <w:tcW w:w="160" w:type="dxa"/>
            <w:vAlign w:val="bottom"/>
            <w:tcBorders>
              <w:bottom w:val="single" w:sz="8" w:color="E6E6E6"/>
            </w:tcBorders>
            <w:shd w:val="clear" w:color="auto" w:fill="E6E6E6"/>
          </w:tcPr>
          <w:p>
            <w:pPr>
              <w:spacing w:after="0"/>
              <w:rPr>
                <w:sz w:val="22"/>
                <w:szCs w:val="22"/>
                <w:color w:val="auto"/>
              </w:rPr>
            </w:pPr>
          </w:p>
        </w:tc>
        <w:tc>
          <w:tcPr>
            <w:tcW w:w="6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w w:val="92"/>
              </w:rPr>
              <w:t xml:space="preserve">Carlsbad Holdco, LLC, due 2038 </w:t>
            </w:r>
            <w:r>
              <w:rPr>
                <w:rFonts w:ascii="Arial" w:cs="Arial" w:eastAsia="Arial" w:hAnsi="Arial"/>
                <w:sz w:val="18"/>
                <w:szCs w:val="18"/>
                <w:color w:val="BDBDBD"/>
                <w:w w:val="92"/>
              </w:rPr>
              <w:t>. . . . . . . . . . . . . . . . . . . . . . . . .</w:t>
            </w:r>
          </w:p>
        </w:tc>
        <w:tc>
          <w:tcPr>
            <w:tcW w:w="1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0" w:type="dxa"/>
            <w:vAlign w:val="bottom"/>
            <w:shd w:val="clear" w:color="auto" w:fill="E6E6E6"/>
          </w:tcPr>
          <w:p>
            <w:pPr>
              <w:spacing w:after="0"/>
              <w:rPr>
                <w:sz w:val="24"/>
                <w:szCs w:val="24"/>
                <w:color w:val="auto"/>
              </w:rPr>
            </w:pPr>
          </w:p>
        </w:tc>
        <w:tc>
          <w:tcPr>
            <w:tcW w:w="4740" w:type="dxa"/>
            <w:vAlign w:val="bottom"/>
            <w:gridSpan w:val="2"/>
            <w:shd w:val="clear" w:color="auto" w:fill="E6E6E6"/>
          </w:tcPr>
          <w:p>
            <w:pPr>
              <w:spacing w:after="0"/>
              <w:rPr>
                <w:sz w:val="20"/>
                <w:szCs w:val="20"/>
                <w:color w:val="auto"/>
              </w:rPr>
            </w:pPr>
            <w:r>
              <w:rPr>
                <w:rFonts w:ascii="Arial" w:cs="Arial" w:eastAsia="Arial" w:hAnsi="Arial"/>
                <w:sz w:val="18"/>
                <w:szCs w:val="18"/>
                <w:color w:val="auto"/>
                <w:w w:val="90"/>
              </w:rPr>
              <w:t xml:space="preserve">Cedro Hill, due 2024 and 2029 </w:t>
            </w:r>
            <w:r>
              <w:rPr>
                <w:rFonts w:ascii="Arial" w:cs="Arial" w:eastAsia="Arial" w:hAnsi="Arial"/>
                <w:sz w:val="23"/>
                <w:szCs w:val="23"/>
                <w:color w:val="auto"/>
                <w:w w:val="90"/>
                <w:vertAlign w:val="superscript"/>
              </w:rPr>
              <w:t>(a)</w:t>
            </w:r>
            <w:r>
              <w:rPr>
                <w:rFonts w:ascii="Arial" w:cs="Arial" w:eastAsia="Arial" w:hAnsi="Arial"/>
                <w:sz w:val="18"/>
                <w:szCs w:val="18"/>
                <w:color w:val="auto"/>
                <w:w w:val="90"/>
              </w:rPr>
              <w:t xml:space="preserve">  </w:t>
            </w:r>
            <w:r>
              <w:rPr>
                <w:rFonts w:ascii="Arial" w:cs="Arial" w:eastAsia="Arial" w:hAnsi="Arial"/>
                <w:sz w:val="18"/>
                <w:szCs w:val="18"/>
                <w:color w:val="BDBDBD"/>
                <w:w w:val="90"/>
              </w:rPr>
              <w:t>. . . . . . . . . . . . . . . . . . . . . . . . .</w:t>
            </w:r>
          </w:p>
        </w:tc>
        <w:tc>
          <w:tcPr>
            <w:tcW w:w="180" w:type="dxa"/>
            <w:vAlign w:val="bottom"/>
            <w:shd w:val="clear" w:color="auto" w:fill="E6E6E6"/>
          </w:tcPr>
          <w:p>
            <w:pPr>
              <w:spacing w:after="0"/>
              <w:rPr>
                <w:sz w:val="24"/>
                <w:szCs w:val="24"/>
                <w:color w:val="auto"/>
              </w:rPr>
            </w:pPr>
          </w:p>
        </w:tc>
        <w:tc>
          <w:tcPr>
            <w:tcW w:w="5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165</w:t>
            </w:r>
          </w:p>
        </w:tc>
        <w:tc>
          <w:tcPr>
            <w:tcW w:w="8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5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5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4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5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20" w:type="dxa"/>
            <w:vAlign w:val="bottom"/>
            <w:shd w:val="clear" w:color="auto" w:fill="E6E6E6"/>
          </w:tcPr>
          <w:p>
            <w:pPr>
              <w:spacing w:after="0"/>
              <w:rPr>
                <w:sz w:val="24"/>
                <w:szCs w:val="24"/>
                <w:color w:val="auto"/>
              </w:rPr>
            </w:pPr>
          </w:p>
        </w:tc>
        <w:tc>
          <w:tcPr>
            <w:tcW w:w="6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6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w w:val="91"/>
              </w:rPr>
              <w:t xml:space="preserve">Crofton Bluffs, due 2031 </w:t>
            </w:r>
            <w:r>
              <w:rPr>
                <w:rFonts w:ascii="Arial" w:cs="Arial" w:eastAsia="Arial" w:hAnsi="Arial"/>
                <w:sz w:val="18"/>
                <w:szCs w:val="18"/>
                <w:color w:val="BDBDBD"/>
                <w:w w:val="91"/>
              </w:rPr>
              <w:t>. . . . . . . . . . . . . . . . . . . . . . . . . . . . . . . .</w:t>
            </w:r>
          </w:p>
        </w:tc>
        <w:tc>
          <w:tcPr>
            <w:tcW w:w="1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
        </w:trPr>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Borders>
              <w:bottom w:val="single" w:sz="8" w:color="E6E6E6"/>
            </w:tcBorders>
            <w:shd w:val="clear" w:color="auto" w:fill="E6E6E6"/>
          </w:tcPr>
          <w:p>
            <w:pPr>
              <w:spacing w:after="0"/>
              <w:rPr>
                <w:sz w:val="22"/>
                <w:szCs w:val="22"/>
                <w:color w:val="auto"/>
              </w:rPr>
            </w:pPr>
          </w:p>
        </w:tc>
        <w:tc>
          <w:tcPr>
            <w:tcW w:w="4740" w:type="dxa"/>
            <w:vAlign w:val="bottom"/>
            <w:tcBorders>
              <w:bottom w:val="single" w:sz="8" w:color="E6E6E6"/>
            </w:tcBorders>
            <w:gridSpan w:val="2"/>
            <w:shd w:val="clear" w:color="auto" w:fill="E6E6E6"/>
          </w:tcPr>
          <w:p>
            <w:pPr>
              <w:spacing w:after="0"/>
              <w:rPr>
                <w:sz w:val="20"/>
                <w:szCs w:val="20"/>
                <w:color w:val="auto"/>
              </w:rPr>
            </w:pPr>
            <w:r>
              <w:rPr>
                <w:rFonts w:ascii="Arial" w:cs="Arial" w:eastAsia="Arial" w:hAnsi="Arial"/>
                <w:sz w:val="18"/>
                <w:szCs w:val="18"/>
                <w:color w:val="auto"/>
                <w:w w:val="91"/>
              </w:rPr>
              <w:t xml:space="preserve">CVSR, due 2037 </w:t>
            </w:r>
            <w:r>
              <w:rPr>
                <w:rFonts w:ascii="Arial" w:cs="Arial" w:eastAsia="Arial" w:hAnsi="Arial"/>
                <w:sz w:val="18"/>
                <w:szCs w:val="18"/>
                <w:color w:val="BDBDBD"/>
                <w:w w:val="91"/>
              </w:rPr>
              <w:t>. . . . . . . . . . . . . . . . . . . . . . . . . . . . . . . . . . . . . .</w:t>
            </w:r>
          </w:p>
        </w:tc>
        <w:tc>
          <w:tcPr>
            <w:tcW w:w="180" w:type="dxa"/>
            <w:vAlign w:val="bottom"/>
            <w:tcBorders>
              <w:bottom w:val="single" w:sz="8" w:color="E6E6E6"/>
            </w:tcBorders>
            <w:shd w:val="clear" w:color="auto" w:fill="E6E6E6"/>
          </w:tcPr>
          <w:p>
            <w:pPr>
              <w:spacing w:after="0"/>
              <w:rPr>
                <w:sz w:val="22"/>
                <w:szCs w:val="22"/>
                <w:color w:val="auto"/>
              </w:rPr>
            </w:pPr>
          </w:p>
        </w:tc>
        <w:tc>
          <w:tcPr>
            <w:tcW w:w="5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bottom w:val="single" w:sz="8" w:color="E6E6E6"/>
            </w:tcBorders>
            <w:shd w:val="clear" w:color="auto" w:fill="E6E6E6"/>
          </w:tcPr>
          <w:p>
            <w:pPr>
              <w:spacing w:after="0"/>
              <w:rPr>
                <w:sz w:val="22"/>
                <w:szCs w:val="22"/>
                <w:color w:val="auto"/>
              </w:rPr>
            </w:pPr>
          </w:p>
        </w:tc>
        <w:tc>
          <w:tcPr>
            <w:tcW w:w="140" w:type="dxa"/>
            <w:vAlign w:val="bottom"/>
            <w:tcBorders>
              <w:bottom w:val="single" w:sz="8" w:color="E6E6E6"/>
            </w:tcBorders>
            <w:shd w:val="clear" w:color="auto" w:fill="E6E6E6"/>
          </w:tcPr>
          <w:p>
            <w:pPr>
              <w:spacing w:after="0"/>
              <w:rPr>
                <w:sz w:val="22"/>
                <w:szCs w:val="22"/>
                <w:color w:val="auto"/>
              </w:rPr>
            </w:pPr>
          </w:p>
        </w:tc>
        <w:tc>
          <w:tcPr>
            <w:tcW w:w="5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30</w:t>
            </w:r>
          </w:p>
        </w:tc>
        <w:tc>
          <w:tcPr>
            <w:tcW w:w="80" w:type="dxa"/>
            <w:vAlign w:val="bottom"/>
            <w:tcBorders>
              <w:bottom w:val="single" w:sz="8" w:color="E6E6E6"/>
            </w:tcBorders>
            <w:shd w:val="clear" w:color="auto" w:fill="E6E6E6"/>
          </w:tcPr>
          <w:p>
            <w:pPr>
              <w:spacing w:after="0"/>
              <w:rPr>
                <w:sz w:val="22"/>
                <w:szCs w:val="22"/>
                <w:color w:val="auto"/>
              </w:rPr>
            </w:pPr>
          </w:p>
        </w:tc>
        <w:tc>
          <w:tcPr>
            <w:tcW w:w="140" w:type="dxa"/>
            <w:vAlign w:val="bottom"/>
            <w:tcBorders>
              <w:bottom w:val="single" w:sz="8" w:color="E6E6E6"/>
            </w:tcBorders>
            <w:shd w:val="clear" w:color="auto" w:fill="E6E6E6"/>
          </w:tcPr>
          <w:p>
            <w:pPr>
              <w:spacing w:after="0"/>
              <w:rPr>
                <w:sz w:val="22"/>
                <w:szCs w:val="22"/>
                <w:color w:val="auto"/>
              </w:rPr>
            </w:pPr>
          </w:p>
        </w:tc>
        <w:tc>
          <w:tcPr>
            <w:tcW w:w="5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32</w:t>
            </w:r>
          </w:p>
        </w:tc>
        <w:tc>
          <w:tcPr>
            <w:tcW w:w="80" w:type="dxa"/>
            <w:vAlign w:val="bottom"/>
            <w:tcBorders>
              <w:bottom w:val="single" w:sz="8" w:color="E6E6E6"/>
            </w:tcBorders>
            <w:shd w:val="clear" w:color="auto" w:fill="E6E6E6"/>
          </w:tcPr>
          <w:p>
            <w:pPr>
              <w:spacing w:after="0"/>
              <w:rPr>
                <w:sz w:val="22"/>
                <w:szCs w:val="22"/>
                <w:color w:val="auto"/>
              </w:rPr>
            </w:pPr>
          </w:p>
        </w:tc>
        <w:tc>
          <w:tcPr>
            <w:tcW w:w="200" w:type="dxa"/>
            <w:vAlign w:val="bottom"/>
            <w:tcBorders>
              <w:bottom w:val="single" w:sz="8" w:color="E6E6E6"/>
            </w:tcBorders>
            <w:shd w:val="clear" w:color="auto" w:fill="E6E6E6"/>
          </w:tcPr>
          <w:p>
            <w:pPr>
              <w:spacing w:after="0"/>
              <w:rPr>
                <w:sz w:val="22"/>
                <w:szCs w:val="22"/>
                <w:color w:val="auto"/>
              </w:rPr>
            </w:pPr>
          </w:p>
        </w:tc>
        <w:tc>
          <w:tcPr>
            <w:tcW w:w="4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35</w:t>
            </w:r>
          </w:p>
        </w:tc>
        <w:tc>
          <w:tcPr>
            <w:tcW w:w="6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c>
          <w:tcPr>
            <w:tcW w:w="140" w:type="dxa"/>
            <w:vAlign w:val="bottom"/>
            <w:tcBorders>
              <w:bottom w:val="single" w:sz="8" w:color="E6E6E6"/>
            </w:tcBorders>
            <w:shd w:val="clear" w:color="auto" w:fill="E6E6E6"/>
          </w:tcPr>
          <w:p>
            <w:pPr>
              <w:spacing w:after="0"/>
              <w:rPr>
                <w:sz w:val="22"/>
                <w:szCs w:val="22"/>
                <w:color w:val="auto"/>
              </w:rPr>
            </w:pPr>
          </w:p>
        </w:tc>
        <w:tc>
          <w:tcPr>
            <w:tcW w:w="5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37</w:t>
            </w:r>
          </w:p>
        </w:tc>
        <w:tc>
          <w:tcPr>
            <w:tcW w:w="8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c>
          <w:tcPr>
            <w:tcW w:w="120" w:type="dxa"/>
            <w:vAlign w:val="bottom"/>
            <w:tcBorders>
              <w:bottom w:val="single" w:sz="8" w:color="E6E6E6"/>
            </w:tcBorders>
            <w:shd w:val="clear" w:color="auto" w:fill="E6E6E6"/>
          </w:tcPr>
          <w:p>
            <w:pPr>
              <w:spacing w:after="0"/>
              <w:rPr>
                <w:sz w:val="22"/>
                <w:szCs w:val="22"/>
                <w:color w:val="auto"/>
              </w:rPr>
            </w:pPr>
          </w:p>
        </w:tc>
        <w:tc>
          <w:tcPr>
            <w:tcW w:w="6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439</w:t>
            </w:r>
          </w:p>
        </w:tc>
        <w:tc>
          <w:tcPr>
            <w:tcW w:w="80" w:type="dxa"/>
            <w:vAlign w:val="bottom"/>
            <w:tcBorders>
              <w:bottom w:val="single" w:sz="8" w:color="E6E6E6"/>
            </w:tcBorders>
            <w:shd w:val="clear" w:color="auto" w:fill="E6E6E6"/>
          </w:tcPr>
          <w:p>
            <w:pPr>
              <w:spacing w:after="0"/>
              <w:rPr>
                <w:sz w:val="22"/>
                <w:szCs w:val="22"/>
                <w:color w:val="auto"/>
              </w:rPr>
            </w:pPr>
          </w:p>
        </w:tc>
        <w:tc>
          <w:tcPr>
            <w:tcW w:w="160" w:type="dxa"/>
            <w:vAlign w:val="bottom"/>
            <w:tcBorders>
              <w:bottom w:val="single" w:sz="8" w:color="E6E6E6"/>
            </w:tcBorders>
            <w:shd w:val="clear" w:color="auto" w:fill="E6E6E6"/>
          </w:tcPr>
          <w:p>
            <w:pPr>
              <w:spacing w:after="0"/>
              <w:rPr>
                <w:sz w:val="22"/>
                <w:szCs w:val="22"/>
                <w:color w:val="auto"/>
              </w:rPr>
            </w:pPr>
          </w:p>
        </w:tc>
        <w:tc>
          <w:tcPr>
            <w:tcW w:w="6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w w:val="91"/>
              </w:rPr>
              <w:t xml:space="preserve">CVSR Holdco Notes, due 2037 </w:t>
            </w:r>
            <w:r>
              <w:rPr>
                <w:rFonts w:ascii="Arial" w:cs="Arial" w:eastAsia="Arial" w:hAnsi="Arial"/>
                <w:sz w:val="18"/>
                <w:szCs w:val="18"/>
                <w:color w:val="BDBDBD"/>
                <w:w w:val="91"/>
              </w:rPr>
              <w:t>. . . . . . . . . . . . . . . . . . . . . . . . . . .</w:t>
            </w:r>
          </w:p>
        </w:tc>
        <w:tc>
          <w:tcPr>
            <w:tcW w:w="1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3"/>
        </w:trPr>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Borders>
              <w:bottom w:val="single" w:sz="8" w:color="E6E6E6"/>
            </w:tcBorders>
            <w:shd w:val="clear" w:color="auto" w:fill="E6E6E6"/>
          </w:tcPr>
          <w:p>
            <w:pPr>
              <w:spacing w:after="0"/>
              <w:rPr>
                <w:sz w:val="22"/>
                <w:szCs w:val="22"/>
                <w:color w:val="auto"/>
              </w:rPr>
            </w:pPr>
          </w:p>
        </w:tc>
        <w:tc>
          <w:tcPr>
            <w:tcW w:w="4740" w:type="dxa"/>
            <w:vAlign w:val="bottom"/>
            <w:tcBorders>
              <w:bottom w:val="single" w:sz="8" w:color="E6E6E6"/>
            </w:tcBorders>
            <w:gridSpan w:val="2"/>
            <w:shd w:val="clear" w:color="auto" w:fill="E6E6E6"/>
          </w:tcPr>
          <w:p>
            <w:pPr>
              <w:spacing w:after="0"/>
              <w:rPr>
                <w:sz w:val="20"/>
                <w:szCs w:val="20"/>
                <w:color w:val="auto"/>
              </w:rPr>
            </w:pPr>
            <w:r>
              <w:rPr>
                <w:rFonts w:ascii="Arial" w:cs="Arial" w:eastAsia="Arial" w:hAnsi="Arial"/>
                <w:sz w:val="18"/>
                <w:szCs w:val="18"/>
                <w:color w:val="auto"/>
                <w:w w:val="90"/>
              </w:rPr>
              <w:t xml:space="preserve">Daggett 2, due 2028 </w:t>
            </w:r>
            <w:r>
              <w:rPr>
                <w:rFonts w:ascii="Arial" w:cs="Arial" w:eastAsia="Arial" w:hAnsi="Arial"/>
                <w:sz w:val="18"/>
                <w:szCs w:val="18"/>
                <w:color w:val="BDBDBD"/>
                <w:w w:val="90"/>
              </w:rPr>
              <w:t>. . . . . . . . . . . . . . . . . . . . . . . . . . . . . . . . . . . .</w:t>
            </w:r>
          </w:p>
        </w:tc>
        <w:tc>
          <w:tcPr>
            <w:tcW w:w="180" w:type="dxa"/>
            <w:vAlign w:val="bottom"/>
            <w:tcBorders>
              <w:bottom w:val="single" w:sz="8" w:color="E6E6E6"/>
            </w:tcBorders>
            <w:shd w:val="clear" w:color="auto" w:fill="E6E6E6"/>
          </w:tcPr>
          <w:p>
            <w:pPr>
              <w:spacing w:after="0"/>
              <w:rPr>
                <w:sz w:val="22"/>
                <w:szCs w:val="22"/>
                <w:color w:val="auto"/>
              </w:rPr>
            </w:pPr>
          </w:p>
        </w:tc>
        <w:tc>
          <w:tcPr>
            <w:tcW w:w="5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E6E6E6"/>
            </w:tcBorders>
            <w:shd w:val="clear" w:color="auto" w:fill="E6E6E6"/>
          </w:tcPr>
          <w:p>
            <w:pPr>
              <w:spacing w:after="0"/>
              <w:rPr>
                <w:sz w:val="22"/>
                <w:szCs w:val="22"/>
                <w:color w:val="auto"/>
              </w:rPr>
            </w:pPr>
          </w:p>
        </w:tc>
        <w:tc>
          <w:tcPr>
            <w:tcW w:w="140" w:type="dxa"/>
            <w:vAlign w:val="bottom"/>
            <w:tcBorders>
              <w:bottom w:val="single" w:sz="8" w:color="E6E6E6"/>
            </w:tcBorders>
            <w:shd w:val="clear" w:color="auto" w:fill="E6E6E6"/>
          </w:tcPr>
          <w:p>
            <w:pPr>
              <w:spacing w:after="0"/>
              <w:rPr>
                <w:sz w:val="22"/>
                <w:szCs w:val="22"/>
                <w:color w:val="auto"/>
              </w:rPr>
            </w:pPr>
          </w:p>
        </w:tc>
        <w:tc>
          <w:tcPr>
            <w:tcW w:w="5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E6E6E6"/>
            </w:tcBorders>
            <w:shd w:val="clear" w:color="auto" w:fill="E6E6E6"/>
          </w:tcPr>
          <w:p>
            <w:pPr>
              <w:spacing w:after="0"/>
              <w:rPr>
                <w:sz w:val="22"/>
                <w:szCs w:val="22"/>
                <w:color w:val="auto"/>
              </w:rPr>
            </w:pPr>
          </w:p>
        </w:tc>
        <w:tc>
          <w:tcPr>
            <w:tcW w:w="140" w:type="dxa"/>
            <w:vAlign w:val="bottom"/>
            <w:tcBorders>
              <w:bottom w:val="single" w:sz="8" w:color="E6E6E6"/>
            </w:tcBorders>
            <w:shd w:val="clear" w:color="auto" w:fill="E6E6E6"/>
          </w:tcPr>
          <w:p>
            <w:pPr>
              <w:spacing w:after="0"/>
              <w:rPr>
                <w:sz w:val="22"/>
                <w:szCs w:val="22"/>
                <w:color w:val="auto"/>
              </w:rPr>
            </w:pPr>
          </w:p>
        </w:tc>
        <w:tc>
          <w:tcPr>
            <w:tcW w:w="5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E6E6E6"/>
            </w:tcBorders>
            <w:shd w:val="clear" w:color="auto" w:fill="E6E6E6"/>
          </w:tcPr>
          <w:p>
            <w:pPr>
              <w:spacing w:after="0"/>
              <w:rPr>
                <w:sz w:val="22"/>
                <w:szCs w:val="22"/>
                <w:color w:val="auto"/>
              </w:rPr>
            </w:pPr>
          </w:p>
        </w:tc>
        <w:tc>
          <w:tcPr>
            <w:tcW w:w="200" w:type="dxa"/>
            <w:vAlign w:val="bottom"/>
            <w:tcBorders>
              <w:bottom w:val="single" w:sz="8" w:color="E6E6E6"/>
            </w:tcBorders>
            <w:shd w:val="clear" w:color="auto" w:fill="E6E6E6"/>
          </w:tcPr>
          <w:p>
            <w:pPr>
              <w:spacing w:after="0"/>
              <w:rPr>
                <w:sz w:val="22"/>
                <w:szCs w:val="22"/>
                <w:color w:val="auto"/>
              </w:rPr>
            </w:pPr>
          </w:p>
        </w:tc>
        <w:tc>
          <w:tcPr>
            <w:tcW w:w="4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c>
          <w:tcPr>
            <w:tcW w:w="140" w:type="dxa"/>
            <w:vAlign w:val="bottom"/>
            <w:tcBorders>
              <w:bottom w:val="single" w:sz="8" w:color="E6E6E6"/>
            </w:tcBorders>
            <w:shd w:val="clear" w:color="auto" w:fill="E6E6E6"/>
          </w:tcPr>
          <w:p>
            <w:pPr>
              <w:spacing w:after="0"/>
              <w:rPr>
                <w:sz w:val="22"/>
                <w:szCs w:val="22"/>
                <w:color w:val="auto"/>
              </w:rPr>
            </w:pPr>
          </w:p>
        </w:tc>
        <w:tc>
          <w:tcPr>
            <w:tcW w:w="5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152</w:t>
            </w:r>
          </w:p>
        </w:tc>
        <w:tc>
          <w:tcPr>
            <w:tcW w:w="8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c>
          <w:tcPr>
            <w:tcW w:w="120" w:type="dxa"/>
            <w:vAlign w:val="bottom"/>
            <w:tcBorders>
              <w:bottom w:val="single" w:sz="8" w:color="E6E6E6"/>
            </w:tcBorders>
            <w:shd w:val="clear" w:color="auto" w:fill="E6E6E6"/>
          </w:tcPr>
          <w:p>
            <w:pPr>
              <w:spacing w:after="0"/>
              <w:rPr>
                <w:sz w:val="22"/>
                <w:szCs w:val="22"/>
                <w:color w:val="auto"/>
              </w:rPr>
            </w:pPr>
          </w:p>
        </w:tc>
        <w:tc>
          <w:tcPr>
            <w:tcW w:w="6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6E6E6"/>
            </w:tcBorders>
            <w:shd w:val="clear" w:color="auto" w:fill="E6E6E6"/>
          </w:tcPr>
          <w:p>
            <w:pPr>
              <w:spacing w:after="0"/>
              <w:rPr>
                <w:sz w:val="22"/>
                <w:szCs w:val="22"/>
                <w:color w:val="auto"/>
              </w:rPr>
            </w:pPr>
          </w:p>
        </w:tc>
        <w:tc>
          <w:tcPr>
            <w:tcW w:w="160" w:type="dxa"/>
            <w:vAlign w:val="bottom"/>
            <w:tcBorders>
              <w:bottom w:val="single" w:sz="8" w:color="E6E6E6"/>
            </w:tcBorders>
            <w:shd w:val="clear" w:color="auto" w:fill="E6E6E6"/>
          </w:tcPr>
          <w:p>
            <w:pPr>
              <w:spacing w:after="0"/>
              <w:rPr>
                <w:sz w:val="22"/>
                <w:szCs w:val="22"/>
                <w:color w:val="auto"/>
              </w:rPr>
            </w:pPr>
          </w:p>
        </w:tc>
        <w:tc>
          <w:tcPr>
            <w:tcW w:w="6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w w:val="90"/>
              </w:rPr>
              <w:t xml:space="preserve">Daggett 3, due 2028 </w:t>
            </w:r>
            <w:r>
              <w:rPr>
                <w:rFonts w:ascii="Arial" w:cs="Arial" w:eastAsia="Arial" w:hAnsi="Arial"/>
                <w:sz w:val="18"/>
                <w:szCs w:val="18"/>
                <w:color w:val="BDBDBD"/>
                <w:w w:val="90"/>
              </w:rPr>
              <w:t>. . . . . . . . . . . . . . . . . . . . . . . . . . . . . . . . . . . .</w:t>
            </w:r>
          </w:p>
        </w:tc>
        <w:tc>
          <w:tcPr>
            <w:tcW w:w="1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217</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3"/>
        </w:trPr>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Borders>
              <w:bottom w:val="single" w:sz="8" w:color="E6E6E6"/>
            </w:tcBorders>
            <w:shd w:val="clear" w:color="auto" w:fill="E6E6E6"/>
          </w:tcPr>
          <w:p>
            <w:pPr>
              <w:spacing w:after="0"/>
              <w:rPr>
                <w:sz w:val="22"/>
                <w:szCs w:val="22"/>
                <w:color w:val="auto"/>
              </w:rPr>
            </w:pPr>
          </w:p>
        </w:tc>
        <w:tc>
          <w:tcPr>
            <w:tcW w:w="4740" w:type="dxa"/>
            <w:vAlign w:val="bottom"/>
            <w:tcBorders>
              <w:bottom w:val="single" w:sz="8" w:color="E6E6E6"/>
            </w:tcBorders>
            <w:gridSpan w:val="2"/>
            <w:shd w:val="clear" w:color="auto" w:fill="E6E6E6"/>
          </w:tcPr>
          <w:p>
            <w:pPr>
              <w:spacing w:after="0"/>
              <w:rPr>
                <w:sz w:val="20"/>
                <w:szCs w:val="20"/>
                <w:color w:val="auto"/>
              </w:rPr>
            </w:pPr>
            <w:r>
              <w:rPr>
                <w:rFonts w:ascii="Arial" w:cs="Arial" w:eastAsia="Arial" w:hAnsi="Arial"/>
                <w:sz w:val="18"/>
                <w:szCs w:val="18"/>
                <w:color w:val="auto"/>
                <w:w w:val="92"/>
              </w:rPr>
              <w:t xml:space="preserve">DG-CS Master Borrower LLC, due 2040 </w:t>
            </w:r>
            <w:r>
              <w:rPr>
                <w:rFonts w:ascii="Arial" w:cs="Arial" w:eastAsia="Arial" w:hAnsi="Arial"/>
                <w:sz w:val="18"/>
                <w:szCs w:val="18"/>
                <w:color w:val="BDBDBD"/>
                <w:w w:val="92"/>
              </w:rPr>
              <w:t>. . . . . . . . . . . . . . . . . . .</w:t>
            </w:r>
          </w:p>
        </w:tc>
        <w:tc>
          <w:tcPr>
            <w:tcW w:w="180" w:type="dxa"/>
            <w:vAlign w:val="bottom"/>
            <w:tcBorders>
              <w:bottom w:val="single" w:sz="8" w:color="E6E6E6"/>
            </w:tcBorders>
            <w:shd w:val="clear" w:color="auto" w:fill="E6E6E6"/>
          </w:tcPr>
          <w:p>
            <w:pPr>
              <w:spacing w:after="0"/>
              <w:rPr>
                <w:sz w:val="22"/>
                <w:szCs w:val="22"/>
                <w:color w:val="auto"/>
              </w:rPr>
            </w:pPr>
          </w:p>
        </w:tc>
        <w:tc>
          <w:tcPr>
            <w:tcW w:w="5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29</w:t>
            </w:r>
          </w:p>
        </w:tc>
        <w:tc>
          <w:tcPr>
            <w:tcW w:w="80" w:type="dxa"/>
            <w:vAlign w:val="bottom"/>
            <w:tcBorders>
              <w:bottom w:val="single" w:sz="8" w:color="E6E6E6"/>
            </w:tcBorders>
            <w:shd w:val="clear" w:color="auto" w:fill="E6E6E6"/>
          </w:tcPr>
          <w:p>
            <w:pPr>
              <w:spacing w:after="0"/>
              <w:rPr>
                <w:sz w:val="22"/>
                <w:szCs w:val="22"/>
                <w:color w:val="auto"/>
              </w:rPr>
            </w:pPr>
          </w:p>
        </w:tc>
        <w:tc>
          <w:tcPr>
            <w:tcW w:w="140" w:type="dxa"/>
            <w:vAlign w:val="bottom"/>
            <w:tcBorders>
              <w:bottom w:val="single" w:sz="8" w:color="E6E6E6"/>
            </w:tcBorders>
            <w:shd w:val="clear" w:color="auto" w:fill="E6E6E6"/>
          </w:tcPr>
          <w:p>
            <w:pPr>
              <w:spacing w:after="0"/>
              <w:rPr>
                <w:sz w:val="22"/>
                <w:szCs w:val="22"/>
                <w:color w:val="auto"/>
              </w:rPr>
            </w:pPr>
          </w:p>
        </w:tc>
        <w:tc>
          <w:tcPr>
            <w:tcW w:w="5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30</w:t>
            </w:r>
          </w:p>
        </w:tc>
        <w:tc>
          <w:tcPr>
            <w:tcW w:w="80" w:type="dxa"/>
            <w:vAlign w:val="bottom"/>
            <w:tcBorders>
              <w:bottom w:val="single" w:sz="8" w:color="E6E6E6"/>
            </w:tcBorders>
            <w:shd w:val="clear" w:color="auto" w:fill="E6E6E6"/>
          </w:tcPr>
          <w:p>
            <w:pPr>
              <w:spacing w:after="0"/>
              <w:rPr>
                <w:sz w:val="22"/>
                <w:szCs w:val="22"/>
                <w:color w:val="auto"/>
              </w:rPr>
            </w:pPr>
          </w:p>
        </w:tc>
        <w:tc>
          <w:tcPr>
            <w:tcW w:w="140" w:type="dxa"/>
            <w:vAlign w:val="bottom"/>
            <w:tcBorders>
              <w:bottom w:val="single" w:sz="8" w:color="E6E6E6"/>
            </w:tcBorders>
            <w:shd w:val="clear" w:color="auto" w:fill="E6E6E6"/>
          </w:tcPr>
          <w:p>
            <w:pPr>
              <w:spacing w:after="0"/>
              <w:rPr>
                <w:sz w:val="22"/>
                <w:szCs w:val="22"/>
                <w:color w:val="auto"/>
              </w:rPr>
            </w:pPr>
          </w:p>
        </w:tc>
        <w:tc>
          <w:tcPr>
            <w:tcW w:w="5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30</w:t>
            </w:r>
          </w:p>
        </w:tc>
        <w:tc>
          <w:tcPr>
            <w:tcW w:w="80" w:type="dxa"/>
            <w:vAlign w:val="bottom"/>
            <w:tcBorders>
              <w:bottom w:val="single" w:sz="8" w:color="E6E6E6"/>
            </w:tcBorders>
            <w:shd w:val="clear" w:color="auto" w:fill="E6E6E6"/>
          </w:tcPr>
          <w:p>
            <w:pPr>
              <w:spacing w:after="0"/>
              <w:rPr>
                <w:sz w:val="22"/>
                <w:szCs w:val="22"/>
                <w:color w:val="auto"/>
              </w:rPr>
            </w:pPr>
          </w:p>
        </w:tc>
        <w:tc>
          <w:tcPr>
            <w:tcW w:w="200" w:type="dxa"/>
            <w:vAlign w:val="bottom"/>
            <w:tcBorders>
              <w:bottom w:val="single" w:sz="8" w:color="E6E6E6"/>
            </w:tcBorders>
            <w:shd w:val="clear" w:color="auto" w:fill="E6E6E6"/>
          </w:tcPr>
          <w:p>
            <w:pPr>
              <w:spacing w:after="0"/>
              <w:rPr>
                <w:sz w:val="22"/>
                <w:szCs w:val="22"/>
                <w:color w:val="auto"/>
              </w:rPr>
            </w:pPr>
          </w:p>
        </w:tc>
        <w:tc>
          <w:tcPr>
            <w:tcW w:w="4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28</w:t>
            </w:r>
          </w:p>
        </w:tc>
        <w:tc>
          <w:tcPr>
            <w:tcW w:w="6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c>
          <w:tcPr>
            <w:tcW w:w="140" w:type="dxa"/>
            <w:vAlign w:val="bottom"/>
            <w:tcBorders>
              <w:bottom w:val="single" w:sz="8" w:color="E6E6E6"/>
            </w:tcBorders>
            <w:shd w:val="clear" w:color="auto" w:fill="E6E6E6"/>
          </w:tcPr>
          <w:p>
            <w:pPr>
              <w:spacing w:after="0"/>
              <w:rPr>
                <w:sz w:val="22"/>
                <w:szCs w:val="22"/>
                <w:color w:val="auto"/>
              </w:rPr>
            </w:pPr>
          </w:p>
        </w:tc>
        <w:tc>
          <w:tcPr>
            <w:tcW w:w="5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c>
          <w:tcPr>
            <w:tcW w:w="120" w:type="dxa"/>
            <w:vAlign w:val="bottom"/>
            <w:tcBorders>
              <w:bottom w:val="single" w:sz="8" w:color="E6E6E6"/>
            </w:tcBorders>
            <w:shd w:val="clear" w:color="auto" w:fill="E6E6E6"/>
          </w:tcPr>
          <w:p>
            <w:pPr>
              <w:spacing w:after="0"/>
              <w:rPr>
                <w:sz w:val="22"/>
                <w:szCs w:val="22"/>
                <w:color w:val="auto"/>
              </w:rPr>
            </w:pPr>
          </w:p>
        </w:tc>
        <w:tc>
          <w:tcPr>
            <w:tcW w:w="6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248</w:t>
            </w:r>
          </w:p>
        </w:tc>
        <w:tc>
          <w:tcPr>
            <w:tcW w:w="80" w:type="dxa"/>
            <w:vAlign w:val="bottom"/>
            <w:tcBorders>
              <w:bottom w:val="single" w:sz="8" w:color="E6E6E6"/>
            </w:tcBorders>
            <w:shd w:val="clear" w:color="auto" w:fill="E6E6E6"/>
          </w:tcPr>
          <w:p>
            <w:pPr>
              <w:spacing w:after="0"/>
              <w:rPr>
                <w:sz w:val="22"/>
                <w:szCs w:val="22"/>
                <w:color w:val="auto"/>
              </w:rPr>
            </w:pPr>
          </w:p>
        </w:tc>
        <w:tc>
          <w:tcPr>
            <w:tcW w:w="160" w:type="dxa"/>
            <w:vAlign w:val="bottom"/>
            <w:tcBorders>
              <w:bottom w:val="single" w:sz="8" w:color="E6E6E6"/>
            </w:tcBorders>
            <w:shd w:val="clear" w:color="auto" w:fill="E6E6E6"/>
          </w:tcPr>
          <w:p>
            <w:pPr>
              <w:spacing w:after="0"/>
              <w:rPr>
                <w:sz w:val="22"/>
                <w:szCs w:val="22"/>
                <w:color w:val="auto"/>
              </w:rPr>
            </w:pPr>
          </w:p>
        </w:tc>
        <w:tc>
          <w:tcPr>
            <w:tcW w:w="6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w w:val="93"/>
              </w:rPr>
              <w:t xml:space="preserve">Mililani Class B Member Holdco LLC, due 2028  </w:t>
            </w:r>
            <w:r>
              <w:rPr>
                <w:rFonts w:ascii="Arial" w:cs="Arial" w:eastAsia="Arial" w:hAnsi="Arial"/>
                <w:sz w:val="18"/>
                <w:szCs w:val="18"/>
                <w:color w:val="BDBDBD"/>
                <w:w w:val="93"/>
              </w:rPr>
              <w:t>. . . . . . . . . . . .</w:t>
            </w: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91"/>
        </w:trPr>
        <w:tc>
          <w:tcPr>
            <w:tcW w:w="40" w:type="dxa"/>
            <w:vAlign w:val="bottom"/>
            <w:shd w:val="clear" w:color="auto" w:fill="E6E6E6"/>
          </w:tcPr>
          <w:p>
            <w:pPr>
              <w:spacing w:after="0"/>
              <w:rPr>
                <w:sz w:val="24"/>
                <w:szCs w:val="24"/>
                <w:color w:val="auto"/>
              </w:rPr>
            </w:pPr>
          </w:p>
        </w:tc>
        <w:tc>
          <w:tcPr>
            <w:tcW w:w="4740" w:type="dxa"/>
            <w:vAlign w:val="bottom"/>
            <w:gridSpan w:val="2"/>
            <w:shd w:val="clear" w:color="auto" w:fill="E6E6E6"/>
          </w:tcPr>
          <w:p>
            <w:pPr>
              <w:spacing w:after="0"/>
              <w:rPr>
                <w:sz w:val="20"/>
                <w:szCs w:val="20"/>
                <w:color w:val="auto"/>
              </w:rPr>
            </w:pPr>
            <w:r>
              <w:rPr>
                <w:rFonts w:ascii="Arial" w:cs="Arial" w:eastAsia="Arial" w:hAnsi="Arial"/>
                <w:sz w:val="18"/>
                <w:szCs w:val="18"/>
                <w:color w:val="auto"/>
                <w:w w:val="92"/>
              </w:rPr>
              <w:t xml:space="preserve">NIMH Solar, due 2024 </w:t>
            </w:r>
            <w:r>
              <w:rPr>
                <w:rFonts w:ascii="Arial" w:cs="Arial" w:eastAsia="Arial" w:hAnsi="Arial"/>
                <w:sz w:val="18"/>
                <w:szCs w:val="18"/>
                <w:color w:val="BDBDBD"/>
                <w:w w:val="92"/>
              </w:rPr>
              <w:t>. . . . . . . . . . . . . . . . . . . . . . . . . . . . . . . . .</w:t>
            </w:r>
          </w:p>
        </w:tc>
        <w:tc>
          <w:tcPr>
            <w:tcW w:w="180" w:type="dxa"/>
            <w:vAlign w:val="bottom"/>
            <w:shd w:val="clear" w:color="auto" w:fill="E6E6E6"/>
          </w:tcPr>
          <w:p>
            <w:pPr>
              <w:spacing w:after="0"/>
              <w:rPr>
                <w:sz w:val="24"/>
                <w:szCs w:val="24"/>
                <w:color w:val="auto"/>
              </w:rPr>
            </w:pPr>
          </w:p>
        </w:tc>
        <w:tc>
          <w:tcPr>
            <w:tcW w:w="5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148</w:t>
            </w:r>
          </w:p>
        </w:tc>
        <w:tc>
          <w:tcPr>
            <w:tcW w:w="8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5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5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4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5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20" w:type="dxa"/>
            <w:vAlign w:val="bottom"/>
            <w:shd w:val="clear" w:color="auto" w:fill="E6E6E6"/>
          </w:tcPr>
          <w:p>
            <w:pPr>
              <w:spacing w:after="0"/>
              <w:rPr>
                <w:sz w:val="24"/>
                <w:szCs w:val="24"/>
                <w:color w:val="auto"/>
              </w:rPr>
            </w:pPr>
          </w:p>
        </w:tc>
        <w:tc>
          <w:tcPr>
            <w:tcW w:w="6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6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3"/>
                <w:szCs w:val="23"/>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w w:val="92"/>
              </w:rPr>
              <w:t xml:space="preserve">Oahu Solar Holdings LLC, due 2026 </w:t>
            </w:r>
            <w:r>
              <w:rPr>
                <w:rFonts w:ascii="Arial" w:cs="Arial" w:eastAsia="Arial" w:hAnsi="Arial"/>
                <w:sz w:val="18"/>
                <w:szCs w:val="18"/>
                <w:color w:val="BDBDBD"/>
                <w:w w:val="92"/>
              </w:rPr>
              <w:t>. . . . . . . . . . . . . . . . . . . . . .</w:t>
            </w:r>
          </w:p>
        </w:tc>
        <w:tc>
          <w:tcPr>
            <w:tcW w:w="1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92"/>
        </w:trPr>
        <w:tc>
          <w:tcPr>
            <w:tcW w:w="40" w:type="dxa"/>
            <w:vAlign w:val="bottom"/>
            <w:shd w:val="clear" w:color="auto" w:fill="E6E6E6"/>
          </w:tcPr>
          <w:p>
            <w:pPr>
              <w:spacing w:after="0"/>
              <w:rPr>
                <w:sz w:val="24"/>
                <w:szCs w:val="24"/>
                <w:color w:val="auto"/>
              </w:rPr>
            </w:pPr>
          </w:p>
        </w:tc>
        <w:tc>
          <w:tcPr>
            <w:tcW w:w="4740" w:type="dxa"/>
            <w:vAlign w:val="bottom"/>
            <w:gridSpan w:val="2"/>
            <w:shd w:val="clear" w:color="auto" w:fill="E6E6E6"/>
          </w:tcPr>
          <w:p>
            <w:pPr>
              <w:spacing w:after="0"/>
              <w:rPr>
                <w:sz w:val="20"/>
                <w:szCs w:val="20"/>
                <w:color w:val="auto"/>
              </w:rPr>
            </w:pPr>
            <w:r>
              <w:rPr>
                <w:rFonts w:ascii="Arial" w:cs="Arial" w:eastAsia="Arial" w:hAnsi="Arial"/>
                <w:sz w:val="18"/>
                <w:szCs w:val="18"/>
                <w:color w:val="auto"/>
                <w:w w:val="89"/>
              </w:rPr>
              <w:t xml:space="preserve">Rosie Class B LLC, due 2024 and 2029 </w:t>
            </w:r>
            <w:r>
              <w:rPr>
                <w:rFonts w:ascii="Arial" w:cs="Arial" w:eastAsia="Arial" w:hAnsi="Arial"/>
                <w:sz w:val="23"/>
                <w:szCs w:val="23"/>
                <w:color w:val="auto"/>
                <w:w w:val="89"/>
                <w:vertAlign w:val="superscript"/>
              </w:rPr>
              <w:t>(a)</w:t>
            </w:r>
            <w:r>
              <w:rPr>
                <w:rFonts w:ascii="Arial" w:cs="Arial" w:eastAsia="Arial" w:hAnsi="Arial"/>
                <w:sz w:val="18"/>
                <w:szCs w:val="18"/>
                <w:color w:val="auto"/>
                <w:w w:val="89"/>
              </w:rPr>
              <w:t xml:space="preserve">  </w:t>
            </w:r>
            <w:r>
              <w:rPr>
                <w:rFonts w:ascii="Arial" w:cs="Arial" w:eastAsia="Arial" w:hAnsi="Arial"/>
                <w:sz w:val="18"/>
                <w:szCs w:val="18"/>
                <w:color w:val="BDBDBD"/>
                <w:w w:val="89"/>
              </w:rPr>
              <w:t>. . . . . . . . . . . . . . . . . .</w:t>
            </w:r>
          </w:p>
        </w:tc>
        <w:tc>
          <w:tcPr>
            <w:tcW w:w="180" w:type="dxa"/>
            <w:vAlign w:val="bottom"/>
            <w:shd w:val="clear" w:color="auto" w:fill="E6E6E6"/>
          </w:tcPr>
          <w:p>
            <w:pPr>
              <w:spacing w:after="0"/>
              <w:rPr>
                <w:sz w:val="24"/>
                <w:szCs w:val="24"/>
                <w:color w:val="auto"/>
              </w:rPr>
            </w:pPr>
          </w:p>
        </w:tc>
        <w:tc>
          <w:tcPr>
            <w:tcW w:w="5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347</w:t>
            </w:r>
          </w:p>
        </w:tc>
        <w:tc>
          <w:tcPr>
            <w:tcW w:w="8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5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5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4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5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20" w:type="dxa"/>
            <w:vAlign w:val="bottom"/>
            <w:shd w:val="clear" w:color="auto" w:fill="E6E6E6"/>
          </w:tcPr>
          <w:p>
            <w:pPr>
              <w:spacing w:after="0"/>
              <w:rPr>
                <w:sz w:val="24"/>
                <w:szCs w:val="24"/>
                <w:color w:val="auto"/>
              </w:rPr>
            </w:pPr>
          </w:p>
        </w:tc>
        <w:tc>
          <w:tcPr>
            <w:tcW w:w="6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6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w w:val="90"/>
              </w:rPr>
              <w:t xml:space="preserve">Texas Solar Nova 1, due 2028 </w:t>
            </w:r>
            <w:r>
              <w:rPr>
                <w:rFonts w:ascii="Arial" w:cs="Arial" w:eastAsia="Arial" w:hAnsi="Arial"/>
                <w:sz w:val="18"/>
                <w:szCs w:val="18"/>
                <w:color w:val="BDBDBD"/>
                <w:w w:val="90"/>
              </w:rPr>
              <w:t>. . . . . . . . . . . . . . . . . . . . . . . . . . . .</w:t>
            </w: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91"/>
        </w:trPr>
        <w:tc>
          <w:tcPr>
            <w:tcW w:w="40" w:type="dxa"/>
            <w:vAlign w:val="bottom"/>
            <w:shd w:val="clear" w:color="auto" w:fill="E6E6E6"/>
          </w:tcPr>
          <w:p>
            <w:pPr>
              <w:spacing w:after="0"/>
              <w:rPr>
                <w:sz w:val="24"/>
                <w:szCs w:val="24"/>
                <w:color w:val="auto"/>
              </w:rPr>
            </w:pPr>
          </w:p>
        </w:tc>
        <w:tc>
          <w:tcPr>
            <w:tcW w:w="4740" w:type="dxa"/>
            <w:vAlign w:val="bottom"/>
            <w:gridSpan w:val="2"/>
            <w:shd w:val="clear" w:color="auto" w:fill="E6E6E6"/>
          </w:tcPr>
          <w:p>
            <w:pPr>
              <w:spacing w:after="0"/>
              <w:rPr>
                <w:sz w:val="20"/>
                <w:szCs w:val="20"/>
                <w:color w:val="auto"/>
              </w:rPr>
            </w:pPr>
            <w:r>
              <w:rPr>
                <w:rFonts w:ascii="Arial" w:cs="Arial" w:eastAsia="Arial" w:hAnsi="Arial"/>
                <w:sz w:val="18"/>
                <w:szCs w:val="18"/>
                <w:color w:val="auto"/>
                <w:w w:val="92"/>
              </w:rPr>
              <w:t xml:space="preserve">Utah Solar Portfolio, due 2036 </w:t>
            </w:r>
            <w:r>
              <w:rPr>
                <w:rFonts w:ascii="Arial" w:cs="Arial" w:eastAsia="Arial" w:hAnsi="Arial"/>
                <w:sz w:val="18"/>
                <w:szCs w:val="18"/>
                <w:color w:val="BDBDBD"/>
                <w:w w:val="92"/>
              </w:rPr>
              <w:t>. . . . . . . . . . . . . . . . . . . . . . . . . . .</w:t>
            </w:r>
          </w:p>
        </w:tc>
        <w:tc>
          <w:tcPr>
            <w:tcW w:w="180" w:type="dxa"/>
            <w:vAlign w:val="bottom"/>
            <w:shd w:val="clear" w:color="auto" w:fill="E6E6E6"/>
          </w:tcPr>
          <w:p>
            <w:pPr>
              <w:spacing w:after="0"/>
              <w:rPr>
                <w:sz w:val="24"/>
                <w:szCs w:val="24"/>
                <w:color w:val="auto"/>
              </w:rPr>
            </w:pPr>
          </w:p>
        </w:tc>
        <w:tc>
          <w:tcPr>
            <w:tcW w:w="5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5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5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4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5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20" w:type="dxa"/>
            <w:vAlign w:val="bottom"/>
            <w:shd w:val="clear" w:color="auto" w:fill="E6E6E6"/>
          </w:tcPr>
          <w:p>
            <w:pPr>
              <w:spacing w:after="0"/>
              <w:rPr>
                <w:sz w:val="24"/>
                <w:szCs w:val="24"/>
                <w:color w:val="auto"/>
              </w:rPr>
            </w:pPr>
          </w:p>
        </w:tc>
        <w:tc>
          <w:tcPr>
            <w:tcW w:w="6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169</w:t>
            </w:r>
          </w:p>
        </w:tc>
        <w:tc>
          <w:tcPr>
            <w:tcW w:w="8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6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w w:val="93"/>
              </w:rPr>
              <w:t xml:space="preserve">Viento Funding II, LLC, due 2029 </w:t>
            </w:r>
            <w:r>
              <w:rPr>
                <w:rFonts w:ascii="Arial" w:cs="Arial" w:eastAsia="Arial" w:hAnsi="Arial"/>
                <w:sz w:val="18"/>
                <w:szCs w:val="18"/>
                <w:color w:val="BDBDBD"/>
                <w:w w:val="93"/>
              </w:rPr>
              <w:t>. . . . . . . . . . . . . . . . . . . . . . . .</w:t>
            </w: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91"/>
        </w:trPr>
        <w:tc>
          <w:tcPr>
            <w:tcW w:w="40" w:type="dxa"/>
            <w:vAlign w:val="bottom"/>
            <w:shd w:val="clear" w:color="auto" w:fill="E6E6E6"/>
          </w:tcPr>
          <w:p>
            <w:pPr>
              <w:spacing w:after="0"/>
              <w:rPr>
                <w:sz w:val="24"/>
                <w:szCs w:val="24"/>
                <w:color w:val="auto"/>
              </w:rPr>
            </w:pPr>
          </w:p>
        </w:tc>
        <w:tc>
          <w:tcPr>
            <w:tcW w:w="4740" w:type="dxa"/>
            <w:vAlign w:val="bottom"/>
            <w:gridSpan w:val="2"/>
            <w:shd w:val="clear" w:color="auto" w:fill="E6E6E6"/>
          </w:tcPr>
          <w:p>
            <w:pPr>
              <w:spacing w:after="0"/>
              <w:rPr>
                <w:sz w:val="20"/>
                <w:szCs w:val="20"/>
                <w:color w:val="auto"/>
              </w:rPr>
            </w:pPr>
            <w:r>
              <w:rPr>
                <w:rFonts w:ascii="Arial" w:cs="Arial" w:eastAsia="Arial" w:hAnsi="Arial"/>
                <w:sz w:val="18"/>
                <w:szCs w:val="18"/>
                <w:color w:val="auto"/>
                <w:w w:val="89"/>
              </w:rPr>
              <w:t xml:space="preserve">Victory Pass and Arica, due 2024 </w:t>
            </w:r>
            <w:r>
              <w:rPr>
                <w:rFonts w:ascii="Arial" w:cs="Arial" w:eastAsia="Arial" w:hAnsi="Arial"/>
                <w:sz w:val="23"/>
                <w:szCs w:val="23"/>
                <w:color w:val="auto"/>
                <w:w w:val="89"/>
                <w:vertAlign w:val="superscript"/>
              </w:rPr>
              <w:t>(a)</w:t>
            </w:r>
            <w:r>
              <w:rPr>
                <w:rFonts w:ascii="Arial" w:cs="Arial" w:eastAsia="Arial" w:hAnsi="Arial"/>
                <w:sz w:val="18"/>
                <w:szCs w:val="18"/>
                <w:color w:val="auto"/>
                <w:w w:val="89"/>
              </w:rPr>
              <w:t xml:space="preserve">  </w:t>
            </w:r>
            <w:r>
              <w:rPr>
                <w:rFonts w:ascii="Arial" w:cs="Arial" w:eastAsia="Arial" w:hAnsi="Arial"/>
                <w:sz w:val="18"/>
                <w:szCs w:val="18"/>
                <w:color w:val="BDBDBD"/>
                <w:w w:val="89"/>
              </w:rPr>
              <w:t>. . . . . . . . . . . . . . . . . . . . . . .</w:t>
            </w:r>
          </w:p>
        </w:tc>
        <w:tc>
          <w:tcPr>
            <w:tcW w:w="180" w:type="dxa"/>
            <w:vAlign w:val="bottom"/>
            <w:shd w:val="clear" w:color="auto" w:fill="E6E6E6"/>
          </w:tcPr>
          <w:p>
            <w:pPr>
              <w:spacing w:after="0"/>
              <w:rPr>
                <w:sz w:val="24"/>
                <w:szCs w:val="24"/>
                <w:color w:val="auto"/>
              </w:rPr>
            </w:pPr>
          </w:p>
        </w:tc>
        <w:tc>
          <w:tcPr>
            <w:tcW w:w="5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757</w:t>
            </w:r>
          </w:p>
        </w:tc>
        <w:tc>
          <w:tcPr>
            <w:tcW w:w="8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5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5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4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5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20" w:type="dxa"/>
            <w:vAlign w:val="bottom"/>
            <w:shd w:val="clear" w:color="auto" w:fill="E6E6E6"/>
          </w:tcPr>
          <w:p>
            <w:pPr>
              <w:spacing w:after="0"/>
              <w:rPr>
                <w:sz w:val="24"/>
                <w:szCs w:val="24"/>
                <w:color w:val="auto"/>
              </w:rPr>
            </w:pPr>
          </w:p>
        </w:tc>
        <w:tc>
          <w:tcPr>
            <w:tcW w:w="6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6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74"/>
        </w:trPr>
        <w:tc>
          <w:tcPr>
            <w:tcW w:w="40" w:type="dxa"/>
            <w:vAlign w:val="bottom"/>
            <w:tcBorders>
              <w:bottom w:val="single" w:sz="8" w:color="E6E6E6"/>
            </w:tcBorders>
          </w:tcPr>
          <w:p>
            <w:pPr>
              <w:spacing w:after="0"/>
              <w:rPr>
                <w:sz w:val="23"/>
                <w:szCs w:val="23"/>
                <w:color w:val="auto"/>
              </w:rPr>
            </w:pPr>
          </w:p>
        </w:tc>
        <w:tc>
          <w:tcPr>
            <w:tcW w:w="4740" w:type="dxa"/>
            <w:vAlign w:val="bottom"/>
            <w:tcBorders>
              <w:bottom w:val="single" w:sz="8" w:color="E6E6E6"/>
            </w:tcBorders>
            <w:gridSpan w:val="2"/>
          </w:tcPr>
          <w:p>
            <w:pPr>
              <w:spacing w:after="0"/>
              <w:rPr>
                <w:sz w:val="20"/>
                <w:szCs w:val="20"/>
                <w:color w:val="auto"/>
              </w:rPr>
            </w:pPr>
            <w:r>
              <w:rPr>
                <w:rFonts w:ascii="Arial" w:cs="Arial" w:eastAsia="Arial" w:hAnsi="Arial"/>
                <w:sz w:val="18"/>
                <w:szCs w:val="18"/>
                <w:color w:val="auto"/>
                <w:w w:val="91"/>
              </w:rPr>
              <w:t xml:space="preserve">Other </w:t>
            </w:r>
            <w:r>
              <w:rPr>
                <w:rFonts w:ascii="Arial" w:cs="Arial" w:eastAsia="Arial" w:hAnsi="Arial"/>
                <w:sz w:val="18"/>
                <w:szCs w:val="18"/>
                <w:color w:val="BDBDBD"/>
                <w:w w:val="91"/>
              </w:rPr>
              <w:t>. . . . . . . . . . . . . . . . . . . . . . . . . . . . . . . . . . . . . . . . . . . . . . .</w:t>
            </w:r>
          </w:p>
        </w:tc>
        <w:tc>
          <w:tcPr>
            <w:tcW w:w="18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E6E6E6"/>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E6E6E6"/>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bottom w:val="single" w:sz="8" w:color="E6E6E6"/>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60" w:type="dxa"/>
            <w:vAlign w:val="bottom"/>
            <w:tcBorders>
              <w:bottom w:val="single" w:sz="8" w:color="E6E6E6"/>
            </w:tcBorders>
          </w:tcPr>
          <w:p>
            <w:pPr>
              <w:spacing w:after="0"/>
              <w:rPr>
                <w:sz w:val="23"/>
                <w:szCs w:val="23"/>
                <w:color w:val="auto"/>
              </w:rPr>
            </w:pPr>
          </w:p>
        </w:tc>
        <w:tc>
          <w:tcPr>
            <w:tcW w:w="20" w:type="dxa"/>
            <w:vAlign w:val="bottom"/>
            <w:tcBorders>
              <w:bottom w:val="single" w:sz="8" w:color="E6E6E6"/>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bottom w:val="single" w:sz="8" w:color="E6E6E6"/>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80" w:type="dxa"/>
            <w:vAlign w:val="bottom"/>
            <w:tcBorders>
              <w:bottom w:val="single" w:sz="8" w:color="E6E6E6"/>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64"/>
        </w:trPr>
        <w:tc>
          <w:tcPr>
            <w:tcW w:w="40" w:type="dxa"/>
            <w:vAlign w:val="bottom"/>
            <w:tcBorders>
              <w:bottom w:val="single" w:sz="8" w:color="E6E6E6"/>
            </w:tcBorders>
            <w:shd w:val="clear" w:color="auto" w:fill="E6E6E6"/>
          </w:tcPr>
          <w:p>
            <w:pPr>
              <w:spacing w:after="0"/>
              <w:rPr>
                <w:sz w:val="22"/>
                <w:szCs w:val="22"/>
                <w:color w:val="auto"/>
              </w:rPr>
            </w:pPr>
          </w:p>
        </w:tc>
        <w:tc>
          <w:tcPr>
            <w:tcW w:w="4740" w:type="dxa"/>
            <w:vAlign w:val="bottom"/>
            <w:tcBorders>
              <w:bottom w:val="single" w:sz="8" w:color="E6E6E6"/>
            </w:tcBorders>
            <w:gridSpan w:val="2"/>
            <w:shd w:val="clear" w:color="auto" w:fill="E6E6E6"/>
          </w:tcPr>
          <w:p>
            <w:pPr>
              <w:jc w:val="right"/>
              <w:ind w:right="40"/>
              <w:spacing w:after="0"/>
              <w:rPr>
                <w:sz w:val="20"/>
                <w:szCs w:val="20"/>
                <w:color w:val="auto"/>
              </w:rPr>
            </w:pPr>
            <w:r>
              <w:rPr>
                <w:rFonts w:ascii="Arial" w:cs="Arial" w:eastAsia="Arial" w:hAnsi="Arial"/>
                <w:sz w:val="18"/>
                <w:szCs w:val="18"/>
                <w:b w:val="1"/>
                <w:bCs w:val="1"/>
                <w:color w:val="auto"/>
                <w:w w:val="92"/>
              </w:rPr>
              <w:t xml:space="preserve">Total project-level debt </w:t>
            </w:r>
            <w:r>
              <w:rPr>
                <w:rFonts w:ascii="Arial" w:cs="Arial" w:eastAsia="Arial" w:hAnsi="Arial"/>
                <w:sz w:val="18"/>
                <w:szCs w:val="18"/>
                <w:b w:val="1"/>
                <w:bCs w:val="1"/>
                <w:color w:val="BDBDBD"/>
                <w:w w:val="92"/>
              </w:rPr>
              <w:t>. . . . . . . . . . . . . . . . . . . . . . . . . . . . . . .</w:t>
            </w:r>
          </w:p>
        </w:tc>
        <w:tc>
          <w:tcPr>
            <w:tcW w:w="180" w:type="dxa"/>
            <w:vAlign w:val="bottom"/>
            <w:tcBorders>
              <w:bottom w:val="single" w:sz="8" w:color="auto"/>
            </w:tcBorders>
            <w:shd w:val="clear" w:color="auto" w:fill="E6E6E6"/>
          </w:tcPr>
          <w:p>
            <w:pPr>
              <w:spacing w:after="0"/>
              <w:rPr>
                <w:sz w:val="22"/>
                <w:szCs w:val="22"/>
                <w:color w:val="auto"/>
              </w:rPr>
            </w:pPr>
          </w:p>
        </w:tc>
        <w:tc>
          <w:tcPr>
            <w:tcW w:w="5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1,669</w:t>
            </w:r>
          </w:p>
        </w:tc>
        <w:tc>
          <w:tcPr>
            <w:tcW w:w="80" w:type="dxa"/>
            <w:vAlign w:val="bottom"/>
            <w:tcBorders>
              <w:bottom w:val="single" w:sz="8" w:color="E6E6E6"/>
            </w:tcBorders>
            <w:shd w:val="clear" w:color="auto" w:fill="E6E6E6"/>
          </w:tcPr>
          <w:p>
            <w:pPr>
              <w:spacing w:after="0"/>
              <w:rPr>
                <w:sz w:val="22"/>
                <w:szCs w:val="22"/>
                <w:color w:val="auto"/>
              </w:rPr>
            </w:pPr>
          </w:p>
        </w:tc>
        <w:tc>
          <w:tcPr>
            <w:tcW w:w="140" w:type="dxa"/>
            <w:vAlign w:val="bottom"/>
            <w:tcBorders>
              <w:bottom w:val="single" w:sz="8" w:color="auto"/>
            </w:tcBorders>
            <w:shd w:val="clear" w:color="auto" w:fill="E6E6E6"/>
          </w:tcPr>
          <w:p>
            <w:pPr>
              <w:spacing w:after="0"/>
              <w:rPr>
                <w:sz w:val="22"/>
                <w:szCs w:val="22"/>
                <w:color w:val="auto"/>
              </w:rPr>
            </w:pPr>
          </w:p>
        </w:tc>
        <w:tc>
          <w:tcPr>
            <w:tcW w:w="5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371</w:t>
            </w:r>
          </w:p>
        </w:tc>
        <w:tc>
          <w:tcPr>
            <w:tcW w:w="80" w:type="dxa"/>
            <w:vAlign w:val="bottom"/>
            <w:tcBorders>
              <w:bottom w:val="single" w:sz="8" w:color="E6E6E6"/>
            </w:tcBorders>
            <w:shd w:val="clear" w:color="auto" w:fill="E6E6E6"/>
          </w:tcPr>
          <w:p>
            <w:pPr>
              <w:spacing w:after="0"/>
              <w:rPr>
                <w:sz w:val="22"/>
                <w:szCs w:val="22"/>
                <w:color w:val="auto"/>
              </w:rPr>
            </w:pPr>
          </w:p>
        </w:tc>
        <w:tc>
          <w:tcPr>
            <w:tcW w:w="140" w:type="dxa"/>
            <w:vAlign w:val="bottom"/>
            <w:tcBorders>
              <w:bottom w:val="single" w:sz="8" w:color="auto"/>
            </w:tcBorders>
            <w:shd w:val="clear" w:color="auto" w:fill="E6E6E6"/>
          </w:tcPr>
          <w:p>
            <w:pPr>
              <w:spacing w:after="0"/>
              <w:rPr>
                <w:sz w:val="22"/>
                <w:szCs w:val="22"/>
                <w:color w:val="auto"/>
              </w:rPr>
            </w:pPr>
          </w:p>
        </w:tc>
        <w:tc>
          <w:tcPr>
            <w:tcW w:w="5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351</w:t>
            </w:r>
          </w:p>
        </w:tc>
        <w:tc>
          <w:tcPr>
            <w:tcW w:w="80" w:type="dxa"/>
            <w:vAlign w:val="bottom"/>
            <w:tcBorders>
              <w:bottom w:val="single" w:sz="8" w:color="E6E6E6"/>
            </w:tcBorders>
            <w:shd w:val="clear" w:color="auto" w:fill="E6E6E6"/>
          </w:tcPr>
          <w:p>
            <w:pPr>
              <w:spacing w:after="0"/>
              <w:rPr>
                <w:sz w:val="22"/>
                <w:szCs w:val="22"/>
                <w:color w:val="auto"/>
              </w:rPr>
            </w:pPr>
          </w:p>
        </w:tc>
        <w:tc>
          <w:tcPr>
            <w:tcW w:w="200" w:type="dxa"/>
            <w:vAlign w:val="bottom"/>
            <w:tcBorders>
              <w:bottom w:val="single" w:sz="8" w:color="auto"/>
            </w:tcBorders>
            <w:shd w:val="clear" w:color="auto" w:fill="E6E6E6"/>
          </w:tcPr>
          <w:p>
            <w:pPr>
              <w:spacing w:after="0"/>
              <w:rPr>
                <w:sz w:val="22"/>
                <w:szCs w:val="22"/>
                <w:color w:val="auto"/>
              </w:rPr>
            </w:pPr>
          </w:p>
        </w:tc>
        <w:tc>
          <w:tcPr>
            <w:tcW w:w="4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w w:val="99"/>
              </w:rPr>
              <w:t>288</w:t>
            </w:r>
          </w:p>
        </w:tc>
        <w:tc>
          <w:tcPr>
            <w:tcW w:w="6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c>
          <w:tcPr>
            <w:tcW w:w="140" w:type="dxa"/>
            <w:vAlign w:val="bottom"/>
            <w:tcBorders>
              <w:bottom w:val="single" w:sz="8" w:color="auto"/>
            </w:tcBorders>
            <w:shd w:val="clear" w:color="auto" w:fill="E6E6E6"/>
          </w:tcPr>
          <w:p>
            <w:pPr>
              <w:spacing w:after="0"/>
              <w:rPr>
                <w:sz w:val="22"/>
                <w:szCs w:val="22"/>
                <w:color w:val="auto"/>
              </w:rPr>
            </w:pPr>
          </w:p>
        </w:tc>
        <w:tc>
          <w:tcPr>
            <w:tcW w:w="5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812</w:t>
            </w:r>
          </w:p>
        </w:tc>
        <w:tc>
          <w:tcPr>
            <w:tcW w:w="8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c>
          <w:tcPr>
            <w:tcW w:w="120" w:type="dxa"/>
            <w:vAlign w:val="bottom"/>
            <w:tcBorders>
              <w:bottom w:val="single" w:sz="8" w:color="auto"/>
            </w:tcBorders>
            <w:shd w:val="clear" w:color="auto" w:fill="E6E6E6"/>
          </w:tcPr>
          <w:p>
            <w:pPr>
              <w:spacing w:after="0"/>
              <w:rPr>
                <w:sz w:val="22"/>
                <w:szCs w:val="22"/>
                <w:color w:val="auto"/>
              </w:rPr>
            </w:pPr>
          </w:p>
        </w:tc>
        <w:tc>
          <w:tcPr>
            <w:tcW w:w="6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2,483</w:t>
            </w:r>
          </w:p>
        </w:tc>
        <w:tc>
          <w:tcPr>
            <w:tcW w:w="80" w:type="dxa"/>
            <w:vAlign w:val="bottom"/>
            <w:tcBorders>
              <w:bottom w:val="single" w:sz="8" w:color="E6E6E6"/>
            </w:tcBorders>
            <w:shd w:val="clear" w:color="auto" w:fill="E6E6E6"/>
          </w:tcPr>
          <w:p>
            <w:pPr>
              <w:spacing w:after="0"/>
              <w:rPr>
                <w:sz w:val="22"/>
                <w:szCs w:val="22"/>
                <w:color w:val="auto"/>
              </w:rPr>
            </w:pPr>
          </w:p>
        </w:tc>
        <w:tc>
          <w:tcPr>
            <w:tcW w:w="160" w:type="dxa"/>
            <w:vAlign w:val="bottom"/>
            <w:tcBorders>
              <w:bottom w:val="single" w:sz="8" w:color="auto"/>
            </w:tcBorders>
            <w:shd w:val="clear" w:color="auto" w:fill="E6E6E6"/>
          </w:tcPr>
          <w:p>
            <w:pPr>
              <w:spacing w:after="0"/>
              <w:rPr>
                <w:sz w:val="22"/>
                <w:szCs w:val="22"/>
                <w:color w:val="auto"/>
              </w:rPr>
            </w:pPr>
          </w:p>
        </w:tc>
        <w:tc>
          <w:tcPr>
            <w:tcW w:w="6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5,974</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4740" w:type="dxa"/>
            <w:vAlign w:val="bottom"/>
            <w:gridSpan w:val="2"/>
          </w:tcPr>
          <w:p>
            <w:pPr>
              <w:spacing w:after="0"/>
              <w:rPr>
                <w:sz w:val="20"/>
                <w:szCs w:val="20"/>
                <w:color w:val="auto"/>
              </w:rPr>
            </w:pPr>
            <w:r>
              <w:rPr>
                <w:rFonts w:ascii="Arial" w:cs="Arial" w:eastAsia="Arial" w:hAnsi="Arial"/>
                <w:sz w:val="18"/>
                <w:szCs w:val="18"/>
                <w:b w:val="1"/>
                <w:bCs w:val="1"/>
                <w:color w:val="auto"/>
                <w:w w:val="91"/>
              </w:rPr>
              <w:t xml:space="preserve">Total debt </w:t>
            </w:r>
            <w:r>
              <w:rPr>
                <w:rFonts w:ascii="Arial" w:cs="Arial" w:eastAsia="Arial" w:hAnsi="Arial"/>
                <w:sz w:val="18"/>
                <w:szCs w:val="18"/>
                <w:b w:val="1"/>
                <w:bCs w:val="1"/>
                <w:color w:val="BDBDBD"/>
                <w:w w:val="91"/>
              </w:rPr>
              <w:t>. . . . . . . . . . . . . . . . . . . . . . . . . . . . . . . . . . . . . . . . . . .</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1,669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371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351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9"/>
              </w:rPr>
              <w:t>288</w:t>
            </w: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1,662</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3,758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8,099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3027045</wp:posOffset>
            </wp:positionH>
            <wp:positionV relativeFrom="paragraph">
              <wp:posOffset>-5433060</wp:posOffset>
            </wp:positionV>
            <wp:extent cx="342773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58">
                      <a:extLst>
                        <a:ext uri="{28A0092B-C50C-407E-A947-70E740481C1C}"/>
                      </a:extLst>
                    </a:blip>
                    <a:srcRect/>
                    <a:stretch>
                      <a:fillRect/>
                    </a:stretch>
                  </pic:blipFill>
                  <pic:spPr bwMode="auto">
                    <a:xfrm>
                      <a:off x="0" y="0"/>
                      <a:ext cx="3427730" cy="25400"/>
                    </a:xfrm>
                    <a:prstGeom prst="rect">
                      <a:avLst/>
                    </a:prstGeom>
                    <a:noFill/>
                  </pic:spPr>
                </pic:pic>
              </a:graphicData>
            </a:graphic>
          </wp:anchor>
        </w:drawing>
        <w:drawing>
          <wp:anchor simplePos="0" relativeHeight="251657728" behindDoc="1" locked="0" layoutInCell="0" allowOverlap="1">
            <wp:simplePos x="0" y="0"/>
            <wp:positionH relativeFrom="column">
              <wp:posOffset>3027045</wp:posOffset>
            </wp:positionH>
            <wp:positionV relativeFrom="paragraph">
              <wp:posOffset>-391160</wp:posOffset>
            </wp:positionV>
            <wp:extent cx="342773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59">
                      <a:extLst>
                        <a:ext uri="{28A0092B-C50C-407E-A947-70E740481C1C}"/>
                      </a:extLst>
                    </a:blip>
                    <a:srcRect/>
                    <a:stretch>
                      <a:fillRect/>
                    </a:stretch>
                  </pic:blipFill>
                  <pic:spPr bwMode="auto">
                    <a:xfrm>
                      <a:off x="0" y="0"/>
                      <a:ext cx="3427730" cy="25400"/>
                    </a:xfrm>
                    <a:prstGeom prst="rect">
                      <a:avLst/>
                    </a:prstGeom>
                    <a:noFill/>
                  </pic:spPr>
                </pic:pic>
              </a:graphicData>
            </a:graphic>
          </wp:anchor>
        </w:drawing>
        <w:drawing>
          <wp:anchor simplePos="0" relativeHeight="251657728" behindDoc="1" locked="0" layoutInCell="0" allowOverlap="1">
            <wp:simplePos x="0" y="0"/>
            <wp:positionH relativeFrom="column">
              <wp:posOffset>3027045</wp:posOffset>
            </wp:positionH>
            <wp:positionV relativeFrom="paragraph">
              <wp:posOffset>-210820</wp:posOffset>
            </wp:positionV>
            <wp:extent cx="342773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60">
                      <a:extLst>
                        <a:ext uri="{28A0092B-C50C-407E-A947-70E740481C1C}"/>
                      </a:extLst>
                    </a:blip>
                    <a:srcRect/>
                    <a:stretch>
                      <a:fillRect/>
                    </a:stretch>
                  </pic:blipFill>
                  <pic:spPr bwMode="auto">
                    <a:xfrm>
                      <a:off x="0" y="0"/>
                      <a:ext cx="3427730" cy="254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-2540</wp:posOffset>
                </wp:positionH>
                <wp:positionV relativeFrom="paragraph">
                  <wp:posOffset>91440</wp:posOffset>
                </wp:positionV>
                <wp:extent cx="1259840"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598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7.2pt" to="99pt,7.2pt" o:allowincell="f" strokecolor="#000000" strokeweight="1pt"/>
            </w:pict>
          </mc:Fallback>
        </mc:AlternateContent>
      </w:r>
    </w:p>
    <w:p>
      <w:pPr>
        <w:spacing w:after="0" w:line="201" w:lineRule="exact"/>
        <w:rPr>
          <w:sz w:val="20"/>
          <w:szCs w:val="20"/>
          <w:color w:val="auto"/>
        </w:rPr>
      </w:pPr>
    </w:p>
    <w:p>
      <w:pPr>
        <w:ind w:left="80" w:firstLine="5"/>
        <w:spacing w:after="0" w:line="304" w:lineRule="auto"/>
        <w:tabs>
          <w:tab w:leader="none" w:pos="256" w:val="left"/>
        </w:tabs>
        <w:numPr>
          <w:ilvl w:val="0"/>
          <w:numId w:val="39"/>
        </w:numPr>
        <w:rPr>
          <w:rFonts w:ascii="Arial" w:cs="Arial" w:eastAsia="Arial" w:hAnsi="Arial"/>
          <w:sz w:val="20"/>
          <w:szCs w:val="20"/>
          <w:color w:val="auto"/>
          <w:vertAlign w:val="superscript"/>
        </w:rPr>
      </w:pPr>
      <w:r>
        <w:rPr>
          <w:rFonts w:ascii="Arial" w:cs="Arial" w:eastAsia="Arial" w:hAnsi="Arial"/>
          <w:sz w:val="13"/>
          <w:szCs w:val="13"/>
          <w:color w:val="auto"/>
        </w:rPr>
        <w:t>At December 31, 2023, amount includes $1.11 billion of construction-related financings recorded in long-term debt on the Company’s consolidated balance sheet that is due in 2024 and is either being funded through long-term equity contributions or is converting to long-term debt.</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Capital Expenditures</w:t>
      </w:r>
    </w:p>
    <w:p>
      <w:pPr>
        <w:spacing w:after="0" w:line="196" w:lineRule="exact"/>
        <w:rPr>
          <w:sz w:val="20"/>
          <w:szCs w:val="20"/>
          <w:color w:val="auto"/>
        </w:rPr>
      </w:pPr>
    </w:p>
    <w:p>
      <w:pPr>
        <w:jc w:val="both"/>
        <w:ind w:firstLine="448"/>
        <w:spacing w:after="0" w:line="259" w:lineRule="auto"/>
        <w:rPr>
          <w:sz w:val="20"/>
          <w:szCs w:val="20"/>
          <w:color w:val="auto"/>
        </w:rPr>
      </w:pPr>
      <w:r>
        <w:rPr>
          <w:rFonts w:ascii="Arial" w:cs="Arial" w:eastAsia="Arial" w:hAnsi="Arial"/>
          <w:sz w:val="20"/>
          <w:szCs w:val="20"/>
          <w:color w:val="auto"/>
        </w:rPr>
        <w:t>The Company’s capital spending program is mainly focused on maintenance capital expenditures, consisting of costs to maintain the assets currently operating, such as costs to replace or refurbish assets during routine maintenance, and growth capital expenditures consisting of costs to construct new assets, and costs to complete the construction of assets where construction is in process.</w:t>
      </w:r>
    </w:p>
    <w:p>
      <w:pPr>
        <w:sectPr>
          <w:pgSz w:w="11880" w:h="15480" w:orient="portrait"/>
          <w:cols w:equalWidth="0" w:num="1">
            <w:col w:w="10200"/>
          </w:cols>
          <w:pgMar w:left="840" w:top="403"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ectPr>
          <w:pgSz w:w="11880" w:h="15480" w:orient="portrait"/>
          <w:cols w:equalWidth="0" w:num="1">
            <w:col w:w="10200"/>
          </w:cols>
          <w:pgMar w:left="840" w:top="403" w:right="840" w:bottom="0" w:gutter="0" w:footer="0" w:header="0"/>
          <w:type w:val="continuous"/>
        </w:sectPr>
      </w:pPr>
    </w:p>
    <w:bookmarkStart w:id="57" w:name="page58"/>
    <w:bookmarkEnd w:id="57"/>
    <w:p>
      <w:pPr>
        <w:jc w:val="both"/>
        <w:ind w:firstLine="448"/>
        <w:spacing w:after="0" w:line="254" w:lineRule="auto"/>
        <w:rPr>
          <w:sz w:val="20"/>
          <w:szCs w:val="20"/>
          <w:color w:val="auto"/>
        </w:rPr>
      </w:pPr>
      <w:r>
        <w:rPr>
          <w:rFonts w:ascii="Arial" w:cs="Arial" w:eastAsia="Arial" w:hAnsi="Arial"/>
          <w:sz w:val="20"/>
          <w:szCs w:val="20"/>
          <w:color w:val="auto"/>
        </w:rPr>
        <w:t>For the years ended December 31, 2023 and 2022, the Company used approximately $212 million and $112 million, respectively, to fund capital expenditures, including maintenance capital expenditures of $22 million and $25 million, respectively. Growth capital expenditures in 2023 of $190 million in the Renewables segment were funded through construction-related financing. Renewables segment capital expenditures included $121 million incurred in connection with the Daggett 3 solar project, $23 million incurred in connection with the Daggett 2 solar project, $20 million incurred in connection with the Victory Pass and Arica solar projects, $11 million incurred in connection with the Waiawa solar project and $15 million incurred by other wind and solar projects.</w:t>
      </w:r>
    </w:p>
    <w:p>
      <w:pPr>
        <w:spacing w:after="0" w:line="147" w:lineRule="exact"/>
        <w:rPr>
          <w:sz w:val="20"/>
          <w:szCs w:val="20"/>
          <w:color w:val="auto"/>
        </w:rPr>
      </w:pPr>
    </w:p>
    <w:p>
      <w:pPr>
        <w:jc w:val="both"/>
        <w:ind w:firstLine="448"/>
        <w:spacing w:after="0" w:line="280" w:lineRule="auto"/>
        <w:rPr>
          <w:sz w:val="20"/>
          <w:szCs w:val="20"/>
          <w:color w:val="auto"/>
        </w:rPr>
      </w:pPr>
      <w:r>
        <w:rPr>
          <w:rFonts w:ascii="Arial" w:cs="Arial" w:eastAsia="Arial" w:hAnsi="Arial"/>
          <w:sz w:val="20"/>
          <w:szCs w:val="20"/>
          <w:color w:val="auto"/>
        </w:rPr>
        <w:t>The Company estimates $40 million of maintenance capital expenditures for 2024. These estimates are subject to continuing review and adjustment and actual capital expenditures may vary from these estimates.</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20"/>
          <w:szCs w:val="20"/>
          <w:b w:val="1"/>
          <w:bCs w:val="1"/>
          <w:color w:val="auto"/>
        </w:rPr>
        <w:t>Off-Balance Sheet Arrangements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Obligations under Certain Guarantee Contracts</w:t>
      </w:r>
    </w:p>
    <w:p>
      <w:pPr>
        <w:spacing w:after="0" w:line="196" w:lineRule="exact"/>
        <w:rPr>
          <w:sz w:val="20"/>
          <w:szCs w:val="20"/>
          <w:color w:val="auto"/>
        </w:rPr>
      </w:pPr>
    </w:p>
    <w:p>
      <w:pPr>
        <w:jc w:val="both"/>
        <w:ind w:firstLine="448"/>
        <w:spacing w:after="0" w:line="280" w:lineRule="auto"/>
        <w:rPr>
          <w:sz w:val="20"/>
          <w:szCs w:val="20"/>
          <w:color w:val="auto"/>
        </w:rPr>
      </w:pPr>
      <w:r>
        <w:rPr>
          <w:rFonts w:ascii="Arial" w:cs="Arial" w:eastAsia="Arial" w:hAnsi="Arial"/>
          <w:sz w:val="20"/>
          <w:szCs w:val="20"/>
          <w:color w:val="auto"/>
        </w:rPr>
        <w:t>The Company may enter into guarantee arrangements in the normal course of business to facilitate commercial transactions with third parties.</w:t>
      </w:r>
    </w:p>
    <w:p>
      <w:pPr>
        <w:spacing w:after="0" w:line="92"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Retained or Contingent Interests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does not have any material retained or contingent interests in assets transferred to an unconsolidated entity.</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Obligations Arising Out of a Variable Interest in an Unconsolidated Entity</w:t>
      </w:r>
    </w:p>
    <w:p>
      <w:pPr>
        <w:spacing w:after="0" w:line="173" w:lineRule="exact"/>
        <w:rPr>
          <w:sz w:val="20"/>
          <w:szCs w:val="20"/>
          <w:color w:val="auto"/>
        </w:rPr>
      </w:pPr>
    </w:p>
    <w:p>
      <w:pPr>
        <w:jc w:val="both"/>
        <w:ind w:firstLine="448"/>
        <w:spacing w:after="0" w:line="256" w:lineRule="auto"/>
        <w:rPr>
          <w:sz w:val="20"/>
          <w:szCs w:val="20"/>
          <w:color w:val="auto"/>
        </w:rPr>
      </w:pPr>
      <w:r>
        <w:rPr>
          <w:rFonts w:ascii="Arial" w:cs="Arial" w:eastAsia="Arial" w:hAnsi="Arial"/>
          <w:sz w:val="20"/>
          <w:szCs w:val="20"/>
          <w:b w:val="1"/>
          <w:bCs w:val="1"/>
          <w:i w:val="1"/>
          <w:iCs w:val="1"/>
          <w:color w:val="auto"/>
        </w:rPr>
        <w:t xml:space="preserve">Variable interest in equity investments </w:t>
      </w:r>
      <w:r>
        <w:rPr>
          <w:rFonts w:ascii="Arial" w:cs="Arial" w:eastAsia="Arial" w:hAnsi="Arial"/>
          <w:sz w:val="20"/>
          <w:szCs w:val="20"/>
          <w:color w:val="auto"/>
        </w:rPr>
        <w:t>— As of December 31, 2023, the Company has several investments with an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ownership interest percentage of 50% or less. GenConn and Rosie Central BESS are variable interest entities for which the Company is not the primary beneficiary. The Company’s pro-rata share of non-recourse debt held by unconsolidated affiliates was approximately $303 million as of December 31, 2023. This indebtedness may restrict the ability of these subsidiaries to issue dividends or distributions to the Company. See also Item 15 — Note 5, </w:t>
      </w:r>
      <w:r>
        <w:rPr>
          <w:rFonts w:ascii="Arial" w:cs="Arial" w:eastAsia="Arial" w:hAnsi="Arial"/>
          <w:sz w:val="20"/>
          <w:szCs w:val="20"/>
          <w:b w:val="1"/>
          <w:bCs w:val="1"/>
          <w:i w:val="1"/>
          <w:iCs w:val="1"/>
          <w:color w:val="auto"/>
        </w:rPr>
        <w:t>Investments Accounted for by the Equity Method</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and Variable Interest Entities</w:t>
      </w:r>
      <w:r>
        <w:rPr>
          <w:rFonts w:ascii="Arial" w:cs="Arial" w:eastAsia="Arial" w:hAnsi="Arial"/>
          <w:sz w:val="20"/>
          <w:szCs w:val="20"/>
          <w:color w:val="auto"/>
        </w:rPr>
        <w:t>.</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Contractual Obligations and Commercial Commitments</w:t>
      </w:r>
    </w:p>
    <w:p>
      <w:pPr>
        <w:spacing w:after="0" w:line="196" w:lineRule="exact"/>
        <w:rPr>
          <w:sz w:val="20"/>
          <w:szCs w:val="20"/>
          <w:color w:val="auto"/>
        </w:rPr>
      </w:pPr>
    </w:p>
    <w:p>
      <w:pPr>
        <w:jc w:val="both"/>
        <w:ind w:firstLine="448"/>
        <w:spacing w:after="0" w:line="307" w:lineRule="auto"/>
        <w:rPr>
          <w:sz w:val="20"/>
          <w:szCs w:val="20"/>
          <w:color w:val="auto"/>
        </w:rPr>
      </w:pPr>
      <w:r>
        <w:rPr>
          <w:rFonts w:ascii="Arial" w:cs="Arial" w:eastAsia="Arial" w:hAnsi="Arial"/>
          <w:sz w:val="18"/>
          <w:szCs w:val="18"/>
          <w:color w:val="auto"/>
        </w:rPr>
        <w:t xml:space="preserve">In addition to the Company’s capital expenditure programs, the Company has a variety of contractual obligations and other commercial commitments that represent prospective cash requirements. The following table summarizes the Company’s contractual obligations. See Item 15 — Note 10, </w:t>
      </w:r>
      <w:r>
        <w:rPr>
          <w:rFonts w:ascii="Arial" w:cs="Arial" w:eastAsia="Arial" w:hAnsi="Arial"/>
          <w:sz w:val="18"/>
          <w:szCs w:val="18"/>
          <w:b w:val="1"/>
          <w:bCs w:val="1"/>
          <w:i w:val="1"/>
          <w:iCs w:val="1"/>
          <w:color w:val="auto"/>
        </w:rPr>
        <w:t>Long-term Debt</w:t>
      </w:r>
      <w:r>
        <w:rPr>
          <w:rFonts w:ascii="Arial" w:cs="Arial" w:eastAsia="Arial" w:hAnsi="Arial"/>
          <w:sz w:val="18"/>
          <w:szCs w:val="18"/>
          <w:color w:val="auto"/>
        </w:rPr>
        <w:t xml:space="preserve"> and Note 17, </w:t>
      </w:r>
      <w:r>
        <w:rPr>
          <w:rFonts w:ascii="Arial" w:cs="Arial" w:eastAsia="Arial" w:hAnsi="Arial"/>
          <w:sz w:val="18"/>
          <w:szCs w:val="18"/>
          <w:b w:val="1"/>
          <w:bCs w:val="1"/>
          <w:i w:val="1"/>
          <w:iCs w:val="1"/>
          <w:color w:val="auto"/>
        </w:rPr>
        <w:t>Leases</w:t>
      </w:r>
      <w:r>
        <w:rPr>
          <w:rFonts w:ascii="Arial" w:cs="Arial" w:eastAsia="Arial" w:hAnsi="Arial"/>
          <w:sz w:val="18"/>
          <w:szCs w:val="18"/>
          <w:color w:val="auto"/>
        </w:rPr>
        <w:t>, for additional discussion.</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gridSpan w:val="11"/>
          </w:tcPr>
          <w:p>
            <w:pPr>
              <w:jc w:val="right"/>
              <w:ind w:right="544"/>
              <w:spacing w:after="0"/>
              <w:rPr>
                <w:sz w:val="20"/>
                <w:szCs w:val="20"/>
                <w:color w:val="auto"/>
              </w:rPr>
            </w:pPr>
            <w:r>
              <w:rPr>
                <w:rFonts w:ascii="Arial" w:cs="Arial" w:eastAsia="Arial" w:hAnsi="Arial"/>
                <w:sz w:val="16"/>
                <w:szCs w:val="16"/>
                <w:b w:val="1"/>
                <w:bCs w:val="1"/>
                <w:color w:val="auto"/>
              </w:rPr>
              <w:t>By Remaining Maturity at December 31,</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28"/>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26"/>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85"/>
        </w:trPr>
        <w:tc>
          <w:tcPr>
            <w:tcW w:w="3780" w:type="dxa"/>
            <w:vAlign w:val="bottom"/>
            <w:gridSpan w:val="4"/>
            <w:vMerge w:val="restart"/>
          </w:tcPr>
          <w:p>
            <w:pPr>
              <w:ind w:left="40"/>
              <w:spacing w:after="0"/>
              <w:rPr>
                <w:sz w:val="20"/>
                <w:szCs w:val="20"/>
                <w:color w:val="auto"/>
              </w:rPr>
            </w:pPr>
            <w:r>
              <w:rPr>
                <w:rFonts w:ascii="Arial" w:cs="Arial" w:eastAsia="Arial" w:hAnsi="Arial"/>
                <w:sz w:val="16"/>
                <w:szCs w:val="16"/>
                <w:b w:val="1"/>
                <w:bCs w:val="1"/>
                <w:color w:val="auto"/>
              </w:rPr>
              <w:t>Contractual Cash Obligations</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166"/>
              <w:spacing w:after="0"/>
              <w:rPr>
                <w:sz w:val="20"/>
                <w:szCs w:val="20"/>
                <w:color w:val="auto"/>
              </w:rPr>
            </w:pPr>
            <w:r>
              <w:rPr>
                <w:rFonts w:ascii="Arial" w:cs="Arial" w:eastAsia="Arial" w:hAnsi="Arial"/>
                <w:sz w:val="16"/>
                <w:szCs w:val="16"/>
                <w:b w:val="1"/>
                <w:bCs w:val="1"/>
                <w:color w:val="auto"/>
                <w:w w:val="99"/>
              </w:rPr>
              <w:t>Under</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restart"/>
          </w:tcPr>
          <w:p>
            <w:pPr>
              <w:jc w:val="right"/>
              <w:ind w:right="66"/>
              <w:spacing w:after="0"/>
              <w:rPr>
                <w:sz w:val="20"/>
                <w:szCs w:val="20"/>
                <w:color w:val="auto"/>
              </w:rPr>
            </w:pPr>
            <w:r>
              <w:rPr>
                <w:rFonts w:ascii="Arial" w:cs="Arial" w:eastAsia="Arial" w:hAnsi="Arial"/>
                <w:sz w:val="16"/>
                <w:szCs w:val="16"/>
                <w:b w:val="1"/>
                <w:bCs w:val="1"/>
                <w:color w:val="auto"/>
                <w:w w:val="87"/>
              </w:rPr>
              <w:t>1-3 Years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6"/>
                <w:szCs w:val="16"/>
                <w:b w:val="1"/>
                <w:bCs w:val="1"/>
                <w:color w:val="auto"/>
                <w:w w:val="89"/>
              </w:rPr>
              <w:t>3-5 Years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ind w:right="206"/>
              <w:spacing w:after="0"/>
              <w:rPr>
                <w:sz w:val="20"/>
                <w:szCs w:val="20"/>
                <w:color w:val="auto"/>
              </w:rPr>
            </w:pPr>
            <w:r>
              <w:rPr>
                <w:rFonts w:ascii="Arial" w:cs="Arial" w:eastAsia="Arial" w:hAnsi="Arial"/>
                <w:sz w:val="16"/>
                <w:szCs w:val="16"/>
                <w:b w:val="1"/>
                <w:bCs w:val="1"/>
                <w:color w:val="auto"/>
              </w:rPr>
              <w:t>Over</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restart"/>
          </w:tcPr>
          <w:p>
            <w:pPr>
              <w:jc w:val="right"/>
              <w:ind w:right="204"/>
              <w:spacing w:after="0"/>
              <w:rPr>
                <w:sz w:val="20"/>
                <w:szCs w:val="20"/>
                <w:color w:val="auto"/>
              </w:rPr>
            </w:pPr>
            <w:r>
              <w:rPr>
                <w:rFonts w:ascii="Arial" w:cs="Arial" w:eastAsia="Arial" w:hAnsi="Arial"/>
                <w:sz w:val="16"/>
                <w:szCs w:val="16"/>
                <w:b w:val="1"/>
                <w:bCs w:val="1"/>
                <w:color w:val="auto"/>
              </w:rPr>
              <w:t>Total</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restart"/>
          </w:tcPr>
          <w:p>
            <w:pPr>
              <w:jc w:val="right"/>
              <w:ind w:right="206"/>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2"/>
        </w:trPr>
        <w:tc>
          <w:tcPr>
            <w:tcW w:w="378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146"/>
              <w:spacing w:after="0" w:line="172" w:lineRule="exact"/>
              <w:rPr>
                <w:sz w:val="20"/>
                <w:szCs w:val="20"/>
                <w:color w:val="auto"/>
              </w:rPr>
            </w:pPr>
            <w:r>
              <w:rPr>
                <w:rFonts w:ascii="Arial" w:cs="Arial" w:eastAsia="Arial" w:hAnsi="Arial"/>
                <w:sz w:val="16"/>
                <w:szCs w:val="16"/>
                <w:b w:val="1"/>
                <w:bCs w:val="1"/>
                <w:color w:val="auto"/>
                <w:w w:val="99"/>
              </w:rPr>
              <w:t>1 Year</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126"/>
              <w:spacing w:after="0" w:line="172" w:lineRule="exact"/>
              <w:rPr>
                <w:sz w:val="20"/>
                <w:szCs w:val="20"/>
                <w:color w:val="auto"/>
              </w:rPr>
            </w:pPr>
            <w:r>
              <w:rPr>
                <w:rFonts w:ascii="Arial" w:cs="Arial" w:eastAsia="Arial" w:hAnsi="Arial"/>
                <w:sz w:val="16"/>
                <w:szCs w:val="16"/>
                <w:b w:val="1"/>
                <w:bCs w:val="1"/>
                <w:color w:val="auto"/>
                <w:w w:val="94"/>
              </w:rPr>
              <w:t>5 Years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9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gridSpan w:val="4"/>
          </w:tcPr>
          <w:p>
            <w:pPr>
              <w:jc w:val="right"/>
              <w:ind w:right="486"/>
              <w:spacing w:after="0"/>
              <w:rPr>
                <w:sz w:val="20"/>
                <w:szCs w:val="20"/>
                <w:color w:val="auto"/>
              </w:rPr>
            </w:pPr>
            <w:r>
              <w:rPr>
                <w:rFonts w:ascii="Arial" w:cs="Arial" w:eastAsia="Arial" w:hAnsi="Arial"/>
                <w:sz w:val="16"/>
                <w:szCs w:val="16"/>
                <w:b w:val="1"/>
                <w:bCs w:val="1"/>
                <w:color w:val="auto"/>
              </w:rPr>
              <w:t>(In millions)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7"/>
        </w:trPr>
        <w:tc>
          <w:tcPr>
            <w:tcW w:w="40" w:type="dxa"/>
            <w:vAlign w:val="bottom"/>
            <w:shd w:val="clear" w:color="auto" w:fill="E6E6E6"/>
          </w:tcPr>
          <w:p>
            <w:pPr>
              <w:spacing w:after="0"/>
              <w:rPr>
                <w:sz w:val="24"/>
                <w:szCs w:val="24"/>
                <w:color w:val="auto"/>
              </w:rPr>
            </w:pPr>
          </w:p>
        </w:tc>
        <w:tc>
          <w:tcPr>
            <w:tcW w:w="3740" w:type="dxa"/>
            <w:vAlign w:val="bottom"/>
            <w:gridSpan w:val="3"/>
            <w:shd w:val="clear" w:color="auto" w:fill="E6E6E6"/>
          </w:tcPr>
          <w:p>
            <w:pPr>
              <w:spacing w:after="0"/>
              <w:rPr>
                <w:sz w:val="20"/>
                <w:szCs w:val="20"/>
                <w:color w:val="auto"/>
              </w:rPr>
            </w:pPr>
            <w:r>
              <w:rPr>
                <w:rFonts w:ascii="Arial" w:cs="Arial" w:eastAsia="Arial" w:hAnsi="Arial"/>
                <w:sz w:val="20"/>
                <w:szCs w:val="20"/>
                <w:color w:val="auto"/>
                <w:w w:val="93"/>
              </w:rPr>
              <w:t>Long-term debt (including estimated interest)</w:t>
            </w:r>
          </w:p>
        </w:tc>
        <w:tc>
          <w:tcPr>
            <w:tcW w:w="440" w:type="dxa"/>
            <w:vAlign w:val="bottom"/>
            <w:gridSpan w:val="3"/>
            <w:shd w:val="clear" w:color="auto" w:fill="E6E6E6"/>
          </w:tcPr>
          <w:p>
            <w:pPr>
              <w:ind w:left="20"/>
              <w:spacing w:after="0"/>
              <w:rPr>
                <w:sz w:val="20"/>
                <w:szCs w:val="20"/>
                <w:color w:val="auto"/>
              </w:rPr>
            </w:pPr>
            <w:r>
              <w:rPr>
                <w:rFonts w:ascii="Arial" w:cs="Arial" w:eastAsia="Arial" w:hAnsi="Arial"/>
                <w:sz w:val="20"/>
                <w:szCs w:val="20"/>
                <w:color w:val="BDBDBD"/>
              </w:rPr>
              <w:t xml:space="preserve">. . </w:t>
            </w:r>
            <w:r>
              <w:rPr>
                <w:rFonts w:ascii="Arial" w:cs="Arial" w:eastAsia="Arial" w:hAnsi="Arial"/>
                <w:sz w:val="20"/>
                <w:szCs w:val="20"/>
                <w:color w:val="000000"/>
              </w:rPr>
              <w:t>$</w:t>
            </w:r>
          </w:p>
        </w:tc>
        <w:tc>
          <w:tcPr>
            <w:tcW w:w="7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1,989</w:t>
            </w:r>
          </w:p>
        </w:tc>
        <w:tc>
          <w:tcPr>
            <w:tcW w:w="240" w:type="dxa"/>
            <w:vAlign w:val="bottom"/>
            <w:gridSpan w:val="3"/>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1,258</w:t>
            </w:r>
          </w:p>
        </w:tc>
        <w:tc>
          <w:tcPr>
            <w:tcW w:w="22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2,395</w:t>
            </w:r>
          </w:p>
        </w:tc>
        <w:tc>
          <w:tcPr>
            <w:tcW w:w="260" w:type="dxa"/>
            <w:vAlign w:val="bottom"/>
            <w:gridSpan w:val="2"/>
            <w:shd w:val="clear" w:color="auto" w:fill="E6E6E6"/>
          </w:tcPr>
          <w:p>
            <w:pPr>
              <w:jc w:val="right"/>
              <w:ind w:right="20"/>
              <w:spacing w:after="0"/>
              <w:rPr>
                <w:sz w:val="20"/>
                <w:szCs w:val="20"/>
                <w:color w:val="auto"/>
              </w:rPr>
            </w:pPr>
            <w:r>
              <w:rPr>
                <w:rFonts w:ascii="Arial" w:cs="Arial" w:eastAsia="Arial" w:hAnsi="Arial"/>
                <w:sz w:val="20"/>
                <w:szCs w:val="20"/>
                <w:color w:val="auto"/>
              </w:rPr>
              <w:t>$</w:t>
            </w:r>
          </w:p>
        </w:tc>
        <w:tc>
          <w:tcPr>
            <w:tcW w:w="7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4,286</w:t>
            </w:r>
          </w:p>
        </w:tc>
        <w:tc>
          <w:tcPr>
            <w:tcW w:w="300" w:type="dxa"/>
            <w:vAlign w:val="bottom"/>
            <w:gridSpan w:val="3"/>
            <w:shd w:val="clear" w:color="auto" w:fill="E6E6E6"/>
          </w:tcPr>
          <w:p>
            <w:pPr>
              <w:jc w:val="right"/>
              <w:ind w:right="80"/>
              <w:spacing w:after="0"/>
              <w:rPr>
                <w:sz w:val="20"/>
                <w:szCs w:val="20"/>
                <w:color w:val="auto"/>
              </w:rPr>
            </w:pPr>
            <w:r>
              <w:rPr>
                <w:rFonts w:ascii="Arial" w:cs="Arial" w:eastAsia="Arial" w:hAnsi="Arial"/>
                <w:sz w:val="20"/>
                <w:szCs w:val="20"/>
                <w:color w:val="auto"/>
              </w:rPr>
              <w:t>$</w:t>
            </w:r>
          </w:p>
        </w:tc>
        <w:tc>
          <w:tcPr>
            <w:tcW w:w="7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9,928</w:t>
            </w:r>
          </w:p>
        </w:tc>
        <w:tc>
          <w:tcPr>
            <w:tcW w:w="300" w:type="dxa"/>
            <w:vAlign w:val="bottom"/>
            <w:gridSpan w:val="3"/>
            <w:shd w:val="clear" w:color="auto" w:fill="E6E6E6"/>
          </w:tcPr>
          <w:p>
            <w:pPr>
              <w:jc w:val="right"/>
              <w:ind w:right="60"/>
              <w:spacing w:after="0"/>
              <w:rPr>
                <w:sz w:val="20"/>
                <w:szCs w:val="20"/>
                <w:color w:val="auto"/>
              </w:rPr>
            </w:pPr>
            <w:r>
              <w:rPr>
                <w:rFonts w:ascii="Arial" w:cs="Arial" w:eastAsia="Arial" w:hAnsi="Arial"/>
                <w:sz w:val="20"/>
                <w:szCs w:val="20"/>
                <w:color w:val="auto"/>
              </w:rPr>
              <w:t>$</w:t>
            </w:r>
          </w:p>
        </w:tc>
        <w:tc>
          <w:tcPr>
            <w:tcW w:w="7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8,861</w:t>
            </w:r>
          </w:p>
        </w:tc>
        <w:tc>
          <w:tcPr>
            <w:tcW w:w="0" w:type="dxa"/>
            <w:vAlign w:val="bottom"/>
          </w:tcPr>
          <w:p>
            <w:pPr>
              <w:spacing w:after="0"/>
              <w:rPr>
                <w:sz w:val="1"/>
                <w:szCs w:val="1"/>
                <w:color w:val="auto"/>
              </w:rPr>
            </w:pPr>
          </w:p>
        </w:tc>
      </w:tr>
      <w:tr>
        <w:trPr>
          <w:trHeight w:val="292"/>
        </w:trPr>
        <w:tc>
          <w:tcPr>
            <w:tcW w:w="40" w:type="dxa"/>
            <w:vAlign w:val="bottom"/>
          </w:tcPr>
          <w:p>
            <w:pPr>
              <w:spacing w:after="0"/>
              <w:rPr>
                <w:sz w:val="24"/>
                <w:szCs w:val="24"/>
                <w:color w:val="auto"/>
              </w:rPr>
            </w:pPr>
          </w:p>
        </w:tc>
        <w:tc>
          <w:tcPr>
            <w:tcW w:w="3740" w:type="dxa"/>
            <w:vAlign w:val="bottom"/>
            <w:gridSpan w:val="3"/>
          </w:tcPr>
          <w:p>
            <w:pPr>
              <w:spacing w:after="0"/>
              <w:rPr>
                <w:sz w:val="20"/>
                <w:szCs w:val="20"/>
                <w:color w:val="auto"/>
              </w:rPr>
            </w:pPr>
            <w:r>
              <w:rPr>
                <w:rFonts w:ascii="Arial" w:cs="Arial" w:eastAsia="Arial" w:hAnsi="Arial"/>
                <w:sz w:val="20"/>
                <w:szCs w:val="20"/>
                <w:color w:val="auto"/>
                <w:w w:val="90"/>
              </w:rPr>
              <w:t xml:space="preserve">Operating leases  </w:t>
            </w:r>
            <w:r>
              <w:rPr>
                <w:rFonts w:ascii="Arial" w:cs="Arial" w:eastAsia="Arial" w:hAnsi="Arial"/>
                <w:sz w:val="20"/>
                <w:szCs w:val="20"/>
                <w:color w:val="BDBDBD"/>
                <w:w w:val="90"/>
              </w:rPr>
              <w:t>. . . . . . . . . . . . . . . . . . . . . . .</w:t>
            </w:r>
          </w:p>
        </w:tc>
        <w:tc>
          <w:tcPr>
            <w:tcW w:w="240" w:type="dxa"/>
            <w:vAlign w:val="bottom"/>
          </w:tcPr>
          <w:p>
            <w:pPr>
              <w:ind w:left="20"/>
              <w:spacing w:after="0"/>
              <w:rPr>
                <w:sz w:val="20"/>
                <w:szCs w:val="20"/>
                <w:color w:val="auto"/>
              </w:rPr>
            </w:pPr>
            <w:r>
              <w:rPr>
                <w:rFonts w:ascii="Arial" w:cs="Arial" w:eastAsia="Arial" w:hAnsi="Arial"/>
                <w:sz w:val="20"/>
                <w:szCs w:val="20"/>
                <w:color w:val="BDBDBD"/>
              </w:rPr>
              <w:t>. .</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34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69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72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980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1,155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982</w:t>
            </w:r>
          </w:p>
        </w:tc>
        <w:tc>
          <w:tcPr>
            <w:tcW w:w="0" w:type="dxa"/>
            <w:vAlign w:val="bottom"/>
          </w:tcPr>
          <w:p>
            <w:pPr>
              <w:spacing w:after="0"/>
              <w:rPr>
                <w:sz w:val="1"/>
                <w:szCs w:val="1"/>
                <w:color w:val="auto"/>
              </w:rPr>
            </w:pPr>
          </w:p>
        </w:tc>
      </w:tr>
      <w:tr>
        <w:trPr>
          <w:trHeight w:val="305"/>
        </w:trPr>
        <w:tc>
          <w:tcPr>
            <w:tcW w:w="40" w:type="dxa"/>
            <w:vAlign w:val="bottom"/>
            <w:shd w:val="clear" w:color="auto" w:fill="E6E6E6"/>
          </w:tcPr>
          <w:p>
            <w:pPr>
              <w:spacing w:after="0"/>
              <w:rPr>
                <w:sz w:val="24"/>
                <w:szCs w:val="24"/>
                <w:color w:val="auto"/>
              </w:rPr>
            </w:pPr>
          </w:p>
        </w:tc>
        <w:tc>
          <w:tcPr>
            <w:tcW w:w="3740" w:type="dxa"/>
            <w:vAlign w:val="bottom"/>
            <w:gridSpan w:val="3"/>
            <w:shd w:val="clear" w:color="auto" w:fill="E6E6E6"/>
          </w:tcPr>
          <w:p>
            <w:pPr>
              <w:spacing w:after="0"/>
              <w:rPr>
                <w:sz w:val="20"/>
                <w:szCs w:val="20"/>
                <w:color w:val="auto"/>
              </w:rPr>
            </w:pPr>
            <w:r>
              <w:rPr>
                <w:rFonts w:ascii="Arial" w:cs="Arial" w:eastAsia="Arial" w:hAnsi="Arial"/>
                <w:sz w:val="20"/>
                <w:szCs w:val="20"/>
                <w:color w:val="auto"/>
                <w:w w:val="90"/>
              </w:rPr>
              <w:t xml:space="preserve">Natural gas transportation obligations </w:t>
            </w:r>
            <w:r>
              <w:rPr>
                <w:rFonts w:ascii="Arial" w:cs="Arial" w:eastAsia="Arial" w:hAnsi="Arial"/>
                <w:sz w:val="25"/>
                <w:szCs w:val="25"/>
                <w:color w:val="auto"/>
                <w:w w:val="90"/>
                <w:vertAlign w:val="superscript"/>
              </w:rPr>
              <w:t>(a)</w:t>
            </w:r>
            <w:r>
              <w:rPr>
                <w:rFonts w:ascii="Arial" w:cs="Arial" w:eastAsia="Arial" w:hAnsi="Arial"/>
                <w:sz w:val="20"/>
                <w:szCs w:val="20"/>
                <w:color w:val="auto"/>
                <w:w w:val="90"/>
              </w:rPr>
              <w:t xml:space="preserve"> </w:t>
            </w:r>
            <w:r>
              <w:rPr>
                <w:rFonts w:ascii="Arial" w:cs="Arial" w:eastAsia="Arial" w:hAnsi="Arial"/>
                <w:sz w:val="20"/>
                <w:szCs w:val="20"/>
                <w:color w:val="BDBDBD"/>
                <w:w w:val="90"/>
              </w:rPr>
              <w:t>. . . . .</w:t>
            </w:r>
          </w:p>
        </w:tc>
        <w:tc>
          <w:tcPr>
            <w:tcW w:w="240" w:type="dxa"/>
            <w:vAlign w:val="bottom"/>
            <w:shd w:val="clear" w:color="auto" w:fill="E6E6E6"/>
          </w:tcPr>
          <w:p>
            <w:pPr>
              <w:ind w:left="20"/>
              <w:spacing w:after="0"/>
              <w:rPr>
                <w:sz w:val="20"/>
                <w:szCs w:val="20"/>
                <w:color w:val="auto"/>
              </w:rPr>
            </w:pPr>
            <w:r>
              <w:rPr>
                <w:rFonts w:ascii="Arial" w:cs="Arial" w:eastAsia="Arial" w:hAnsi="Arial"/>
                <w:sz w:val="20"/>
                <w:szCs w:val="20"/>
                <w:color w:val="BDBDBD"/>
              </w:rPr>
              <w:t>. .</w:t>
            </w:r>
          </w:p>
        </w:tc>
        <w:tc>
          <w:tcPr>
            <w:tcW w:w="2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w:t>
            </w:r>
          </w:p>
        </w:tc>
        <w:tc>
          <w:tcPr>
            <w:tcW w:w="8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9"/>
        </w:trPr>
        <w:tc>
          <w:tcPr>
            <w:tcW w:w="40" w:type="dxa"/>
            <w:vAlign w:val="bottom"/>
            <w:tcBorders>
              <w:bottom w:val="single" w:sz="8" w:color="E6E6E6"/>
            </w:tcBorders>
          </w:tcPr>
          <w:p>
            <w:pPr>
              <w:spacing w:after="0"/>
              <w:rPr>
                <w:sz w:val="24"/>
                <w:szCs w:val="24"/>
                <w:color w:val="auto"/>
              </w:rPr>
            </w:pPr>
          </w:p>
        </w:tc>
        <w:tc>
          <w:tcPr>
            <w:tcW w:w="3740" w:type="dxa"/>
            <w:vAlign w:val="bottom"/>
            <w:tcBorders>
              <w:bottom w:val="single" w:sz="8" w:color="E6E6E6"/>
            </w:tcBorders>
            <w:gridSpan w:val="3"/>
          </w:tcPr>
          <w:p>
            <w:pPr>
              <w:spacing w:after="0"/>
              <w:rPr>
                <w:sz w:val="20"/>
                <w:szCs w:val="20"/>
                <w:color w:val="auto"/>
              </w:rPr>
            </w:pPr>
            <w:r>
              <w:rPr>
                <w:rFonts w:ascii="Arial" w:cs="Arial" w:eastAsia="Arial" w:hAnsi="Arial"/>
                <w:sz w:val="20"/>
                <w:szCs w:val="20"/>
                <w:color w:val="auto"/>
                <w:w w:val="91"/>
              </w:rPr>
              <w:t xml:space="preserve">Other liabilities </w:t>
            </w:r>
            <w:r>
              <w:rPr>
                <w:rFonts w:ascii="Arial" w:cs="Arial" w:eastAsia="Arial" w:hAnsi="Arial"/>
                <w:sz w:val="25"/>
                <w:szCs w:val="25"/>
                <w:color w:val="auto"/>
                <w:w w:val="91"/>
                <w:vertAlign w:val="superscript"/>
              </w:rPr>
              <w:t>(b)</w:t>
            </w:r>
            <w:r>
              <w:rPr>
                <w:rFonts w:ascii="Arial" w:cs="Arial" w:eastAsia="Arial" w:hAnsi="Arial"/>
                <w:sz w:val="20"/>
                <w:szCs w:val="20"/>
                <w:color w:val="auto"/>
                <w:w w:val="91"/>
              </w:rPr>
              <w:t xml:space="preserve">  </w:t>
            </w:r>
            <w:r>
              <w:rPr>
                <w:rFonts w:ascii="Arial" w:cs="Arial" w:eastAsia="Arial" w:hAnsi="Arial"/>
                <w:sz w:val="20"/>
                <w:szCs w:val="20"/>
                <w:color w:val="BDBDBD"/>
                <w:w w:val="91"/>
              </w:rPr>
              <w:t>. . . . . . . . . . . . . . . . . . . . . .</w:t>
            </w:r>
          </w:p>
        </w:tc>
        <w:tc>
          <w:tcPr>
            <w:tcW w:w="240" w:type="dxa"/>
            <w:vAlign w:val="bottom"/>
            <w:tcBorders>
              <w:bottom w:val="single" w:sz="8" w:color="E6E6E6"/>
            </w:tcBorders>
          </w:tcPr>
          <w:p>
            <w:pPr>
              <w:ind w:left="20"/>
              <w:spacing w:after="0"/>
              <w:rPr>
                <w:sz w:val="20"/>
                <w:szCs w:val="20"/>
                <w:color w:val="auto"/>
              </w:rPr>
            </w:pPr>
            <w:r>
              <w:rPr>
                <w:rFonts w:ascii="Arial" w:cs="Arial" w:eastAsia="Arial" w:hAnsi="Arial"/>
                <w:sz w:val="20"/>
                <w:szCs w:val="20"/>
                <w:color w:val="BDBDBD"/>
              </w:rPr>
              <w:t>. .</w:t>
            </w:r>
          </w:p>
        </w:tc>
        <w:tc>
          <w:tcPr>
            <w:tcW w:w="20" w:type="dxa"/>
            <w:vAlign w:val="bottom"/>
            <w:tcBorders>
              <w:bottom w:val="single" w:sz="8" w:color="E6E6E6"/>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w:t>
            </w:r>
          </w:p>
        </w:tc>
        <w:tc>
          <w:tcPr>
            <w:tcW w:w="8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w:t>
            </w:r>
          </w:p>
        </w:tc>
        <w:tc>
          <w:tcPr>
            <w:tcW w:w="80" w:type="dxa"/>
            <w:vAlign w:val="bottom"/>
            <w:tcBorders>
              <w:bottom w:val="single" w:sz="8" w:color="E6E6E6"/>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w:t>
            </w:r>
          </w:p>
        </w:tc>
        <w:tc>
          <w:tcPr>
            <w:tcW w:w="80" w:type="dxa"/>
            <w:vAlign w:val="bottom"/>
            <w:tcBorders>
              <w:bottom w:val="single" w:sz="8" w:color="E6E6E6"/>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315</w:t>
            </w:r>
          </w:p>
        </w:tc>
        <w:tc>
          <w:tcPr>
            <w:tcW w:w="6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445</w:t>
            </w:r>
          </w:p>
        </w:tc>
        <w:tc>
          <w:tcPr>
            <w:tcW w:w="8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300</w:t>
            </w:r>
          </w:p>
        </w:tc>
        <w:tc>
          <w:tcPr>
            <w:tcW w:w="0" w:type="dxa"/>
            <w:vAlign w:val="bottom"/>
          </w:tcPr>
          <w:p>
            <w:pPr>
              <w:spacing w:after="0"/>
              <w:rPr>
                <w:sz w:val="1"/>
                <w:szCs w:val="1"/>
                <w:color w:val="auto"/>
              </w:rPr>
            </w:pPr>
          </w:p>
        </w:tc>
      </w:tr>
      <w:tr>
        <w:trPr>
          <w:trHeight w:val="298"/>
        </w:trPr>
        <w:tc>
          <w:tcPr>
            <w:tcW w:w="40" w:type="dxa"/>
            <w:vAlign w:val="bottom"/>
            <w:shd w:val="clear" w:color="auto" w:fill="E6E6E6"/>
          </w:tcPr>
          <w:p>
            <w:pPr>
              <w:spacing w:after="0"/>
              <w:rPr>
                <w:sz w:val="24"/>
                <w:szCs w:val="24"/>
                <w:color w:val="auto"/>
              </w:rPr>
            </w:pPr>
          </w:p>
        </w:tc>
        <w:tc>
          <w:tcPr>
            <w:tcW w:w="3740" w:type="dxa"/>
            <w:vAlign w:val="bottom"/>
            <w:gridSpan w:val="3"/>
            <w:shd w:val="clear" w:color="auto" w:fill="E6E6E6"/>
          </w:tcPr>
          <w:p>
            <w:pPr>
              <w:spacing w:after="0"/>
              <w:rPr>
                <w:sz w:val="20"/>
                <w:szCs w:val="20"/>
                <w:color w:val="auto"/>
              </w:rPr>
            </w:pPr>
            <w:r>
              <w:rPr>
                <w:rFonts w:ascii="Arial" w:cs="Arial" w:eastAsia="Arial" w:hAnsi="Arial"/>
                <w:sz w:val="20"/>
                <w:szCs w:val="20"/>
                <w:color w:val="auto"/>
                <w:w w:val="90"/>
              </w:rPr>
              <w:t xml:space="preserve">Total </w:t>
            </w:r>
            <w:r>
              <w:rPr>
                <w:rFonts w:ascii="Arial" w:cs="Arial" w:eastAsia="Arial" w:hAnsi="Arial"/>
                <w:sz w:val="20"/>
                <w:szCs w:val="20"/>
                <w:color w:val="BDBDBD"/>
                <w:w w:val="90"/>
              </w:rPr>
              <w:t>. . . . . . . . . . . . . . . . . . . . . . . . . . . . . . . . .</w:t>
            </w:r>
          </w:p>
        </w:tc>
        <w:tc>
          <w:tcPr>
            <w:tcW w:w="440" w:type="dxa"/>
            <w:vAlign w:val="bottom"/>
            <w:gridSpan w:val="3"/>
            <w:shd w:val="clear" w:color="auto" w:fill="E6E6E6"/>
          </w:tcPr>
          <w:p>
            <w:pPr>
              <w:ind w:left="20"/>
              <w:spacing w:after="0"/>
              <w:rPr>
                <w:sz w:val="20"/>
                <w:szCs w:val="20"/>
                <w:color w:val="auto"/>
              </w:rPr>
            </w:pPr>
            <w:r>
              <w:rPr>
                <w:rFonts w:ascii="Arial" w:cs="Arial" w:eastAsia="Arial" w:hAnsi="Arial"/>
                <w:sz w:val="20"/>
                <w:szCs w:val="20"/>
                <w:color w:val="BDBDBD"/>
              </w:rPr>
              <w:t xml:space="preserve">. . </w:t>
            </w:r>
            <w:r>
              <w:rPr>
                <w:rFonts w:ascii="Arial" w:cs="Arial" w:eastAsia="Arial" w:hAnsi="Arial"/>
                <w:sz w:val="20"/>
                <w:szCs w:val="20"/>
                <w:color w:val="000000"/>
              </w:rPr>
              <w:t>$</w:t>
            </w:r>
          </w:p>
        </w:tc>
        <w:tc>
          <w:tcPr>
            <w:tcW w:w="7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2,054</w:t>
            </w:r>
          </w:p>
        </w:tc>
        <w:tc>
          <w:tcPr>
            <w:tcW w:w="240" w:type="dxa"/>
            <w:vAlign w:val="bottom"/>
            <w:gridSpan w:val="3"/>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1,387</w:t>
            </w:r>
          </w:p>
        </w:tc>
        <w:tc>
          <w:tcPr>
            <w:tcW w:w="22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2,513</w:t>
            </w:r>
          </w:p>
        </w:tc>
        <w:tc>
          <w:tcPr>
            <w:tcW w:w="260" w:type="dxa"/>
            <w:vAlign w:val="bottom"/>
            <w:gridSpan w:val="2"/>
            <w:shd w:val="clear" w:color="auto" w:fill="E6E6E6"/>
          </w:tcPr>
          <w:p>
            <w:pPr>
              <w:jc w:val="right"/>
              <w:ind w:right="20"/>
              <w:spacing w:after="0"/>
              <w:rPr>
                <w:sz w:val="20"/>
                <w:szCs w:val="20"/>
                <w:color w:val="auto"/>
              </w:rPr>
            </w:pPr>
            <w:r>
              <w:rPr>
                <w:rFonts w:ascii="Arial" w:cs="Arial" w:eastAsia="Arial" w:hAnsi="Arial"/>
                <w:sz w:val="20"/>
                <w:szCs w:val="20"/>
                <w:color w:val="auto"/>
              </w:rPr>
              <w:t>$</w:t>
            </w:r>
          </w:p>
        </w:tc>
        <w:tc>
          <w:tcPr>
            <w:tcW w:w="7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5,581</w:t>
            </w:r>
          </w:p>
        </w:tc>
        <w:tc>
          <w:tcPr>
            <w:tcW w:w="300" w:type="dxa"/>
            <w:vAlign w:val="bottom"/>
            <w:gridSpan w:val="3"/>
            <w:shd w:val="clear" w:color="auto" w:fill="E6E6E6"/>
          </w:tcPr>
          <w:p>
            <w:pPr>
              <w:jc w:val="right"/>
              <w:ind w:right="80"/>
              <w:spacing w:after="0"/>
              <w:rPr>
                <w:sz w:val="20"/>
                <w:szCs w:val="20"/>
                <w:color w:val="auto"/>
              </w:rPr>
            </w:pPr>
            <w:r>
              <w:rPr>
                <w:rFonts w:ascii="Arial" w:cs="Arial" w:eastAsia="Arial" w:hAnsi="Arial"/>
                <w:sz w:val="20"/>
                <w:szCs w:val="20"/>
                <w:color w:val="auto"/>
              </w:rPr>
              <w:t>$</w:t>
            </w:r>
          </w:p>
        </w:tc>
        <w:tc>
          <w:tcPr>
            <w:tcW w:w="7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11,535</w:t>
            </w:r>
          </w:p>
        </w:tc>
        <w:tc>
          <w:tcPr>
            <w:tcW w:w="300" w:type="dxa"/>
            <w:vAlign w:val="bottom"/>
            <w:gridSpan w:val="3"/>
            <w:shd w:val="clear" w:color="auto" w:fill="E6E6E6"/>
          </w:tcPr>
          <w:p>
            <w:pPr>
              <w:jc w:val="right"/>
              <w:ind w:right="60"/>
              <w:spacing w:after="0"/>
              <w:rPr>
                <w:sz w:val="20"/>
                <w:szCs w:val="20"/>
                <w:color w:val="auto"/>
              </w:rPr>
            </w:pPr>
            <w:r>
              <w:rPr>
                <w:rFonts w:ascii="Arial" w:cs="Arial" w:eastAsia="Arial" w:hAnsi="Arial"/>
                <w:sz w:val="20"/>
                <w:szCs w:val="20"/>
                <w:color w:val="auto"/>
              </w:rPr>
              <w:t>$</w:t>
            </w:r>
          </w:p>
        </w:tc>
        <w:tc>
          <w:tcPr>
            <w:tcW w:w="7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10,143</w:t>
            </w:r>
          </w:p>
        </w:tc>
        <w:tc>
          <w:tcPr>
            <w:tcW w:w="0" w:type="dxa"/>
            <w:vAlign w:val="bottom"/>
          </w:tcPr>
          <w:p>
            <w:pPr>
              <w:spacing w:after="0"/>
              <w:rPr>
                <w:sz w:val="1"/>
                <w:szCs w:val="1"/>
                <w:color w:val="auto"/>
              </w:rPr>
            </w:pPr>
          </w:p>
        </w:tc>
      </w:tr>
      <w:tr>
        <w:trPr>
          <w:trHeight w:val="119"/>
        </w:trPr>
        <w:tc>
          <w:tcPr>
            <w:tcW w:w="40" w:type="dxa"/>
            <w:vAlign w:val="bottom"/>
            <w:tcBorders>
              <w:top w:val="single" w:sz="8" w:color="E6E6E6"/>
              <w:bottom w:val="single" w:sz="8" w:color="auto"/>
            </w:tcBorders>
          </w:tcPr>
          <w:p>
            <w:pPr>
              <w:spacing w:after="0"/>
              <w:rPr>
                <w:sz w:val="10"/>
                <w:szCs w:val="10"/>
                <w:color w:val="auto"/>
              </w:rPr>
            </w:pPr>
          </w:p>
        </w:tc>
        <w:tc>
          <w:tcPr>
            <w:tcW w:w="1940" w:type="dxa"/>
            <w:vAlign w:val="bottom"/>
            <w:tcBorders>
              <w:top w:val="single" w:sz="8" w:color="E6E6E6"/>
              <w:bottom w:val="single" w:sz="8" w:color="auto"/>
            </w:tcBorders>
          </w:tcPr>
          <w:p>
            <w:pPr>
              <w:spacing w:after="0"/>
              <w:rPr>
                <w:sz w:val="10"/>
                <w:szCs w:val="10"/>
                <w:color w:val="auto"/>
              </w:rPr>
            </w:pPr>
          </w:p>
        </w:tc>
        <w:tc>
          <w:tcPr>
            <w:tcW w:w="100" w:type="dxa"/>
            <w:vAlign w:val="bottom"/>
            <w:tcBorders>
              <w:top w:val="single" w:sz="8" w:color="E6E6E6"/>
            </w:tcBorders>
          </w:tcPr>
          <w:p>
            <w:pPr>
              <w:spacing w:after="0"/>
              <w:rPr>
                <w:sz w:val="10"/>
                <w:szCs w:val="10"/>
                <w:color w:val="auto"/>
              </w:rPr>
            </w:pPr>
          </w:p>
        </w:tc>
        <w:tc>
          <w:tcPr>
            <w:tcW w:w="1700" w:type="dxa"/>
            <w:vAlign w:val="bottom"/>
            <w:tcBorders>
              <w:top w:val="single" w:sz="8" w:color="E6E6E6"/>
            </w:tcBorders>
          </w:tcPr>
          <w:p>
            <w:pPr>
              <w:spacing w:after="0"/>
              <w:rPr>
                <w:sz w:val="10"/>
                <w:szCs w:val="10"/>
                <w:color w:val="auto"/>
              </w:rPr>
            </w:pPr>
          </w:p>
        </w:tc>
        <w:tc>
          <w:tcPr>
            <w:tcW w:w="240" w:type="dxa"/>
            <w:vAlign w:val="bottom"/>
            <w:tcBorders>
              <w:top w:val="single" w:sz="8" w:color="E6E6E6"/>
            </w:tcBorders>
          </w:tcPr>
          <w:p>
            <w:pPr>
              <w:spacing w:after="0"/>
              <w:rPr>
                <w:sz w:val="10"/>
                <w:szCs w:val="10"/>
                <w:color w:val="auto"/>
              </w:rPr>
            </w:pPr>
          </w:p>
        </w:tc>
        <w:tc>
          <w:tcPr>
            <w:tcW w:w="20" w:type="dxa"/>
            <w:vAlign w:val="bottom"/>
            <w:tcBorders>
              <w:top w:val="single" w:sz="8" w:color="E6E6E6"/>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Borders>
              <w:top w:val="single" w:sz="8" w:color="E6E6E6"/>
            </w:tcBorders>
          </w:tcPr>
          <w:p>
            <w:pPr>
              <w:spacing w:after="0"/>
              <w:rPr>
                <w:sz w:val="10"/>
                <w:szCs w:val="10"/>
                <w:color w:val="auto"/>
              </w:rPr>
            </w:pPr>
          </w:p>
        </w:tc>
        <w:tc>
          <w:tcPr>
            <w:tcW w:w="20" w:type="dxa"/>
            <w:vAlign w:val="bottom"/>
            <w:tcBorders>
              <w:top w:val="single" w:sz="8" w:color="E6E6E6"/>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Borders>
              <w:top w:val="single" w:sz="8" w:color="E6E6E6"/>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Borders>
              <w:top w:val="single" w:sz="8" w:color="E6E6E6"/>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60" w:type="dxa"/>
            <w:vAlign w:val="bottom"/>
            <w:tcBorders>
              <w:top w:val="single" w:sz="8" w:color="E6E6E6"/>
            </w:tcBorders>
          </w:tcPr>
          <w:p>
            <w:pPr>
              <w:spacing w:after="0"/>
              <w:rPr>
                <w:sz w:val="10"/>
                <w:szCs w:val="10"/>
                <w:color w:val="auto"/>
              </w:rPr>
            </w:pPr>
          </w:p>
        </w:tc>
        <w:tc>
          <w:tcPr>
            <w:tcW w:w="20" w:type="dxa"/>
            <w:vAlign w:val="bottom"/>
            <w:tcBorders>
              <w:top w:val="single" w:sz="8" w:color="E6E6E6"/>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Borders>
              <w:top w:val="single" w:sz="8" w:color="E6E6E6"/>
            </w:tcBorders>
          </w:tcPr>
          <w:p>
            <w:pPr>
              <w:spacing w:after="0"/>
              <w:rPr>
                <w:sz w:val="10"/>
                <w:szCs w:val="10"/>
                <w:color w:val="auto"/>
              </w:rPr>
            </w:pPr>
          </w:p>
        </w:tc>
        <w:tc>
          <w:tcPr>
            <w:tcW w:w="20" w:type="dxa"/>
            <w:vAlign w:val="bottom"/>
            <w:tcBorders>
              <w:top w:val="single" w:sz="8" w:color="E6E6E6"/>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5756275</wp:posOffset>
            </wp:positionH>
            <wp:positionV relativeFrom="paragraph">
              <wp:posOffset>-1654810</wp:posOffset>
            </wp:positionV>
            <wp:extent cx="6794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61">
                      <a:extLst>
                        <a:ext uri="{28A0092B-C50C-407E-A947-70E740481C1C}"/>
                      </a:extLst>
                    </a:blip>
                    <a:srcRect/>
                    <a:stretch>
                      <a:fillRect/>
                    </a:stretch>
                  </pic:blipFill>
                  <pic:spPr bwMode="auto">
                    <a:xfrm>
                      <a:off x="0" y="0"/>
                      <a:ext cx="679450" cy="25400"/>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-309245</wp:posOffset>
            </wp:positionV>
            <wp:extent cx="390144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62">
                      <a:extLst>
                        <a:ext uri="{28A0092B-C50C-407E-A947-70E740481C1C}"/>
                      </a:extLst>
                    </a:blip>
                    <a:srcRect/>
                    <a:stretch>
                      <a:fillRect/>
                    </a:stretch>
                  </pic:blipFill>
                  <pic:spPr bwMode="auto">
                    <a:xfrm>
                      <a:off x="0" y="0"/>
                      <a:ext cx="3901440" cy="25400"/>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-132080</wp:posOffset>
            </wp:positionV>
            <wp:extent cx="3901440" cy="508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63">
                      <a:extLst>
                        <a:ext uri="{28A0092B-C50C-407E-A947-70E740481C1C}"/>
                      </a:extLst>
                    </a:blip>
                    <a:srcRect/>
                    <a:stretch>
                      <a:fillRect/>
                    </a:stretch>
                  </pic:blipFill>
                  <pic:spPr bwMode="auto">
                    <a:xfrm>
                      <a:off x="0" y="0"/>
                      <a:ext cx="3901440" cy="50800"/>
                    </a:xfrm>
                    <a:prstGeom prst="rect">
                      <a:avLst/>
                    </a:prstGeom>
                    <a:noFill/>
                  </pic:spPr>
                </pic:pic>
              </a:graphicData>
            </a:graphic>
          </wp:anchor>
        </w:drawing>
      </w:r>
    </w:p>
    <w:p>
      <w:pPr>
        <w:spacing w:after="0" w:line="14" w:lineRule="exact"/>
        <w:rPr>
          <w:sz w:val="20"/>
          <w:szCs w:val="20"/>
          <w:color w:val="auto"/>
        </w:rPr>
      </w:pPr>
    </w:p>
    <w:p>
      <w:pPr>
        <w:ind w:left="260" w:hanging="175"/>
        <w:spacing w:after="0"/>
        <w:tabs>
          <w:tab w:leader="none" w:pos="260" w:val="left"/>
        </w:tabs>
        <w:numPr>
          <w:ilvl w:val="0"/>
          <w:numId w:val="40"/>
        </w:numPr>
        <w:rPr>
          <w:rFonts w:ascii="Arial" w:cs="Arial" w:eastAsia="Arial" w:hAnsi="Arial"/>
          <w:sz w:val="21"/>
          <w:szCs w:val="21"/>
          <w:color w:val="auto"/>
          <w:vertAlign w:val="superscript"/>
        </w:rPr>
      </w:pPr>
      <w:r>
        <w:rPr>
          <w:rFonts w:ascii="Arial" w:cs="Arial" w:eastAsia="Arial" w:hAnsi="Arial"/>
          <w:sz w:val="14"/>
          <w:szCs w:val="14"/>
          <w:color w:val="auto"/>
        </w:rPr>
        <w:t>These contractual cash obligations relate to reservation charges under the backbone transportation service contracts.</w:t>
      </w:r>
    </w:p>
    <w:p>
      <w:pPr>
        <w:spacing w:after="0" w:line="90" w:lineRule="exact"/>
        <w:rPr>
          <w:rFonts w:ascii="Arial" w:cs="Arial" w:eastAsia="Arial" w:hAnsi="Arial"/>
          <w:sz w:val="21"/>
          <w:szCs w:val="21"/>
          <w:color w:val="auto"/>
          <w:vertAlign w:val="superscript"/>
        </w:rPr>
      </w:pPr>
    </w:p>
    <w:p>
      <w:pPr>
        <w:ind w:left="280" w:hanging="195"/>
        <w:spacing w:after="0" w:line="189" w:lineRule="auto"/>
        <w:tabs>
          <w:tab w:leader="none" w:pos="280" w:val="left"/>
        </w:tabs>
        <w:numPr>
          <w:ilvl w:val="0"/>
          <w:numId w:val="40"/>
        </w:numPr>
        <w:rPr>
          <w:rFonts w:ascii="Arial" w:cs="Arial" w:eastAsia="Arial" w:hAnsi="Arial"/>
          <w:sz w:val="23"/>
          <w:szCs w:val="23"/>
          <w:color w:val="auto"/>
          <w:vertAlign w:val="superscript"/>
        </w:rPr>
      </w:pPr>
      <w:r>
        <w:rPr>
          <w:rFonts w:ascii="Arial" w:cs="Arial" w:eastAsia="Arial" w:hAnsi="Arial"/>
          <w:sz w:val="14"/>
          <w:szCs w:val="14"/>
          <w:color w:val="auto"/>
        </w:rPr>
        <w:t>Includes water right agreements, service and maintenance agreements and LTSA commitments.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Acquisitions and Investments</w:t>
      </w:r>
    </w:p>
    <w:p>
      <w:pPr>
        <w:spacing w:after="0" w:line="196"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20"/>
          <w:szCs w:val="20"/>
          <w:color w:val="auto"/>
        </w:rPr>
        <w:t>The Company intends to acquire generation assets developed and constructed by CEG as well as generation assets from third parties where the Company believes its knowledge of the market and operating expertise provides a competitive advantage, and to utilize such acquisitions as a means to grow its business.</w:t>
      </w:r>
    </w:p>
    <w:p>
      <w:pPr>
        <w:sectPr>
          <w:pgSz w:w="11880" w:h="15480" w:orient="portrait"/>
          <w:cols w:equalWidth="0" w:num="1">
            <w:col w:w="10200"/>
          </w:cols>
          <w:pgMar w:left="840" w:top="411"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ectPr>
          <w:pgSz w:w="11880" w:h="15480" w:orient="portrait"/>
          <w:cols w:equalWidth="0" w:num="1">
            <w:col w:w="10200"/>
          </w:cols>
          <w:pgMar w:left="840" w:top="411" w:right="840" w:bottom="0" w:gutter="0" w:footer="0" w:header="0"/>
          <w:type w:val="continuous"/>
        </w:sectPr>
      </w:pPr>
    </w:p>
    <w:bookmarkStart w:id="58" w:name="page59"/>
    <w:bookmarkEnd w:id="58"/>
    <w:p>
      <w:pPr>
        <w:jc w:val="both"/>
        <w:ind w:firstLine="448"/>
        <w:spacing w:after="0" w:line="284" w:lineRule="auto"/>
        <w:rPr>
          <w:sz w:val="20"/>
          <w:szCs w:val="20"/>
          <w:color w:val="auto"/>
        </w:rPr>
      </w:pPr>
      <w:r>
        <w:rPr>
          <w:rFonts w:ascii="Arial" w:cs="Arial" w:eastAsia="Arial" w:hAnsi="Arial"/>
          <w:sz w:val="18"/>
          <w:szCs w:val="18"/>
          <w:b w:val="1"/>
          <w:bCs w:val="1"/>
          <w:i w:val="1"/>
          <w:iCs w:val="1"/>
          <w:color w:val="auto"/>
        </w:rPr>
        <w:t xml:space="preserve">Texas Solar Nova 1 Drop Down </w:t>
      </w:r>
      <w:r>
        <w:rPr>
          <w:rFonts w:ascii="Arial" w:cs="Arial" w:eastAsia="Arial" w:hAnsi="Arial"/>
          <w:sz w:val="18"/>
          <w:szCs w:val="18"/>
          <w:color w:val="auto"/>
        </w:rPr>
        <w:t>— On December 28, 2023, the Company, through its indirect subsidiary, Lighthouse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Renewable Holdco 2 LLC, acquired TSN1 BL Borrower Holdco LLC, the indirect owner of Texas Solar Nova 1, a 252 MW solar project that is located in Kent County, Texas, from Clearway Renew for cash consideration of $23 million. Lighthouse Renewable Holdco 2 LLC is a partnership between the Company and a cash equity investor. The cash equity investor also contributed cash consideration of $109 million to acquire their portion of the acquired entity. TSN1 BL Borrower Holdco LLC consolidates as primary beneficiary, TSN1 TE Holdco LLC, a tax equity fund that owns the Texas Solar Nova 1 solar project. Texas Solar Nova 1 has an 18-year PPA with an investment-grade counterparty that commenced in January 2024. The acquisition was funded with existing sources of liquidity. Additionally, the Company assumed the project’s financing agreement, which included a construction loan that converted to a term loan at acquisition date along with a sponsor equity bridge loan and tax equity bridge loan that were both repaid at acquisition date.</w:t>
      </w:r>
    </w:p>
    <w:p>
      <w:pPr>
        <w:spacing w:after="0" w:line="118" w:lineRule="exact"/>
        <w:rPr>
          <w:sz w:val="20"/>
          <w:szCs w:val="20"/>
          <w:color w:val="auto"/>
        </w:rPr>
      </w:pPr>
    </w:p>
    <w:p>
      <w:pPr>
        <w:jc w:val="both"/>
        <w:ind w:firstLine="448"/>
        <w:spacing w:after="0" w:line="282" w:lineRule="auto"/>
        <w:rPr>
          <w:sz w:val="20"/>
          <w:szCs w:val="20"/>
          <w:color w:val="auto"/>
        </w:rPr>
      </w:pPr>
      <w:r>
        <w:rPr>
          <w:rFonts w:ascii="Arial" w:cs="Arial" w:eastAsia="Arial" w:hAnsi="Arial"/>
          <w:sz w:val="18"/>
          <w:szCs w:val="18"/>
          <w:b w:val="1"/>
          <w:bCs w:val="1"/>
          <w:i w:val="1"/>
          <w:iCs w:val="1"/>
          <w:color w:val="auto"/>
        </w:rPr>
        <w:t xml:space="preserve">Victory Pass and Arica Drop Down </w:t>
      </w:r>
      <w:r>
        <w:rPr>
          <w:rFonts w:ascii="Arial" w:cs="Arial" w:eastAsia="Arial" w:hAnsi="Arial"/>
          <w:sz w:val="18"/>
          <w:szCs w:val="18"/>
          <w:color w:val="auto"/>
        </w:rPr>
        <w:t>— On October 31, 2023, the Company, through its indirect subsidiary, VP-Arica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Parent Holdco LLC, acquired the Class A membership interests in VP-Arica TargetCo LLC, a partnership and the indirect owner of the Victory Pass and Arica solar projects, from Clearway Renew for initial cash consideration of $46 million. At substantial completion, which is expected to occur in the first half of 2024, the Company estimates it will pay an additional $182 million to Clearway Renew. VP Arica TargetCo LLC consolidates as primary beneficiary, VP-Arica TE Holdco LLC, a tax equity fund that owns the Victory Pass and Arica solar projects. Victory Pass and Arica each have PPAs with investment-grade counterparties that have a 15-year and 14-year weighted average contract duration, respectively, that commence when the underlying operating assets reach commercial operations, which is expected to occur in the first half of 2024. The acquisition was funded with existing sources of liquidity. As part of the acquisition of Victory Pass and Arica, the Company assumed the project’s financing agreement, which included a sponsor equity bridge loan that was partially paid off at acquisition date, and a tax equity bridge loan, both of which will be completely paid off when the projects reach substantial completion. Subsequent to the acquisition, the Company borrowed an additional $22 million in tax equity bridge loans.</w:t>
      </w:r>
    </w:p>
    <w:p>
      <w:pPr>
        <w:spacing w:after="0" w:line="126" w:lineRule="exact"/>
        <w:rPr>
          <w:sz w:val="20"/>
          <w:szCs w:val="20"/>
          <w:color w:val="auto"/>
        </w:rPr>
      </w:pPr>
    </w:p>
    <w:p>
      <w:pPr>
        <w:jc w:val="both"/>
        <w:ind w:firstLine="448"/>
        <w:spacing w:after="0" w:line="284" w:lineRule="auto"/>
        <w:rPr>
          <w:sz w:val="20"/>
          <w:szCs w:val="20"/>
          <w:color w:val="auto"/>
        </w:rPr>
      </w:pPr>
      <w:r>
        <w:rPr>
          <w:rFonts w:ascii="Arial" w:cs="Arial" w:eastAsia="Arial" w:hAnsi="Arial"/>
          <w:sz w:val="18"/>
          <w:szCs w:val="18"/>
          <w:b w:val="1"/>
          <w:bCs w:val="1"/>
          <w:i w:val="1"/>
          <w:iCs w:val="1"/>
          <w:color w:val="auto"/>
        </w:rPr>
        <w:t xml:space="preserve">Daggett 2 Drop Down </w:t>
      </w:r>
      <w:r>
        <w:rPr>
          <w:rFonts w:ascii="Arial" w:cs="Arial" w:eastAsia="Arial" w:hAnsi="Arial"/>
          <w:sz w:val="18"/>
          <w:szCs w:val="18"/>
          <w:color w:val="auto"/>
        </w:rPr>
        <w:t>— On August 30, 2023, the Company, through its indirect subsidiary, Daggett Solar Investment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LLC, acquired the Class A membership interests in Daggett 2 TargetCo LLC, a partnership and the indirect owner of the Daggett 2 solar project, from CEG for cash consideration of $13 million. Daggett 2 TargetCo LLC consolidates as primary beneficiary, Daggett 2 TE Holdco LLC, a tax equity fund that owns the Daggett 2 solar project. Daggett 2 has PPAs with investment-grade counterparties that have a 15-year weighted average contract duration that commenced in December 2023. The acquisition was funded with existing sources of liquidity. Additionally, the Company assumed the project’s financing agreement, which included a construction loan, a tax equity bridge loan and a sponsor equity bridge loan that was repaid at acquisition date. Subsequent to the acquisition, the Company borrowed an additional $49 million in construction loans. Upon the project reaching substantial completion on December 22, 2023, the tax equity bridge loan was repaid and the total outstanding construction loans were converted to a term loan in the amount of $156 million.</w:t>
      </w:r>
    </w:p>
    <w:p>
      <w:pPr>
        <w:spacing w:after="0" w:line="118" w:lineRule="exact"/>
        <w:rPr>
          <w:sz w:val="20"/>
          <w:szCs w:val="20"/>
          <w:color w:val="auto"/>
        </w:rPr>
      </w:pPr>
    </w:p>
    <w:p>
      <w:pPr>
        <w:jc w:val="both"/>
        <w:ind w:firstLine="448"/>
        <w:spacing w:after="0" w:line="281" w:lineRule="auto"/>
        <w:rPr>
          <w:sz w:val="20"/>
          <w:szCs w:val="20"/>
          <w:color w:val="auto"/>
        </w:rPr>
      </w:pPr>
      <w:r>
        <w:rPr>
          <w:rFonts w:ascii="Arial" w:cs="Arial" w:eastAsia="Arial" w:hAnsi="Arial"/>
          <w:sz w:val="18"/>
          <w:szCs w:val="18"/>
          <w:b w:val="1"/>
          <w:bCs w:val="1"/>
          <w:i w:val="1"/>
          <w:iCs w:val="1"/>
          <w:color w:val="auto"/>
        </w:rPr>
        <w:t xml:space="preserve">Rosamond Central BESS Drop Down and Financing Activities </w:t>
      </w:r>
      <w:r>
        <w:rPr>
          <w:rFonts w:ascii="Arial" w:cs="Arial" w:eastAsia="Arial" w:hAnsi="Arial"/>
          <w:sz w:val="18"/>
          <w:szCs w:val="18"/>
          <w:color w:val="auto"/>
        </w:rPr>
        <w:t>— On June 30, 2023, the Company, through its indirect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subsidiary, Rosie Class B LLC, the indirect owner of the Rosamond Central solar project, became the owner of the Class B membership interests of Rosie Central BESS in order to facilitate and fund the construction of a BESS project that is co-located at the Rosamond Central solar facility. Clearway Renew indirectly owns the Class A membership interests and controls Rosie Central BESS. As of December 31, 2023, the Company’s investment, which is accounted for under the equity method of accounting, consisted of $28 million contributed into Rosie Central BESS, funded through contributions from the Company and its cash equity investor in Rosie TargetCo LLC, which consolidates Rosie Class B LLC. On December 1, 2023, the Rosamond Central solar project acquired the BESS project from Clearway Renew for initial cash consideration of $70 million, $16 million of which was funded by the Company with the remaining $54 million funded through contributions from third-party investors. At substantial completion, which is expected to occur in the first half of 2024, the Company estimates it will pay an additional $279 million to Clearway Renew, $61 million of which will be funded by the Company with the remaining $218 million to be funded through contributions from the third-party investors. Also, at substantial completion, Clearway Renew will return Rosie Class B LLC’s equity investment. The BESS project has a PPA for capacity with an investment-grade utility that has a 15-year contract duration that commences when the project reaches commercial operations, which is expected to occur in the first half of 2024. The Company’s portion of the initial consideration was funded with existing sources of liquidity.</w:t>
      </w:r>
    </w:p>
    <w:p>
      <w:pPr>
        <w:spacing w:after="0" w:line="129" w:lineRule="exact"/>
        <w:rPr>
          <w:sz w:val="20"/>
          <w:szCs w:val="20"/>
          <w:color w:val="auto"/>
        </w:rPr>
      </w:pPr>
    </w:p>
    <w:p>
      <w:pPr>
        <w:jc w:val="both"/>
        <w:ind w:firstLine="448"/>
        <w:spacing w:after="0" w:line="285" w:lineRule="auto"/>
        <w:rPr>
          <w:sz w:val="20"/>
          <w:szCs w:val="20"/>
          <w:color w:val="auto"/>
        </w:rPr>
      </w:pPr>
      <w:r>
        <w:rPr>
          <w:rFonts w:ascii="Arial" w:cs="Arial" w:eastAsia="Arial" w:hAnsi="Arial"/>
          <w:sz w:val="18"/>
          <w:szCs w:val="18"/>
          <w:color w:val="auto"/>
        </w:rPr>
        <w:t>On June 30, 2023, Rosie Class B LLC amended its financing agreement. During the year ended December 31, 2023, Rosie Class B LLC received total loan proceeds of $265 million under the amended financing agreement. On July 3, 2023, Rosie Class B LLC issued a loan to Clearway Renew, utilizing a portion of the loan proceeds under the amended financing agreement, in order to finance the construction of the BESS project. On December 1, 2023, Clearway Renew partially repaid the loan utilizing the $70 million in proceeds that was paid by the Company to acquire the BESS project. As of December 31, 2023, the loan had an aggregate principal amount of $174 million and matures when the project reaches substantial completion. Also, during the year ended December 31, 2023, the Company utilized a portion of the loan proceeds received under the amended financing agreement to contribute $18 million into Rosie Central BESS.</w:t>
      </w:r>
    </w:p>
    <w:p>
      <w:pPr>
        <w:sectPr>
          <w:pgSz w:w="11880" w:h="15480" w:orient="portrait"/>
          <w:cols w:equalWidth="0" w:num="1">
            <w:col w:w="10200"/>
          </w:cols>
          <w:pgMar w:left="840" w:top="408" w:right="840" w:bottom="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ectPr>
          <w:pgSz w:w="11880" w:h="15480" w:orient="portrait"/>
          <w:cols w:equalWidth="0" w:num="1">
            <w:col w:w="10200"/>
          </w:cols>
          <w:pgMar w:left="840" w:top="408" w:right="840" w:bottom="0" w:gutter="0" w:footer="0" w:header="0"/>
          <w:type w:val="continuous"/>
        </w:sectPr>
      </w:pPr>
    </w:p>
    <w:bookmarkStart w:id="59" w:name="page60"/>
    <w:bookmarkEnd w:id="59"/>
    <w:p>
      <w:pPr>
        <w:jc w:val="both"/>
        <w:ind w:right="180" w:firstLine="448"/>
        <w:spacing w:after="0" w:line="266" w:lineRule="auto"/>
        <w:rPr>
          <w:sz w:val="20"/>
          <w:szCs w:val="20"/>
          <w:color w:val="auto"/>
        </w:rPr>
      </w:pPr>
      <w:r>
        <w:rPr>
          <w:rFonts w:ascii="Arial" w:cs="Arial" w:eastAsia="Arial" w:hAnsi="Arial"/>
          <w:sz w:val="20"/>
          <w:szCs w:val="20"/>
          <w:b w:val="1"/>
          <w:bCs w:val="1"/>
          <w:i w:val="1"/>
          <w:iCs w:val="1"/>
          <w:color w:val="auto"/>
        </w:rPr>
        <w:t xml:space="preserve">Waiawa Drop Down </w:t>
      </w:r>
      <w:r>
        <w:rPr>
          <w:rFonts w:ascii="Arial" w:cs="Arial" w:eastAsia="Arial" w:hAnsi="Arial"/>
          <w:sz w:val="20"/>
          <w:szCs w:val="20"/>
          <w:color w:val="auto"/>
        </w:rPr>
        <w:t>— In connection with the 2022 Drop Down of Waiawa, the Company assumed the project’s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financing agreement, which includes a construction loan that converted to a term loan on March 30, 2023 upon the project reaching substantial completion and a tax equity bridge loan that was repaid on March 30, 2023.</w:t>
      </w:r>
    </w:p>
    <w:p>
      <w:pPr>
        <w:spacing w:after="0" w:line="131" w:lineRule="exact"/>
        <w:rPr>
          <w:sz w:val="20"/>
          <w:szCs w:val="20"/>
          <w:color w:val="auto"/>
        </w:rPr>
      </w:pPr>
    </w:p>
    <w:p>
      <w:pPr>
        <w:jc w:val="both"/>
        <w:ind w:right="180" w:firstLine="448"/>
        <w:spacing w:after="0" w:line="266" w:lineRule="auto"/>
        <w:rPr>
          <w:sz w:val="20"/>
          <w:szCs w:val="20"/>
          <w:color w:val="auto"/>
        </w:rPr>
      </w:pPr>
      <w:r>
        <w:rPr>
          <w:rFonts w:ascii="Arial" w:cs="Arial" w:eastAsia="Arial" w:hAnsi="Arial"/>
          <w:sz w:val="19"/>
          <w:szCs w:val="19"/>
          <w:b w:val="1"/>
          <w:bCs w:val="1"/>
          <w:i w:val="1"/>
          <w:iCs w:val="1"/>
          <w:color w:val="auto"/>
        </w:rPr>
        <w:t xml:space="preserve">Daggett 3 Drop Down </w:t>
      </w:r>
      <w:r>
        <w:rPr>
          <w:rFonts w:ascii="Arial" w:cs="Arial" w:eastAsia="Arial" w:hAnsi="Arial"/>
          <w:sz w:val="19"/>
          <w:szCs w:val="19"/>
          <w:color w:val="auto"/>
        </w:rPr>
        <w:t>— On February 17, 2023, the Company, through its indirect subsidiary, Daggett Solar Investment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LLC, acquired the Class A membership interests in Daggett TargetCo LLC, the indirect owner of the Daggett 3 solar project, from Clearway Renew for cash consideration of $21 million and then contributed its Class A membership interests into Daggett Renewable Holdco LLC, a partnership that consolidates Daggett TargetCo LLC. Daggett TargetCo LLC consolidates as primary beneficiary, Daggett TE Holdco LLC, a tax equity fund that owns the Daggett 3 solar project. Daggett 3 has PPAs with investment-grade counterparties that have a 15-year weighted average contract duration that commenced between July 2023 and November 2023. The acquisition was funded with existing sources of liquidity. Additionally, the Company assumed the project’s financing agreement, which included a construction loan, a tax equity bridge loan and a sponsor equity bridge loan that was repaid at acquisition date. Subsequent to the acquisition, the Company borrowed an additional $36 million in construction loans. Upon the project reaching substantial completion on December 1, 2023, the tax equity bridge loan was repaid and the total outstanding construction loans were converted to a term loan in the amount of $217 million. CEG also funded an additional $54 million in project completion costs subsequent to the acquisition, which was repaid to CEG in October 2023.</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Cash Dividends to Investors</w:t>
      </w:r>
    </w:p>
    <w:p>
      <w:pPr>
        <w:spacing w:after="0" w:line="196" w:lineRule="exact"/>
        <w:rPr>
          <w:sz w:val="20"/>
          <w:szCs w:val="20"/>
          <w:color w:val="auto"/>
        </w:rPr>
      </w:pPr>
    </w:p>
    <w:p>
      <w:pPr>
        <w:jc w:val="both"/>
        <w:ind w:right="180" w:firstLine="448"/>
        <w:spacing w:after="0" w:line="254" w:lineRule="auto"/>
        <w:rPr>
          <w:sz w:val="20"/>
          <w:szCs w:val="20"/>
          <w:color w:val="auto"/>
        </w:rPr>
      </w:pPr>
      <w:r>
        <w:rPr>
          <w:rFonts w:ascii="Arial" w:cs="Arial" w:eastAsia="Arial" w:hAnsi="Arial"/>
          <w:sz w:val="20"/>
          <w:szCs w:val="20"/>
          <w:color w:val="auto"/>
        </w:rPr>
        <w:t>The Company intends to use the amount of cash that it receives from its distributions from Clearway Energy LLC to pay quarterly dividends to the holders of its Class A common stock and Class C common stock. Clearway Energy LLC intends to distribute to its unit holders in the form of a quarterly distribution all of the CAFD that is generated each quarter less reserves for the prudent conduct of the business. Dividends on the Class A common stock and Class C common stock are subject to available capital, market conditions, and compliance with associated laws, regulations and other contractual obligations. The Company expects that, based on current circumstances, comparable cash dividends will continue to be paid in the foreseeable future.</w:t>
      </w:r>
    </w:p>
    <w:p>
      <w:pPr>
        <w:spacing w:after="0" w:line="147" w:lineRule="exact"/>
        <w:rPr>
          <w:sz w:val="20"/>
          <w:szCs w:val="20"/>
          <w:color w:val="auto"/>
        </w:rPr>
      </w:pPr>
    </w:p>
    <w:p>
      <w:pPr>
        <w:ind w:right="320" w:firstLine="448"/>
        <w:spacing w:after="0" w:line="280" w:lineRule="auto"/>
        <w:rPr>
          <w:sz w:val="20"/>
          <w:szCs w:val="20"/>
          <w:color w:val="auto"/>
        </w:rPr>
      </w:pPr>
      <w:r>
        <w:rPr>
          <w:rFonts w:ascii="Arial" w:cs="Arial" w:eastAsia="Arial" w:hAnsi="Arial"/>
          <w:sz w:val="20"/>
          <w:szCs w:val="20"/>
          <w:color w:val="auto"/>
        </w:rPr>
        <w:t>The following table lists the dividends paid on the Company’s Class A common stock and Class C common stock during the year ended December 31, 2023:</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80" w:type="dxa"/>
            <w:vAlign w:val="bottom"/>
          </w:tcPr>
          <w:p>
            <w:pPr>
              <w:spacing w:after="0"/>
              <w:rPr>
                <w:sz w:val="16"/>
                <w:szCs w:val="16"/>
                <w:color w:val="auto"/>
              </w:rPr>
            </w:pPr>
          </w:p>
        </w:tc>
        <w:tc>
          <w:tcPr>
            <w:tcW w:w="1280" w:type="dxa"/>
            <w:vAlign w:val="bottom"/>
            <w:gridSpan w:val="2"/>
          </w:tcPr>
          <w:p>
            <w:pPr>
              <w:jc w:val="right"/>
              <w:ind w:right="7"/>
              <w:spacing w:after="0"/>
              <w:rPr>
                <w:sz w:val="20"/>
                <w:szCs w:val="20"/>
                <w:color w:val="auto"/>
              </w:rPr>
            </w:pPr>
            <w:r>
              <w:rPr>
                <w:rFonts w:ascii="Arial" w:cs="Arial" w:eastAsia="Arial" w:hAnsi="Arial"/>
                <w:sz w:val="16"/>
                <w:szCs w:val="16"/>
                <w:b w:val="1"/>
                <w:bCs w:val="1"/>
                <w:color w:val="auto"/>
              </w:rPr>
              <w:t>Fourth Quarter</w:t>
            </w:r>
          </w:p>
        </w:tc>
        <w:tc>
          <w:tcPr>
            <w:tcW w:w="60" w:type="dxa"/>
            <w:vAlign w:val="bottom"/>
          </w:tcPr>
          <w:p>
            <w:pPr>
              <w:spacing w:after="0"/>
              <w:rPr>
                <w:sz w:val="16"/>
                <w:szCs w:val="16"/>
                <w:color w:val="auto"/>
              </w:rPr>
            </w:pPr>
          </w:p>
        </w:tc>
        <w:tc>
          <w:tcPr>
            <w:tcW w:w="1280" w:type="dxa"/>
            <w:vAlign w:val="bottom"/>
            <w:gridSpan w:val="2"/>
          </w:tcPr>
          <w:p>
            <w:pPr>
              <w:jc w:val="right"/>
              <w:ind w:right="47"/>
              <w:spacing w:after="0"/>
              <w:rPr>
                <w:sz w:val="20"/>
                <w:szCs w:val="20"/>
                <w:color w:val="auto"/>
              </w:rPr>
            </w:pPr>
            <w:r>
              <w:rPr>
                <w:rFonts w:ascii="Arial" w:cs="Arial" w:eastAsia="Arial" w:hAnsi="Arial"/>
                <w:sz w:val="16"/>
                <w:szCs w:val="16"/>
                <w:b w:val="1"/>
                <w:bCs w:val="1"/>
                <w:color w:val="auto"/>
              </w:rPr>
              <w:t>Third Quarter</w:t>
            </w:r>
          </w:p>
        </w:tc>
        <w:tc>
          <w:tcPr>
            <w:tcW w:w="80" w:type="dxa"/>
            <w:vAlign w:val="bottom"/>
          </w:tcPr>
          <w:p>
            <w:pPr>
              <w:spacing w:after="0"/>
              <w:rPr>
                <w:sz w:val="16"/>
                <w:szCs w:val="16"/>
                <w:color w:val="auto"/>
              </w:rPr>
            </w:pPr>
          </w:p>
        </w:tc>
        <w:tc>
          <w:tcPr>
            <w:tcW w:w="1260" w:type="dxa"/>
            <w:vAlign w:val="bottom"/>
            <w:gridSpan w:val="2"/>
          </w:tcPr>
          <w:p>
            <w:pPr>
              <w:jc w:val="right"/>
              <w:ind w:right="7"/>
              <w:spacing w:after="0"/>
              <w:rPr>
                <w:sz w:val="20"/>
                <w:szCs w:val="20"/>
                <w:color w:val="auto"/>
              </w:rPr>
            </w:pPr>
            <w:r>
              <w:rPr>
                <w:rFonts w:ascii="Arial" w:cs="Arial" w:eastAsia="Arial" w:hAnsi="Arial"/>
                <w:sz w:val="16"/>
                <w:szCs w:val="16"/>
                <w:b w:val="1"/>
                <w:bCs w:val="1"/>
                <w:color w:val="auto"/>
                <w:w w:val="94"/>
              </w:rPr>
              <w:t>Second Quarter</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70"/>
              <w:spacing w:after="0"/>
              <w:rPr>
                <w:sz w:val="20"/>
                <w:szCs w:val="20"/>
                <w:color w:val="auto"/>
              </w:rPr>
            </w:pPr>
            <w:r>
              <w:rPr>
                <w:rFonts w:ascii="Arial" w:cs="Arial" w:eastAsia="Arial" w:hAnsi="Arial"/>
                <w:sz w:val="16"/>
                <w:szCs w:val="16"/>
                <w:b w:val="1"/>
                <w:bCs w:val="1"/>
                <w:color w:val="auto"/>
                <w:w w:val="94"/>
              </w:rPr>
              <w:t>First Quarter</w:t>
            </w:r>
          </w:p>
        </w:tc>
      </w:tr>
      <w:tr>
        <w:trPr>
          <w:trHeight w:val="213"/>
        </w:trPr>
        <w:tc>
          <w:tcPr>
            <w:tcW w:w="5080" w:type="dxa"/>
            <w:vAlign w:val="bottom"/>
            <w:tcBorders>
              <w:bottom w:val="single" w:sz="8" w:color="E6E6E6"/>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7"/>
              <w:spacing w:after="0"/>
              <w:rPr>
                <w:sz w:val="20"/>
                <w:szCs w:val="20"/>
                <w:color w:val="auto"/>
              </w:rPr>
            </w:pPr>
            <w:r>
              <w:rPr>
                <w:rFonts w:ascii="Arial" w:cs="Arial" w:eastAsia="Arial" w:hAnsi="Arial"/>
                <w:sz w:val="16"/>
                <w:szCs w:val="16"/>
                <w:b w:val="1"/>
                <w:bCs w:val="1"/>
                <w:color w:val="auto"/>
              </w:rPr>
              <w:t>2023</w:t>
            </w:r>
          </w:p>
        </w:tc>
        <w:tc>
          <w:tcPr>
            <w:tcW w:w="60" w:type="dxa"/>
            <w:vAlign w:val="bottom"/>
            <w:tcBorders>
              <w:bottom w:val="single" w:sz="8" w:color="E6E6E6"/>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7"/>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E6E6E6"/>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7"/>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E6E6E6"/>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6"/>
                <w:szCs w:val="16"/>
                <w:b w:val="1"/>
                <w:bCs w:val="1"/>
                <w:color w:val="auto"/>
              </w:rPr>
              <w:t>2023</w:t>
            </w:r>
          </w:p>
        </w:tc>
      </w:tr>
      <w:tr>
        <w:trPr>
          <w:trHeight w:val="289"/>
        </w:trPr>
        <w:tc>
          <w:tcPr>
            <w:tcW w:w="5080" w:type="dxa"/>
            <w:vAlign w:val="bottom"/>
            <w:shd w:val="clear" w:color="auto" w:fill="E6E6E6"/>
          </w:tcPr>
          <w:p>
            <w:pPr>
              <w:ind w:left="40"/>
              <w:spacing w:after="0"/>
              <w:rPr>
                <w:sz w:val="20"/>
                <w:szCs w:val="20"/>
                <w:color w:val="auto"/>
              </w:rPr>
            </w:pPr>
            <w:r>
              <w:rPr>
                <w:rFonts w:ascii="Arial" w:cs="Arial" w:eastAsia="Arial" w:hAnsi="Arial"/>
                <w:sz w:val="20"/>
                <w:szCs w:val="20"/>
                <w:b w:val="1"/>
                <w:bCs w:val="1"/>
                <w:color w:val="auto"/>
                <w:w w:val="89"/>
              </w:rPr>
              <w:t xml:space="preserve">Dividends per Class A share </w:t>
            </w:r>
            <w:r>
              <w:rPr>
                <w:rFonts w:ascii="Arial" w:cs="Arial" w:eastAsia="Arial" w:hAnsi="Arial"/>
                <w:sz w:val="20"/>
                <w:szCs w:val="20"/>
                <w:b w:val="1"/>
                <w:bCs w:val="1"/>
                <w:color w:val="BDBDBD"/>
                <w:w w:val="89"/>
              </w:rPr>
              <w:t>. . . . . . . . . . . . . . . . . . . . . . . . . .</w:t>
            </w:r>
          </w:p>
        </w:tc>
        <w:tc>
          <w:tcPr>
            <w:tcW w:w="320" w:type="dxa"/>
            <w:vAlign w:val="bottom"/>
            <w:shd w:val="clear" w:color="auto" w:fill="E6E6E6"/>
          </w:tcPr>
          <w:p>
            <w:pPr>
              <w:jc w:val="right"/>
              <w:ind w:right="70"/>
              <w:spacing w:after="0"/>
              <w:rPr>
                <w:sz w:val="20"/>
                <w:szCs w:val="20"/>
                <w:color w:val="auto"/>
              </w:rPr>
            </w:pPr>
            <w:r>
              <w:rPr>
                <w:rFonts w:ascii="Arial" w:cs="Arial" w:eastAsia="Arial" w:hAnsi="Arial"/>
                <w:sz w:val="20"/>
                <w:szCs w:val="20"/>
                <w:color w:val="auto"/>
              </w:rPr>
              <w:t>$</w:t>
            </w:r>
          </w:p>
        </w:tc>
        <w:tc>
          <w:tcPr>
            <w:tcW w:w="9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0.3964</w:t>
            </w:r>
          </w:p>
        </w:tc>
        <w:tc>
          <w:tcPr>
            <w:tcW w:w="380" w:type="dxa"/>
            <w:vAlign w:val="bottom"/>
            <w:gridSpan w:val="2"/>
            <w:shd w:val="clear" w:color="auto" w:fill="E6E6E6"/>
          </w:tcPr>
          <w:p>
            <w:pPr>
              <w:jc w:val="right"/>
              <w:ind w:right="80"/>
              <w:spacing w:after="0"/>
              <w:rPr>
                <w:sz w:val="20"/>
                <w:szCs w:val="20"/>
                <w:color w:val="auto"/>
              </w:rPr>
            </w:pPr>
            <w:r>
              <w:rPr>
                <w:rFonts w:ascii="Arial" w:cs="Arial" w:eastAsia="Arial" w:hAnsi="Arial"/>
                <w:sz w:val="20"/>
                <w:szCs w:val="20"/>
                <w:color w:val="auto"/>
              </w:rPr>
              <w:t>$</w:t>
            </w:r>
          </w:p>
        </w:tc>
        <w:tc>
          <w:tcPr>
            <w:tcW w:w="9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0.3891</w:t>
            </w:r>
          </w:p>
        </w:tc>
        <w:tc>
          <w:tcPr>
            <w:tcW w:w="380" w:type="dxa"/>
            <w:vAlign w:val="bottom"/>
            <w:gridSpan w:val="2"/>
            <w:shd w:val="clear" w:color="auto" w:fill="E6E6E6"/>
          </w:tcPr>
          <w:p>
            <w:pPr>
              <w:jc w:val="right"/>
              <w:ind w:right="80"/>
              <w:spacing w:after="0"/>
              <w:rPr>
                <w:sz w:val="20"/>
                <w:szCs w:val="20"/>
                <w:color w:val="auto"/>
              </w:rPr>
            </w:pPr>
            <w:r>
              <w:rPr>
                <w:rFonts w:ascii="Arial" w:cs="Arial" w:eastAsia="Arial" w:hAnsi="Arial"/>
                <w:sz w:val="20"/>
                <w:szCs w:val="20"/>
                <w:color w:val="auto"/>
              </w:rPr>
              <w:t>$</w:t>
            </w:r>
          </w:p>
        </w:tc>
        <w:tc>
          <w:tcPr>
            <w:tcW w:w="9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0.3818</w:t>
            </w:r>
          </w:p>
        </w:tc>
        <w:tc>
          <w:tcPr>
            <w:tcW w:w="240" w:type="dxa"/>
            <w:vAlign w:val="bottom"/>
            <w:gridSpan w:val="2"/>
            <w:shd w:val="clear" w:color="auto" w:fill="E6E6E6"/>
          </w:tcPr>
          <w:p>
            <w:pPr>
              <w:jc w:val="right"/>
              <w:ind w:right="20"/>
              <w:spacing w:after="0"/>
              <w:rPr>
                <w:sz w:val="20"/>
                <w:szCs w:val="20"/>
                <w:color w:val="auto"/>
              </w:rPr>
            </w:pPr>
            <w:r>
              <w:rPr>
                <w:rFonts w:ascii="Arial" w:cs="Arial" w:eastAsia="Arial" w:hAnsi="Arial"/>
                <w:sz w:val="20"/>
                <w:szCs w:val="20"/>
                <w:color w:val="auto"/>
              </w:rPr>
              <w:t>$</w:t>
            </w:r>
          </w:p>
        </w:tc>
        <w:tc>
          <w:tcPr>
            <w:tcW w:w="11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0.3745</w:t>
            </w:r>
          </w:p>
        </w:tc>
      </w:tr>
      <w:tr>
        <w:trPr>
          <w:trHeight w:val="286"/>
        </w:trPr>
        <w:tc>
          <w:tcPr>
            <w:tcW w:w="5080" w:type="dxa"/>
            <w:vAlign w:val="bottom"/>
          </w:tcPr>
          <w:p>
            <w:pPr>
              <w:ind w:left="40"/>
              <w:spacing w:after="0"/>
              <w:rPr>
                <w:sz w:val="20"/>
                <w:szCs w:val="20"/>
                <w:color w:val="auto"/>
              </w:rPr>
            </w:pPr>
            <w:r>
              <w:rPr>
                <w:rFonts w:ascii="Arial" w:cs="Arial" w:eastAsia="Arial" w:hAnsi="Arial"/>
                <w:sz w:val="20"/>
                <w:szCs w:val="20"/>
                <w:b w:val="1"/>
                <w:bCs w:val="1"/>
                <w:color w:val="auto"/>
                <w:w w:val="89"/>
              </w:rPr>
              <w:t xml:space="preserve">Dividends per Class C share </w:t>
            </w:r>
            <w:r>
              <w:rPr>
                <w:rFonts w:ascii="Arial" w:cs="Arial" w:eastAsia="Arial" w:hAnsi="Arial"/>
                <w:sz w:val="20"/>
                <w:szCs w:val="20"/>
                <w:b w:val="1"/>
                <w:bCs w:val="1"/>
                <w:color w:val="BDBDBD"/>
                <w:w w:val="89"/>
              </w:rPr>
              <w:t>. . . . . . . . . . . . . . . . . . . . . . . . . .</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0.3964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0.3891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0.3818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0.3745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3216275</wp:posOffset>
            </wp:positionH>
            <wp:positionV relativeFrom="paragraph">
              <wp:posOffset>-382905</wp:posOffset>
            </wp:positionV>
            <wp:extent cx="338963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64">
                      <a:extLst>
                        <a:ext uri="{28A0092B-C50C-407E-A947-70E740481C1C}"/>
                      </a:extLst>
                    </a:blip>
                    <a:srcRect/>
                    <a:stretch>
                      <a:fillRect/>
                    </a:stretch>
                  </pic:blipFill>
                  <pic:spPr bwMode="auto">
                    <a:xfrm>
                      <a:off x="0" y="0"/>
                      <a:ext cx="3389630" cy="25400"/>
                    </a:xfrm>
                    <a:prstGeom prst="rect">
                      <a:avLst/>
                    </a:prstGeom>
                    <a:noFill/>
                  </pic:spPr>
                </pic:pic>
              </a:graphicData>
            </a:graphic>
          </wp:anchor>
        </w:drawing>
      </w:r>
    </w:p>
    <w:p>
      <w:pPr>
        <w:spacing w:after="0" w:line="209" w:lineRule="exact"/>
        <w:rPr>
          <w:sz w:val="20"/>
          <w:szCs w:val="20"/>
          <w:color w:val="auto"/>
        </w:rPr>
      </w:pPr>
    </w:p>
    <w:p>
      <w:pPr>
        <w:ind w:right="180" w:firstLine="448"/>
        <w:spacing w:after="0" w:line="280" w:lineRule="auto"/>
        <w:rPr>
          <w:sz w:val="20"/>
          <w:szCs w:val="20"/>
          <w:color w:val="auto"/>
        </w:rPr>
      </w:pPr>
      <w:r>
        <w:rPr>
          <w:rFonts w:ascii="Arial" w:cs="Arial" w:eastAsia="Arial" w:hAnsi="Arial"/>
          <w:sz w:val="20"/>
          <w:szCs w:val="20"/>
          <w:color w:val="auto"/>
        </w:rPr>
        <w:t>On February 14, 2024, the Company declared a quarterly dividend on its Class A and Class C common stock of $0.4033 per share payable on March 15, 2024 to stockholders of record as of March 1, 2024.</w:t>
      </w:r>
    </w:p>
    <w:p>
      <w:pPr>
        <w:sectPr>
          <w:pgSz w:w="11880" w:h="15480" w:orient="portrait"/>
          <w:cols w:equalWidth="0" w:num="1">
            <w:col w:w="10380"/>
          </w:cols>
          <w:pgMar w:left="840" w:top="408"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58</w:t>
      </w:r>
    </w:p>
    <w:p>
      <w:pPr>
        <w:sectPr>
          <w:pgSz w:w="11880" w:h="15480" w:orient="portrait"/>
          <w:cols w:equalWidth="0" w:num="1">
            <w:col w:w="10380"/>
          </w:cols>
          <w:pgMar w:left="840" w:top="408" w:right="660" w:bottom="0" w:gutter="0" w:footer="0" w:header="0"/>
          <w:type w:val="continuous"/>
        </w:sectPr>
      </w:pPr>
    </w:p>
    <w:bookmarkStart w:id="60" w:name="page61"/>
    <w:bookmarkEnd w:id="60"/>
    <w:p>
      <w:pPr>
        <w:spacing w:after="0"/>
        <w:rPr>
          <w:sz w:val="20"/>
          <w:szCs w:val="20"/>
          <w:color w:val="auto"/>
        </w:rPr>
      </w:pPr>
      <w:r>
        <w:rPr>
          <w:rFonts w:ascii="Arial" w:cs="Arial" w:eastAsia="Arial" w:hAnsi="Arial"/>
          <w:sz w:val="20"/>
          <w:szCs w:val="20"/>
          <w:b w:val="1"/>
          <w:bCs w:val="1"/>
          <w:color w:val="auto"/>
        </w:rPr>
        <w:t>Cash Flow Discussion</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following table reflects the changes in cash flows for the comparative periods: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jc w:val="right"/>
              <w:ind w:right="205"/>
              <w:spacing w:after="0"/>
              <w:rPr>
                <w:sz w:val="20"/>
                <w:szCs w:val="20"/>
                <w:color w:val="auto"/>
              </w:rPr>
            </w:pPr>
            <w:r>
              <w:rPr>
                <w:rFonts w:ascii="Arial" w:cs="Arial" w:eastAsia="Arial" w:hAnsi="Arial"/>
                <w:sz w:val="16"/>
                <w:szCs w:val="16"/>
                <w:b w:val="1"/>
                <w:bCs w:val="1"/>
                <w:color w:val="auto"/>
                <w:w w:val="91"/>
              </w:rPr>
              <w:t>Year ended December 31,</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234"/>
        </w:trPr>
        <w:tc>
          <w:tcPr>
            <w:tcW w:w="67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25"/>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05"/>
              <w:spacing w:after="0"/>
              <w:rPr>
                <w:sz w:val="20"/>
                <w:szCs w:val="20"/>
                <w:color w:val="auto"/>
              </w:rPr>
            </w:pPr>
            <w:r>
              <w:rPr>
                <w:rFonts w:ascii="Arial" w:cs="Arial" w:eastAsia="Arial" w:hAnsi="Arial"/>
                <w:sz w:val="16"/>
                <w:szCs w:val="16"/>
                <w:b w:val="1"/>
                <w:bCs w:val="1"/>
                <w:color w:val="auto"/>
                <w:w w:val="95"/>
              </w:rPr>
              <w:t>Change</w:t>
            </w:r>
          </w:p>
        </w:tc>
      </w:tr>
      <w:tr>
        <w:trPr>
          <w:trHeight w:val="236"/>
        </w:trPr>
        <w:tc>
          <w:tcPr>
            <w:tcW w:w="6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65"/>
              <w:spacing w:after="0"/>
              <w:rPr>
                <w:sz w:val="20"/>
                <w:szCs w:val="20"/>
                <w:color w:val="auto"/>
              </w:rPr>
            </w:pPr>
            <w:r>
              <w:rPr>
                <w:rFonts w:ascii="Arial" w:cs="Arial" w:eastAsia="Arial" w:hAnsi="Arial"/>
                <w:sz w:val="16"/>
                <w:szCs w:val="16"/>
                <w:b w:val="1"/>
                <w:bCs w:val="1"/>
                <w:color w:val="auto"/>
              </w:rPr>
              <w:t>(In millions)</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92"/>
        </w:trPr>
        <w:tc>
          <w:tcPr>
            <w:tcW w:w="6700" w:type="dxa"/>
            <w:vAlign w:val="bottom"/>
            <w:shd w:val="clear" w:color="auto" w:fill="E6E6E6"/>
          </w:tcPr>
          <w:p>
            <w:pPr>
              <w:ind w:left="40"/>
              <w:spacing w:after="0"/>
              <w:rPr>
                <w:sz w:val="20"/>
                <w:szCs w:val="20"/>
                <w:color w:val="auto"/>
              </w:rPr>
            </w:pPr>
            <w:r>
              <w:rPr>
                <w:rFonts w:ascii="Arial" w:cs="Arial" w:eastAsia="Arial" w:hAnsi="Arial"/>
                <w:sz w:val="20"/>
                <w:szCs w:val="20"/>
                <w:color w:val="auto"/>
                <w:w w:val="91"/>
              </w:rPr>
              <w:t xml:space="preserve">Net cash provided by operating activities </w:t>
            </w:r>
            <w:r>
              <w:rPr>
                <w:rFonts w:ascii="Arial" w:cs="Arial" w:eastAsia="Arial" w:hAnsi="Arial"/>
                <w:sz w:val="20"/>
                <w:szCs w:val="20"/>
                <w:color w:val="BDBDBD"/>
                <w:w w:val="91"/>
              </w:rPr>
              <w:t>. . . . . . . . . . . . . . . . . . . . . . . . . . . . . . . . .</w:t>
            </w:r>
          </w:p>
        </w:tc>
        <w:tc>
          <w:tcPr>
            <w:tcW w:w="2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9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702</w:t>
            </w:r>
          </w:p>
        </w:tc>
        <w:tc>
          <w:tcPr>
            <w:tcW w:w="340" w:type="dxa"/>
            <w:vAlign w:val="bottom"/>
            <w:gridSpan w:val="2"/>
            <w:shd w:val="clear" w:color="auto" w:fill="E6E6E6"/>
          </w:tcPr>
          <w:p>
            <w:pPr>
              <w:jc w:val="right"/>
              <w:ind w:right="40"/>
              <w:spacing w:after="0"/>
              <w:rPr>
                <w:sz w:val="20"/>
                <w:szCs w:val="20"/>
                <w:color w:val="auto"/>
              </w:rPr>
            </w:pPr>
            <w:r>
              <w:rPr>
                <w:rFonts w:ascii="Arial" w:cs="Arial" w:eastAsia="Arial" w:hAnsi="Arial"/>
                <w:sz w:val="20"/>
                <w:szCs w:val="20"/>
                <w:color w:val="auto"/>
              </w:rPr>
              <w:t>$</w:t>
            </w:r>
          </w:p>
        </w:tc>
        <w:tc>
          <w:tcPr>
            <w:tcW w:w="860" w:type="dxa"/>
            <w:vAlign w:val="bottom"/>
            <w:shd w:val="clear" w:color="auto" w:fill="E6E6E6"/>
          </w:tcPr>
          <w:p>
            <w:pPr>
              <w:jc w:val="right"/>
              <w:ind w:right="5"/>
              <w:spacing w:after="0"/>
              <w:rPr>
                <w:sz w:val="20"/>
                <w:szCs w:val="20"/>
                <w:color w:val="auto"/>
              </w:rPr>
            </w:pPr>
            <w:r>
              <w:rPr>
                <w:rFonts w:ascii="Arial" w:cs="Arial" w:eastAsia="Arial" w:hAnsi="Arial"/>
                <w:sz w:val="20"/>
                <w:szCs w:val="20"/>
                <w:color w:val="auto"/>
              </w:rPr>
              <w:t>787</w:t>
            </w:r>
          </w:p>
        </w:tc>
        <w:tc>
          <w:tcPr>
            <w:tcW w:w="300" w:type="dxa"/>
            <w:vAlign w:val="bottom"/>
            <w:gridSpan w:val="2"/>
            <w:shd w:val="clear" w:color="auto" w:fill="E6E6E6"/>
          </w:tcPr>
          <w:p>
            <w:pPr>
              <w:jc w:val="right"/>
              <w:ind w:right="80"/>
              <w:spacing w:after="0"/>
              <w:rPr>
                <w:sz w:val="20"/>
                <w:szCs w:val="20"/>
                <w:color w:val="auto"/>
              </w:rPr>
            </w:pPr>
            <w:r>
              <w:rPr>
                <w:rFonts w:ascii="Arial" w:cs="Arial" w:eastAsia="Arial" w:hAnsi="Arial"/>
                <w:sz w:val="20"/>
                <w:szCs w:val="20"/>
                <w:color w:val="auto"/>
              </w:rPr>
              <w:t>$</w:t>
            </w:r>
          </w:p>
        </w:tc>
        <w:tc>
          <w:tcPr>
            <w:tcW w:w="8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(85)</w:t>
            </w:r>
          </w:p>
        </w:tc>
      </w:tr>
      <w:tr>
        <w:trPr>
          <w:trHeight w:val="277"/>
        </w:trPr>
        <w:tc>
          <w:tcPr>
            <w:tcW w:w="6700" w:type="dxa"/>
            <w:vAlign w:val="bottom"/>
          </w:tcPr>
          <w:p>
            <w:pPr>
              <w:ind w:left="40"/>
              <w:spacing w:after="0"/>
              <w:rPr>
                <w:sz w:val="20"/>
                <w:szCs w:val="20"/>
                <w:color w:val="auto"/>
              </w:rPr>
            </w:pPr>
            <w:r>
              <w:rPr>
                <w:rFonts w:ascii="Arial" w:cs="Arial" w:eastAsia="Arial" w:hAnsi="Arial"/>
                <w:sz w:val="20"/>
                <w:szCs w:val="20"/>
                <w:color w:val="auto"/>
                <w:w w:val="91"/>
              </w:rPr>
              <w:t xml:space="preserve">Net cash (used in) provided by investing activities </w:t>
            </w:r>
            <w:r>
              <w:rPr>
                <w:rFonts w:ascii="Arial" w:cs="Arial" w:eastAsia="Arial" w:hAnsi="Arial"/>
                <w:sz w:val="20"/>
                <w:szCs w:val="20"/>
                <w:color w:val="BDBDBD"/>
                <w:w w:val="91"/>
              </w:rPr>
              <w:t>. . . . . . . . . . . . . . . . . . . . . . . . . .</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(523)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5"/>
              <w:spacing w:after="0"/>
              <w:rPr>
                <w:sz w:val="20"/>
                <w:szCs w:val="20"/>
                <w:color w:val="auto"/>
              </w:rPr>
            </w:pPr>
            <w:r>
              <w:rPr>
                <w:rFonts w:ascii="Arial" w:cs="Arial" w:eastAsia="Arial" w:hAnsi="Arial"/>
                <w:sz w:val="20"/>
                <w:szCs w:val="20"/>
                <w:color w:val="auto"/>
              </w:rPr>
              <w:t>1,065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(1,588)</w:t>
            </w:r>
          </w:p>
        </w:tc>
      </w:tr>
      <w:tr>
        <w:trPr>
          <w:trHeight w:val="290"/>
        </w:trPr>
        <w:tc>
          <w:tcPr>
            <w:tcW w:w="6700" w:type="dxa"/>
            <w:vAlign w:val="bottom"/>
            <w:shd w:val="clear" w:color="auto" w:fill="E6E6E6"/>
          </w:tcPr>
          <w:p>
            <w:pPr>
              <w:ind w:left="40"/>
              <w:spacing w:after="0"/>
              <w:rPr>
                <w:sz w:val="20"/>
                <w:szCs w:val="20"/>
                <w:color w:val="auto"/>
              </w:rPr>
            </w:pPr>
            <w:r>
              <w:rPr>
                <w:rFonts w:ascii="Arial" w:cs="Arial" w:eastAsia="Arial" w:hAnsi="Arial"/>
                <w:sz w:val="20"/>
                <w:szCs w:val="20"/>
                <w:color w:val="auto"/>
                <w:w w:val="91"/>
              </w:rPr>
              <w:t xml:space="preserve">Net cash used in financing activities </w:t>
            </w:r>
            <w:r>
              <w:rPr>
                <w:rFonts w:ascii="Arial" w:cs="Arial" w:eastAsia="Arial" w:hAnsi="Arial"/>
                <w:sz w:val="20"/>
                <w:szCs w:val="20"/>
                <w:color w:val="BDBDBD"/>
                <w:w w:val="91"/>
              </w:rPr>
              <w:t>. . . . . . . . . . . . . . . . . . . . . . . . . . . . . . . . . . . . .</w:t>
            </w:r>
          </w:p>
        </w:tc>
        <w:tc>
          <w:tcPr>
            <w:tcW w:w="220" w:type="dxa"/>
            <w:vAlign w:val="bottom"/>
            <w:shd w:val="clear" w:color="auto" w:fill="E6E6E6"/>
          </w:tcPr>
          <w:p>
            <w:pPr>
              <w:spacing w:after="0"/>
              <w:rPr>
                <w:sz w:val="24"/>
                <w:szCs w:val="24"/>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(124)</w:t>
            </w:r>
          </w:p>
        </w:tc>
        <w:tc>
          <w:tcPr>
            <w:tcW w:w="8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(1,510)</w:t>
            </w:r>
          </w:p>
        </w:tc>
        <w:tc>
          <w:tcPr>
            <w:tcW w:w="6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1,386</w:t>
            </w:r>
          </w:p>
        </w:tc>
      </w:tr>
    </w:tbl>
    <w:p>
      <w:pPr>
        <w:spacing w:after="0" w:line="200" w:lineRule="exact"/>
        <w:rPr>
          <w:sz w:val="20"/>
          <w:szCs w:val="20"/>
          <w:color w:val="auto"/>
        </w:rPr>
      </w:pPr>
    </w:p>
    <w:p>
      <w:pPr>
        <w:sectPr>
          <w:pgSz w:w="11880" w:h="15480" w:orient="portrait"/>
          <w:cols w:equalWidth="0" w:num="1">
            <w:col w:w="10200"/>
          </w:cols>
          <w:pgMar w:left="840" w:top="404" w:right="840" w:bottom="0" w:gutter="0" w:footer="0" w:header="0"/>
        </w:sectPr>
      </w:pPr>
    </w:p>
    <w:p>
      <w:pPr>
        <w:spacing w:after="0" w:line="8"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Net Cash Provided by Operating Activities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20"/>
          <w:szCs w:val="20"/>
          <w:color w:val="auto"/>
        </w:rPr>
        <w:t>Changes to net cash provided by operating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6495415" cy="3257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65">
                      <a:extLst>
                        <a:ext uri="{28A0092B-C50C-407E-A947-70E740481C1C}"/>
                      </a:extLst>
                    </a:blip>
                    <a:srcRect/>
                    <a:stretch>
                      <a:fillRect/>
                    </a:stretch>
                  </pic:blipFill>
                  <pic:spPr bwMode="auto">
                    <a:xfrm>
                      <a:off x="0" y="0"/>
                      <a:ext cx="6495415" cy="325755"/>
                    </a:xfrm>
                    <a:prstGeom prst="rect">
                      <a:avLst/>
                    </a:prstGeom>
                    <a:noFill/>
                  </pic:spPr>
                </pic:pic>
              </a:graphicData>
            </a:graphic>
          </wp:anchor>
        </w:drawing>
      </w:r>
    </w:p>
    <w:p>
      <w:pPr>
        <w:spacing w:after="0" w:line="50" w:lineRule="exact"/>
        <w:rPr>
          <w:sz w:val="20"/>
          <w:szCs w:val="20"/>
          <w:color w:val="auto"/>
        </w:rPr>
      </w:pPr>
    </w:p>
    <w:p>
      <w:pPr>
        <w:ind w:left="160"/>
        <w:spacing w:after="0" w:line="288" w:lineRule="auto"/>
        <w:rPr>
          <w:sz w:val="20"/>
          <w:szCs w:val="20"/>
          <w:color w:val="auto"/>
        </w:rPr>
      </w:pPr>
      <w:r>
        <w:rPr>
          <w:rFonts w:ascii="Arial" w:cs="Arial" w:eastAsia="Arial" w:hAnsi="Arial"/>
          <w:sz w:val="18"/>
          <w:szCs w:val="18"/>
          <w:color w:val="auto"/>
        </w:rPr>
        <w:t xml:space="preserve">Decrease in working capital primarily driven by the timing of accounts receivable collections and payments of current liabilities, including accounts payable and current income taxes </w:t>
      </w:r>
      <w:r>
        <w:rPr>
          <w:rFonts w:ascii="Arial" w:cs="Arial" w:eastAsia="Arial" w:hAnsi="Arial"/>
          <w:sz w:val="18"/>
          <w:szCs w:val="18"/>
          <w:color w:val="BDBDBD"/>
        </w:rPr>
        <w:t>. . . . . . . . . . . . . . . . . . . . . . . . . . . .</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Decrease in distributions from unconsolidated affiliates </w:t>
      </w:r>
      <w:r>
        <w:rPr>
          <w:rFonts w:ascii="Arial" w:cs="Arial" w:eastAsia="Arial" w:hAnsi="Arial"/>
          <w:sz w:val="18"/>
          <w:szCs w:val="18"/>
          <w:color w:val="BDBDBD"/>
        </w:rPr>
        <w:t>. . . . . . . . . . . . . . . . . . . . . . . . . . . . . . . . . . . . . . . . . .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41910</wp:posOffset>
                </wp:positionV>
                <wp:extent cx="6481445" cy="189865"/>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1445" cy="189865"/>
                        </a:xfrm>
                        <a:prstGeom prst="rect">
                          <a:avLst/>
                        </a:prstGeom>
                        <a:solidFill>
                          <a:srgbClr val="E6E6E6"/>
                        </a:solidFill>
                      </wps:spPr>
                      <wps:bodyPr/>
                    </wps:wsp>
                  </a:graphicData>
                </a:graphic>
              </wp:anchor>
            </w:drawing>
          </mc:Choice>
          <mc:Fallback>
            <w:pict>
              <v:rect id="Shape 83" o:spid="_x0000_s1108" style="position:absolute;margin-left:-0.1499pt;margin-top:3.3pt;width:510.35pt;height:14.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7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Increase in operating income after adjusting for non-cash items </w:t>
      </w:r>
      <w:r>
        <w:rPr>
          <w:rFonts w:ascii="Arial" w:cs="Arial" w:eastAsia="Arial" w:hAnsi="Arial"/>
          <w:sz w:val="18"/>
          <w:szCs w:val="18"/>
          <w:color w:val="BDBDBD"/>
        </w:rPr>
        <w:t>. . . . . . . . . . . . . . . . . . . . . . . . . . . . . . . . . . . . .</w:t>
      </w:r>
    </w:p>
    <w:p>
      <w:pPr>
        <w:spacing w:after="0" w:line="9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Transaction expenses paid on May 1, 2022 in connection with the sale of the Thermal Business </w:t>
      </w:r>
      <w:r>
        <w:rPr>
          <w:rFonts w:ascii="Arial" w:cs="Arial" w:eastAsia="Arial" w:hAnsi="Arial"/>
          <w:sz w:val="18"/>
          <w:szCs w:val="18"/>
          <w:color w:val="BDBDBD"/>
        </w:rPr>
        <w:t>.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6495415" cy="2273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66">
                      <a:extLst>
                        <a:ext uri="{28A0092B-C50C-407E-A947-70E740481C1C}"/>
                      </a:extLst>
                    </a:blip>
                    <a:srcRect/>
                    <a:stretch>
                      <a:fillRect/>
                    </a:stretch>
                  </pic:blipFill>
                  <pic:spPr bwMode="auto">
                    <a:xfrm>
                      <a:off x="0" y="0"/>
                      <a:ext cx="6495415" cy="2273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left="102"/>
        <w:spacing w:after="0"/>
        <w:rPr>
          <w:sz w:val="20"/>
          <w:szCs w:val="20"/>
          <w:color w:val="auto"/>
        </w:rPr>
      </w:pPr>
      <w:r>
        <w:rPr>
          <w:rFonts w:ascii="Arial" w:cs="Arial" w:eastAsia="Arial" w:hAnsi="Arial"/>
          <w:sz w:val="18"/>
          <w:szCs w:val="18"/>
          <w:b w:val="1"/>
          <w:bCs w:val="1"/>
          <w:color w:val="auto"/>
        </w:rPr>
        <w:t>(In millions)</w:t>
      </w:r>
    </w:p>
    <w:p>
      <w:pPr>
        <w:spacing w:after="0" w:line="265" w:lineRule="exact"/>
        <w:rPr>
          <w:sz w:val="20"/>
          <w:szCs w:val="20"/>
          <w:color w:val="auto"/>
        </w:rPr>
      </w:pPr>
    </w:p>
    <w:p>
      <w:pPr>
        <w:ind w:left="742" w:hanging="742"/>
        <w:spacing w:after="0"/>
        <w:tabs>
          <w:tab w:leader="none" w:pos="742" w:val="left"/>
        </w:tabs>
        <w:numPr>
          <w:ilvl w:val="0"/>
          <w:numId w:val="41"/>
        </w:numPr>
        <w:rPr>
          <w:rFonts w:ascii="Arial" w:cs="Arial" w:eastAsia="Arial" w:hAnsi="Arial"/>
          <w:sz w:val="17"/>
          <w:szCs w:val="17"/>
          <w:color w:val="auto"/>
        </w:rPr>
      </w:pPr>
      <w:r>
        <w:rPr>
          <w:rFonts w:ascii="Arial" w:cs="Arial" w:eastAsia="Arial" w:hAnsi="Arial"/>
          <w:sz w:val="17"/>
          <w:szCs w:val="17"/>
          <w:color w:val="auto"/>
        </w:rPr>
        <w:t>(106)</w:t>
      </w:r>
    </w:p>
    <w:p>
      <w:pPr>
        <w:spacing w:after="0" w:line="103" w:lineRule="exact"/>
        <w:rPr>
          <w:rFonts w:ascii="Arial" w:cs="Arial" w:eastAsia="Arial" w:hAnsi="Arial"/>
          <w:sz w:val="17"/>
          <w:szCs w:val="17"/>
          <w:color w:val="auto"/>
        </w:rPr>
      </w:pPr>
    </w:p>
    <w:p>
      <w:pPr>
        <w:ind w:left="942"/>
        <w:spacing w:after="0"/>
        <w:rPr>
          <w:rFonts w:ascii="Arial" w:cs="Arial" w:eastAsia="Arial" w:hAnsi="Arial"/>
          <w:sz w:val="17"/>
          <w:szCs w:val="17"/>
          <w:color w:val="auto"/>
        </w:rPr>
      </w:pPr>
      <w:r>
        <w:rPr>
          <w:rFonts w:ascii="Arial" w:cs="Arial" w:eastAsia="Arial" w:hAnsi="Arial"/>
          <w:sz w:val="18"/>
          <w:szCs w:val="18"/>
          <w:color w:val="auto"/>
        </w:rPr>
        <w:t>(7)</w:t>
      </w:r>
    </w:p>
    <w:p>
      <w:pPr>
        <w:spacing w:after="0" w:line="91" w:lineRule="exact"/>
        <w:rPr>
          <w:rFonts w:ascii="Arial" w:cs="Arial" w:eastAsia="Arial" w:hAnsi="Arial"/>
          <w:sz w:val="17"/>
          <w:szCs w:val="17"/>
          <w:color w:val="auto"/>
        </w:rPr>
      </w:pPr>
    </w:p>
    <w:p>
      <w:pPr>
        <w:ind w:left="902"/>
        <w:spacing w:after="0"/>
        <w:rPr>
          <w:rFonts w:ascii="Arial" w:cs="Arial" w:eastAsia="Arial" w:hAnsi="Arial"/>
          <w:sz w:val="17"/>
          <w:szCs w:val="17"/>
          <w:color w:val="auto"/>
        </w:rPr>
      </w:pPr>
      <w:r>
        <w:rPr>
          <w:rFonts w:ascii="Arial" w:cs="Arial" w:eastAsia="Arial" w:hAnsi="Arial"/>
          <w:sz w:val="20"/>
          <w:szCs w:val="20"/>
          <w:color w:val="auto"/>
        </w:rPr>
        <w:t>10</w:t>
      </w:r>
    </w:p>
    <w:p>
      <w:pPr>
        <w:spacing w:after="0" w:line="68" w:lineRule="exact"/>
        <w:rPr>
          <w:rFonts w:ascii="Arial" w:cs="Arial" w:eastAsia="Arial" w:hAnsi="Arial"/>
          <w:sz w:val="17"/>
          <w:szCs w:val="17"/>
          <w:color w:val="auto"/>
        </w:rPr>
      </w:pPr>
    </w:p>
    <w:p>
      <w:pPr>
        <w:ind w:left="902"/>
        <w:spacing w:after="0"/>
        <w:rPr>
          <w:rFonts w:ascii="Arial" w:cs="Arial" w:eastAsia="Arial" w:hAnsi="Arial"/>
          <w:sz w:val="17"/>
          <w:szCs w:val="17"/>
          <w:color w:val="auto"/>
        </w:rPr>
      </w:pPr>
      <w:r>
        <w:rPr>
          <w:rFonts w:ascii="Arial" w:cs="Arial" w:eastAsia="Arial" w:hAnsi="Arial"/>
          <w:sz w:val="20"/>
          <w:szCs w:val="20"/>
          <w:color w:val="auto"/>
        </w:rPr>
        <w:t>18</w:t>
      </w:r>
    </w:p>
    <w:p>
      <w:pPr>
        <w:spacing w:after="0" w:line="69" w:lineRule="exact"/>
        <w:rPr>
          <w:sz w:val="20"/>
          <w:szCs w:val="20"/>
          <w:color w:val="auto"/>
        </w:rPr>
      </w:pPr>
    </w:p>
    <w:p>
      <w:pPr>
        <w:ind w:left="842" w:hanging="842"/>
        <w:spacing w:after="0"/>
        <w:tabs>
          <w:tab w:leader="none" w:pos="842" w:val="left"/>
        </w:tabs>
        <w:numPr>
          <w:ilvl w:val="0"/>
          <w:numId w:val="42"/>
        </w:numPr>
        <w:rPr>
          <w:rFonts w:ascii="Arial" w:cs="Arial" w:eastAsia="Arial" w:hAnsi="Arial"/>
          <w:sz w:val="17"/>
          <w:szCs w:val="17"/>
          <w:color w:val="auto"/>
        </w:rPr>
      </w:pPr>
      <w:r>
        <w:rPr>
          <w:rFonts w:ascii="Arial" w:cs="Arial" w:eastAsia="Arial" w:hAnsi="Arial"/>
          <w:sz w:val="17"/>
          <w:szCs w:val="17"/>
          <w:color w:val="auto"/>
        </w:rPr>
        <w:t>(85)</w:t>
      </w:r>
    </w:p>
    <w:p>
      <w:pPr>
        <w:spacing w:after="0" w:line="200" w:lineRule="exact"/>
        <w:rPr>
          <w:sz w:val="20"/>
          <w:szCs w:val="20"/>
          <w:color w:val="auto"/>
        </w:rPr>
      </w:pPr>
    </w:p>
    <w:p>
      <w:pPr>
        <w:sectPr>
          <w:pgSz w:w="11880" w:h="15480" w:orient="portrait"/>
          <w:cols w:equalWidth="0" w:num="2">
            <w:col w:w="8900" w:space="118"/>
            <w:col w:w="1182"/>
          </w:cols>
          <w:pgMar w:left="840" w:top="404" w:right="840" w:bottom="0" w:gutter="0" w:footer="0" w:header="0"/>
          <w:type w:val="continuous"/>
        </w:sectPr>
      </w:pP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8960" w:type="dxa"/>
            <w:vAlign w:val="bottom"/>
          </w:tcPr>
          <w:p>
            <w:pPr>
              <w:ind w:left="440"/>
              <w:spacing w:after="0"/>
              <w:rPr>
                <w:sz w:val="20"/>
                <w:szCs w:val="20"/>
                <w:color w:val="auto"/>
              </w:rPr>
            </w:pPr>
            <w:r>
              <w:rPr>
                <w:rFonts w:ascii="Arial" w:cs="Arial" w:eastAsia="Arial" w:hAnsi="Arial"/>
                <w:sz w:val="20"/>
                <w:szCs w:val="20"/>
                <w:b w:val="1"/>
                <w:bCs w:val="1"/>
                <w:i w:val="1"/>
                <w:iCs w:val="1"/>
                <w:color w:val="auto"/>
              </w:rPr>
              <w:t>Net Cash (Used In) Provided by Investing Activities</w:t>
            </w: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2"/>
        </w:trPr>
        <w:tc>
          <w:tcPr>
            <w:tcW w:w="8960" w:type="dxa"/>
            <w:vAlign w:val="bottom"/>
            <w:tcBorders>
              <w:bottom w:val="single" w:sz="8" w:color="E6E6E6"/>
            </w:tcBorders>
          </w:tcPr>
          <w:p>
            <w:pPr>
              <w:ind w:left="40"/>
              <w:spacing w:after="0"/>
              <w:rPr>
                <w:sz w:val="20"/>
                <w:szCs w:val="20"/>
                <w:color w:val="auto"/>
              </w:rPr>
            </w:pPr>
            <w:r>
              <w:rPr>
                <w:rFonts w:ascii="Arial" w:cs="Arial" w:eastAsia="Arial" w:hAnsi="Arial"/>
                <w:sz w:val="20"/>
                <w:szCs w:val="20"/>
                <w:color w:val="auto"/>
              </w:rPr>
              <w:t>Changes to net cash (used in) provided by investing activities were driven by:</w:t>
            </w: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b w:val="1"/>
                <w:bCs w:val="1"/>
                <w:color w:val="auto"/>
                <w:w w:val="93"/>
              </w:rPr>
              <w:t>(In millions)</w:t>
            </w:r>
          </w:p>
        </w:tc>
        <w:tc>
          <w:tcPr>
            <w:tcW w:w="0" w:type="dxa"/>
            <w:vAlign w:val="bottom"/>
          </w:tcPr>
          <w:p>
            <w:pPr>
              <w:spacing w:after="0"/>
              <w:rPr>
                <w:sz w:val="1"/>
                <w:szCs w:val="1"/>
                <w:color w:val="auto"/>
              </w:rPr>
            </w:pPr>
          </w:p>
        </w:tc>
      </w:tr>
      <w:tr>
        <w:trPr>
          <w:trHeight w:val="289"/>
        </w:trPr>
        <w:tc>
          <w:tcPr>
            <w:tcW w:w="8960" w:type="dxa"/>
            <w:vAlign w:val="bottom"/>
            <w:shd w:val="clear" w:color="auto" w:fill="E6E6E6"/>
          </w:tcPr>
          <w:p>
            <w:pPr>
              <w:ind w:left="160"/>
              <w:spacing w:after="0"/>
              <w:rPr>
                <w:sz w:val="20"/>
                <w:szCs w:val="20"/>
                <w:color w:val="auto"/>
              </w:rPr>
            </w:pPr>
            <w:r>
              <w:rPr>
                <w:rFonts w:ascii="Arial" w:cs="Arial" w:eastAsia="Arial" w:hAnsi="Arial"/>
                <w:sz w:val="20"/>
                <w:szCs w:val="20"/>
                <w:color w:val="auto"/>
                <w:w w:val="89"/>
              </w:rPr>
              <w:t xml:space="preserve">Proceeds from the sale of the Thermal Business in 2022 </w:t>
            </w:r>
            <w:r>
              <w:rPr>
                <w:rFonts w:ascii="Arial" w:cs="Arial" w:eastAsia="Arial" w:hAnsi="Arial"/>
                <w:sz w:val="20"/>
                <w:szCs w:val="20"/>
                <w:color w:val="BDBDBD"/>
                <w:w w:val="89"/>
              </w:rPr>
              <w:t>. . . . . . . . . . . . . . . . . . . . . . . . . . . . . . . . . . . . . . . . . . .</w:t>
            </w:r>
          </w:p>
        </w:tc>
        <w:tc>
          <w:tcPr>
            <w:tcW w:w="1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0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(1,457)</w:t>
            </w:r>
          </w:p>
        </w:tc>
        <w:tc>
          <w:tcPr>
            <w:tcW w:w="0" w:type="dxa"/>
            <w:vAlign w:val="bottom"/>
          </w:tcPr>
          <w:p>
            <w:pPr>
              <w:spacing w:after="0"/>
              <w:rPr>
                <w:sz w:val="1"/>
                <w:szCs w:val="1"/>
                <w:color w:val="auto"/>
              </w:rPr>
            </w:pPr>
          </w:p>
        </w:tc>
      </w:tr>
      <w:tr>
        <w:trPr>
          <w:trHeight w:val="292"/>
        </w:trPr>
        <w:tc>
          <w:tcPr>
            <w:tcW w:w="8960" w:type="dxa"/>
            <w:vAlign w:val="bottom"/>
          </w:tcPr>
          <w:p>
            <w:pPr>
              <w:ind w:left="160"/>
              <w:spacing w:after="0"/>
              <w:rPr>
                <w:sz w:val="20"/>
                <w:szCs w:val="20"/>
                <w:color w:val="auto"/>
              </w:rPr>
            </w:pPr>
            <w:r>
              <w:rPr>
                <w:rFonts w:ascii="Arial" w:cs="Arial" w:eastAsia="Arial" w:hAnsi="Arial"/>
                <w:sz w:val="20"/>
                <w:szCs w:val="20"/>
                <w:color w:val="auto"/>
                <w:w w:val="90"/>
              </w:rPr>
              <w:t xml:space="preserve">Increase in note receivable — affiliate </w:t>
            </w:r>
            <w:r>
              <w:rPr>
                <w:rFonts w:ascii="Arial" w:cs="Arial" w:eastAsia="Arial" w:hAnsi="Arial"/>
                <w:sz w:val="20"/>
                <w:szCs w:val="20"/>
                <w:color w:val="BDBDBD"/>
                <w:w w:val="90"/>
              </w:rPr>
              <w:t>. . . . . . . . . . . . . . . . . . . . . . . . . . . . . . . . . . . . . . . . . . . . . . . . . . . . . . . . .</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(174)</w:t>
            </w:r>
          </w:p>
        </w:tc>
        <w:tc>
          <w:tcPr>
            <w:tcW w:w="0" w:type="dxa"/>
            <w:vAlign w:val="bottom"/>
          </w:tcPr>
          <w:p>
            <w:pPr>
              <w:spacing w:after="0"/>
              <w:rPr>
                <w:sz w:val="1"/>
                <w:szCs w:val="1"/>
                <w:color w:val="auto"/>
              </w:rPr>
            </w:pPr>
          </w:p>
        </w:tc>
      </w:tr>
      <w:tr>
        <w:trPr>
          <w:trHeight w:val="305"/>
        </w:trPr>
        <w:tc>
          <w:tcPr>
            <w:tcW w:w="8960" w:type="dxa"/>
            <w:vAlign w:val="bottom"/>
            <w:shd w:val="clear" w:color="auto" w:fill="E6E6E6"/>
          </w:tcPr>
          <w:p>
            <w:pPr>
              <w:ind w:left="160"/>
              <w:spacing w:after="0"/>
              <w:rPr>
                <w:sz w:val="20"/>
                <w:szCs w:val="20"/>
                <w:color w:val="auto"/>
              </w:rPr>
            </w:pPr>
            <w:r>
              <w:rPr>
                <w:rFonts w:ascii="Arial" w:cs="Arial" w:eastAsia="Arial" w:hAnsi="Arial"/>
                <w:sz w:val="20"/>
                <w:szCs w:val="20"/>
                <w:color w:val="auto"/>
                <w:w w:val="90"/>
              </w:rPr>
              <w:t xml:space="preserve">Increase in capital expenditures </w:t>
            </w:r>
            <w:r>
              <w:rPr>
                <w:rFonts w:ascii="Arial" w:cs="Arial" w:eastAsia="Arial" w:hAnsi="Arial"/>
                <w:sz w:val="20"/>
                <w:szCs w:val="20"/>
                <w:color w:val="BDBDBD"/>
                <w:w w:val="90"/>
              </w:rPr>
              <w:t>. . . . . . . . . . . . . . . . . . . . . . . . . . . . . . . . . . . . . . . . . . . . . . . . . . . . . . . . . . . . . .</w:t>
            </w:r>
          </w:p>
        </w:tc>
        <w:tc>
          <w:tcPr>
            <w:tcW w:w="16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92"/>
        </w:trPr>
        <w:tc>
          <w:tcPr>
            <w:tcW w:w="8960" w:type="dxa"/>
            <w:vAlign w:val="bottom"/>
          </w:tcPr>
          <w:p>
            <w:pPr>
              <w:ind w:left="160"/>
              <w:spacing w:after="0"/>
              <w:rPr>
                <w:sz w:val="20"/>
                <w:szCs w:val="20"/>
                <w:color w:val="auto"/>
              </w:rPr>
            </w:pPr>
            <w:r>
              <w:rPr>
                <w:rFonts w:ascii="Arial" w:cs="Arial" w:eastAsia="Arial" w:hAnsi="Arial"/>
                <w:sz w:val="20"/>
                <w:szCs w:val="20"/>
                <w:color w:val="auto"/>
                <w:w w:val="91"/>
              </w:rPr>
              <w:t xml:space="preserve">Payment for equipment deposit from affiliate in 2023  </w:t>
            </w:r>
            <w:r>
              <w:rPr>
                <w:rFonts w:ascii="Arial" w:cs="Arial" w:eastAsia="Arial" w:hAnsi="Arial"/>
                <w:sz w:val="20"/>
                <w:szCs w:val="20"/>
                <w:color w:val="BDBDBD"/>
                <w:w w:val="91"/>
              </w:rPr>
              <w:t>. . . . . . . . . . . . . . . . . . . . . . . . . . . . . . . . . . . . . . . . . . . .</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(55)</w:t>
            </w:r>
          </w:p>
        </w:tc>
        <w:tc>
          <w:tcPr>
            <w:tcW w:w="0" w:type="dxa"/>
            <w:vAlign w:val="bottom"/>
          </w:tcPr>
          <w:p>
            <w:pPr>
              <w:spacing w:after="0"/>
              <w:rPr>
                <w:sz w:val="1"/>
                <w:szCs w:val="1"/>
                <w:color w:val="auto"/>
              </w:rPr>
            </w:pPr>
          </w:p>
        </w:tc>
      </w:tr>
      <w:tr>
        <w:trPr>
          <w:trHeight w:val="305"/>
        </w:trPr>
        <w:tc>
          <w:tcPr>
            <w:tcW w:w="8960" w:type="dxa"/>
            <w:vAlign w:val="bottom"/>
            <w:shd w:val="clear" w:color="auto" w:fill="E6E6E6"/>
          </w:tcPr>
          <w:p>
            <w:pPr>
              <w:ind w:left="160"/>
              <w:spacing w:after="0"/>
              <w:rPr>
                <w:sz w:val="20"/>
                <w:szCs w:val="20"/>
                <w:color w:val="auto"/>
              </w:rPr>
            </w:pPr>
            <w:r>
              <w:rPr>
                <w:rFonts w:ascii="Arial" w:cs="Arial" w:eastAsia="Arial" w:hAnsi="Arial"/>
                <w:sz w:val="20"/>
                <w:szCs w:val="20"/>
                <w:color w:val="auto"/>
                <w:w w:val="90"/>
              </w:rPr>
              <w:t xml:space="preserve">Increase in investments in unconsolidated affiliates </w:t>
            </w:r>
            <w:r>
              <w:rPr>
                <w:rFonts w:ascii="Arial" w:cs="Arial" w:eastAsia="Arial" w:hAnsi="Arial"/>
                <w:sz w:val="20"/>
                <w:szCs w:val="20"/>
                <w:color w:val="BDBDBD"/>
                <w:w w:val="90"/>
              </w:rPr>
              <w:t>. . . . . . . . . . . . . . . . . . . . . . . . . . . . . . . . . . . . . . . . . . . . . . .</w:t>
            </w:r>
          </w:p>
        </w:tc>
        <w:tc>
          <w:tcPr>
            <w:tcW w:w="16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(28)</w:t>
            </w:r>
          </w:p>
        </w:tc>
        <w:tc>
          <w:tcPr>
            <w:tcW w:w="0" w:type="dxa"/>
            <w:vAlign w:val="bottom"/>
          </w:tcPr>
          <w:p>
            <w:pPr>
              <w:spacing w:after="0"/>
              <w:rPr>
                <w:sz w:val="1"/>
                <w:szCs w:val="1"/>
                <w:color w:val="auto"/>
              </w:rPr>
            </w:pPr>
          </w:p>
        </w:tc>
      </w:tr>
      <w:tr>
        <w:trPr>
          <w:trHeight w:val="292"/>
        </w:trPr>
        <w:tc>
          <w:tcPr>
            <w:tcW w:w="8960" w:type="dxa"/>
            <w:vAlign w:val="bottom"/>
          </w:tcPr>
          <w:p>
            <w:pPr>
              <w:ind w:left="160"/>
              <w:spacing w:after="0"/>
              <w:rPr>
                <w:sz w:val="20"/>
                <w:szCs w:val="20"/>
                <w:color w:val="auto"/>
              </w:rPr>
            </w:pPr>
            <w:r>
              <w:rPr>
                <w:rFonts w:ascii="Arial" w:cs="Arial" w:eastAsia="Arial" w:hAnsi="Arial"/>
                <w:sz w:val="20"/>
                <w:szCs w:val="20"/>
                <w:color w:val="auto"/>
                <w:w w:val="90"/>
              </w:rPr>
              <w:t xml:space="preserve">Payment for equipment deposit in 2023 </w:t>
            </w:r>
            <w:r>
              <w:rPr>
                <w:rFonts w:ascii="Arial" w:cs="Arial" w:eastAsia="Arial" w:hAnsi="Arial"/>
                <w:sz w:val="20"/>
                <w:szCs w:val="20"/>
                <w:color w:val="BDBDBD"/>
                <w:w w:val="90"/>
              </w:rPr>
              <w:t>. . . . . . . . . . . . . . . . . . . . . . . . . . . . . . . . . . . . . . . . . . . . . . . . . . . . . . . .</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(27)</w:t>
            </w:r>
          </w:p>
        </w:tc>
        <w:tc>
          <w:tcPr>
            <w:tcW w:w="0" w:type="dxa"/>
            <w:vAlign w:val="bottom"/>
          </w:tcPr>
          <w:p>
            <w:pPr>
              <w:spacing w:after="0"/>
              <w:rPr>
                <w:sz w:val="1"/>
                <w:szCs w:val="1"/>
                <w:color w:val="auto"/>
              </w:rPr>
            </w:pPr>
          </w:p>
        </w:tc>
      </w:tr>
      <w:tr>
        <w:trPr>
          <w:trHeight w:val="305"/>
        </w:trPr>
        <w:tc>
          <w:tcPr>
            <w:tcW w:w="8960" w:type="dxa"/>
            <w:vAlign w:val="bottom"/>
            <w:shd w:val="clear" w:color="auto" w:fill="E6E6E6"/>
          </w:tcPr>
          <w:p>
            <w:pPr>
              <w:ind w:left="160"/>
              <w:spacing w:after="0"/>
              <w:rPr>
                <w:sz w:val="20"/>
                <w:szCs w:val="20"/>
                <w:color w:val="auto"/>
              </w:rPr>
            </w:pPr>
            <w:r>
              <w:rPr>
                <w:rFonts w:ascii="Arial" w:cs="Arial" w:eastAsia="Arial" w:hAnsi="Arial"/>
                <w:sz w:val="20"/>
                <w:szCs w:val="20"/>
                <w:color w:val="auto"/>
                <w:w w:val="91"/>
              </w:rPr>
              <w:t xml:space="preserve">Acquisition of the Capistrano Wind Portfolio in 2022 </w:t>
            </w:r>
            <w:r>
              <w:rPr>
                <w:rFonts w:ascii="Arial" w:cs="Arial" w:eastAsia="Arial" w:hAnsi="Arial"/>
                <w:sz w:val="20"/>
                <w:szCs w:val="20"/>
                <w:color w:val="BDBDBD"/>
                <w:w w:val="91"/>
              </w:rPr>
              <w:t>. . . . . . . . . . . . . . . . . . . . . . . . . . . . . . . . . . . . . . . . . . . . .</w:t>
            </w:r>
          </w:p>
        </w:tc>
        <w:tc>
          <w:tcPr>
            <w:tcW w:w="16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223</w:t>
            </w:r>
          </w:p>
        </w:tc>
        <w:tc>
          <w:tcPr>
            <w:tcW w:w="0" w:type="dxa"/>
            <w:vAlign w:val="bottom"/>
          </w:tcPr>
          <w:p>
            <w:pPr>
              <w:spacing w:after="0"/>
              <w:rPr>
                <w:sz w:val="1"/>
                <w:szCs w:val="1"/>
                <w:color w:val="auto"/>
              </w:rPr>
            </w:pPr>
          </w:p>
        </w:tc>
      </w:tr>
      <w:tr>
        <w:trPr>
          <w:trHeight w:val="292"/>
        </w:trPr>
        <w:tc>
          <w:tcPr>
            <w:tcW w:w="8960" w:type="dxa"/>
            <w:vAlign w:val="bottom"/>
          </w:tcPr>
          <w:p>
            <w:pPr>
              <w:ind w:left="160"/>
              <w:spacing w:after="0"/>
              <w:rPr>
                <w:sz w:val="20"/>
                <w:szCs w:val="20"/>
                <w:color w:val="auto"/>
              </w:rPr>
            </w:pPr>
            <w:r>
              <w:rPr>
                <w:rFonts w:ascii="Arial" w:cs="Arial" w:eastAsia="Arial" w:hAnsi="Arial"/>
                <w:sz w:val="20"/>
                <w:szCs w:val="20"/>
                <w:color w:val="auto"/>
                <w:w w:val="89"/>
              </w:rPr>
              <w:t xml:space="preserve">Decrease in cash paid for Drop Down assets, net of cash acquired </w:t>
            </w:r>
            <w:r>
              <w:rPr>
                <w:rFonts w:ascii="Arial" w:cs="Arial" w:eastAsia="Arial" w:hAnsi="Arial"/>
                <w:sz w:val="20"/>
                <w:szCs w:val="20"/>
                <w:color w:val="BDBDBD"/>
                <w:w w:val="89"/>
              </w:rPr>
              <w:t>. . . . . . . . . . . . . . . . . . . . . . . . . . . . . . . . . . .</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26</w:t>
            </w:r>
          </w:p>
        </w:tc>
        <w:tc>
          <w:tcPr>
            <w:tcW w:w="0" w:type="dxa"/>
            <w:vAlign w:val="bottom"/>
          </w:tcPr>
          <w:p>
            <w:pPr>
              <w:spacing w:after="0"/>
              <w:rPr>
                <w:sz w:val="1"/>
                <w:szCs w:val="1"/>
                <w:color w:val="auto"/>
              </w:rPr>
            </w:pPr>
          </w:p>
        </w:tc>
      </w:tr>
      <w:tr>
        <w:trPr>
          <w:trHeight w:val="295"/>
        </w:trPr>
        <w:tc>
          <w:tcPr>
            <w:tcW w:w="8960" w:type="dxa"/>
            <w:vAlign w:val="bottom"/>
            <w:tcBorders>
              <w:bottom w:val="single" w:sz="8" w:color="E6E6E6"/>
            </w:tcBorders>
            <w:shd w:val="clear" w:color="auto" w:fill="E6E6E6"/>
          </w:tcPr>
          <w:p>
            <w:pPr>
              <w:ind w:left="160"/>
              <w:spacing w:after="0"/>
              <w:rPr>
                <w:sz w:val="20"/>
                <w:szCs w:val="20"/>
                <w:color w:val="auto"/>
              </w:rPr>
            </w:pPr>
            <w:r>
              <w:rPr>
                <w:rFonts w:ascii="Arial" w:cs="Arial" w:eastAsia="Arial" w:hAnsi="Arial"/>
                <w:sz w:val="20"/>
                <w:szCs w:val="20"/>
                <w:color w:val="auto"/>
                <w:w w:val="90"/>
              </w:rPr>
              <w:t xml:space="preserve">Other </w:t>
            </w:r>
            <w:r>
              <w:rPr>
                <w:rFonts w:ascii="Arial" w:cs="Arial" w:eastAsia="Arial" w:hAnsi="Arial"/>
                <w:sz w:val="20"/>
                <w:szCs w:val="20"/>
                <w:color w:val="BDBDBD"/>
                <w:w w:val="90"/>
              </w:rPr>
              <w:t>. . . . . . . . . . . . . . . . . . . . . . . . . . . . . . . . . . . . . . . . . . . . . . . . . . . . . . . . . . . . . . . . . . . . . . . . . . . . . . . . . . .</w:t>
            </w:r>
          </w:p>
        </w:tc>
        <w:tc>
          <w:tcPr>
            <w:tcW w:w="160" w:type="dxa"/>
            <w:vAlign w:val="bottom"/>
            <w:tcBorders>
              <w:bottom w:val="single" w:sz="8" w:color="auto"/>
            </w:tcBorders>
            <w:shd w:val="clear" w:color="auto" w:fill="E6E6E6"/>
          </w:tcPr>
          <w:p>
            <w:pPr>
              <w:spacing w:after="0"/>
              <w:rPr>
                <w:sz w:val="24"/>
                <w:szCs w:val="24"/>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59"/>
        </w:trPr>
        <w:tc>
          <w:tcPr>
            <w:tcW w:w="896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(1,588)</w:t>
            </w:r>
          </w:p>
        </w:tc>
        <w:tc>
          <w:tcPr>
            <w:tcW w:w="0" w:type="dxa"/>
            <w:vAlign w:val="bottom"/>
          </w:tcPr>
          <w:p>
            <w:pPr>
              <w:spacing w:after="0"/>
              <w:rPr>
                <w:sz w:val="1"/>
                <w:szCs w:val="1"/>
                <w:color w:val="auto"/>
              </w:rPr>
            </w:pPr>
          </w:p>
        </w:tc>
      </w:tr>
      <w:tr>
        <w:trPr>
          <w:trHeight w:val="20"/>
        </w:trPr>
        <w:tc>
          <w:tcPr>
            <w:tcW w:w="8960" w:type="dxa"/>
            <w:vAlign w:val="bottom"/>
            <w:vMerge w:val="restart"/>
          </w:tcPr>
          <w:p>
            <w:pPr>
              <w:ind w:left="440"/>
              <w:spacing w:after="0"/>
              <w:rPr>
                <w:sz w:val="20"/>
                <w:szCs w:val="20"/>
                <w:color w:val="auto"/>
              </w:rPr>
            </w:pPr>
            <w:r>
              <w:rPr>
                <w:rFonts w:ascii="Arial" w:cs="Arial" w:eastAsia="Arial" w:hAnsi="Arial"/>
                <w:sz w:val="20"/>
                <w:szCs w:val="20"/>
                <w:b w:val="1"/>
                <w:bCs w:val="1"/>
                <w:i w:val="1"/>
                <w:iCs w:val="1"/>
                <w:color w:val="auto"/>
              </w:rPr>
              <w:t>Net Cash Used In Financing Activities</w:t>
            </w: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89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960" w:type="dxa"/>
            <w:vAlign w:val="bottom"/>
            <w:tcBorders>
              <w:bottom w:val="single" w:sz="8" w:color="E6E6E6"/>
            </w:tcBorders>
          </w:tcPr>
          <w:p>
            <w:pPr>
              <w:ind w:left="40"/>
              <w:spacing w:after="0"/>
              <w:rPr>
                <w:sz w:val="20"/>
                <w:szCs w:val="20"/>
                <w:color w:val="auto"/>
              </w:rPr>
            </w:pPr>
            <w:r>
              <w:rPr>
                <w:rFonts w:ascii="Arial" w:cs="Arial" w:eastAsia="Arial" w:hAnsi="Arial"/>
                <w:sz w:val="20"/>
                <w:szCs w:val="20"/>
                <w:color w:val="auto"/>
              </w:rPr>
              <w:t>Changes in net cash used in financing activities were driven by:</w:t>
            </w: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b w:val="1"/>
                <w:bCs w:val="1"/>
                <w:color w:val="auto"/>
                <w:w w:val="93"/>
              </w:rPr>
              <w:t>(In millions)</w:t>
            </w:r>
          </w:p>
        </w:tc>
        <w:tc>
          <w:tcPr>
            <w:tcW w:w="0" w:type="dxa"/>
            <w:vAlign w:val="bottom"/>
          </w:tcPr>
          <w:p>
            <w:pPr>
              <w:spacing w:after="0"/>
              <w:rPr>
                <w:sz w:val="1"/>
                <w:szCs w:val="1"/>
                <w:color w:val="auto"/>
              </w:rPr>
            </w:pPr>
          </w:p>
        </w:tc>
      </w:tr>
      <w:tr>
        <w:trPr>
          <w:trHeight w:val="289"/>
        </w:trPr>
        <w:tc>
          <w:tcPr>
            <w:tcW w:w="8960" w:type="dxa"/>
            <w:vAlign w:val="bottom"/>
            <w:shd w:val="clear" w:color="auto" w:fill="E6E6E6"/>
          </w:tcPr>
          <w:p>
            <w:pPr>
              <w:ind w:left="160"/>
              <w:spacing w:after="0"/>
              <w:rPr>
                <w:sz w:val="20"/>
                <w:szCs w:val="20"/>
                <w:color w:val="auto"/>
              </w:rPr>
            </w:pPr>
            <w:r>
              <w:rPr>
                <w:rFonts w:ascii="Arial" w:cs="Arial" w:eastAsia="Arial" w:hAnsi="Arial"/>
                <w:sz w:val="20"/>
                <w:szCs w:val="20"/>
                <w:color w:val="auto"/>
                <w:w w:val="91"/>
              </w:rPr>
              <w:t xml:space="preserve">Increase in contributions from noncontrolling interests, net of distributions </w:t>
            </w:r>
            <w:r>
              <w:rPr>
                <w:rFonts w:ascii="Arial" w:cs="Arial" w:eastAsia="Arial" w:hAnsi="Arial"/>
                <w:sz w:val="20"/>
                <w:szCs w:val="20"/>
                <w:color w:val="BDBDBD"/>
                <w:w w:val="91"/>
              </w:rPr>
              <w:t>. . . . . . . . . . . . . . . . . . . . . . . . . . . .</w:t>
            </w:r>
          </w:p>
        </w:tc>
        <w:tc>
          <w:tcPr>
            <w:tcW w:w="1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0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968</w:t>
            </w:r>
          </w:p>
        </w:tc>
        <w:tc>
          <w:tcPr>
            <w:tcW w:w="0" w:type="dxa"/>
            <w:vAlign w:val="bottom"/>
          </w:tcPr>
          <w:p>
            <w:pPr>
              <w:spacing w:after="0"/>
              <w:rPr>
                <w:sz w:val="1"/>
                <w:szCs w:val="1"/>
                <w:color w:val="auto"/>
              </w:rPr>
            </w:pPr>
          </w:p>
        </w:tc>
      </w:tr>
      <w:tr>
        <w:trPr>
          <w:trHeight w:val="292"/>
        </w:trPr>
        <w:tc>
          <w:tcPr>
            <w:tcW w:w="8960" w:type="dxa"/>
            <w:vAlign w:val="bottom"/>
          </w:tcPr>
          <w:p>
            <w:pPr>
              <w:ind w:left="160"/>
              <w:spacing w:after="0"/>
              <w:rPr>
                <w:sz w:val="20"/>
                <w:szCs w:val="20"/>
                <w:color w:val="auto"/>
              </w:rPr>
            </w:pPr>
            <w:r>
              <w:rPr>
                <w:rFonts w:ascii="Arial" w:cs="Arial" w:eastAsia="Arial" w:hAnsi="Arial"/>
                <w:sz w:val="20"/>
                <w:szCs w:val="20"/>
                <w:color w:val="auto"/>
                <w:w w:val="90"/>
              </w:rPr>
              <w:t xml:space="preserve">Decrease in payments for the revolving credit facility, net of proceeds </w:t>
            </w:r>
            <w:r>
              <w:rPr>
                <w:rFonts w:ascii="Arial" w:cs="Arial" w:eastAsia="Arial" w:hAnsi="Arial"/>
                <w:sz w:val="20"/>
                <w:szCs w:val="20"/>
                <w:color w:val="BDBDBD"/>
                <w:w w:val="90"/>
              </w:rPr>
              <w:t>. . . . . . . . . . . . . . . . . . . . . . . . . . . . . . . .</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245</w:t>
            </w:r>
          </w:p>
        </w:tc>
        <w:tc>
          <w:tcPr>
            <w:tcW w:w="0" w:type="dxa"/>
            <w:vAlign w:val="bottom"/>
          </w:tcPr>
          <w:p>
            <w:pPr>
              <w:spacing w:after="0"/>
              <w:rPr>
                <w:sz w:val="1"/>
                <w:szCs w:val="1"/>
                <w:color w:val="auto"/>
              </w:rPr>
            </w:pPr>
          </w:p>
        </w:tc>
      </w:tr>
      <w:tr>
        <w:trPr>
          <w:trHeight w:val="305"/>
        </w:trPr>
        <w:tc>
          <w:tcPr>
            <w:tcW w:w="8960" w:type="dxa"/>
            <w:vAlign w:val="bottom"/>
            <w:shd w:val="clear" w:color="auto" w:fill="E6E6E6"/>
          </w:tcPr>
          <w:p>
            <w:pPr>
              <w:ind w:left="160"/>
              <w:spacing w:after="0"/>
              <w:rPr>
                <w:sz w:val="20"/>
                <w:szCs w:val="20"/>
                <w:color w:val="auto"/>
              </w:rPr>
            </w:pPr>
            <w:r>
              <w:rPr>
                <w:rFonts w:ascii="Arial" w:cs="Arial" w:eastAsia="Arial" w:hAnsi="Arial"/>
                <w:sz w:val="20"/>
                <w:szCs w:val="20"/>
                <w:color w:val="auto"/>
                <w:w w:val="89"/>
              </w:rPr>
              <w:t xml:space="preserve">Increase in proceeds for long-term debt, net of an increase in payments </w:t>
            </w:r>
            <w:r>
              <w:rPr>
                <w:rFonts w:ascii="Arial" w:cs="Arial" w:eastAsia="Arial" w:hAnsi="Arial"/>
                <w:sz w:val="20"/>
                <w:szCs w:val="20"/>
                <w:color w:val="BDBDBD"/>
                <w:w w:val="89"/>
              </w:rPr>
              <w:t>. . . . . . . . . . . . . . . . . . . . . . . . . . . . . . .</w:t>
            </w:r>
          </w:p>
        </w:tc>
        <w:tc>
          <w:tcPr>
            <w:tcW w:w="16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168</w:t>
            </w:r>
          </w:p>
        </w:tc>
        <w:tc>
          <w:tcPr>
            <w:tcW w:w="0" w:type="dxa"/>
            <w:vAlign w:val="bottom"/>
          </w:tcPr>
          <w:p>
            <w:pPr>
              <w:spacing w:after="0"/>
              <w:rPr>
                <w:sz w:val="1"/>
                <w:szCs w:val="1"/>
                <w:color w:val="auto"/>
              </w:rPr>
            </w:pPr>
          </w:p>
        </w:tc>
      </w:tr>
      <w:tr>
        <w:trPr>
          <w:trHeight w:val="292"/>
        </w:trPr>
        <w:tc>
          <w:tcPr>
            <w:tcW w:w="8960" w:type="dxa"/>
            <w:vAlign w:val="bottom"/>
          </w:tcPr>
          <w:p>
            <w:pPr>
              <w:ind w:left="160"/>
              <w:spacing w:after="0"/>
              <w:rPr>
                <w:sz w:val="20"/>
                <w:szCs w:val="20"/>
                <w:color w:val="auto"/>
              </w:rPr>
            </w:pPr>
            <w:r>
              <w:rPr>
                <w:rFonts w:ascii="Arial" w:cs="Arial" w:eastAsia="Arial" w:hAnsi="Arial"/>
                <w:sz w:val="20"/>
                <w:szCs w:val="20"/>
                <w:color w:val="auto"/>
                <w:w w:val="90"/>
              </w:rPr>
              <w:t xml:space="preserve">Cash released from escrow distributed to CEG in 2022 </w:t>
            </w:r>
            <w:r>
              <w:rPr>
                <w:rFonts w:ascii="Arial" w:cs="Arial" w:eastAsia="Arial" w:hAnsi="Arial"/>
                <w:sz w:val="20"/>
                <w:szCs w:val="20"/>
                <w:color w:val="BDBDBD"/>
                <w:w w:val="90"/>
              </w:rPr>
              <w:t>. . . . . . . . . . . . . . . . . . . . . . . . . . . . . . . . . . . . . . . . . . . .</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64</w:t>
            </w:r>
          </w:p>
        </w:tc>
        <w:tc>
          <w:tcPr>
            <w:tcW w:w="0" w:type="dxa"/>
            <w:vAlign w:val="bottom"/>
          </w:tcPr>
          <w:p>
            <w:pPr>
              <w:spacing w:after="0"/>
              <w:rPr>
                <w:sz w:val="1"/>
                <w:szCs w:val="1"/>
                <w:color w:val="auto"/>
              </w:rPr>
            </w:pPr>
          </w:p>
        </w:tc>
      </w:tr>
      <w:tr>
        <w:trPr>
          <w:trHeight w:val="305"/>
        </w:trPr>
        <w:tc>
          <w:tcPr>
            <w:tcW w:w="8960" w:type="dxa"/>
            <w:vAlign w:val="bottom"/>
            <w:shd w:val="clear" w:color="auto" w:fill="E6E6E6"/>
          </w:tcPr>
          <w:p>
            <w:pPr>
              <w:ind w:left="160"/>
              <w:spacing w:after="0"/>
              <w:rPr>
                <w:sz w:val="20"/>
                <w:szCs w:val="20"/>
                <w:color w:val="auto"/>
              </w:rPr>
            </w:pPr>
            <w:r>
              <w:rPr>
                <w:rFonts w:ascii="Arial" w:cs="Arial" w:eastAsia="Arial" w:hAnsi="Arial"/>
                <w:sz w:val="20"/>
                <w:szCs w:val="20"/>
                <w:color w:val="auto"/>
                <w:w w:val="91"/>
              </w:rPr>
              <w:t xml:space="preserve">Increase in dividends paid to common stockholders and distributions paid to CEG unit holders </w:t>
            </w:r>
            <w:r>
              <w:rPr>
                <w:rFonts w:ascii="Arial" w:cs="Arial" w:eastAsia="Arial" w:hAnsi="Arial"/>
                <w:sz w:val="20"/>
                <w:szCs w:val="20"/>
                <w:color w:val="BDBDBD"/>
                <w:w w:val="91"/>
              </w:rPr>
              <w:t>. . . . . . . . . . . .</w:t>
            </w:r>
          </w:p>
        </w:tc>
        <w:tc>
          <w:tcPr>
            <w:tcW w:w="16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(22)</w:t>
            </w:r>
          </w:p>
        </w:tc>
        <w:tc>
          <w:tcPr>
            <w:tcW w:w="0" w:type="dxa"/>
            <w:vAlign w:val="bottom"/>
          </w:tcPr>
          <w:p>
            <w:pPr>
              <w:spacing w:after="0"/>
              <w:rPr>
                <w:sz w:val="1"/>
                <w:szCs w:val="1"/>
                <w:color w:val="auto"/>
              </w:rPr>
            </w:pPr>
          </w:p>
        </w:tc>
      </w:tr>
      <w:tr>
        <w:trPr>
          <w:trHeight w:val="307"/>
        </w:trPr>
        <w:tc>
          <w:tcPr>
            <w:tcW w:w="8960" w:type="dxa"/>
            <w:vAlign w:val="bottom"/>
          </w:tcPr>
          <w:p>
            <w:pPr>
              <w:ind w:left="160"/>
              <w:spacing w:after="0"/>
              <w:rPr>
                <w:sz w:val="20"/>
                <w:szCs w:val="20"/>
                <w:color w:val="auto"/>
              </w:rPr>
            </w:pPr>
            <w:r>
              <w:rPr>
                <w:rFonts w:ascii="Arial" w:cs="Arial" w:eastAsia="Arial" w:hAnsi="Arial"/>
                <w:sz w:val="20"/>
                <w:szCs w:val="20"/>
                <w:color w:val="auto"/>
                <w:w w:val="89"/>
              </w:rPr>
              <w:t xml:space="preserve">Increase in payments of debt issuance costs </w:t>
            </w:r>
            <w:r>
              <w:rPr>
                <w:rFonts w:ascii="Arial" w:cs="Arial" w:eastAsia="Arial" w:hAnsi="Arial"/>
                <w:sz w:val="20"/>
                <w:szCs w:val="20"/>
                <w:color w:val="BDBDBD"/>
                <w:w w:val="89"/>
              </w:rPr>
              <w:t>. . . . . . . . . . . . . . . . . . . . . . . . . . . . . . . . . . . . . . . . . . . . . . . . . . . . .</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320"/>
        </w:trPr>
        <w:tc>
          <w:tcPr>
            <w:tcW w:w="8960" w:type="dxa"/>
            <w:vAlign w:val="bottom"/>
            <w:shd w:val="clear" w:color="auto" w:fill="E6E6E6"/>
          </w:tcPr>
          <w:p>
            <w:pPr>
              <w:ind w:left="160"/>
              <w:spacing w:after="0"/>
              <w:rPr>
                <w:sz w:val="20"/>
                <w:szCs w:val="20"/>
                <w:color w:val="auto"/>
              </w:rPr>
            </w:pPr>
            <w:r>
              <w:rPr>
                <w:rFonts w:ascii="Arial" w:cs="Arial" w:eastAsia="Arial" w:hAnsi="Arial"/>
                <w:sz w:val="20"/>
                <w:szCs w:val="20"/>
                <w:color w:val="auto"/>
                <w:w w:val="91"/>
              </w:rPr>
              <w:t xml:space="preserve">Buyout of noncontrolling interest and redeemable noncontrolling interest in 2023  </w:t>
            </w:r>
            <w:r>
              <w:rPr>
                <w:rFonts w:ascii="Arial" w:cs="Arial" w:eastAsia="Arial" w:hAnsi="Arial"/>
                <w:sz w:val="20"/>
                <w:szCs w:val="20"/>
                <w:color w:val="BDBDBD"/>
                <w:w w:val="91"/>
              </w:rPr>
              <w:t>. . . . . . . . . . . . . . . . . . . . . .</w:t>
            </w:r>
          </w:p>
        </w:tc>
        <w:tc>
          <w:tcPr>
            <w:tcW w:w="16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292"/>
        </w:trPr>
        <w:tc>
          <w:tcPr>
            <w:tcW w:w="8960" w:type="dxa"/>
            <w:vAlign w:val="bottom"/>
          </w:tcPr>
          <w:p>
            <w:pPr>
              <w:ind w:left="160"/>
              <w:spacing w:after="0"/>
              <w:rPr>
                <w:sz w:val="20"/>
                <w:szCs w:val="20"/>
                <w:color w:val="auto"/>
              </w:rPr>
            </w:pPr>
            <w:r>
              <w:rPr>
                <w:rFonts w:ascii="Arial" w:cs="Arial" w:eastAsia="Arial" w:hAnsi="Arial"/>
                <w:sz w:val="20"/>
                <w:szCs w:val="20"/>
                <w:color w:val="auto"/>
                <w:w w:val="90"/>
              </w:rPr>
              <w:t xml:space="preserve">Increase in tax-related distributions </w:t>
            </w:r>
            <w:r>
              <w:rPr>
                <w:rFonts w:ascii="Arial" w:cs="Arial" w:eastAsia="Arial" w:hAnsi="Arial"/>
                <w:sz w:val="20"/>
                <w:szCs w:val="20"/>
                <w:color w:val="BDBDBD"/>
                <w:w w:val="90"/>
              </w:rPr>
              <w:t>. . . . . . . . . . . . . . . . . . . . . . . . . . . . . . . . . . . . . . . . . . . . . . . . . . . . . . . . . . .</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295"/>
        </w:trPr>
        <w:tc>
          <w:tcPr>
            <w:tcW w:w="8960" w:type="dxa"/>
            <w:vAlign w:val="bottom"/>
            <w:tcBorders>
              <w:bottom w:val="single" w:sz="8" w:color="E6E6E6"/>
            </w:tcBorders>
            <w:shd w:val="clear" w:color="auto" w:fill="E6E6E6"/>
          </w:tcPr>
          <w:p>
            <w:pPr>
              <w:ind w:left="160"/>
              <w:spacing w:after="0"/>
              <w:rPr>
                <w:sz w:val="20"/>
                <w:szCs w:val="20"/>
                <w:color w:val="auto"/>
              </w:rPr>
            </w:pPr>
            <w:r>
              <w:rPr>
                <w:rFonts w:ascii="Arial" w:cs="Arial" w:eastAsia="Arial" w:hAnsi="Arial"/>
                <w:sz w:val="20"/>
                <w:szCs w:val="20"/>
                <w:color w:val="auto"/>
                <w:w w:val="90"/>
              </w:rPr>
              <w:t xml:space="preserve">Other </w:t>
            </w:r>
            <w:r>
              <w:rPr>
                <w:rFonts w:ascii="Arial" w:cs="Arial" w:eastAsia="Arial" w:hAnsi="Arial"/>
                <w:sz w:val="20"/>
                <w:szCs w:val="20"/>
                <w:color w:val="BDBDBD"/>
                <w:w w:val="90"/>
              </w:rPr>
              <w:t>. . . . . . . . . . . . . . . . . . . . . . . . . . . . . . . . . . . . . . . . . . . . . . . . . . . . . . . . . . . . . . . . . . . . . . . . . . . . . . . . . . .</w:t>
            </w:r>
          </w:p>
        </w:tc>
        <w:tc>
          <w:tcPr>
            <w:tcW w:w="160" w:type="dxa"/>
            <w:vAlign w:val="bottom"/>
            <w:tcBorders>
              <w:bottom w:val="single" w:sz="8" w:color="auto"/>
            </w:tcBorders>
            <w:shd w:val="clear" w:color="auto" w:fill="E6E6E6"/>
          </w:tcPr>
          <w:p>
            <w:pPr>
              <w:spacing w:after="0"/>
              <w:rPr>
                <w:sz w:val="24"/>
                <w:szCs w:val="24"/>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59"/>
        </w:trPr>
        <w:tc>
          <w:tcPr>
            <w:tcW w:w="896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1,386</w:t>
            </w:r>
          </w:p>
        </w:tc>
        <w:tc>
          <w:tcPr>
            <w:tcW w:w="0" w:type="dxa"/>
            <w:vAlign w:val="bottom"/>
          </w:tcPr>
          <w:p>
            <w:pPr>
              <w:spacing w:after="0"/>
              <w:rPr>
                <w:sz w:val="1"/>
                <w:szCs w:val="1"/>
                <w:color w:val="auto"/>
              </w:rPr>
            </w:pPr>
          </w:p>
        </w:tc>
      </w:tr>
      <w:tr>
        <w:trPr>
          <w:trHeight w:val="20"/>
        </w:trPr>
        <w:tc>
          <w:tcPr>
            <w:tcW w:w="8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5680710</wp:posOffset>
            </wp:positionH>
            <wp:positionV relativeFrom="paragraph">
              <wp:posOffset>-4396740</wp:posOffset>
            </wp:positionV>
            <wp:extent cx="8121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67">
                      <a:extLst>
                        <a:ext uri="{28A0092B-C50C-407E-A947-70E740481C1C}"/>
                      </a:extLst>
                    </a:blip>
                    <a:srcRect/>
                    <a:stretch>
                      <a:fillRect/>
                    </a:stretch>
                  </pic:blipFill>
                  <pic:spPr bwMode="auto">
                    <a:xfrm>
                      <a:off x="0" y="0"/>
                      <a:ext cx="812165" cy="25400"/>
                    </a:xfrm>
                    <a:prstGeom prst="rect">
                      <a:avLst/>
                    </a:prstGeom>
                    <a:noFill/>
                  </pic:spPr>
                </pic:pic>
              </a:graphicData>
            </a:graphic>
          </wp:anchor>
        </w:drawing>
        <w:drawing>
          <wp:anchor simplePos="0" relativeHeight="251657728" behindDoc="1" locked="0" layoutInCell="0" allowOverlap="1">
            <wp:simplePos x="0" y="0"/>
            <wp:positionH relativeFrom="column">
              <wp:posOffset>5680710</wp:posOffset>
            </wp:positionH>
            <wp:positionV relativeFrom="paragraph">
              <wp:posOffset>-2691130</wp:posOffset>
            </wp:positionV>
            <wp:extent cx="8121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68">
                      <a:extLst>
                        <a:ext uri="{28A0092B-C50C-407E-A947-70E740481C1C}"/>
                      </a:extLst>
                    </a:blip>
                    <a:srcRect/>
                    <a:stretch>
                      <a:fillRect/>
                    </a:stretch>
                  </pic:blipFill>
                  <pic:spPr bwMode="auto">
                    <a:xfrm>
                      <a:off x="0" y="0"/>
                      <a:ext cx="812165" cy="25400"/>
                    </a:xfrm>
                    <a:prstGeom prst="rect">
                      <a:avLst/>
                    </a:prstGeom>
                    <a:noFill/>
                  </pic:spPr>
                </pic:pic>
              </a:graphicData>
            </a:graphic>
          </wp:anchor>
        </w:drawing>
        <w:drawing>
          <wp:anchor simplePos="0" relativeHeight="251657728" behindDoc="1" locked="0" layoutInCell="0" allowOverlap="1">
            <wp:simplePos x="0" y="0"/>
            <wp:positionH relativeFrom="column">
              <wp:posOffset>5680710</wp:posOffset>
            </wp:positionH>
            <wp:positionV relativeFrom="paragraph">
              <wp:posOffset>-1945640</wp:posOffset>
            </wp:positionV>
            <wp:extent cx="8121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69">
                      <a:extLst>
                        <a:ext uri="{28A0092B-C50C-407E-A947-70E740481C1C}"/>
                      </a:extLst>
                    </a:blip>
                    <a:srcRect/>
                    <a:stretch>
                      <a:fillRect/>
                    </a:stretch>
                  </pic:blipFill>
                  <pic:spPr bwMode="auto">
                    <a:xfrm>
                      <a:off x="0" y="0"/>
                      <a:ext cx="812165" cy="25400"/>
                    </a:xfrm>
                    <a:prstGeom prst="rect">
                      <a:avLst/>
                    </a:prstGeom>
                    <a:noFill/>
                  </pic:spPr>
                </pic:pic>
              </a:graphicData>
            </a:graphic>
          </wp:anchor>
        </w:drawing>
        <w:drawing>
          <wp:anchor simplePos="0" relativeHeight="251657728" behindDoc="1" locked="0" layoutInCell="0" allowOverlap="1">
            <wp:simplePos x="0" y="0"/>
            <wp:positionH relativeFrom="column">
              <wp:posOffset>5680710</wp:posOffset>
            </wp:positionH>
            <wp:positionV relativeFrom="paragraph">
              <wp:posOffset>-220345</wp:posOffset>
            </wp:positionV>
            <wp:extent cx="8121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70">
                      <a:extLst>
                        <a:ext uri="{28A0092B-C50C-407E-A947-70E740481C1C}"/>
                      </a:extLst>
                    </a:blip>
                    <a:srcRect/>
                    <a:stretch>
                      <a:fillRect/>
                    </a:stretch>
                  </pic:blipFill>
                  <pic:spPr bwMode="auto">
                    <a:xfrm>
                      <a:off x="0" y="0"/>
                      <a:ext cx="812165" cy="25400"/>
                    </a:xfrm>
                    <a:prstGeom prst="rect">
                      <a:avLst/>
                    </a:prstGeom>
                    <a:noFill/>
                  </pic:spPr>
                </pic:pic>
              </a:graphicData>
            </a:graphic>
          </wp:anchor>
        </w:drawing>
      </w:r>
    </w:p>
    <w:p>
      <w:pPr>
        <w:sectPr>
          <w:pgSz w:w="11880" w:h="15480" w:orient="portrait"/>
          <w:cols w:equalWidth="0" w:num="1">
            <w:col w:w="10200"/>
          </w:cols>
          <w:pgMar w:left="840" w:top="404" w:right="8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ectPr>
          <w:pgSz w:w="11880" w:h="15480" w:orient="portrait"/>
          <w:cols w:equalWidth="0" w:num="1">
            <w:col w:w="10200"/>
          </w:cols>
          <w:pgMar w:left="840" w:top="404" w:right="840" w:bottom="0" w:gutter="0" w:footer="0" w:header="0"/>
          <w:type w:val="continuous"/>
        </w:sectPr>
      </w:pPr>
    </w:p>
    <w:bookmarkStart w:id="61" w:name="page62"/>
    <w:bookmarkEnd w:id="61"/>
    <w:p>
      <w:pPr>
        <w:spacing w:after="0"/>
        <w:rPr>
          <w:sz w:val="20"/>
          <w:szCs w:val="20"/>
          <w:color w:val="auto"/>
        </w:rPr>
      </w:pPr>
      <w:r>
        <w:rPr>
          <w:rFonts w:ascii="Arial" w:cs="Arial" w:eastAsia="Arial" w:hAnsi="Arial"/>
          <w:sz w:val="20"/>
          <w:szCs w:val="20"/>
          <w:b w:val="1"/>
          <w:bCs w:val="1"/>
          <w:color w:val="auto"/>
        </w:rPr>
        <w:t>NOLs, Deferred Tax Assets and Uncertain Tax Position Implications, under ASC 740</w:t>
      </w:r>
    </w:p>
    <w:p>
      <w:pPr>
        <w:spacing w:after="0" w:line="195" w:lineRule="exact"/>
        <w:rPr>
          <w:sz w:val="20"/>
          <w:szCs w:val="20"/>
          <w:color w:val="auto"/>
        </w:rPr>
      </w:pPr>
    </w:p>
    <w:p>
      <w:pPr>
        <w:jc w:val="both"/>
        <w:ind w:firstLine="448"/>
        <w:spacing w:after="0" w:line="292" w:lineRule="auto"/>
        <w:rPr>
          <w:sz w:val="20"/>
          <w:szCs w:val="20"/>
          <w:color w:val="auto"/>
        </w:rPr>
      </w:pPr>
      <w:r>
        <w:rPr>
          <w:rFonts w:ascii="Arial" w:cs="Arial" w:eastAsia="Arial" w:hAnsi="Arial"/>
          <w:sz w:val="18"/>
          <w:szCs w:val="18"/>
          <w:color w:val="auto"/>
        </w:rPr>
        <w:t>As of December 31, 2023, the Company has a cumulative federal NOL carryforward balance of $353 million for financial statement purposes, none of which are subject to expiration. Additionally, as of December 31, 2023, the Company has a cumulative state NOL carryforward balance of $102 million for financial statement purposes, which will expire between 2024 and 2040 if unutilized. The Company does not anticipate material income tax payments through 2026. In addition, the Company has PTC and ITC carryforward balances totaling $21 million, which will expire between 2035 and 2043 if unutilized.</w:t>
      </w:r>
    </w:p>
    <w:p>
      <w:pPr>
        <w:spacing w:after="0" w:line="114" w:lineRule="exact"/>
        <w:rPr>
          <w:sz w:val="20"/>
          <w:szCs w:val="20"/>
          <w:color w:val="auto"/>
        </w:rPr>
      </w:pPr>
    </w:p>
    <w:p>
      <w:pPr>
        <w:jc w:val="both"/>
        <w:ind w:firstLine="448"/>
        <w:spacing w:after="0" w:line="277" w:lineRule="auto"/>
        <w:rPr>
          <w:sz w:val="20"/>
          <w:szCs w:val="20"/>
          <w:color w:val="auto"/>
        </w:rPr>
      </w:pPr>
      <w:r>
        <w:rPr>
          <w:rFonts w:ascii="Arial" w:cs="Arial" w:eastAsia="Arial" w:hAnsi="Arial"/>
          <w:sz w:val="19"/>
          <w:szCs w:val="19"/>
          <w:color w:val="auto"/>
        </w:rPr>
        <w:t>As of December 31, 2023, the Company has an interest disallowance carryforward of $75 million as a result of Internal Revenue Code §163(j). The disallowed interest deduction has an indefinite carryforward period and any limitations on the utilization of this carryforward have been factored into the Company’s valuation allowance analysis. As of December 31, 2022, the Company did not have an interest disallowance carryforward due to the Thermal Disposition</w:t>
      </w:r>
      <w:r>
        <w:rPr>
          <w:rFonts w:ascii="Arial" w:cs="Arial" w:eastAsia="Arial" w:hAnsi="Arial"/>
          <w:sz w:val="16"/>
          <w:szCs w:val="16"/>
          <w:color w:val="auto"/>
        </w:rPr>
        <w:t>.</w:t>
      </w:r>
    </w:p>
    <w:p>
      <w:pPr>
        <w:spacing w:after="0" w:line="126" w:lineRule="exact"/>
        <w:rPr>
          <w:sz w:val="20"/>
          <w:szCs w:val="20"/>
          <w:color w:val="auto"/>
        </w:rPr>
      </w:pPr>
    </w:p>
    <w:p>
      <w:pPr>
        <w:jc w:val="both"/>
        <w:ind w:firstLine="448"/>
        <w:spacing w:after="0" w:line="285" w:lineRule="auto"/>
        <w:rPr>
          <w:sz w:val="20"/>
          <w:szCs w:val="20"/>
          <w:color w:val="auto"/>
        </w:rPr>
      </w:pPr>
      <w:r>
        <w:rPr>
          <w:rFonts w:ascii="Arial" w:cs="Arial" w:eastAsia="Arial" w:hAnsi="Arial"/>
          <w:sz w:val="19"/>
          <w:szCs w:val="19"/>
          <w:color w:val="auto"/>
        </w:rPr>
        <w:t>The Company, after the utilization of various state NOL carryforwards, paid $31 million in income taxes during the year ended December 31, 2023. The Company does not anticipate being subject to the corporate minimum tax on financial statement income as enacted by the recently passed the IRA, which is discussed in further detail below.</w:t>
      </w:r>
    </w:p>
    <w:p>
      <w:pPr>
        <w:spacing w:after="0" w:line="117"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20"/>
          <w:szCs w:val="20"/>
          <w:color w:val="auto"/>
        </w:rPr>
        <w:t>On February 9, 2022, the governor of California signed Senate Bill 113, or SB 113, removing the suspension of California NOL utilization for tax year 2022. After assessing the law change, the Company expects SB 113 to have an immaterial impact on the consolidated financial statements.</w:t>
      </w:r>
    </w:p>
    <w:p>
      <w:pPr>
        <w:spacing w:after="0" w:line="134" w:lineRule="exact"/>
        <w:rPr>
          <w:sz w:val="20"/>
          <w:szCs w:val="20"/>
          <w:color w:val="auto"/>
        </w:rPr>
      </w:pPr>
    </w:p>
    <w:p>
      <w:pPr>
        <w:jc w:val="both"/>
        <w:ind w:firstLine="448"/>
        <w:spacing w:after="0" w:line="271" w:lineRule="auto"/>
        <w:rPr>
          <w:sz w:val="20"/>
          <w:szCs w:val="20"/>
          <w:color w:val="auto"/>
        </w:rPr>
      </w:pPr>
      <w:r>
        <w:rPr>
          <w:rFonts w:ascii="Arial" w:cs="Arial" w:eastAsia="Arial" w:hAnsi="Arial"/>
          <w:sz w:val="19"/>
          <w:szCs w:val="19"/>
          <w:color w:val="auto"/>
        </w:rPr>
        <w:t>The IRA contains a number of revisions to the Internal Revenue Code, including a 15% corporate minimum income tax for certain taxpayers, a 1% excise tax on corporate stock repurchases in tax years beginning after December 31, 2022 and business tax credits and incentives for the development of clean energy projects and the production of clean energy. The Company continues to analyze the potential impact of the IRA and monitor guidance to be issued by the United States Department of the Treasury, but it does not anticipate the corporate minimum tax will apply to it or that the IRA will otherwise have a material impact on its consolidated financial statements.</w:t>
      </w:r>
    </w:p>
    <w:p>
      <w:pPr>
        <w:spacing w:after="0" w:line="132" w:lineRule="exact"/>
        <w:rPr>
          <w:sz w:val="20"/>
          <w:szCs w:val="20"/>
          <w:color w:val="auto"/>
        </w:rPr>
      </w:pPr>
    </w:p>
    <w:p>
      <w:pPr>
        <w:jc w:val="both"/>
        <w:ind w:firstLine="448"/>
        <w:spacing w:after="0" w:line="283" w:lineRule="auto"/>
        <w:rPr>
          <w:sz w:val="20"/>
          <w:szCs w:val="20"/>
          <w:color w:val="auto"/>
        </w:rPr>
      </w:pPr>
      <w:r>
        <w:rPr>
          <w:rFonts w:ascii="Arial" w:cs="Arial" w:eastAsia="Arial" w:hAnsi="Arial"/>
          <w:sz w:val="18"/>
          <w:szCs w:val="18"/>
          <w:color w:val="auto"/>
        </w:rPr>
        <w:t>The Company is subject to examination by taxing authorities for income tax returns filed in the U.S. federal and various state jurisdictions. All tax returns filed by the Company for the year ended December 31, 2013 and forward remain subject to audit. As of December 31, 2023, the U.S. federal partnership returns of three of the Company’s subsidiaries are under audit by the IRS. The IRS has issued proposed adjustments with respect to one of the subsidiaries under audit, which the Company believes that such proposed adjustments are without merit and would not impact the Company’s tax liability or the tax liability of such subsidiary. The IRS has not yet issued any proposed adjustments with respect to the other two subsidiaries under audit. The Company believes that the ultimate resolution of each of these audits will not be material to the Company’s financial condition, results of operations or liquidity. The Company believes that an adequate provision has been made for any adjustments that may result from tax examinations. The outcome of tax audits cannot be predicted with certainty and if any issues addressed in tax audits of the Company are resolved in a manner inconsistent with its expectations, the Company could be required to adjust its provision for income taxes in the period such resolution occurs.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Company has no material uncertain tax benefits.</w:t>
      </w:r>
    </w:p>
    <w:p>
      <w:pPr>
        <w:sectPr>
          <w:pgSz w:w="11880" w:h="15480" w:orient="portrait"/>
          <w:cols w:equalWidth="0" w:num="1">
            <w:col w:w="10200"/>
          </w:cols>
          <w:pgMar w:left="840" w:top="404"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ectPr>
          <w:pgSz w:w="11880" w:h="15480" w:orient="portrait"/>
          <w:cols w:equalWidth="0" w:num="1">
            <w:col w:w="10200"/>
          </w:cols>
          <w:pgMar w:left="840" w:top="404" w:right="840" w:bottom="0" w:gutter="0" w:footer="0" w:header="0"/>
          <w:type w:val="continuous"/>
        </w:sectPr>
      </w:pPr>
    </w:p>
    <w:bookmarkStart w:id="62" w:name="page63"/>
    <w:bookmarkEnd w:id="62"/>
    <w:p>
      <w:pPr>
        <w:ind w:left="40"/>
        <w:spacing w:after="0"/>
        <w:rPr>
          <w:sz w:val="20"/>
          <w:szCs w:val="20"/>
          <w:color w:val="auto"/>
        </w:rPr>
      </w:pPr>
      <w:r>
        <w:rPr>
          <w:rFonts w:ascii="Arial" w:cs="Arial" w:eastAsia="Arial" w:hAnsi="Arial"/>
          <w:sz w:val="20"/>
          <w:szCs w:val="20"/>
          <w:b w:val="1"/>
          <w:bCs w:val="1"/>
          <w:color w:val="auto"/>
        </w:rPr>
        <w:t>Fair Value of Derivative Instruments</w:t>
      </w:r>
    </w:p>
    <w:p>
      <w:pPr>
        <w:spacing w:after="0" w:line="175" w:lineRule="exact"/>
        <w:rPr>
          <w:sz w:val="20"/>
          <w:szCs w:val="20"/>
          <w:color w:val="auto"/>
        </w:rPr>
      </w:pPr>
    </w:p>
    <w:p>
      <w:pPr>
        <w:jc w:val="both"/>
        <w:ind w:left="40" w:right="60" w:firstLine="448"/>
        <w:spacing w:after="0" w:line="265" w:lineRule="auto"/>
        <w:rPr>
          <w:sz w:val="20"/>
          <w:szCs w:val="20"/>
          <w:color w:val="auto"/>
        </w:rPr>
      </w:pPr>
      <w:r>
        <w:rPr>
          <w:rFonts w:ascii="Arial" w:cs="Arial" w:eastAsia="Arial" w:hAnsi="Arial"/>
          <w:sz w:val="20"/>
          <w:szCs w:val="20"/>
          <w:color w:val="auto"/>
        </w:rPr>
        <w:t>The Company may enter into energy-related commodity contracts to mitigate variability in earnings due to fluctuations in spot market prices. In addition, in order to mitigate interest rate risk associated with the issuance of variable rate debt, the Company enters into interest rate swap agreements.</w:t>
      </w:r>
    </w:p>
    <w:p>
      <w:pPr>
        <w:spacing w:after="0" w:line="134" w:lineRule="exact"/>
        <w:rPr>
          <w:sz w:val="20"/>
          <w:szCs w:val="20"/>
          <w:color w:val="auto"/>
        </w:rPr>
      </w:pPr>
    </w:p>
    <w:p>
      <w:pPr>
        <w:jc w:val="both"/>
        <w:ind w:left="40" w:right="60" w:firstLine="448"/>
        <w:spacing w:after="0" w:line="273" w:lineRule="auto"/>
        <w:rPr>
          <w:sz w:val="20"/>
          <w:szCs w:val="20"/>
          <w:color w:val="auto"/>
        </w:rPr>
      </w:pPr>
      <w:r>
        <w:rPr>
          <w:rFonts w:ascii="Arial" w:cs="Arial" w:eastAsia="Arial" w:hAnsi="Arial"/>
          <w:sz w:val="19"/>
          <w:szCs w:val="19"/>
          <w:color w:val="auto"/>
        </w:rPr>
        <w:t xml:space="preserve">The tables below disclose the activities of non-exchange traded contracts accounted for at fair value in accordance with ASC 820. Specifically, these tables disaggregate realized and unrealized changes in fair value; disaggregate estimated fair values at December 31, 2023, based on their level within the fair value hierarchy defined in ASC 820; and indicate the maturities of contracts at December 31, 2023. For a full discussion of the Company’s valuation methodology of its contracts, see </w:t>
      </w:r>
      <w:r>
        <w:rPr>
          <w:rFonts w:ascii="Arial" w:cs="Arial" w:eastAsia="Arial" w:hAnsi="Arial"/>
          <w:sz w:val="19"/>
          <w:szCs w:val="19"/>
          <w:b w:val="1"/>
          <w:bCs w:val="1"/>
          <w:i w:val="1"/>
          <w:iCs w:val="1"/>
          <w:color w:val="auto"/>
        </w:rPr>
        <w:t>Derivative Fair Value Measurements</w:t>
      </w:r>
      <w:r>
        <w:rPr>
          <w:rFonts w:ascii="Arial" w:cs="Arial" w:eastAsia="Arial" w:hAnsi="Arial"/>
          <w:sz w:val="19"/>
          <w:szCs w:val="19"/>
          <w:color w:val="auto"/>
        </w:rPr>
        <w:t xml:space="preserve"> in Item 15 — Note 6, </w:t>
      </w:r>
      <w:r>
        <w:rPr>
          <w:rFonts w:ascii="Arial" w:cs="Arial" w:eastAsia="Arial" w:hAnsi="Arial"/>
          <w:sz w:val="19"/>
          <w:szCs w:val="19"/>
          <w:b w:val="1"/>
          <w:bCs w:val="1"/>
          <w:i w:val="1"/>
          <w:iCs w:val="1"/>
          <w:color w:val="auto"/>
        </w:rPr>
        <w:t>Fair Value of Financial Instruments</w:t>
      </w:r>
      <w:r>
        <w:rPr>
          <w:rFonts w:ascii="Arial" w:cs="Arial" w:eastAsia="Arial" w:hAnsi="Arial"/>
          <w:sz w:val="19"/>
          <w:szCs w:val="19"/>
          <w:color w:val="auto"/>
        </w:rPr>
        <w:t>.</w:t>
      </w:r>
    </w:p>
    <w:p>
      <w:pPr>
        <w:sectPr>
          <w:pgSz w:w="11880" w:h="15480" w:orient="portrait"/>
          <w:cols w:equalWidth="0" w:num="1">
            <w:col w:w="10300"/>
          </w:cols>
          <w:pgMar w:left="800" w:top="404" w:right="780" w:bottom="0" w:gutter="0" w:footer="0" w:header="0"/>
        </w:sectPr>
      </w:pPr>
    </w:p>
    <w:p>
      <w:pPr>
        <w:spacing w:after="0" w:line="160" w:lineRule="exact"/>
        <w:rPr>
          <w:sz w:val="20"/>
          <w:szCs w:val="20"/>
          <w:color w:val="auto"/>
        </w:rPr>
      </w:pPr>
    </w:p>
    <w:p>
      <w:pPr>
        <w:ind w:left="80"/>
        <w:spacing w:after="0"/>
        <w:rPr>
          <w:sz w:val="20"/>
          <w:szCs w:val="20"/>
          <w:color w:val="auto"/>
        </w:rPr>
      </w:pPr>
      <w:r>
        <w:rPr>
          <w:rFonts w:ascii="Arial" w:cs="Arial" w:eastAsia="Arial" w:hAnsi="Arial"/>
          <w:sz w:val="16"/>
          <w:szCs w:val="16"/>
          <w:b w:val="1"/>
          <w:bCs w:val="1"/>
          <w:u w:val="single" w:color="auto"/>
          <w:color w:val="auto"/>
        </w:rPr>
        <w:t>Derivative Activity (Losses)/Gains</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 xml:space="preserve">Fair value of contracts as of December 31, 2022 </w:t>
      </w:r>
      <w:r>
        <w:rPr>
          <w:rFonts w:ascii="Arial" w:cs="Arial" w:eastAsia="Arial" w:hAnsi="Arial"/>
          <w:sz w:val="17"/>
          <w:szCs w:val="17"/>
          <w:b w:val="1"/>
          <w:bCs w:val="1"/>
          <w:color w:val="BDBDBD"/>
        </w:rPr>
        <w:t>. . . . . . . . .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-121285</wp:posOffset>
            </wp:positionV>
            <wp:extent cx="6542405" cy="1739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71">
                      <a:extLst>
                        <a:ext uri="{28A0092B-C50C-407E-A947-70E740481C1C}"/>
                      </a:extLst>
                    </a:blip>
                    <a:srcRect/>
                    <a:stretch>
                      <a:fillRect/>
                    </a:stretch>
                  </pic:blipFill>
                  <pic:spPr bwMode="auto">
                    <a:xfrm>
                      <a:off x="0" y="0"/>
                      <a:ext cx="6542405" cy="173990"/>
                    </a:xfrm>
                    <a:prstGeom prst="rect">
                      <a:avLst/>
                    </a:prstGeom>
                    <a:noFill/>
                  </pic:spPr>
                </pic:pic>
              </a:graphicData>
            </a:graphic>
          </wp:anchor>
        </w:drawing>
      </w:r>
    </w:p>
    <w:p>
      <w:pPr>
        <w:spacing w:after="0" w:line="42"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 xml:space="preserve">Contracts realized or otherwise settled during the period </w:t>
      </w:r>
      <w:r>
        <w:rPr>
          <w:rFonts w:ascii="Arial" w:cs="Arial" w:eastAsia="Arial" w:hAnsi="Arial"/>
          <w:sz w:val="18"/>
          <w:szCs w:val="18"/>
          <w:color w:val="BDBDBD"/>
        </w:rPr>
        <w:t>. . . . . . . . . . . . . . . . . . . . . . . . . . . . . . . . . . . . . . . . . . . .</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Contracts acquired during the period </w:t>
      </w:r>
      <w:r>
        <w:rPr>
          <w:rFonts w:ascii="Arial" w:cs="Arial" w:eastAsia="Arial" w:hAnsi="Arial"/>
          <w:sz w:val="18"/>
          <w:szCs w:val="18"/>
          <w:color w:val="BDBDBD"/>
        </w:rPr>
        <w:t>. . . . . . . . . . . . . . . . . . . . . . . . . . . . . . . . . . . . . . . . . . . . . . . . . . . . . . . . . . .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22860</wp:posOffset>
                </wp:positionH>
                <wp:positionV relativeFrom="paragraph">
                  <wp:posOffset>-118745</wp:posOffset>
                </wp:positionV>
                <wp:extent cx="6529705" cy="160655"/>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29705" cy="160655"/>
                        </a:xfrm>
                        <a:prstGeom prst="rect">
                          <a:avLst/>
                        </a:prstGeom>
                        <a:solidFill>
                          <a:srgbClr val="E6E6E6"/>
                        </a:solidFill>
                      </wps:spPr>
                      <wps:bodyPr/>
                    </wps:wsp>
                  </a:graphicData>
                </a:graphic>
              </wp:anchor>
            </w:drawing>
          </mc:Choice>
          <mc:Fallback>
            <w:pict>
              <v:rect id="Shape 90" o:spid="_x0000_s1115" style="position:absolute;margin-left:1.8pt;margin-top:-9.3499pt;width:514.15pt;height:12.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Changes in fair value </w:t>
      </w:r>
      <w:r>
        <w:rPr>
          <w:rFonts w:ascii="Arial" w:cs="Arial" w:eastAsia="Arial" w:hAnsi="Arial"/>
          <w:sz w:val="18"/>
          <w:szCs w:val="18"/>
          <w:color w:val="BDBDBD"/>
        </w:rPr>
        <w:t>. . . . . . . . . . . . . . . . . . . . . . . . . . . . . . . . . . . . . . . . . . . . . . . . . . . . . . . . . . . . . . . . . . . . . . . .</w:t>
      </w:r>
    </w:p>
    <w:p>
      <w:pPr>
        <w:spacing w:after="0" w:line="4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 xml:space="preserve">Fair value of contracts as of December 31, 2023 </w:t>
      </w:r>
      <w:r>
        <w:rPr>
          <w:rFonts w:ascii="Arial" w:cs="Arial" w:eastAsia="Arial" w:hAnsi="Arial"/>
          <w:sz w:val="17"/>
          <w:szCs w:val="17"/>
          <w:b w:val="1"/>
          <w:bCs w:val="1"/>
          <w:color w:val="BDBDBD"/>
        </w:rPr>
        <w:t>. . . . . . . . .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-121285</wp:posOffset>
            </wp:positionV>
            <wp:extent cx="6542405" cy="1993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72">
                      <a:extLst>
                        <a:ext uri="{28A0092B-C50C-407E-A947-70E740481C1C}"/>
                      </a:extLst>
                    </a:blip>
                    <a:srcRect/>
                    <a:stretch>
                      <a:fillRect/>
                    </a:stretch>
                  </pic:blipFill>
                  <pic:spPr bwMode="auto">
                    <a:xfrm>
                      <a:off x="0" y="0"/>
                      <a:ext cx="6542405" cy="199390"/>
                    </a:xfrm>
                    <a:prstGeom prst="rect">
                      <a:avLst/>
                    </a:prstGeom>
                    <a:noFill/>
                  </pic:spPr>
                </pic:pic>
              </a:graphicData>
            </a:graphic>
          </wp:anchor>
        </w:drawing>
      </w:r>
    </w:p>
    <w:p>
      <w:pPr>
        <w:spacing w:after="0" w:line="366" w:lineRule="exact"/>
        <w:rPr>
          <w:sz w:val="20"/>
          <w:szCs w:val="20"/>
          <w:color w:val="auto"/>
        </w:rPr>
      </w:pPr>
    </w:p>
    <w:p>
      <w:pPr>
        <w:ind w:left="5780"/>
        <w:spacing w:after="0"/>
        <w:rPr>
          <w:sz w:val="20"/>
          <w:szCs w:val="20"/>
          <w:color w:val="auto"/>
        </w:rPr>
      </w:pPr>
      <w:r>
        <w:rPr>
          <w:rFonts w:ascii="Arial" w:cs="Arial" w:eastAsia="Arial" w:hAnsi="Arial"/>
          <w:sz w:val="15"/>
          <w:szCs w:val="15"/>
          <w:b w:val="1"/>
          <w:bCs w:val="1"/>
          <w:color w:val="auto"/>
        </w:rPr>
        <w:t>Fair value of contracts as of December 31,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2846705</wp:posOffset>
                </wp:positionH>
                <wp:positionV relativeFrom="paragraph">
                  <wp:posOffset>34290</wp:posOffset>
                </wp:positionV>
                <wp:extent cx="3686810"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681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4.15pt,2.7pt" to="514.45pt,2.7pt" o:allowincell="f" strokecolor="#000000" strokeweight="1pt"/>
            </w:pict>
          </mc:Fallback>
        </mc:AlternateConten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 millions)</w:t>
      </w:r>
    </w:p>
    <w:p>
      <w:pPr>
        <w:spacing w:after="0" w:line="24" w:lineRule="exact"/>
        <w:rPr>
          <w:sz w:val="20"/>
          <w:szCs w:val="20"/>
          <w:color w:val="auto"/>
        </w:rPr>
      </w:pPr>
    </w:p>
    <w:p>
      <w:pPr>
        <w:ind w:left="540" w:hanging="539"/>
        <w:spacing w:after="0"/>
        <w:tabs>
          <w:tab w:leader="none" w:pos="5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(264)</w:t>
      </w:r>
    </w:p>
    <w:p>
      <w:pPr>
        <w:spacing w:after="0" w:line="58" w:lineRule="exact"/>
        <w:rPr>
          <w:rFonts w:ascii="Arial" w:cs="Arial" w:eastAsia="Arial" w:hAnsi="Arial"/>
          <w:sz w:val="17"/>
          <w:szCs w:val="17"/>
          <w:color w:val="auto"/>
        </w:rPr>
      </w:pPr>
    </w:p>
    <w:p>
      <w:pPr>
        <w:ind w:left="700"/>
        <w:spacing w:after="0"/>
        <w:rPr>
          <w:rFonts w:ascii="Arial" w:cs="Arial" w:eastAsia="Arial" w:hAnsi="Arial"/>
          <w:sz w:val="17"/>
          <w:szCs w:val="17"/>
          <w:color w:val="auto"/>
        </w:rPr>
      </w:pPr>
      <w:r>
        <w:rPr>
          <w:rFonts w:ascii="Arial" w:cs="Arial" w:eastAsia="Arial" w:hAnsi="Arial"/>
          <w:sz w:val="20"/>
          <w:szCs w:val="20"/>
          <w:color w:val="auto"/>
        </w:rPr>
        <w:t>34</w:t>
      </w:r>
    </w:p>
    <w:p>
      <w:pPr>
        <w:spacing w:after="0" w:line="23" w:lineRule="exact"/>
        <w:rPr>
          <w:rFonts w:ascii="Arial" w:cs="Arial" w:eastAsia="Arial" w:hAnsi="Arial"/>
          <w:sz w:val="17"/>
          <w:szCs w:val="17"/>
          <w:color w:val="auto"/>
        </w:rPr>
      </w:pPr>
    </w:p>
    <w:p>
      <w:pPr>
        <w:ind w:left="700"/>
        <w:spacing w:after="0"/>
        <w:rPr>
          <w:rFonts w:ascii="Arial" w:cs="Arial" w:eastAsia="Arial" w:hAnsi="Arial"/>
          <w:sz w:val="17"/>
          <w:szCs w:val="17"/>
          <w:color w:val="auto"/>
        </w:rPr>
      </w:pPr>
      <w:r>
        <w:rPr>
          <w:rFonts w:ascii="Arial" w:cs="Arial" w:eastAsia="Arial" w:hAnsi="Arial"/>
          <w:sz w:val="20"/>
          <w:szCs w:val="20"/>
          <w:color w:val="auto"/>
        </w:rPr>
        <w:t>47</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(26)</w:t>
      </w:r>
    </w:p>
    <w:p>
      <w:pPr>
        <w:spacing w:after="0" w:line="24" w:lineRule="exact"/>
        <w:rPr>
          <w:sz w:val="20"/>
          <w:szCs w:val="20"/>
          <w:color w:val="auto"/>
        </w:rPr>
      </w:pPr>
    </w:p>
    <w:p>
      <w:pPr>
        <w:ind w:left="540" w:hanging="539"/>
        <w:spacing w:after="0"/>
        <w:tabs>
          <w:tab w:leader="none" w:pos="5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(209)</w:t>
      </w:r>
    </w:p>
    <w:p>
      <w:pPr>
        <w:spacing w:after="0" w:line="665" w:lineRule="exact"/>
        <w:rPr>
          <w:sz w:val="20"/>
          <w:szCs w:val="20"/>
          <w:color w:val="auto"/>
        </w:rPr>
      </w:pPr>
    </w:p>
    <w:p>
      <w:pPr>
        <w:sectPr>
          <w:pgSz w:w="11880" w:h="15480" w:orient="portrait"/>
          <w:cols w:equalWidth="0" w:num="2">
            <w:col w:w="9240" w:space="100"/>
            <w:col w:w="960"/>
          </w:cols>
          <w:pgMar w:left="800" w:top="404" w:right="780" w:bottom="0" w:gutter="0" w:footer="0" w:header="0"/>
          <w:type w:val="continuous"/>
        </w:sectPr>
      </w:pPr>
    </w:p>
    <w:tbl>
      <w:tblPr>
        <w:tblLayout w:type="fixed"/>
        <w:tblInd w:w="0" w:type="dxa"/>
        <w:tblCellMar>
          <w:top w:w="0" w:type="dxa"/>
          <w:left w:w="0" w:type="dxa"/>
          <w:bottom w:w="0" w:type="dxa"/>
          <w:right w:w="0" w:type="dxa"/>
        </w:tblCellMar>
      </w:tblPr>
      <w:tr>
        <w:trPr>
          <w:trHeight w:val="217"/>
        </w:trPr>
        <w:tc>
          <w:tcPr>
            <w:tcW w:w="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6"/>
                <w:szCs w:val="16"/>
                <w:b w:val="1"/>
                <w:bCs w:val="1"/>
                <w:color w:val="auto"/>
              </w:rPr>
              <w:t>Maturity</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183"/>
        </w:trPr>
        <w:tc>
          <w:tcPr>
            <w:tcW w:w="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center"/>
              <w:ind w:right="48"/>
              <w:spacing w:after="0"/>
              <w:rPr>
                <w:sz w:val="20"/>
                <w:szCs w:val="20"/>
                <w:color w:val="auto"/>
              </w:rPr>
            </w:pPr>
            <w:r>
              <w:rPr>
                <w:rFonts w:ascii="Arial" w:cs="Arial" w:eastAsia="Arial" w:hAnsi="Arial"/>
                <w:sz w:val="16"/>
                <w:szCs w:val="16"/>
                <w:b w:val="1"/>
                <w:bCs w:val="1"/>
                <w:color w:val="auto"/>
                <w:w w:val="94"/>
              </w:rPr>
              <w:t>Greater</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170"/>
              <w:spacing w:after="0"/>
              <w:rPr>
                <w:sz w:val="20"/>
                <w:szCs w:val="20"/>
                <w:color w:val="auto"/>
              </w:rPr>
            </w:pPr>
            <w:r>
              <w:rPr>
                <w:rFonts w:ascii="Arial" w:cs="Arial" w:eastAsia="Arial" w:hAnsi="Arial"/>
                <w:sz w:val="16"/>
                <w:szCs w:val="16"/>
                <w:b w:val="1"/>
                <w:bCs w:val="1"/>
                <w:color w:val="auto"/>
              </w:rPr>
              <w:t>Greater</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1"/>
        </w:trPr>
        <w:tc>
          <w:tcPr>
            <w:tcW w:w="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Than 1 Year</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gridSpan w:val="2"/>
          </w:tcPr>
          <w:p>
            <w:pPr>
              <w:ind w:left="40"/>
              <w:spacing w:after="0"/>
              <w:rPr>
                <w:sz w:val="20"/>
                <w:szCs w:val="20"/>
                <w:color w:val="auto"/>
              </w:rPr>
            </w:pPr>
            <w:r>
              <w:rPr>
                <w:rFonts w:ascii="Arial" w:cs="Arial" w:eastAsia="Arial" w:hAnsi="Arial"/>
                <w:sz w:val="16"/>
                <w:szCs w:val="16"/>
                <w:b w:val="1"/>
                <w:bCs w:val="1"/>
                <w:color w:val="auto"/>
                <w:w w:val="96"/>
              </w:rPr>
              <w:t>Than 3 Years</w:t>
            </w:r>
          </w:p>
        </w:tc>
        <w:tc>
          <w:tcPr>
            <w:tcW w:w="10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Arial" w:cs="Arial" w:eastAsia="Arial" w:hAnsi="Arial"/>
                <w:sz w:val="16"/>
                <w:szCs w:val="16"/>
                <w:b w:val="1"/>
                <w:bCs w:val="1"/>
                <w:color w:val="auto"/>
                <w:w w:val="97"/>
              </w:rPr>
              <w:t>Greater Than 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Arial" w:cs="Arial" w:eastAsia="Arial" w:hAnsi="Arial"/>
                <w:sz w:val="16"/>
                <w:szCs w:val="16"/>
                <w:b w:val="1"/>
                <w:bCs w:val="1"/>
                <w:color w:val="auto"/>
                <w:w w:val="94"/>
              </w:rPr>
              <w:t>Total Fair</w:t>
            </w:r>
          </w:p>
        </w:tc>
      </w:tr>
      <w:tr>
        <w:trPr>
          <w:trHeight w:val="177"/>
        </w:trPr>
        <w:tc>
          <w:tcPr>
            <w:tcW w:w="4500" w:type="dxa"/>
            <w:vAlign w:val="bottom"/>
            <w:gridSpan w:val="4"/>
          </w:tcPr>
          <w:p>
            <w:pPr>
              <w:ind w:left="40"/>
              <w:spacing w:after="0" w:line="177" w:lineRule="exact"/>
              <w:rPr>
                <w:sz w:val="20"/>
                <w:szCs w:val="20"/>
                <w:color w:val="auto"/>
              </w:rPr>
            </w:pPr>
            <w:r>
              <w:rPr>
                <w:rFonts w:ascii="Arial" w:cs="Arial" w:eastAsia="Arial" w:hAnsi="Arial"/>
                <w:sz w:val="16"/>
                <w:szCs w:val="16"/>
                <w:b w:val="1"/>
                <w:bCs w:val="1"/>
                <w:color w:val="auto"/>
              </w:rPr>
              <w:t>Fair Value Hierarchy Losses</w:t>
            </w:r>
          </w:p>
        </w:tc>
        <w:tc>
          <w:tcPr>
            <w:tcW w:w="1100" w:type="dxa"/>
            <w:vAlign w:val="bottom"/>
            <w:gridSpan w:val="2"/>
          </w:tcPr>
          <w:p>
            <w:pPr>
              <w:ind w:left="60"/>
              <w:spacing w:after="0" w:line="177" w:lineRule="exact"/>
              <w:rPr>
                <w:sz w:val="20"/>
                <w:szCs w:val="20"/>
                <w:color w:val="auto"/>
              </w:rPr>
            </w:pPr>
            <w:r>
              <w:rPr>
                <w:rFonts w:ascii="Arial" w:cs="Arial" w:eastAsia="Arial" w:hAnsi="Arial"/>
                <w:sz w:val="16"/>
                <w:szCs w:val="16"/>
                <w:b w:val="1"/>
                <w:bCs w:val="1"/>
                <w:color w:val="auto"/>
                <w:w w:val="93"/>
              </w:rPr>
              <w:t>1 Year or Less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center"/>
              <w:ind w:right="68"/>
              <w:spacing w:after="0" w:line="177" w:lineRule="exact"/>
              <w:rPr>
                <w:sz w:val="20"/>
                <w:szCs w:val="20"/>
                <w:color w:val="auto"/>
              </w:rPr>
            </w:pPr>
            <w:r>
              <w:rPr>
                <w:rFonts w:ascii="Arial" w:cs="Arial" w:eastAsia="Arial" w:hAnsi="Arial"/>
                <w:sz w:val="16"/>
                <w:szCs w:val="16"/>
                <w:b w:val="1"/>
                <w:bCs w:val="1"/>
                <w:color w:val="auto"/>
                <w:w w:val="88"/>
              </w:rPr>
              <w:t>to 3 Years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90"/>
              <w:spacing w:after="0" w:line="177" w:lineRule="exact"/>
              <w:rPr>
                <w:sz w:val="20"/>
                <w:szCs w:val="20"/>
                <w:color w:val="auto"/>
              </w:rPr>
            </w:pPr>
            <w:r>
              <w:rPr>
                <w:rFonts w:ascii="Arial" w:cs="Arial" w:eastAsia="Arial" w:hAnsi="Arial"/>
                <w:sz w:val="16"/>
                <w:szCs w:val="16"/>
                <w:b w:val="1"/>
                <w:bCs w:val="1"/>
                <w:color w:val="auto"/>
                <w:w w:val="88"/>
              </w:rPr>
              <w:t>to 5 Years</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305"/>
              <w:spacing w:after="0" w:line="177" w:lineRule="exact"/>
              <w:rPr>
                <w:sz w:val="20"/>
                <w:szCs w:val="20"/>
                <w:color w:val="auto"/>
              </w:rPr>
            </w:pPr>
            <w:r>
              <w:rPr>
                <w:rFonts w:ascii="Arial" w:cs="Arial" w:eastAsia="Arial" w:hAnsi="Arial"/>
                <w:sz w:val="16"/>
                <w:szCs w:val="16"/>
                <w:b w:val="1"/>
                <w:bCs w:val="1"/>
                <w:color w:val="auto"/>
              </w:rPr>
              <w:t>Years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208"/>
              <w:spacing w:after="0" w:line="177" w:lineRule="exact"/>
              <w:rPr>
                <w:sz w:val="20"/>
                <w:szCs w:val="20"/>
                <w:color w:val="auto"/>
              </w:rPr>
            </w:pPr>
            <w:r>
              <w:rPr>
                <w:rFonts w:ascii="Arial" w:cs="Arial" w:eastAsia="Arial" w:hAnsi="Arial"/>
                <w:sz w:val="16"/>
                <w:szCs w:val="16"/>
                <w:b w:val="1"/>
                <w:bCs w:val="1"/>
                <w:color w:val="auto"/>
              </w:rPr>
              <w:t>Value</w:t>
            </w:r>
          </w:p>
        </w:tc>
      </w:tr>
      <w:tr>
        <w:trPr>
          <w:trHeight w:val="21"/>
        </w:trPr>
        <w:tc>
          <w:tcPr>
            <w:tcW w:w="40" w:type="dxa"/>
            <w:vAlign w:val="bottom"/>
          </w:tcPr>
          <w:p>
            <w:pPr>
              <w:spacing w:after="0" w:line="20" w:lineRule="exact"/>
              <w:rPr>
                <w:sz w:val="1"/>
                <w:szCs w:val="1"/>
                <w:color w:val="auto"/>
              </w:rPr>
            </w:pPr>
          </w:p>
        </w:tc>
        <w:tc>
          <w:tcPr>
            <w:tcW w:w="1960" w:type="dxa"/>
            <w:vAlign w:val="bottom"/>
            <w:tcBorders>
              <w:top w:val="single" w:sz="8" w:color="auto"/>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6"/>
        </w:trPr>
        <w:tc>
          <w:tcPr>
            <w:tcW w:w="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62"/>
        </w:trPr>
        <w:tc>
          <w:tcPr>
            <w:tcW w:w="4500" w:type="dxa"/>
            <w:vAlign w:val="bottom"/>
            <w:gridSpan w:val="4"/>
            <w:shd w:val="clear" w:color="auto" w:fill="E6E6E6"/>
          </w:tcPr>
          <w:p>
            <w:pPr>
              <w:ind w:left="40"/>
              <w:spacing w:after="0"/>
              <w:rPr>
                <w:sz w:val="20"/>
                <w:szCs w:val="20"/>
                <w:color w:val="auto"/>
              </w:rPr>
            </w:pPr>
            <w:r>
              <w:rPr>
                <w:rFonts w:ascii="Arial" w:cs="Arial" w:eastAsia="Arial" w:hAnsi="Arial"/>
                <w:sz w:val="20"/>
                <w:szCs w:val="20"/>
                <w:color w:val="auto"/>
                <w:w w:val="91"/>
              </w:rPr>
              <w:t xml:space="preserve">Level 2 </w:t>
            </w:r>
            <w:r>
              <w:rPr>
                <w:rFonts w:ascii="Arial" w:cs="Arial" w:eastAsia="Arial" w:hAnsi="Arial"/>
                <w:sz w:val="20"/>
                <w:szCs w:val="20"/>
                <w:color w:val="BDBDBD"/>
                <w:w w:val="91"/>
              </w:rPr>
              <w:t>. . . . . . . . . . . . . . . . . . . . . . . . . . . . . . . . . . . . . .</w:t>
            </w:r>
          </w:p>
        </w:tc>
        <w:tc>
          <w:tcPr>
            <w:tcW w:w="440" w:type="dxa"/>
            <w:vAlign w:val="bottom"/>
            <w:shd w:val="clear" w:color="auto" w:fill="E6E6E6"/>
          </w:tcPr>
          <w:p>
            <w:pPr>
              <w:ind w:left="40"/>
              <w:spacing w:after="0"/>
              <w:rPr>
                <w:sz w:val="20"/>
                <w:szCs w:val="20"/>
                <w:color w:val="auto"/>
              </w:rPr>
            </w:pPr>
            <w:r>
              <w:rPr>
                <w:rFonts w:ascii="Arial" w:cs="Arial" w:eastAsia="Arial" w:hAnsi="Arial"/>
                <w:sz w:val="20"/>
                <w:szCs w:val="20"/>
                <w:color w:val="auto"/>
              </w:rPr>
              <w:t>$</w:t>
            </w:r>
          </w:p>
        </w:tc>
        <w:tc>
          <w:tcPr>
            <w:tcW w:w="6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41</w:t>
            </w:r>
          </w:p>
        </w:tc>
        <w:tc>
          <w:tcPr>
            <w:tcW w:w="26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25</w:t>
            </w:r>
          </w:p>
        </w:tc>
        <w:tc>
          <w:tcPr>
            <w:tcW w:w="260" w:type="dxa"/>
            <w:vAlign w:val="bottom"/>
            <w:gridSpan w:val="3"/>
            <w:shd w:val="clear" w:color="auto" w:fill="E6E6E6"/>
          </w:tcPr>
          <w:p>
            <w:pPr>
              <w:ind w:left="160"/>
              <w:spacing w:after="0"/>
              <w:rPr>
                <w:sz w:val="20"/>
                <w:szCs w:val="20"/>
                <w:color w:val="auto"/>
              </w:rPr>
            </w:pPr>
            <w:r>
              <w:rPr>
                <w:rFonts w:ascii="Arial" w:cs="Arial" w:eastAsia="Arial" w:hAnsi="Arial"/>
                <w:sz w:val="20"/>
                <w:szCs w:val="20"/>
                <w:color w:val="auto"/>
                <w:w w:val="71"/>
              </w:rPr>
              <w:t>$</w:t>
            </w:r>
          </w:p>
        </w:tc>
        <w:tc>
          <w:tcPr>
            <w:tcW w:w="8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41</w:t>
            </w:r>
          </w:p>
        </w:tc>
        <w:tc>
          <w:tcPr>
            <w:tcW w:w="360" w:type="dxa"/>
            <w:vAlign w:val="bottom"/>
            <w:gridSpan w:val="2"/>
            <w:shd w:val="clear" w:color="auto" w:fill="E6E6E6"/>
          </w:tcPr>
          <w:p>
            <w:pPr>
              <w:ind w:left="140"/>
              <w:spacing w:after="0"/>
              <w:rPr>
                <w:sz w:val="20"/>
                <w:szCs w:val="20"/>
                <w:color w:val="auto"/>
              </w:rPr>
            </w:pPr>
            <w:r>
              <w:rPr>
                <w:rFonts w:ascii="Arial" w:cs="Arial" w:eastAsia="Arial" w:hAnsi="Arial"/>
                <w:sz w:val="20"/>
                <w:szCs w:val="20"/>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14</w:t>
            </w:r>
          </w:p>
        </w:tc>
        <w:tc>
          <w:tcPr>
            <w:tcW w:w="26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121</w:t>
            </w:r>
          </w:p>
        </w:tc>
      </w:tr>
      <w:tr>
        <w:trPr>
          <w:trHeight w:val="244"/>
        </w:trPr>
        <w:tc>
          <w:tcPr>
            <w:tcW w:w="4500" w:type="dxa"/>
            <w:vAlign w:val="bottom"/>
            <w:tcBorders>
              <w:bottom w:val="single" w:sz="8" w:color="E6E6E6"/>
            </w:tcBorders>
            <w:gridSpan w:val="4"/>
          </w:tcPr>
          <w:p>
            <w:pPr>
              <w:ind w:left="40"/>
              <w:spacing w:after="0"/>
              <w:rPr>
                <w:sz w:val="20"/>
                <w:szCs w:val="20"/>
                <w:color w:val="auto"/>
              </w:rPr>
            </w:pPr>
            <w:r>
              <w:rPr>
                <w:rFonts w:ascii="Arial" w:cs="Arial" w:eastAsia="Arial" w:hAnsi="Arial"/>
                <w:sz w:val="20"/>
                <w:szCs w:val="20"/>
                <w:color w:val="auto"/>
                <w:w w:val="91"/>
              </w:rPr>
              <w:t xml:space="preserve">Level 3 </w:t>
            </w:r>
            <w:r>
              <w:rPr>
                <w:rFonts w:ascii="Arial" w:cs="Arial" w:eastAsia="Arial" w:hAnsi="Arial"/>
                <w:sz w:val="20"/>
                <w:szCs w:val="20"/>
                <w:color w:val="BDBDBD"/>
                <w:w w:val="91"/>
              </w:rPr>
              <w:t>. . . . . . . . . . . . . . . . . . . . . . . . . . . . . . . . . . . . . .</w:t>
            </w:r>
          </w:p>
        </w:tc>
        <w:tc>
          <w:tcPr>
            <w:tcW w:w="4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w:t>
            </w:r>
          </w:p>
        </w:tc>
        <w:tc>
          <w:tcPr>
            <w:tcW w:w="100" w:type="dxa"/>
            <w:vAlign w:val="bottom"/>
            <w:tcBorders>
              <w:bottom w:val="single" w:sz="8" w:color="E6E6E6"/>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(97)</w:t>
            </w:r>
          </w:p>
        </w:tc>
        <w:tc>
          <w:tcPr>
            <w:tcW w:w="100" w:type="dxa"/>
            <w:vAlign w:val="bottom"/>
            <w:tcBorders>
              <w:bottom w:val="single" w:sz="8" w:color="E6E6E6"/>
            </w:tcBorders>
          </w:tcPr>
          <w:p>
            <w:pPr>
              <w:spacing w:after="0"/>
              <w:rPr>
                <w:sz w:val="21"/>
                <w:szCs w:val="21"/>
                <w:color w:val="auto"/>
              </w:rPr>
            </w:pPr>
          </w:p>
        </w:tc>
        <w:tc>
          <w:tcPr>
            <w:tcW w:w="20" w:type="dxa"/>
            <w:vAlign w:val="bottom"/>
            <w:tcBorders>
              <w:bottom w:val="single" w:sz="8" w:color="E6E6E6"/>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(85)</w:t>
            </w:r>
          </w:p>
        </w:tc>
        <w:tc>
          <w:tcPr>
            <w:tcW w:w="100" w:type="dxa"/>
            <w:vAlign w:val="bottom"/>
            <w:tcBorders>
              <w:bottom w:val="single" w:sz="8" w:color="E6E6E6"/>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(97)</w:t>
            </w:r>
          </w:p>
        </w:tc>
        <w:tc>
          <w:tcPr>
            <w:tcW w:w="100" w:type="dxa"/>
            <w:vAlign w:val="bottom"/>
            <w:tcBorders>
              <w:bottom w:val="single" w:sz="8" w:color="E6E6E6"/>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(330)</w:t>
            </w:r>
          </w:p>
        </w:tc>
      </w:tr>
      <w:tr>
        <w:trPr>
          <w:trHeight w:val="254"/>
        </w:trPr>
        <w:tc>
          <w:tcPr>
            <w:tcW w:w="40" w:type="dxa"/>
            <w:vAlign w:val="bottom"/>
            <w:tcBorders>
              <w:bottom w:val="single" w:sz="8" w:color="E6E6E6"/>
            </w:tcBorders>
            <w:shd w:val="clear" w:color="auto" w:fill="E6E6E6"/>
          </w:tcPr>
          <w:p>
            <w:pPr>
              <w:spacing w:after="0"/>
              <w:rPr>
                <w:sz w:val="22"/>
                <w:szCs w:val="22"/>
                <w:color w:val="auto"/>
              </w:rPr>
            </w:pPr>
          </w:p>
        </w:tc>
        <w:tc>
          <w:tcPr>
            <w:tcW w:w="4440" w:type="dxa"/>
            <w:vAlign w:val="bottom"/>
            <w:tcBorders>
              <w:bottom w:val="single" w:sz="8" w:color="E6E6E6"/>
            </w:tcBorders>
            <w:gridSpan w:val="2"/>
            <w:shd w:val="clear" w:color="auto" w:fill="E6E6E6"/>
          </w:tcPr>
          <w:p>
            <w:pPr>
              <w:ind w:left="220"/>
              <w:spacing w:after="0" w:line="214" w:lineRule="exact"/>
              <w:rPr>
                <w:sz w:val="20"/>
                <w:szCs w:val="20"/>
                <w:color w:val="auto"/>
              </w:rPr>
            </w:pPr>
            <w:r>
              <w:rPr>
                <w:rFonts w:ascii="Arial" w:cs="Arial" w:eastAsia="Arial" w:hAnsi="Arial"/>
                <w:sz w:val="20"/>
                <w:szCs w:val="20"/>
                <w:color w:val="auto"/>
              </w:rPr>
              <w:t>Total</w:t>
            </w:r>
          </w:p>
        </w:tc>
        <w:tc>
          <w:tcPr>
            <w:tcW w:w="20" w:type="dxa"/>
            <w:vAlign w:val="bottom"/>
            <w:tcBorders>
              <w:bottom w:val="single" w:sz="8" w:color="auto"/>
            </w:tcBorders>
            <w:shd w:val="clear" w:color="auto" w:fill="E6E6E6"/>
          </w:tcPr>
          <w:p>
            <w:pPr>
              <w:spacing w:after="0"/>
              <w:rPr>
                <w:sz w:val="22"/>
                <w:szCs w:val="22"/>
                <w:color w:val="auto"/>
              </w:rPr>
            </w:pPr>
          </w:p>
        </w:tc>
        <w:tc>
          <w:tcPr>
            <w:tcW w:w="440" w:type="dxa"/>
            <w:vAlign w:val="bottom"/>
            <w:tcBorders>
              <w:bottom w:val="single" w:sz="8" w:color="auto"/>
            </w:tcBorders>
            <w:shd w:val="clear" w:color="auto" w:fill="E6E6E6"/>
          </w:tcPr>
          <w:p>
            <w:pPr>
              <w:ind w:left="40"/>
              <w:spacing w:after="0" w:line="214" w:lineRule="exact"/>
              <w:rPr>
                <w:sz w:val="20"/>
                <w:szCs w:val="20"/>
                <w:color w:val="auto"/>
              </w:rPr>
            </w:pPr>
            <w:r>
              <w:rPr>
                <w:rFonts w:ascii="Arial" w:cs="Arial" w:eastAsia="Arial" w:hAnsi="Arial"/>
                <w:sz w:val="20"/>
                <w:szCs w:val="20"/>
                <w:color w:val="auto"/>
              </w:rPr>
              <w:t>$</w:t>
            </w:r>
          </w:p>
        </w:tc>
        <w:tc>
          <w:tcPr>
            <w:tcW w:w="660" w:type="dxa"/>
            <w:vAlign w:val="bottom"/>
            <w:tcBorders>
              <w:bottom w:val="single" w:sz="8" w:color="auto"/>
            </w:tcBorders>
            <w:shd w:val="clear" w:color="auto" w:fill="E6E6E6"/>
          </w:tcPr>
          <w:p>
            <w:pPr>
              <w:jc w:val="right"/>
              <w:spacing w:after="0" w:line="214" w:lineRule="exact"/>
              <w:rPr>
                <w:sz w:val="20"/>
                <w:szCs w:val="20"/>
                <w:color w:val="auto"/>
              </w:rPr>
            </w:pPr>
            <w:r>
              <w:rPr>
                <w:rFonts w:ascii="Arial" w:cs="Arial" w:eastAsia="Arial" w:hAnsi="Arial"/>
                <w:sz w:val="20"/>
                <w:szCs w:val="20"/>
                <w:color w:val="auto"/>
              </w:rPr>
              <w:t>(10)</w:t>
            </w:r>
          </w:p>
        </w:tc>
        <w:tc>
          <w:tcPr>
            <w:tcW w:w="100" w:type="dxa"/>
            <w:vAlign w:val="bottom"/>
            <w:tcBorders>
              <w:bottom w:val="single" w:sz="8" w:color="E6E6E6"/>
            </w:tcBorders>
            <w:shd w:val="clear" w:color="auto" w:fill="E6E6E6"/>
          </w:tcPr>
          <w:p>
            <w:pPr>
              <w:spacing w:after="0"/>
              <w:rPr>
                <w:sz w:val="22"/>
                <w:szCs w:val="22"/>
                <w:color w:val="auto"/>
              </w:rPr>
            </w:pPr>
          </w:p>
        </w:tc>
        <w:tc>
          <w:tcPr>
            <w:tcW w:w="160" w:type="dxa"/>
            <w:vAlign w:val="bottom"/>
            <w:tcBorders>
              <w:bottom w:val="single" w:sz="8" w:color="auto"/>
            </w:tcBorders>
            <w:shd w:val="clear" w:color="auto" w:fill="E6E6E6"/>
          </w:tcPr>
          <w:p>
            <w:pPr>
              <w:jc w:val="right"/>
              <w:spacing w:after="0" w:line="214" w:lineRule="exact"/>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shd w:val="clear" w:color="auto" w:fill="E6E6E6"/>
          </w:tcPr>
          <w:p>
            <w:pPr>
              <w:jc w:val="right"/>
              <w:spacing w:after="0" w:line="214" w:lineRule="exact"/>
              <w:rPr>
                <w:sz w:val="20"/>
                <w:szCs w:val="20"/>
                <w:color w:val="auto"/>
              </w:rPr>
            </w:pPr>
            <w:r>
              <w:rPr>
                <w:rFonts w:ascii="Arial" w:cs="Arial" w:eastAsia="Arial" w:hAnsi="Arial"/>
                <w:sz w:val="20"/>
                <w:szCs w:val="20"/>
                <w:color w:val="auto"/>
              </w:rPr>
              <w:t>(72)</w:t>
            </w:r>
          </w:p>
        </w:tc>
        <w:tc>
          <w:tcPr>
            <w:tcW w:w="10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auto"/>
            </w:tcBorders>
            <w:shd w:val="clear" w:color="auto" w:fill="E6E6E6"/>
          </w:tcPr>
          <w:p>
            <w:pPr>
              <w:spacing w:after="0"/>
              <w:rPr>
                <w:sz w:val="22"/>
                <w:szCs w:val="22"/>
                <w:color w:val="auto"/>
              </w:rPr>
            </w:pPr>
          </w:p>
        </w:tc>
        <w:tc>
          <w:tcPr>
            <w:tcW w:w="140" w:type="dxa"/>
            <w:vAlign w:val="bottom"/>
            <w:tcBorders>
              <w:bottom w:val="single" w:sz="8" w:color="auto"/>
            </w:tcBorders>
            <w:shd w:val="clear" w:color="auto" w:fill="E6E6E6"/>
          </w:tcPr>
          <w:p>
            <w:pPr>
              <w:ind w:left="40"/>
              <w:spacing w:after="0" w:line="214" w:lineRule="exact"/>
              <w:rPr>
                <w:sz w:val="20"/>
                <w:szCs w:val="20"/>
                <w:color w:val="auto"/>
              </w:rPr>
            </w:pPr>
            <w:r>
              <w:rPr>
                <w:rFonts w:ascii="Arial" w:cs="Arial" w:eastAsia="Arial" w:hAnsi="Arial"/>
                <w:sz w:val="20"/>
                <w:szCs w:val="20"/>
                <w:color w:val="auto"/>
                <w:w w:val="71"/>
              </w:rPr>
              <w:t>$</w:t>
            </w:r>
          </w:p>
        </w:tc>
        <w:tc>
          <w:tcPr>
            <w:tcW w:w="880" w:type="dxa"/>
            <w:vAlign w:val="bottom"/>
            <w:tcBorders>
              <w:bottom w:val="single" w:sz="8" w:color="auto"/>
            </w:tcBorders>
            <w:shd w:val="clear" w:color="auto" w:fill="E6E6E6"/>
          </w:tcPr>
          <w:p>
            <w:pPr>
              <w:jc w:val="right"/>
              <w:spacing w:after="0" w:line="214" w:lineRule="exact"/>
              <w:rPr>
                <w:sz w:val="20"/>
                <w:szCs w:val="20"/>
                <w:color w:val="auto"/>
              </w:rPr>
            </w:pPr>
            <w:r>
              <w:rPr>
                <w:rFonts w:ascii="Arial" w:cs="Arial" w:eastAsia="Arial" w:hAnsi="Arial"/>
                <w:sz w:val="20"/>
                <w:szCs w:val="20"/>
                <w:color w:val="auto"/>
              </w:rPr>
              <w:t>(44)</w:t>
            </w:r>
          </w:p>
        </w:tc>
        <w:tc>
          <w:tcPr>
            <w:tcW w:w="100" w:type="dxa"/>
            <w:vAlign w:val="bottom"/>
            <w:tcBorders>
              <w:bottom w:val="single" w:sz="8" w:color="E6E6E6"/>
            </w:tcBorders>
            <w:shd w:val="clear" w:color="auto" w:fill="E6E6E6"/>
          </w:tcPr>
          <w:p>
            <w:pPr>
              <w:spacing w:after="0"/>
              <w:rPr>
                <w:sz w:val="22"/>
                <w:szCs w:val="22"/>
                <w:color w:val="auto"/>
              </w:rPr>
            </w:pPr>
          </w:p>
        </w:tc>
        <w:tc>
          <w:tcPr>
            <w:tcW w:w="260" w:type="dxa"/>
            <w:vAlign w:val="bottom"/>
            <w:tcBorders>
              <w:bottom w:val="single" w:sz="8" w:color="auto"/>
            </w:tcBorders>
            <w:shd w:val="clear" w:color="auto" w:fill="E6E6E6"/>
          </w:tcPr>
          <w:p>
            <w:pPr>
              <w:ind w:left="40"/>
              <w:spacing w:after="0" w:line="214" w:lineRule="exact"/>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shd w:val="clear" w:color="auto" w:fill="E6E6E6"/>
          </w:tcPr>
          <w:p>
            <w:pPr>
              <w:jc w:val="right"/>
              <w:spacing w:after="0" w:line="214" w:lineRule="exact"/>
              <w:rPr>
                <w:sz w:val="20"/>
                <w:szCs w:val="20"/>
                <w:color w:val="auto"/>
              </w:rPr>
            </w:pPr>
            <w:r>
              <w:rPr>
                <w:rFonts w:ascii="Arial" w:cs="Arial" w:eastAsia="Arial" w:hAnsi="Arial"/>
                <w:sz w:val="20"/>
                <w:szCs w:val="20"/>
                <w:color w:val="auto"/>
              </w:rPr>
              <w:t>(83)</w:t>
            </w:r>
          </w:p>
        </w:tc>
        <w:tc>
          <w:tcPr>
            <w:tcW w:w="100" w:type="dxa"/>
            <w:vAlign w:val="bottom"/>
            <w:tcBorders>
              <w:bottom w:val="single" w:sz="8" w:color="E6E6E6"/>
            </w:tcBorders>
            <w:shd w:val="clear" w:color="auto" w:fill="E6E6E6"/>
          </w:tcPr>
          <w:p>
            <w:pPr>
              <w:spacing w:after="0"/>
              <w:rPr>
                <w:sz w:val="22"/>
                <w:szCs w:val="22"/>
                <w:color w:val="auto"/>
              </w:rPr>
            </w:pPr>
          </w:p>
        </w:tc>
        <w:tc>
          <w:tcPr>
            <w:tcW w:w="160" w:type="dxa"/>
            <w:vAlign w:val="bottom"/>
            <w:tcBorders>
              <w:bottom w:val="single" w:sz="8" w:color="auto"/>
            </w:tcBorders>
            <w:shd w:val="clear" w:color="auto" w:fill="E6E6E6"/>
          </w:tcPr>
          <w:p>
            <w:pPr>
              <w:jc w:val="right"/>
              <w:spacing w:after="0" w:line="214" w:lineRule="exact"/>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shd w:val="clear" w:color="auto" w:fill="E6E6E6"/>
          </w:tcPr>
          <w:p>
            <w:pPr>
              <w:jc w:val="right"/>
              <w:spacing w:after="0" w:line="214" w:lineRule="exact"/>
              <w:rPr>
                <w:sz w:val="20"/>
                <w:szCs w:val="20"/>
                <w:color w:val="auto"/>
              </w:rPr>
            </w:pPr>
            <w:r>
              <w:rPr>
                <w:rFonts w:ascii="Arial" w:cs="Arial" w:eastAsia="Arial" w:hAnsi="Arial"/>
                <w:sz w:val="20"/>
                <w:szCs w:val="20"/>
                <w:color w:val="auto"/>
              </w:rPr>
              <w:t>(209)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-192405</wp:posOffset>
            </wp:positionV>
            <wp:extent cx="371221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73">
                      <a:extLst>
                        <a:ext uri="{28A0092B-C50C-407E-A947-70E740481C1C}"/>
                      </a:extLst>
                    </a:blip>
                    <a:srcRect/>
                    <a:stretch>
                      <a:fillRect/>
                    </a:stretch>
                  </pic:blipFill>
                  <pic:spPr bwMode="auto">
                    <a:xfrm>
                      <a:off x="0" y="0"/>
                      <a:ext cx="3712210" cy="2540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-43815</wp:posOffset>
            </wp:positionV>
            <wp:extent cx="3712210" cy="508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74">
                      <a:extLst>
                        <a:ext uri="{28A0092B-C50C-407E-A947-70E740481C1C}"/>
                      </a:extLst>
                    </a:blip>
                    <a:srcRect/>
                    <a:stretch>
                      <a:fillRect/>
                    </a:stretch>
                  </pic:blipFill>
                  <pic:spPr bwMode="auto">
                    <a:xfrm>
                      <a:off x="0" y="0"/>
                      <a:ext cx="3712210" cy="50800"/>
                    </a:xfrm>
                    <a:prstGeom prst="rect">
                      <a:avLst/>
                    </a:prstGeom>
                    <a:noFill/>
                  </pic:spPr>
                </pic:pic>
              </a:graphicData>
            </a:graphic>
          </wp:anchor>
        </w:drawing>
      </w:r>
    </w:p>
    <w:p>
      <w:pPr>
        <w:spacing w:after="0" w:line="166" w:lineRule="exact"/>
        <w:rPr>
          <w:sz w:val="20"/>
          <w:szCs w:val="20"/>
          <w:color w:val="auto"/>
        </w:rPr>
      </w:pPr>
    </w:p>
    <w:p>
      <w:pPr>
        <w:jc w:val="both"/>
        <w:ind w:left="40" w:right="60" w:firstLine="448"/>
        <w:spacing w:after="0" w:line="280" w:lineRule="auto"/>
        <w:rPr>
          <w:sz w:val="20"/>
          <w:szCs w:val="20"/>
          <w:color w:val="auto"/>
        </w:rPr>
      </w:pPr>
      <w:r>
        <w:rPr>
          <w:rFonts w:ascii="Arial" w:cs="Arial" w:eastAsia="Arial" w:hAnsi="Arial"/>
          <w:sz w:val="20"/>
          <w:szCs w:val="20"/>
          <w:color w:val="auto"/>
        </w:rPr>
        <w:t>The Company has elected to disclose derivative assets and liabilities on a trade-by-trade basis and does not offset amounts at the counterparty master agreement level.</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Critical Accounting Policies and Estimates</w:t>
      </w:r>
    </w:p>
    <w:p>
      <w:pPr>
        <w:spacing w:after="0" w:line="195" w:lineRule="exact"/>
        <w:rPr>
          <w:sz w:val="20"/>
          <w:szCs w:val="20"/>
          <w:color w:val="auto"/>
        </w:rPr>
      </w:pPr>
    </w:p>
    <w:p>
      <w:pPr>
        <w:jc w:val="both"/>
        <w:ind w:left="40" w:right="60" w:firstLine="448"/>
        <w:spacing w:after="0" w:line="266" w:lineRule="auto"/>
        <w:rPr>
          <w:sz w:val="20"/>
          <w:szCs w:val="20"/>
          <w:color w:val="auto"/>
        </w:rPr>
      </w:pPr>
      <w:r>
        <w:rPr>
          <w:rFonts w:ascii="Arial" w:cs="Arial" w:eastAsia="Arial" w:hAnsi="Arial"/>
          <w:sz w:val="19"/>
          <w:szCs w:val="19"/>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projects,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142" w:lineRule="exact"/>
        <w:rPr>
          <w:sz w:val="20"/>
          <w:szCs w:val="20"/>
          <w:color w:val="auto"/>
        </w:rPr>
      </w:pPr>
    </w:p>
    <w:p>
      <w:pPr>
        <w:jc w:val="both"/>
        <w:ind w:left="40" w:right="60" w:firstLine="448"/>
        <w:spacing w:after="0" w:line="297" w:lineRule="auto"/>
        <w:rPr>
          <w:sz w:val="20"/>
          <w:szCs w:val="20"/>
          <w:color w:val="auto"/>
        </w:rPr>
      </w:pPr>
      <w:r>
        <w:rPr>
          <w:rFonts w:ascii="Arial" w:cs="Arial" w:eastAsia="Arial" w:hAnsi="Arial"/>
          <w:sz w:val="18"/>
          <w:szCs w:val="18"/>
          <w:color w:val="auto"/>
        </w:rPr>
        <w:t>On an ongoing basis, the Company evaluates these estimates, utilizing historic experience, consultation with experts and other methods the Company considers reasonable.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107" w:lineRule="exact"/>
        <w:rPr>
          <w:sz w:val="20"/>
          <w:szCs w:val="20"/>
          <w:color w:val="auto"/>
        </w:rPr>
      </w:pPr>
    </w:p>
    <w:p>
      <w:pPr>
        <w:jc w:val="both"/>
        <w:ind w:left="40" w:right="60" w:firstLine="448"/>
        <w:spacing w:after="0" w:line="289" w:lineRule="auto"/>
        <w:rPr>
          <w:sz w:val="20"/>
          <w:szCs w:val="20"/>
          <w:color w:val="auto"/>
        </w:rPr>
      </w:pPr>
      <w:r>
        <w:rPr>
          <w:rFonts w:ascii="Arial" w:cs="Arial" w:eastAsia="Arial" w:hAnsi="Arial"/>
          <w:sz w:val="18"/>
          <w:szCs w:val="18"/>
          <w:color w:val="auto"/>
        </w:rPr>
        <w:t xml:space="preserve">The Company’s significant accounting policies are summarized in Item 15 — Note 2, </w:t>
      </w:r>
      <w:r>
        <w:rPr>
          <w:rFonts w:ascii="Arial" w:cs="Arial" w:eastAsia="Arial" w:hAnsi="Arial"/>
          <w:sz w:val="18"/>
          <w:szCs w:val="18"/>
          <w:b w:val="1"/>
          <w:bCs w:val="1"/>
          <w:i w:val="1"/>
          <w:iCs w:val="1"/>
          <w:color w:val="auto"/>
        </w:rPr>
        <w:t>Summary of Significant Accounting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Policies</w:t>
      </w:r>
      <w:r>
        <w:rPr>
          <w:rFonts w:ascii="Arial" w:cs="Arial" w:eastAsia="Arial" w:hAnsi="Arial"/>
          <w:sz w:val="18"/>
          <w:szCs w:val="18"/>
          <w:color w:val="auto"/>
        </w:rPr>
        <w:t>. The Company identifies its most critical accounting policies as those that are the most pervasive and important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portrayal of the Company’s financial position and results of operations, and that require the most difficult, subjective and/or complex judgments by management regarding estimates about matters that are inherently uncertain. The Company’s critical accounting policies include income taxes and valuation allowance for deferred tax assets, accounting utilizing Hypothetical Liquidation at Book Value, or HLBV, acquisition accounting and determining the fair value of financial instruments.</w:t>
      </w:r>
    </w:p>
    <w:p>
      <w:pPr>
        <w:sectPr>
          <w:pgSz w:w="11880" w:h="15480" w:orient="portrait"/>
          <w:cols w:equalWidth="0" w:num="1">
            <w:col w:w="10300"/>
          </w:cols>
          <w:pgMar w:left="800" w:top="404" w:right="7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61</w:t>
      </w:r>
    </w:p>
    <w:p>
      <w:pPr>
        <w:sectPr>
          <w:pgSz w:w="11880" w:h="15480" w:orient="portrait"/>
          <w:cols w:equalWidth="0" w:num="1">
            <w:col w:w="10300"/>
          </w:cols>
          <w:pgMar w:left="800" w:top="404" w:right="780" w:bottom="0" w:gutter="0" w:footer="0" w:header="0"/>
          <w:type w:val="continuous"/>
        </w:sectPr>
      </w:pPr>
    </w:p>
    <w:bookmarkStart w:id="63" w:name="page64"/>
    <w:bookmarkEnd w:id="63"/>
    <w:p>
      <w:pPr>
        <w:ind w:left="40"/>
        <w:spacing w:after="0"/>
        <w:tabs>
          <w:tab w:leader="none" w:pos="5460" w:val="left"/>
        </w:tabs>
        <w:rPr>
          <w:sz w:val="20"/>
          <w:szCs w:val="20"/>
          <w:color w:val="auto"/>
        </w:rPr>
      </w:pPr>
      <w:r>
        <w:rPr>
          <w:rFonts w:ascii="Arial" w:cs="Arial" w:eastAsia="Arial" w:hAnsi="Arial"/>
          <w:sz w:val="16"/>
          <w:szCs w:val="16"/>
          <w:b w:val="1"/>
          <w:bCs w:val="1"/>
          <w:u w:val="single" w:color="auto"/>
          <w:color w:val="auto"/>
        </w:rPr>
        <w:t>Accounting Policy</w:t>
      </w:r>
      <w:r>
        <w:rPr>
          <w:sz w:val="20"/>
          <w:szCs w:val="20"/>
          <w:color w:val="auto"/>
        </w:rPr>
        <w:tab/>
      </w:r>
      <w:r>
        <w:rPr>
          <w:rFonts w:ascii="Arial" w:cs="Arial" w:eastAsia="Arial" w:hAnsi="Arial"/>
          <w:sz w:val="14"/>
          <w:szCs w:val="14"/>
          <w:b w:val="1"/>
          <w:bCs w:val="1"/>
          <w:color w:val="auto"/>
        </w:rPr>
        <w:t>Judgments/Uncertainties Affecting Application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3446780</wp:posOffset>
                </wp:positionH>
                <wp:positionV relativeFrom="paragraph">
                  <wp:posOffset>27305</wp:posOffset>
                </wp:positionV>
                <wp:extent cx="3023235" cy="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2323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1.4pt,2.15pt" to="509.45pt,2.15pt" o:allowincell="f" strokecolor="#000000" strokeweight="1pt"/>
            </w:pict>
          </mc:Fallback>
        </mc:AlternateContent>
      </w:r>
    </w:p>
    <w:p>
      <w:pPr>
        <w:spacing w:after="0" w:line="155" w:lineRule="exact"/>
        <w:rPr>
          <w:sz w:val="20"/>
          <w:szCs w:val="20"/>
          <w:color w:val="auto"/>
        </w:rPr>
      </w:pPr>
    </w:p>
    <w:p>
      <w:pPr>
        <w:ind w:left="5480" w:right="520" w:hanging="5432"/>
        <w:spacing w:after="0" w:line="239" w:lineRule="auto"/>
        <w:rPr>
          <w:sz w:val="20"/>
          <w:szCs w:val="20"/>
          <w:color w:val="auto"/>
        </w:rPr>
      </w:pPr>
      <w:r>
        <w:rPr>
          <w:rFonts w:ascii="Arial" w:cs="Arial" w:eastAsia="Arial" w:hAnsi="Arial"/>
          <w:sz w:val="20"/>
          <w:szCs w:val="20"/>
          <w:color w:val="auto"/>
        </w:rPr>
        <w:t xml:space="preserve">Income Taxes and Valuation Allowance for Deferred Tax Assets </w:t>
      </w:r>
      <w:r>
        <w:rPr>
          <w:rFonts w:ascii="Arial" w:cs="Arial" w:eastAsia="Arial" w:hAnsi="Arial"/>
          <w:sz w:val="20"/>
          <w:szCs w:val="20"/>
          <w:color w:val="BDBDBD"/>
        </w:rPr>
        <w:t>.</w:t>
      </w:r>
      <w:r>
        <w:rPr>
          <w:rFonts w:ascii="Arial" w:cs="Arial" w:eastAsia="Arial" w:hAnsi="Arial"/>
          <w:sz w:val="20"/>
          <w:szCs w:val="20"/>
          <w:color w:val="auto"/>
        </w:rPr>
        <w:t xml:space="preserve"> Ability to withstand legal challenges of tax authority decisions or appeals</w:t>
      </w:r>
    </w:p>
    <w:p>
      <w:pPr>
        <w:spacing w:after="0" w:line="34"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Anticipated future decisions of tax authorities</w:t>
      </w:r>
    </w:p>
    <w:p>
      <w:pPr>
        <w:spacing w:after="0" w:line="5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Application of tax statutes and regulations to transactions</w:t>
      </w:r>
    </w:p>
    <w:p>
      <w:pPr>
        <w:spacing w:after="0" w:line="57" w:lineRule="exact"/>
        <w:rPr>
          <w:sz w:val="20"/>
          <w:szCs w:val="20"/>
          <w:color w:val="auto"/>
        </w:rPr>
      </w:pPr>
    </w:p>
    <w:p>
      <w:pPr>
        <w:ind w:left="5480"/>
        <w:spacing w:after="0"/>
        <w:rPr>
          <w:sz w:val="20"/>
          <w:szCs w:val="20"/>
          <w:color w:val="auto"/>
        </w:rPr>
      </w:pPr>
      <w:r>
        <w:rPr>
          <w:rFonts w:ascii="Arial" w:cs="Arial" w:eastAsia="Arial" w:hAnsi="Arial"/>
          <w:sz w:val="19"/>
          <w:szCs w:val="19"/>
          <w:color w:val="auto"/>
        </w:rPr>
        <w:t>Ability to utilize tax benefits through carry backs to prior</w:t>
      </w:r>
    </w:p>
    <w:p>
      <w:pPr>
        <w:ind w:left="5480"/>
        <w:spacing w:after="0"/>
        <w:rPr>
          <w:sz w:val="20"/>
          <w:szCs w:val="20"/>
          <w:color w:val="auto"/>
        </w:rPr>
      </w:pPr>
      <w:r>
        <w:rPr>
          <w:rFonts w:ascii="Arial" w:cs="Arial" w:eastAsia="Arial" w:hAnsi="Arial"/>
          <w:sz w:val="20"/>
          <w:szCs w:val="20"/>
          <w:color w:val="auto"/>
        </w:rPr>
        <w:t>periods and carryforwards to future periods</w:t>
      </w:r>
    </w:p>
    <w:p>
      <w:pPr>
        <w:spacing w:after="0" w:line="64" w:lineRule="exact"/>
        <w:rPr>
          <w:sz w:val="20"/>
          <w:szCs w:val="20"/>
          <w:color w:val="auto"/>
        </w:rPr>
      </w:pPr>
    </w:p>
    <w:p>
      <w:pPr>
        <w:ind w:left="5480" w:right="780" w:hanging="5432"/>
        <w:spacing w:after="0" w:line="239" w:lineRule="auto"/>
        <w:rPr>
          <w:sz w:val="20"/>
          <w:szCs w:val="20"/>
          <w:color w:val="auto"/>
        </w:rPr>
      </w:pPr>
      <w:r>
        <w:rPr>
          <w:rFonts w:ascii="Arial" w:cs="Arial" w:eastAsia="Arial" w:hAnsi="Arial"/>
          <w:sz w:val="20"/>
          <w:szCs w:val="20"/>
          <w:color w:val="auto"/>
        </w:rPr>
        <w:t xml:space="preserve">Hypothetical Liquidation at Book Value (HLBV) </w:t>
      </w:r>
      <w:r>
        <w:rPr>
          <w:rFonts w:ascii="Arial" w:cs="Arial" w:eastAsia="Arial" w:hAnsi="Arial"/>
          <w:sz w:val="20"/>
          <w:szCs w:val="20"/>
          <w:color w:val="BDBDBD"/>
        </w:rPr>
        <w:t>. . . . . . . . . . . . . .</w:t>
      </w:r>
      <w:r>
        <w:rPr>
          <w:rFonts w:ascii="Arial" w:cs="Arial" w:eastAsia="Arial" w:hAnsi="Arial"/>
          <w:sz w:val="20"/>
          <w:szCs w:val="20"/>
          <w:color w:val="auto"/>
        </w:rPr>
        <w:t xml:space="preserve"> Estimates of taxable income (loss) and tax capital accounts</w:t>
      </w:r>
    </w:p>
    <w:p>
      <w:pPr>
        <w:spacing w:after="0" w:line="20" w:lineRule="exact"/>
        <w:rPr>
          <w:sz w:val="20"/>
          <w:szCs w:val="20"/>
          <w:color w:val="auto"/>
        </w:rPr>
      </w:pPr>
    </w:p>
    <w:p>
      <w:pPr>
        <w:ind w:left="5480"/>
        <w:spacing w:after="0"/>
        <w:rPr>
          <w:sz w:val="20"/>
          <w:szCs w:val="20"/>
          <w:color w:val="auto"/>
        </w:rPr>
      </w:pPr>
      <w:r>
        <w:rPr>
          <w:rFonts w:ascii="Arial" w:cs="Arial" w:eastAsia="Arial" w:hAnsi="Arial"/>
          <w:sz w:val="19"/>
          <w:szCs w:val="19"/>
          <w:color w:val="auto"/>
        </w:rPr>
        <w:t>Estimated calculation of specified target investor returns</w:t>
      </w:r>
    </w:p>
    <w:p>
      <w:pPr>
        <w:spacing w:after="0" w:line="34"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Application of liquidation provisions of operating</w:t>
      </w:r>
    </w:p>
    <w:p>
      <w:pPr>
        <w:ind w:left="5480"/>
        <w:spacing w:after="0"/>
        <w:rPr>
          <w:sz w:val="20"/>
          <w:szCs w:val="20"/>
          <w:color w:val="auto"/>
        </w:rPr>
      </w:pPr>
      <w:r>
        <w:rPr>
          <w:rFonts w:ascii="Arial" w:cs="Arial" w:eastAsia="Arial" w:hAnsi="Arial"/>
          <w:sz w:val="20"/>
          <w:szCs w:val="20"/>
          <w:color w:val="auto"/>
        </w:rPr>
        <w:t>agreements</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20"/>
          <w:szCs w:val="20"/>
          <w:color w:val="auto"/>
        </w:rPr>
        <w:t xml:space="preserve">Acquisition Accounting </w:t>
      </w:r>
      <w:r>
        <w:rPr>
          <w:rFonts w:ascii="Arial" w:cs="Arial" w:eastAsia="Arial" w:hAnsi="Arial"/>
          <w:sz w:val="20"/>
          <w:szCs w:val="20"/>
          <w:color w:val="BDBDBD"/>
        </w:rPr>
        <w:t>. . . . . . . . . . . . . . . . . . . . . . . . . . . . . . . . . .</w:t>
      </w:r>
      <w:r>
        <w:rPr>
          <w:rFonts w:ascii="Arial" w:cs="Arial" w:eastAsia="Arial" w:hAnsi="Arial"/>
          <w:sz w:val="20"/>
          <w:szCs w:val="20"/>
          <w:color w:val="auto"/>
        </w:rPr>
        <w:t xml:space="preserve"> Identification of assets acquired</w:t>
      </w:r>
    </w:p>
    <w:p>
      <w:pPr>
        <w:spacing w:after="0" w:line="54"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Inputs for fair values of assets and liabilities acquired</w:t>
      </w:r>
    </w:p>
    <w:p>
      <w:pPr>
        <w:spacing w:after="0" w:line="54"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Application of appropriate fair value methodologies</w:t>
      </w:r>
    </w:p>
    <w:p>
      <w:pPr>
        <w:spacing w:after="0" w:line="54" w:lineRule="exact"/>
        <w:rPr>
          <w:sz w:val="20"/>
          <w:szCs w:val="20"/>
          <w:color w:val="auto"/>
        </w:rPr>
      </w:pPr>
    </w:p>
    <w:p>
      <w:pPr>
        <w:ind w:left="5480" w:right="280" w:hanging="5432"/>
        <w:spacing w:after="0" w:line="324" w:lineRule="auto"/>
        <w:rPr>
          <w:sz w:val="20"/>
          <w:szCs w:val="20"/>
          <w:color w:val="auto"/>
        </w:rPr>
      </w:pPr>
      <w:r>
        <w:rPr>
          <w:rFonts w:ascii="Arial" w:cs="Arial" w:eastAsia="Arial" w:hAnsi="Arial"/>
          <w:sz w:val="17"/>
          <w:szCs w:val="17"/>
          <w:color w:val="auto"/>
        </w:rPr>
        <w:t xml:space="preserve">Financial Instruments </w:t>
      </w:r>
      <w:r>
        <w:rPr>
          <w:rFonts w:ascii="Arial" w:cs="Arial" w:eastAsia="Arial" w:hAnsi="Arial"/>
          <w:sz w:val="17"/>
          <w:szCs w:val="17"/>
          <w:color w:val="BDBDBD"/>
        </w:rPr>
        <w:t>. . . . . . . . . . . . . . . . . . . . . . . . . . . . . . . . . . . .</w:t>
      </w:r>
      <w:r>
        <w:rPr>
          <w:rFonts w:ascii="Arial" w:cs="Arial" w:eastAsia="Arial" w:hAnsi="Arial"/>
          <w:sz w:val="17"/>
          <w:szCs w:val="17"/>
          <w:color w:val="auto"/>
        </w:rPr>
        <w:t xml:space="preserve"> Use of unobservable market inputs such as future electricity prices, future interest rates and discount rates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Income Taxes and Valuation Allowance for Deferred Tax Assets</w:t>
      </w:r>
    </w:p>
    <w:p>
      <w:pPr>
        <w:spacing w:after="0" w:line="196" w:lineRule="exact"/>
        <w:rPr>
          <w:sz w:val="20"/>
          <w:szCs w:val="20"/>
          <w:color w:val="auto"/>
        </w:rPr>
      </w:pPr>
    </w:p>
    <w:p>
      <w:pPr>
        <w:jc w:val="both"/>
        <w:ind w:firstLine="448"/>
        <w:spacing w:after="0" w:line="287" w:lineRule="auto"/>
        <w:rPr>
          <w:sz w:val="20"/>
          <w:szCs w:val="20"/>
          <w:color w:val="auto"/>
        </w:rPr>
      </w:pPr>
      <w:r>
        <w:rPr>
          <w:rFonts w:ascii="Arial" w:cs="Arial" w:eastAsia="Arial" w:hAnsi="Arial"/>
          <w:sz w:val="18"/>
          <w:szCs w:val="18"/>
          <w:color w:val="auto"/>
        </w:rPr>
        <w:t>In determining whether a valuation allowance is required for deferred tax assets, the Company must assess whether it believes it is more likely than not that the results of future operations will generate sufficient taxable income which includes the future reversal of existing taxable temporary differences to realize deferred tax assets. The Company considers the timing and future realization of net deferred tax assets, the profit before tax generated in recent years as well as projections of future earnings and estimates of taxable income in arriving at this conclusion. The realization of deferred tax assets is primarily dependent upon earnings in federal and various state and local jurisdictions. Judgment is also required to continually assess changing tax regulations, interpretations and new legislation to determine the impact on the Company’s tax position.</w:t>
      </w:r>
    </w:p>
    <w:p>
      <w:pPr>
        <w:spacing w:after="0" w:line="110"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Hypothetical Liquidation at Book Value (HLBV)</w:t>
      </w:r>
    </w:p>
    <w:p>
      <w:pPr>
        <w:spacing w:after="0" w:line="196" w:lineRule="exact"/>
        <w:rPr>
          <w:sz w:val="20"/>
          <w:szCs w:val="20"/>
          <w:color w:val="auto"/>
        </w:rPr>
      </w:pPr>
    </w:p>
    <w:p>
      <w:pPr>
        <w:jc w:val="both"/>
        <w:ind w:firstLine="448"/>
        <w:spacing w:after="0" w:line="279" w:lineRule="auto"/>
        <w:rPr>
          <w:sz w:val="20"/>
          <w:szCs w:val="20"/>
          <w:color w:val="auto"/>
        </w:rPr>
      </w:pPr>
      <w:r>
        <w:rPr>
          <w:rFonts w:ascii="Arial" w:cs="Arial" w:eastAsia="Arial" w:hAnsi="Arial"/>
          <w:sz w:val="18"/>
          <w:szCs w:val="18"/>
          <w:color w:val="auto"/>
        </w:rPr>
        <w:t>Certain portions of the Company’s redeemable noncontrolling interest and noncontrolling interest represent third-party interests in the net assets under certain tax equity arrangements, which are consolidated by the Company, that were established to finance the cost of facilities eligible for certain tax credits and benefits. The Company has determined that the provisions in the contractual agreements of these structures represent substantive profit sharing arrangements. Further, the Company has determined that the appropriate methodology for calculating the redeemable noncontrolling interest and noncontrolling interest that reflects the substantive profit sharing arrangements is a balance sheet approach utilizing the HLBV method. Under the HLBV method, the amounts reported as redeemable noncontrolling interest and noncontrolling interest represent the amounts the investors to the tax equity arrangements would hypothetically receive at each balance sheet date under the liquidation provisions of the contractual agreements, assuming the net assets of the funding structures were liquidated at their recorded amounts determined in accordance with GAAP. The investors’ interests in the results of operations of the funding structures are determined as the difference in redeemable noncontrolling interest and noncontrolling interest at the start and end of each reporting period, after taking into account any capital transactions between the structures and the funds’ investors. The calculations utilized to apply the HLBV method include estimated calculations of taxable income or losses for each reporting period as well as estimated calculations of tax capital accounts based on the relevant provisions of each agreement and the related tax guidance. In addition, these calculations often take into account the stipulated targeted investor return specified in the subsidiaries’ operating agreement and agreed by the members of the arrangement. In certain circumstances, the Company and its partners in the tax equity arrangements agree that certain tax benefits are to be utilized outside of the tax equity arrangements, which may result in differences in the amount an investor would hypothetically receive at the initial balance sheet date calculated strictly in accordance with related contractual agreements. These differences are recognized in the consolidated statements of income using a systematic and rational method over the period during which the investor is expected to achieve its target return. In certain cases, the Company must apply judgment in determining the methodology for applying these concepts in the HLBV method and changes in certain factors may have a significant impact on the amounts that an investor would receive upon a hypothetical liquidation. The use of the HLBV method to allocate income (loss) to the noncontrolling interest holders may create volatility in the consolidated statements of income.</w:t>
      </w:r>
    </w:p>
    <w:p>
      <w:pPr>
        <w:sectPr>
          <w:pgSz w:w="11880" w:h="15480" w:orient="portrait"/>
          <w:cols w:equalWidth="0" w:num="1">
            <w:col w:w="10200"/>
          </w:cols>
          <w:pgMar w:left="840" w:top="53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ectPr>
          <w:pgSz w:w="11880" w:h="15480" w:orient="portrait"/>
          <w:cols w:equalWidth="0" w:num="1">
            <w:col w:w="10200"/>
          </w:cols>
          <w:pgMar w:left="840" w:top="530" w:right="840" w:bottom="0" w:gutter="0" w:footer="0" w:header="0"/>
          <w:type w:val="continuous"/>
        </w:sectPr>
      </w:pPr>
    </w:p>
    <w:bookmarkStart w:id="64" w:name="page65"/>
    <w:bookmarkEnd w:id="64"/>
    <w:p>
      <w:pPr>
        <w:ind w:left="440"/>
        <w:spacing w:after="0"/>
        <w:rPr>
          <w:sz w:val="20"/>
          <w:szCs w:val="20"/>
          <w:color w:val="auto"/>
        </w:rPr>
      </w:pPr>
      <w:r>
        <w:rPr>
          <w:rFonts w:ascii="Arial" w:cs="Arial" w:eastAsia="Arial" w:hAnsi="Arial"/>
          <w:sz w:val="20"/>
          <w:szCs w:val="20"/>
          <w:b w:val="1"/>
          <w:bCs w:val="1"/>
          <w:i w:val="1"/>
          <w:iCs w:val="1"/>
          <w:color w:val="auto"/>
        </w:rPr>
        <w:t>Acquisition Accounting</w:t>
      </w:r>
    </w:p>
    <w:p>
      <w:pPr>
        <w:spacing w:after="0" w:line="193" w:lineRule="exact"/>
        <w:rPr>
          <w:sz w:val="20"/>
          <w:szCs w:val="20"/>
          <w:color w:val="auto"/>
        </w:rPr>
      </w:pPr>
    </w:p>
    <w:p>
      <w:pPr>
        <w:jc w:val="both"/>
        <w:ind w:firstLine="448"/>
        <w:spacing w:after="0" w:line="256" w:lineRule="auto"/>
        <w:rPr>
          <w:sz w:val="20"/>
          <w:szCs w:val="20"/>
          <w:color w:val="auto"/>
        </w:rPr>
      </w:pPr>
      <w:r>
        <w:rPr>
          <w:rFonts w:ascii="Arial" w:cs="Arial" w:eastAsia="Arial" w:hAnsi="Arial"/>
          <w:sz w:val="20"/>
          <w:szCs w:val="20"/>
          <w:color w:val="auto"/>
        </w:rPr>
        <w:t xml:space="preserve">The Company applies ASC 805, </w:t>
      </w:r>
      <w:r>
        <w:rPr>
          <w:rFonts w:ascii="Arial" w:cs="Arial" w:eastAsia="Arial" w:hAnsi="Arial"/>
          <w:sz w:val="20"/>
          <w:szCs w:val="20"/>
          <w:b w:val="1"/>
          <w:bCs w:val="1"/>
          <w:i w:val="1"/>
          <w:iCs w:val="1"/>
          <w:color w:val="auto"/>
        </w:rPr>
        <w:t>Business Combinations</w:t>
      </w:r>
      <w:r>
        <w:rPr>
          <w:rFonts w:ascii="Arial" w:cs="Arial" w:eastAsia="Arial" w:hAnsi="Arial"/>
          <w:sz w:val="20"/>
          <w:szCs w:val="20"/>
          <w:color w:val="auto"/>
        </w:rPr>
        <w:t>, when accounting for acquisitions, with identifiable assets acquired and liabilities assumed recorded at their estimated fair values at acquisition date. For many of the Company’s acquisitions, the Company applies ASC 805-50, which provides that acquisitions of entities under common control are recorded at historical cost, except in the case where the ultimate parent has a different basis, such as when an acquiree did not elect to apply pushdown accounting. In those circumstances, the Company may also be required to record its acquired assets and liabilities at acquisition date fair value.</w:t>
      </w:r>
    </w:p>
    <w:p>
      <w:pPr>
        <w:spacing w:after="0" w:line="143" w:lineRule="exact"/>
        <w:rPr>
          <w:sz w:val="20"/>
          <w:szCs w:val="20"/>
          <w:color w:val="auto"/>
        </w:rPr>
      </w:pPr>
    </w:p>
    <w:p>
      <w:pPr>
        <w:jc w:val="both"/>
        <w:ind w:firstLine="448"/>
        <w:spacing w:after="0" w:line="267" w:lineRule="auto"/>
        <w:rPr>
          <w:sz w:val="20"/>
          <w:szCs w:val="20"/>
          <w:color w:val="auto"/>
        </w:rPr>
      </w:pPr>
      <w:r>
        <w:rPr>
          <w:rFonts w:ascii="Arial" w:cs="Arial" w:eastAsia="Arial" w:hAnsi="Arial"/>
          <w:sz w:val="19"/>
          <w:szCs w:val="19"/>
          <w:color w:val="auto"/>
        </w:rPr>
        <w:t>Significant judgment is required in determining the acquisition date fair value of the assets acquired and liabilities assumed, predominantly with respect to property, plant and equipment, power purchase agreements, asset retirement obligations and other contractual arrangements for third-party acquisitions. Evaluations include numerous inputs including forecasted cash flows that incorporate the specific attributes of each asset including age, useful life, equipment condition and technology as well as current replacement costs for similar assets. Other key inputs that require judgment include discount rates, comparable market transactions, estimated useful lives and probability of future transactions. The Company evaluates all available information as well as all appropriate methodologies, when determining the fair value of assets acquired and liabilities assumed in a business combination. In addition, once the appropriate fair values are determined, the Company must determine the remaining useful life for property, plant and equipment and the amortization period and method of amortization for each finite-lived intangible asset.</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Financial Instruments</w:t>
      </w:r>
    </w:p>
    <w:p>
      <w:pPr>
        <w:spacing w:after="0" w:line="193" w:lineRule="exact"/>
        <w:rPr>
          <w:sz w:val="20"/>
          <w:szCs w:val="20"/>
          <w:color w:val="auto"/>
        </w:rPr>
      </w:pPr>
    </w:p>
    <w:p>
      <w:pPr>
        <w:jc w:val="both"/>
        <w:ind w:firstLine="448"/>
        <w:spacing w:after="0" w:line="254" w:lineRule="auto"/>
        <w:rPr>
          <w:sz w:val="20"/>
          <w:szCs w:val="20"/>
          <w:color w:val="auto"/>
        </w:rPr>
      </w:pPr>
      <w:r>
        <w:rPr>
          <w:rFonts w:ascii="Arial" w:cs="Arial" w:eastAsia="Arial" w:hAnsi="Arial"/>
          <w:sz w:val="20"/>
          <w:szCs w:val="20"/>
          <w:color w:val="auto"/>
        </w:rPr>
        <w:t>The Company records its financial instruments, which primarily consist of derivative financial instruments, at fair value. The Company determines the fair value of its financial instruments using discounted cash flow models that require the use of assumptions concerning the amount of estimated future cash flows. The assumptions are determined using external, observable market inputs when available. When observable market inputs are not available, the Company must apply significant judgment to determine market participant assumptions such as future electricity prices, future natural gas prices, future interest rates and discount rates. As these inputs are based on estimates, fair values may not reflect the amounts actually realized from the related transaction.</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Recent Accounting Developments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See Item 15 — Note 2, </w:t>
      </w:r>
      <w:r>
        <w:rPr>
          <w:rFonts w:ascii="Arial" w:cs="Arial" w:eastAsia="Arial" w:hAnsi="Arial"/>
          <w:sz w:val="17"/>
          <w:szCs w:val="17"/>
          <w:b w:val="1"/>
          <w:bCs w:val="1"/>
          <w:i w:val="1"/>
          <w:iCs w:val="1"/>
          <w:color w:val="auto"/>
        </w:rPr>
        <w:t>Summary of Significant Accounting Policies</w:t>
      </w:r>
      <w:r>
        <w:rPr>
          <w:rFonts w:ascii="Arial" w:cs="Arial" w:eastAsia="Arial" w:hAnsi="Arial"/>
          <w:sz w:val="17"/>
          <w:szCs w:val="17"/>
          <w:color w:val="auto"/>
        </w:rPr>
        <w:t>, for a discussion of recent accounting developments.</w:t>
      </w:r>
    </w:p>
    <w:p>
      <w:pPr>
        <w:sectPr>
          <w:pgSz w:w="11880" w:h="15480" w:orient="portrait"/>
          <w:cols w:equalWidth="0" w:num="1">
            <w:col w:w="10200"/>
          </w:cols>
          <w:pgMar w:left="840" w:top="403"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ectPr>
          <w:pgSz w:w="11880" w:h="15480" w:orient="portrait"/>
          <w:cols w:equalWidth="0" w:num="1">
            <w:col w:w="10200"/>
          </w:cols>
          <w:pgMar w:left="840" w:top="403" w:right="840" w:bottom="0" w:gutter="0" w:footer="0" w:header="0"/>
          <w:type w:val="continuous"/>
        </w:sectPr>
      </w:pPr>
    </w:p>
    <w:bookmarkStart w:id="65" w:name="page66"/>
    <w:bookmarkEnd w:id="65"/>
    <w:p>
      <w:pPr>
        <w:spacing w:after="0"/>
        <w:rPr>
          <w:sz w:val="20"/>
          <w:szCs w:val="20"/>
          <w:color w:val="auto"/>
        </w:rPr>
      </w:pPr>
      <w:r>
        <w:rPr>
          <w:rFonts w:ascii="Arial" w:cs="Arial" w:eastAsia="Arial" w:hAnsi="Arial"/>
          <w:sz w:val="20"/>
          <w:szCs w:val="20"/>
          <w:b w:val="1"/>
          <w:bCs w:val="1"/>
          <w:color w:val="auto"/>
        </w:rPr>
        <w:t>Item 7A — Quantitative and Qualitative Disclosures About Market Risk</w:t>
      </w:r>
    </w:p>
    <w:p>
      <w:pPr>
        <w:spacing w:after="0" w:line="195" w:lineRule="exact"/>
        <w:rPr>
          <w:sz w:val="20"/>
          <w:szCs w:val="20"/>
          <w:color w:val="auto"/>
        </w:rPr>
      </w:pPr>
    </w:p>
    <w:p>
      <w:pPr>
        <w:jc w:val="both"/>
        <w:ind w:firstLine="448"/>
        <w:spacing w:after="0" w:line="259" w:lineRule="auto"/>
        <w:rPr>
          <w:sz w:val="20"/>
          <w:szCs w:val="20"/>
          <w:color w:val="auto"/>
        </w:rPr>
      </w:pPr>
      <w:r>
        <w:rPr>
          <w:rFonts w:ascii="Arial" w:cs="Arial" w:eastAsia="Arial" w:hAnsi="Arial"/>
          <w:sz w:val="20"/>
          <w:szCs w:val="20"/>
          <w:color w:val="auto"/>
        </w:rPr>
        <w:t>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Commodity Price Risk</w:t>
      </w:r>
    </w:p>
    <w:p>
      <w:pPr>
        <w:spacing w:after="0" w:line="196" w:lineRule="exact"/>
        <w:rPr>
          <w:sz w:val="20"/>
          <w:szCs w:val="20"/>
          <w:color w:val="auto"/>
        </w:rPr>
      </w:pPr>
    </w:p>
    <w:p>
      <w:pPr>
        <w:jc w:val="both"/>
        <w:ind w:firstLine="448"/>
        <w:spacing w:after="0" w:line="271" w:lineRule="auto"/>
        <w:rPr>
          <w:sz w:val="20"/>
          <w:szCs w:val="20"/>
          <w:color w:val="auto"/>
        </w:rPr>
      </w:pPr>
      <w:r>
        <w:rPr>
          <w:rFonts w:ascii="Arial" w:cs="Arial" w:eastAsia="Arial" w:hAnsi="Arial"/>
          <w:sz w:val="19"/>
          <w:szCs w:val="19"/>
          <w:color w:val="auto"/>
        </w:rPr>
        <w:t xml:space="preserve">Commodity price risks result from exposures to changes in spot prices, forward prices, volatilities, and correlations between various commodities, such as electricity, natural gas and emissions credits. The Company manages the commodity price risk of certain of its merchant generation operations by entering into derivative or non-derivative instruments to hedge the variability in future cash flows from forecasted power sales. The portion of forecasted transactions hedged may vary based upon management’s assessment of market, weather, operation and other factors. See Item 15 — Note 7, </w:t>
      </w:r>
      <w:r>
        <w:rPr>
          <w:rFonts w:ascii="Arial" w:cs="Arial" w:eastAsia="Arial" w:hAnsi="Arial"/>
          <w:sz w:val="19"/>
          <w:szCs w:val="19"/>
          <w:b w:val="1"/>
          <w:bCs w:val="1"/>
          <w:i w:val="1"/>
          <w:iCs w:val="1"/>
          <w:color w:val="auto"/>
        </w:rPr>
        <w:t>Accounting for</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Derivative Instruments and Hedging Activities</w:t>
      </w:r>
      <w:r>
        <w:rPr>
          <w:rFonts w:ascii="Arial" w:cs="Arial" w:eastAsia="Arial" w:hAnsi="Arial"/>
          <w:sz w:val="19"/>
          <w:szCs w:val="19"/>
          <w:color w:val="auto"/>
        </w:rPr>
        <w:t>, for more information.</w:t>
      </w:r>
    </w:p>
    <w:p>
      <w:pPr>
        <w:spacing w:after="0" w:line="132"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20"/>
          <w:szCs w:val="20"/>
          <w:color w:val="auto"/>
        </w:rPr>
        <w:t>Based on a sensitivity analysis using simplified assumptions, the impact of a $0.50 per MWh increase or decrease in power prices across the term of the long-term power commodity contracts would cause a change of approximately $6 million to the net value of the related derivatives as of December 31, 2023.</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Rate Risk</w:t>
      </w:r>
    </w:p>
    <w:p>
      <w:pPr>
        <w:spacing w:after="0" w:line="196" w:lineRule="exact"/>
        <w:rPr>
          <w:sz w:val="20"/>
          <w:szCs w:val="20"/>
          <w:color w:val="auto"/>
        </w:rPr>
      </w:pPr>
    </w:p>
    <w:p>
      <w:pPr>
        <w:jc w:val="both"/>
        <w:ind w:firstLine="448"/>
        <w:spacing w:after="0" w:line="292" w:lineRule="auto"/>
        <w:rPr>
          <w:sz w:val="20"/>
          <w:szCs w:val="20"/>
          <w:color w:val="auto"/>
        </w:rPr>
      </w:pPr>
      <w:r>
        <w:rPr>
          <w:rFonts w:ascii="Arial" w:cs="Arial" w:eastAsia="Arial" w:hAnsi="Arial"/>
          <w:sz w:val="18"/>
          <w:szCs w:val="18"/>
          <w:color w:val="auto"/>
        </w:rPr>
        <w:t xml:space="preserve">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See Item 15 — Note 7, </w:t>
      </w:r>
      <w:r>
        <w:rPr>
          <w:rFonts w:ascii="Arial" w:cs="Arial" w:eastAsia="Arial" w:hAnsi="Arial"/>
          <w:sz w:val="18"/>
          <w:szCs w:val="18"/>
          <w:b w:val="1"/>
          <w:bCs w:val="1"/>
          <w:i w:val="1"/>
          <w:iCs w:val="1"/>
          <w:color w:val="auto"/>
        </w:rPr>
        <w:t xml:space="preserve">Accounting for Derivative Instruments and Hedging Activities, </w:t>
      </w:r>
      <w:r>
        <w:rPr>
          <w:rFonts w:ascii="Arial" w:cs="Arial" w:eastAsia="Arial" w:hAnsi="Arial"/>
          <w:sz w:val="18"/>
          <w:szCs w:val="18"/>
          <w:color w:val="auto"/>
        </w:rPr>
        <w:t>for more information.</w:t>
      </w:r>
    </w:p>
    <w:p>
      <w:pPr>
        <w:spacing w:after="0" w:line="114"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20"/>
          <w:szCs w:val="20"/>
          <w:color w:val="auto"/>
        </w:rPr>
        <w:t xml:space="preserve">Most of the Company’s project subsidiaries enter into interest rate swaps intended to hedge the risks associated with interest rates on non-recourse project level debt. See Item 15 — Note 10, </w:t>
      </w:r>
      <w:r>
        <w:rPr>
          <w:rFonts w:ascii="Arial" w:cs="Arial" w:eastAsia="Arial" w:hAnsi="Arial"/>
          <w:sz w:val="20"/>
          <w:szCs w:val="20"/>
          <w:b w:val="1"/>
          <w:bCs w:val="1"/>
          <w:i w:val="1"/>
          <w:iCs w:val="1"/>
          <w:color w:val="auto"/>
        </w:rPr>
        <w:t>Long-term Debt</w:t>
      </w:r>
      <w:r>
        <w:rPr>
          <w:rFonts w:ascii="Arial" w:cs="Arial" w:eastAsia="Arial" w:hAnsi="Arial"/>
          <w:sz w:val="20"/>
          <w:szCs w:val="20"/>
          <w:color w:val="auto"/>
        </w:rPr>
        <w:t>, for more information about interest rate swaps of the Company’s project subsidiaries.</w:t>
      </w:r>
    </w:p>
    <w:p>
      <w:pPr>
        <w:spacing w:after="0" w:line="134"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20"/>
          <w:szCs w:val="20"/>
          <w:color w:val="auto"/>
        </w:rPr>
        <w:t>If all of the above swaps had been discontinued on December 31, 2023, the counterparties would have owed the Company $127 million. Based on the credit ratings of the counterparties, the Company believes its exposure to credit risk due to nonperformance by counterparties to its hedge contracts to be insignificant.</w:t>
      </w:r>
    </w:p>
    <w:p>
      <w:pPr>
        <w:spacing w:after="0" w:line="134"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20"/>
          <w:szCs w:val="20"/>
          <w:color w:val="auto"/>
        </w:rPr>
        <w:t>The Company has long-term debt instruments that subject it to the risk of loss associated with movements in market interest rates. As of December 31, 2023, a 1% change in interest rates would result in an approximately $4 million change in interest expense on a rolling twelve-month basis.</w:t>
      </w:r>
    </w:p>
    <w:p>
      <w:pPr>
        <w:spacing w:after="0" w:line="134"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20"/>
          <w:szCs w:val="20"/>
          <w:color w:val="auto"/>
        </w:rPr>
        <w:t>As of December 31, 2023, the fair value of the Company’s debt was $7.61 billion and the carrying value was $8.10 billion. The Company estimates that a 1% decrease in market interest rates would have increased the fair value of its long-term debt by $338 million.</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Liquidity Risk</w:t>
      </w:r>
    </w:p>
    <w:p>
      <w:pPr>
        <w:spacing w:after="0" w:line="196" w:lineRule="exact"/>
        <w:rPr>
          <w:sz w:val="20"/>
          <w:szCs w:val="20"/>
          <w:color w:val="auto"/>
        </w:rPr>
      </w:pPr>
    </w:p>
    <w:p>
      <w:pPr>
        <w:jc w:val="both"/>
        <w:ind w:firstLine="448"/>
        <w:spacing w:after="0" w:line="280" w:lineRule="auto"/>
        <w:rPr>
          <w:sz w:val="20"/>
          <w:szCs w:val="20"/>
          <w:color w:val="auto"/>
        </w:rPr>
      </w:pPr>
      <w:r>
        <w:rPr>
          <w:rFonts w:ascii="Arial" w:cs="Arial" w:eastAsia="Arial" w:hAnsi="Arial"/>
          <w:sz w:val="20"/>
          <w:szCs w:val="20"/>
          <w:color w:val="auto"/>
        </w:rPr>
        <w:t>Liquidity risk arises from the general funding needs of the Company’s activities and in the management of the Company’s assets and liabilities.</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Counterparty Credit Risk</w:t>
      </w:r>
    </w:p>
    <w:p>
      <w:pPr>
        <w:spacing w:after="0" w:line="196" w:lineRule="exact"/>
        <w:rPr>
          <w:sz w:val="20"/>
          <w:szCs w:val="20"/>
          <w:color w:val="auto"/>
        </w:rPr>
      </w:pPr>
    </w:p>
    <w:p>
      <w:pPr>
        <w:jc w:val="both"/>
        <w:ind w:firstLine="448"/>
        <w:spacing w:after="0" w:line="289" w:lineRule="auto"/>
        <w:rPr>
          <w:sz w:val="20"/>
          <w:szCs w:val="20"/>
          <w:color w:val="auto"/>
        </w:rPr>
      </w:pPr>
      <w:r>
        <w:rPr>
          <w:rFonts w:ascii="Arial" w:cs="Arial" w:eastAsia="Arial" w:hAnsi="Arial"/>
          <w:sz w:val="18"/>
          <w:szCs w:val="18"/>
          <w:color w:val="auto"/>
        </w:rPr>
        <w:t xml:space="preserve">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 See Item 15 — Note 6, </w:t>
      </w:r>
      <w:r>
        <w:rPr>
          <w:rFonts w:ascii="Arial" w:cs="Arial" w:eastAsia="Arial" w:hAnsi="Arial"/>
          <w:sz w:val="18"/>
          <w:szCs w:val="18"/>
          <w:b w:val="1"/>
          <w:bCs w:val="1"/>
          <w:i w:val="1"/>
          <w:iCs w:val="1"/>
          <w:color w:val="auto"/>
        </w:rPr>
        <w:t>Fair Value of Financial Instruments</w:t>
      </w:r>
      <w:r>
        <w:rPr>
          <w:rFonts w:ascii="Arial" w:cs="Arial" w:eastAsia="Arial" w:hAnsi="Arial"/>
          <w:sz w:val="18"/>
          <w:szCs w:val="18"/>
          <w:color w:val="auto"/>
        </w:rPr>
        <w:t>, for more information about concentration of credit risk.</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8 — Financial Statements and Supplementary Data</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financial statements and schedules are listed in Part IV, Item 15 of this Form 10-K.</w:t>
      </w:r>
    </w:p>
    <w:p>
      <w:pPr>
        <w:sectPr>
          <w:pgSz w:w="11880" w:h="15480" w:orient="portrait"/>
          <w:cols w:equalWidth="0" w:num="1">
            <w:col w:w="10200"/>
          </w:cols>
          <w:pgMar w:left="840" w:top="404"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ectPr>
          <w:pgSz w:w="11880" w:h="15480" w:orient="portrait"/>
          <w:cols w:equalWidth="0" w:num="1">
            <w:col w:w="10200"/>
          </w:cols>
          <w:pgMar w:left="840" w:top="404" w:right="840" w:bottom="0" w:gutter="0" w:footer="0" w:header="0"/>
          <w:type w:val="continuous"/>
        </w:sectPr>
      </w:pPr>
    </w:p>
    <w:bookmarkStart w:id="66" w:name="page67"/>
    <w:bookmarkEnd w:id="66"/>
    <w:p>
      <w:pPr>
        <w:spacing w:after="0"/>
        <w:rPr>
          <w:sz w:val="20"/>
          <w:szCs w:val="20"/>
          <w:color w:val="auto"/>
        </w:rPr>
      </w:pPr>
      <w:r>
        <w:rPr>
          <w:rFonts w:ascii="Arial" w:cs="Arial" w:eastAsia="Arial" w:hAnsi="Arial"/>
          <w:sz w:val="20"/>
          <w:szCs w:val="20"/>
          <w:b w:val="1"/>
          <w:bCs w:val="1"/>
          <w:color w:val="auto"/>
        </w:rPr>
        <w:t>Item 9 — Changes in and Disagreements with Accountants on Accounting and Financial Disclosure</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20"/>
          <w:szCs w:val="20"/>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9A — Controls and Procedures</w:t>
      </w:r>
    </w:p>
    <w:p>
      <w:pPr>
        <w:spacing w:after="0" w:line="188" w:lineRule="exact"/>
        <w:rPr>
          <w:sz w:val="20"/>
          <w:szCs w:val="20"/>
          <w:color w:val="auto"/>
        </w:rPr>
      </w:pPr>
    </w:p>
    <w:p>
      <w:pPr>
        <w:jc w:val="both"/>
        <w:spacing w:after="0" w:line="284" w:lineRule="auto"/>
        <w:rPr>
          <w:sz w:val="20"/>
          <w:szCs w:val="20"/>
          <w:color w:val="auto"/>
        </w:rPr>
      </w:pPr>
      <w:r>
        <w:rPr>
          <w:rFonts w:ascii="Arial" w:cs="Arial" w:eastAsia="Arial" w:hAnsi="Arial"/>
          <w:sz w:val="20"/>
          <w:szCs w:val="20"/>
          <w:b w:val="1"/>
          <w:bCs w:val="1"/>
          <w:color w:val="auto"/>
        </w:rPr>
        <w:t>Conclusion Regarding the Effectiveness of Disclosure Controls and Procedures and Internal Control Over Financial Reporting</w:t>
      </w:r>
    </w:p>
    <w:p>
      <w:pPr>
        <w:spacing w:after="0" w:line="119" w:lineRule="exact"/>
        <w:rPr>
          <w:sz w:val="20"/>
          <w:szCs w:val="20"/>
          <w:color w:val="auto"/>
        </w:rPr>
      </w:pPr>
    </w:p>
    <w:p>
      <w:pPr>
        <w:jc w:val="both"/>
        <w:ind w:firstLine="448"/>
        <w:spacing w:after="0" w:line="255" w:lineRule="auto"/>
        <w:rPr>
          <w:sz w:val="20"/>
          <w:szCs w:val="20"/>
          <w:color w:val="auto"/>
        </w:rPr>
      </w:pPr>
      <w:r>
        <w:rPr>
          <w:rFonts w:ascii="Arial" w:cs="Arial" w:eastAsia="Arial" w:hAnsi="Arial"/>
          <w:sz w:val="20"/>
          <w:szCs w:val="20"/>
          <w:color w:val="auto"/>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Annual Report on Form 10-K.</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195"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20"/>
          <w:szCs w:val="20"/>
          <w:color w:val="auto"/>
        </w:rPr>
        <w:t>There were no changes in the Company’s internal control over financial reporting (as such term is defined in Rule 13a-15(f) under the Exchange Act) during the quarter ended December 31, 2023, that materially affected, or are reasonably likely to materially affect, the Company’s internal control over financial reporting.</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Inherent Limitations over Internal Controls</w:t>
      </w:r>
    </w:p>
    <w:p>
      <w:pPr>
        <w:spacing w:after="0" w:line="195" w:lineRule="exact"/>
        <w:rPr>
          <w:sz w:val="20"/>
          <w:szCs w:val="20"/>
          <w:color w:val="auto"/>
        </w:rPr>
      </w:pPr>
    </w:p>
    <w:p>
      <w:pPr>
        <w:jc w:val="both"/>
        <w:ind w:firstLine="448"/>
        <w:spacing w:after="0" w:line="307" w:lineRule="auto"/>
        <w:rPr>
          <w:sz w:val="20"/>
          <w:szCs w:val="20"/>
          <w:color w:val="auto"/>
        </w:rPr>
      </w:pPr>
      <w:r>
        <w:rPr>
          <w:rFonts w:ascii="Arial" w:cs="Arial" w:eastAsia="Arial" w:hAnsi="Arial"/>
          <w:sz w:val="18"/>
          <w:szCs w:val="18"/>
          <w:color w:val="auto"/>
        </w:rPr>
        <w:t>The Company’s internal control over financial reporting is designed to provide reasonable assurance regarding the reliability of financial reporting and the preparation of consolidated financial statements for external purposes in accordance with GAAP. The Company’s internal control over financial reporting includes those policies and procedures that:</w:t>
      </w:r>
    </w:p>
    <w:p>
      <w:pPr>
        <w:spacing w:after="0" w:line="101" w:lineRule="exact"/>
        <w:rPr>
          <w:sz w:val="20"/>
          <w:szCs w:val="20"/>
          <w:color w:val="auto"/>
        </w:rPr>
      </w:pPr>
    </w:p>
    <w:p>
      <w:pPr>
        <w:ind w:firstLine="443"/>
        <w:spacing w:after="0" w:line="280" w:lineRule="auto"/>
        <w:tabs>
          <w:tab w:leader="none" w:pos="687" w:val="left"/>
        </w:tabs>
        <w:numPr>
          <w:ilvl w:val="0"/>
          <w:numId w:val="45"/>
        </w:numPr>
        <w:rPr>
          <w:rFonts w:ascii="Arial" w:cs="Arial" w:eastAsia="Arial" w:hAnsi="Arial"/>
          <w:sz w:val="20"/>
          <w:szCs w:val="20"/>
          <w:color w:val="auto"/>
        </w:rPr>
      </w:pPr>
      <w:r>
        <w:rPr>
          <w:rFonts w:ascii="Arial" w:cs="Arial" w:eastAsia="Arial" w:hAnsi="Arial"/>
          <w:sz w:val="20"/>
          <w:szCs w:val="20"/>
          <w:color w:val="auto"/>
        </w:rPr>
        <w:t>Pertain to the maintenance of records that, in reasonable detail, accurately and fairly reflect the transactions and dispositions of the Company’s assets;</w:t>
      </w:r>
    </w:p>
    <w:p>
      <w:pPr>
        <w:spacing w:after="0" w:line="120" w:lineRule="exact"/>
        <w:rPr>
          <w:rFonts w:ascii="Arial" w:cs="Arial" w:eastAsia="Arial" w:hAnsi="Arial"/>
          <w:sz w:val="20"/>
          <w:szCs w:val="20"/>
          <w:color w:val="auto"/>
        </w:rPr>
      </w:pPr>
    </w:p>
    <w:p>
      <w:pPr>
        <w:jc w:val="both"/>
        <w:ind w:firstLine="443"/>
        <w:spacing w:after="0" w:line="265" w:lineRule="auto"/>
        <w:tabs>
          <w:tab w:leader="none" w:pos="650" w:val="left"/>
        </w:tabs>
        <w:numPr>
          <w:ilvl w:val="0"/>
          <w:numId w:val="45"/>
        </w:numPr>
        <w:rPr>
          <w:rFonts w:ascii="Arial" w:cs="Arial" w:eastAsia="Arial" w:hAnsi="Arial"/>
          <w:sz w:val="20"/>
          <w:szCs w:val="20"/>
          <w:color w:val="auto"/>
        </w:rPr>
      </w:pPr>
      <w:r>
        <w:rPr>
          <w:rFonts w:ascii="Arial" w:cs="Arial" w:eastAsia="Arial" w:hAnsi="Arial"/>
          <w:sz w:val="20"/>
          <w:szCs w:val="20"/>
          <w:color w:val="auto"/>
        </w:rPr>
        <w:t>Provide reasonable assurance that transactions are recorded as necessary to permit preparation of consolidated financial statements in accordance with GAAP, and that the Company’s receipts and expenditures are being made only in accordance with authorizations of its management and directors; and</w:t>
      </w:r>
    </w:p>
    <w:p>
      <w:pPr>
        <w:spacing w:after="0" w:line="133" w:lineRule="exact"/>
        <w:rPr>
          <w:rFonts w:ascii="Arial" w:cs="Arial" w:eastAsia="Arial" w:hAnsi="Arial"/>
          <w:sz w:val="20"/>
          <w:szCs w:val="20"/>
          <w:color w:val="auto"/>
        </w:rPr>
      </w:pPr>
    </w:p>
    <w:p>
      <w:pPr>
        <w:ind w:firstLine="443"/>
        <w:spacing w:after="0" w:line="280" w:lineRule="auto"/>
        <w:tabs>
          <w:tab w:leader="none" w:pos="648" w:val="left"/>
        </w:tabs>
        <w:numPr>
          <w:ilvl w:val="0"/>
          <w:numId w:val="45"/>
        </w:numPr>
        <w:rPr>
          <w:rFonts w:ascii="Arial" w:cs="Arial" w:eastAsia="Arial" w:hAnsi="Arial"/>
          <w:sz w:val="20"/>
          <w:szCs w:val="20"/>
          <w:color w:val="auto"/>
        </w:rPr>
      </w:pPr>
      <w:r>
        <w:rPr>
          <w:rFonts w:ascii="Arial" w:cs="Arial" w:eastAsia="Arial" w:hAnsi="Arial"/>
          <w:sz w:val="20"/>
          <w:szCs w:val="20"/>
          <w:color w:val="auto"/>
        </w:rPr>
        <w:t>Provide reasonable assurance regarding prevention or timely detection of unauthorized acquisition, use or disposition of the Company’s assets that could have a material effect on the consolidated financial statements.</w:t>
      </w:r>
    </w:p>
    <w:p>
      <w:pPr>
        <w:spacing w:after="0" w:line="120" w:lineRule="exact"/>
        <w:rPr>
          <w:sz w:val="20"/>
          <w:szCs w:val="20"/>
          <w:color w:val="auto"/>
        </w:rPr>
      </w:pPr>
    </w:p>
    <w:p>
      <w:pPr>
        <w:jc w:val="both"/>
        <w:ind w:firstLine="448"/>
        <w:spacing w:after="0" w:line="292" w:lineRule="auto"/>
        <w:rPr>
          <w:sz w:val="20"/>
          <w:szCs w:val="20"/>
          <w:color w:val="auto"/>
        </w:rPr>
      </w:pPr>
      <w:r>
        <w:rPr>
          <w:rFonts w:ascii="Arial" w:cs="Arial" w:eastAsia="Arial" w:hAnsi="Arial"/>
          <w:sz w:val="18"/>
          <w:szCs w:val="18"/>
          <w:color w:val="auto"/>
        </w:rPr>
        <w:t>Internal control over financial reporting cannot provide absolute assurance of achieving financial reporting objectives because of its inherent limitations, including the possibility of human error and circumvention by collusion or overriding of controls. Accordingly, even an effective internal control system may not prevent or detect material misstatements on a timely basis.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Management’s Report on Internal Control over Financial Reporting</w:t>
      </w:r>
    </w:p>
    <w:p>
      <w:pPr>
        <w:spacing w:after="0" w:line="195" w:lineRule="exact"/>
        <w:rPr>
          <w:sz w:val="20"/>
          <w:szCs w:val="20"/>
          <w:color w:val="auto"/>
        </w:rPr>
      </w:pPr>
    </w:p>
    <w:p>
      <w:pPr>
        <w:jc w:val="both"/>
        <w:ind w:firstLine="448"/>
        <w:spacing w:after="0" w:line="253" w:lineRule="auto"/>
        <w:rPr>
          <w:sz w:val="20"/>
          <w:szCs w:val="20"/>
          <w:color w:val="auto"/>
        </w:rPr>
      </w:pPr>
      <w:r>
        <w:rPr>
          <w:rFonts w:ascii="Arial" w:cs="Arial" w:eastAsia="Arial" w:hAnsi="Arial"/>
          <w:sz w:val="20"/>
          <w:szCs w:val="20"/>
          <w:color w:val="auto"/>
        </w:rPr>
        <w:t xml:space="preserve">The Company’s management is responsible for establishing and maintaining adequate internal control over financial reporting, as such term is defined in Exchange Act Rule 13a-15(f). Under the supervision and with the participation of the Company’s management, including its principal executive officer, principal financial officer and principal accounting officer, the Company conducted an evaluation of the effectiveness of its internal control over financial reporting based on the framework in </w:t>
      </w:r>
      <w:r>
        <w:rPr>
          <w:rFonts w:ascii="Arial" w:cs="Arial" w:eastAsia="Arial" w:hAnsi="Arial"/>
          <w:sz w:val="20"/>
          <w:szCs w:val="20"/>
          <w:b w:val="1"/>
          <w:bCs w:val="1"/>
          <w:i w:val="1"/>
          <w:iCs w:val="1"/>
          <w:color w:val="auto"/>
        </w:rPr>
        <w:t>Internal Control — Integrated Framework (2013)</w:t>
      </w:r>
      <w:r>
        <w:rPr>
          <w:rFonts w:ascii="Arial" w:cs="Arial" w:eastAsia="Arial" w:hAnsi="Arial"/>
          <w:sz w:val="20"/>
          <w:szCs w:val="20"/>
          <w:color w:val="auto"/>
        </w:rPr>
        <w:t xml:space="preserve"> issued by the Committee of Sponsoring Organizations of the Treadway Commission. Based on the Company’s evaluation under the framework in </w:t>
      </w:r>
      <w:r>
        <w:rPr>
          <w:rFonts w:ascii="Arial" w:cs="Arial" w:eastAsia="Arial" w:hAnsi="Arial"/>
          <w:sz w:val="20"/>
          <w:szCs w:val="20"/>
          <w:b w:val="1"/>
          <w:bCs w:val="1"/>
          <w:i w:val="1"/>
          <w:iCs w:val="1"/>
          <w:color w:val="auto"/>
        </w:rPr>
        <w:t>Internal Control — Integrated Framework</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(2013)</w:t>
      </w:r>
      <w:r>
        <w:rPr>
          <w:rFonts w:ascii="Arial" w:cs="Arial" w:eastAsia="Arial" w:hAnsi="Arial"/>
          <w:sz w:val="20"/>
          <w:szCs w:val="20"/>
          <w:color w:val="auto"/>
        </w:rPr>
        <w:t>, the Company’s management concluded that its internal control over financial reporting was effective as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December 31, 2023.</w:t>
      </w:r>
    </w:p>
    <w:p>
      <w:pPr>
        <w:spacing w:after="0" w:line="150"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20"/>
          <w:szCs w:val="20"/>
          <w:color w:val="auto"/>
        </w:rPr>
        <w:t>The effectiveness of the Company’s internal control over financial reporting as of December 31, 2023, has been audited by Ernst &amp; Young LLP, the Company’s independent registered public accounting firm, as stated in its report which is included in this Form 10-K.</w:t>
      </w:r>
    </w:p>
    <w:p>
      <w:pPr>
        <w:sectPr>
          <w:pgSz w:w="11880" w:h="15480" w:orient="portrait"/>
          <w:cols w:equalWidth="0" w:num="1">
            <w:col w:w="10200"/>
          </w:cols>
          <w:pgMar w:left="840" w:top="404"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ectPr>
          <w:pgSz w:w="11880" w:h="15480" w:orient="portrait"/>
          <w:cols w:equalWidth="0" w:num="1">
            <w:col w:w="10200"/>
          </w:cols>
          <w:pgMar w:left="840" w:top="404" w:right="840" w:bottom="0" w:gutter="0" w:footer="0" w:header="0"/>
          <w:type w:val="continuous"/>
        </w:sectPr>
      </w:pPr>
    </w:p>
    <w:bookmarkStart w:id="67" w:name="page68"/>
    <w:bookmarkEnd w:id="67"/>
    <w:p>
      <w:pPr>
        <w:ind w:right="2600" w:firstLine="2614"/>
        <w:spacing w:after="0" w:line="461" w:lineRule="auto"/>
        <w:rPr>
          <w:sz w:val="20"/>
          <w:szCs w:val="20"/>
          <w:color w:val="auto"/>
        </w:rPr>
      </w:pPr>
      <w:r>
        <w:rPr>
          <w:rFonts w:ascii="Arial" w:cs="Arial" w:eastAsia="Arial" w:hAnsi="Arial"/>
          <w:sz w:val="19"/>
          <w:szCs w:val="19"/>
          <w:b w:val="1"/>
          <w:bCs w:val="1"/>
          <w:color w:val="auto"/>
        </w:rPr>
        <w:t xml:space="preserve">Report of Independent Registered Public Accounting Firm </w:t>
      </w:r>
      <w:r>
        <w:rPr>
          <w:rFonts w:ascii="Arial" w:cs="Arial" w:eastAsia="Arial" w:hAnsi="Arial"/>
          <w:sz w:val="19"/>
          <w:szCs w:val="19"/>
          <w:color w:val="auto"/>
        </w:rPr>
        <w:t>To the Stockholders and the Board of Directors of Clearway Energy, Inc.:</w:t>
      </w:r>
    </w:p>
    <w:p>
      <w:pPr>
        <w:spacing w:after="0"/>
        <w:rPr>
          <w:sz w:val="20"/>
          <w:szCs w:val="20"/>
          <w:color w:val="auto"/>
        </w:rPr>
      </w:pPr>
      <w:r>
        <w:rPr>
          <w:rFonts w:ascii="Arial" w:cs="Arial" w:eastAsia="Arial" w:hAnsi="Arial"/>
          <w:sz w:val="20"/>
          <w:szCs w:val="20"/>
          <w:b w:val="1"/>
          <w:bCs w:val="1"/>
          <w:i w:val="1"/>
          <w:iCs w:val="1"/>
          <w:color w:val="auto"/>
        </w:rPr>
        <w:t>Opinion on Internal Control over Financial Reporting</w:t>
      </w:r>
    </w:p>
    <w:p>
      <w:pPr>
        <w:spacing w:after="0" w:line="191" w:lineRule="exact"/>
        <w:rPr>
          <w:sz w:val="20"/>
          <w:szCs w:val="20"/>
          <w:color w:val="auto"/>
        </w:rPr>
      </w:pPr>
    </w:p>
    <w:p>
      <w:pPr>
        <w:jc w:val="both"/>
        <w:spacing w:after="0" w:line="297" w:lineRule="auto"/>
        <w:rPr>
          <w:sz w:val="20"/>
          <w:szCs w:val="20"/>
          <w:color w:val="auto"/>
        </w:rPr>
      </w:pPr>
      <w:r>
        <w:rPr>
          <w:rFonts w:ascii="Arial" w:cs="Arial" w:eastAsia="Arial" w:hAnsi="Arial"/>
          <w:sz w:val="18"/>
          <w:szCs w:val="18"/>
          <w:color w:val="auto"/>
        </w:rPr>
        <w:t>We have audited Clearway Energy, Inc.’s (the Company) internal control over financial reporting as of December 31, 2023, based on criteria established in Internal Control-Integrated Framework issued by the Committee of Sponsoring Organizations of the Treadway Commission (2013 framework) (the COSO criteria). In our opinion, the Company maintained, in all material respects, effective internal control over financial reporting as of December 31, 2023, based on the COSO criteria.</w:t>
      </w:r>
    </w:p>
    <w:p>
      <w:pPr>
        <w:spacing w:after="0" w:line="110"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We also have audited, in accordance with the standards of the Public Company Accounting Oversight Board (United States) (PCAOB), the 2023 consolidated financial statements of the Company and our report dated February 22, 2024 expressed an unqualified opinion thereon.</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for Opinion</w:t>
      </w:r>
    </w:p>
    <w:p>
      <w:pPr>
        <w:spacing w:after="0" w:line="191"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9"/>
          <w:szCs w:val="19"/>
          <w:b w:val="1"/>
          <w:bCs w:val="1"/>
          <w:i w:val="1"/>
          <w:iCs w:val="1"/>
          <w:color w:val="auto"/>
        </w:rPr>
        <w:t>Management’s Report</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on Internal Control over Financial Reporting</w:t>
      </w:r>
      <w:r>
        <w:rPr>
          <w:rFonts w:ascii="Arial" w:cs="Arial" w:eastAsia="Arial" w:hAnsi="Arial"/>
          <w:sz w:val="19"/>
          <w:szCs w:val="19"/>
          <w:color w:val="auto"/>
        </w:rPr>
        <w:t>. Our responsibility is to express an opinion on the Company’s internal control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9"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8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Definition and Limitations of Internal Control Over Financial Reporting</w:t>
      </w:r>
    </w:p>
    <w:p>
      <w:pPr>
        <w:spacing w:after="0" w:line="191"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4" w:lineRule="exact"/>
        <w:rPr>
          <w:sz w:val="20"/>
          <w:szCs w:val="20"/>
          <w:color w:val="auto"/>
        </w:rPr>
      </w:pPr>
    </w:p>
    <w:p>
      <w:pPr>
        <w:jc w:val="both"/>
        <w:spacing w:after="0" w:line="307"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color w:val="auto"/>
        </w:rPr>
        <w:t>/s/ Ernst &amp; Young LLP</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color w:val="auto"/>
        </w:rPr>
        <w:t>February 22, 2024</w:t>
      </w:r>
    </w:p>
    <w:p>
      <w:pPr>
        <w:sectPr>
          <w:pgSz w:w="11880" w:h="15480" w:orient="portrait"/>
          <w:cols w:equalWidth="0" w:num="1">
            <w:col w:w="10200"/>
          </w:cols>
          <w:pgMar w:left="840" w:top="404"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ectPr>
          <w:pgSz w:w="11880" w:h="15480" w:orient="portrait"/>
          <w:cols w:equalWidth="0" w:num="1">
            <w:col w:w="10200"/>
          </w:cols>
          <w:pgMar w:left="840" w:top="404" w:right="840" w:bottom="0" w:gutter="0" w:footer="0" w:header="0"/>
          <w:type w:val="continuous"/>
        </w:sectPr>
      </w:pPr>
    </w:p>
    <w:bookmarkStart w:id="68" w:name="page69"/>
    <w:bookmarkEnd w:id="68"/>
    <w:p>
      <w:pPr>
        <w:spacing w:after="0"/>
        <w:rPr>
          <w:sz w:val="20"/>
          <w:szCs w:val="20"/>
          <w:color w:val="auto"/>
        </w:rPr>
      </w:pPr>
      <w:r>
        <w:rPr>
          <w:rFonts w:ascii="Arial" w:cs="Arial" w:eastAsia="Arial" w:hAnsi="Arial"/>
          <w:sz w:val="20"/>
          <w:szCs w:val="20"/>
          <w:b w:val="1"/>
          <w:bCs w:val="1"/>
          <w:color w:val="auto"/>
        </w:rPr>
        <w:t>Item 9B — Other Information</w:t>
      </w:r>
    </w:p>
    <w:p>
      <w:pPr>
        <w:spacing w:after="0" w:line="195"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20"/>
          <w:szCs w:val="20"/>
          <w:color w:val="auto"/>
        </w:rPr>
        <w:t>During the three months ended December 31, 2023, no director or officer (as defined in Rule 16a-1(f) under the Exchange Act) of the Company adopted, modified or terminated a “Rule 10b5-1 trading arrangement” or “non-Rule 10b5-1 trading arrangement,” as each term is defined in Item 408(a) of Regulation S-K.</w:t>
      </w:r>
    </w:p>
    <w:p>
      <w:pPr>
        <w:sectPr>
          <w:pgSz w:w="11880" w:h="15480" w:orient="portrait"/>
          <w:cols w:equalWidth="0" w:num="1">
            <w:col w:w="10200"/>
          </w:cols>
          <w:pgMar w:left="840" w:top="404"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ectPr>
          <w:pgSz w:w="11880" w:h="15480" w:orient="portrait"/>
          <w:cols w:equalWidth="0" w:num="1">
            <w:col w:w="10200"/>
          </w:cols>
          <w:pgMar w:left="840" w:top="404" w:right="840" w:bottom="0" w:gutter="0" w:footer="0" w:header="0"/>
          <w:type w:val="continuous"/>
        </w:sectPr>
      </w:pPr>
    </w:p>
    <w:bookmarkStart w:id="69" w:name="page70"/>
    <w:bookmarkEnd w:id="69"/>
    <w:p>
      <w:pPr>
        <w:ind w:left="4680"/>
        <w:spacing w:after="0"/>
        <w:rPr>
          <w:sz w:val="20"/>
          <w:szCs w:val="20"/>
          <w:color w:val="auto"/>
        </w:rPr>
      </w:pPr>
      <w:r>
        <w:rPr>
          <w:rFonts w:ascii="Arial" w:cs="Arial" w:eastAsia="Arial" w:hAnsi="Arial"/>
          <w:sz w:val="20"/>
          <w:szCs w:val="20"/>
          <w:b w:val="1"/>
          <w:bCs w:val="1"/>
          <w:color w:val="auto"/>
        </w:rPr>
        <w:t>PART III</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 — Information about Directors, Executive Officers and Corporate Governance</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Directors</w:t>
      </w:r>
    </w:p>
    <w:p>
      <w:pPr>
        <w:spacing w:after="0" w:line="192" w:lineRule="exact"/>
        <w:rPr>
          <w:sz w:val="20"/>
          <w:szCs w:val="20"/>
          <w:color w:val="auto"/>
        </w:rPr>
      </w:pPr>
    </w:p>
    <w:p>
      <w:pPr>
        <w:jc w:val="both"/>
        <w:ind w:firstLine="448"/>
        <w:spacing w:after="0" w:line="289" w:lineRule="auto"/>
        <w:rPr>
          <w:sz w:val="20"/>
          <w:szCs w:val="20"/>
          <w:color w:val="auto"/>
        </w:rPr>
      </w:pPr>
      <w:r>
        <w:rPr>
          <w:rFonts w:ascii="Arial" w:cs="Arial" w:eastAsia="Arial" w:hAnsi="Arial"/>
          <w:sz w:val="18"/>
          <w:szCs w:val="18"/>
          <w:b w:val="1"/>
          <w:bCs w:val="1"/>
          <w:i w:val="1"/>
          <w:iCs w:val="1"/>
          <w:color w:val="auto"/>
        </w:rPr>
        <w:t xml:space="preserve">Nathaniel Anschuetz, 36, </w:t>
      </w:r>
      <w:r>
        <w:rPr>
          <w:rFonts w:ascii="Arial" w:cs="Arial" w:eastAsia="Arial" w:hAnsi="Arial"/>
          <w:sz w:val="18"/>
          <w:szCs w:val="18"/>
          <w:color w:val="auto"/>
        </w:rPr>
        <w:t>has served as a director since August 2018. Mr. Anschuetz is a Principal at GIP. Prior to joining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GIP in 2012, Mr. Anschuetz was an Analyst in the Power &amp; Utilities Coverage Group at Citigroup from June 2010 through June 2012. Mr. Anschuetz is also a member of the board of directors of Zephyr Acquisition Holdings, L.P., or Zephyr Acquisition Holdings, the indirect parent of CEG, Eolian, L.P. and SunPower Corporation. Mr. Anschuetz graduated with cum laude honors from Columbia College in 2010 with an A.B. in Economics and Operations Research, and a concentration in Sustainable Development. Mr. Anschuetz’s financial expertise provides significant value to the Company’s board of directors.</w:t>
      </w:r>
    </w:p>
    <w:p>
      <w:pPr>
        <w:spacing w:after="0" w:line="116" w:lineRule="exact"/>
        <w:rPr>
          <w:sz w:val="20"/>
          <w:szCs w:val="20"/>
          <w:color w:val="auto"/>
        </w:rPr>
      </w:pPr>
    </w:p>
    <w:p>
      <w:pPr>
        <w:jc w:val="both"/>
        <w:ind w:firstLine="448"/>
        <w:spacing w:after="0" w:line="283" w:lineRule="auto"/>
        <w:rPr>
          <w:sz w:val="20"/>
          <w:szCs w:val="20"/>
          <w:color w:val="auto"/>
        </w:rPr>
      </w:pPr>
      <w:r>
        <w:rPr>
          <w:rFonts w:ascii="Arial" w:cs="Arial" w:eastAsia="Arial" w:hAnsi="Arial"/>
          <w:sz w:val="18"/>
          <w:szCs w:val="18"/>
          <w:b w:val="1"/>
          <w:bCs w:val="1"/>
          <w:i w:val="1"/>
          <w:iCs w:val="1"/>
          <w:color w:val="auto"/>
        </w:rPr>
        <w:t xml:space="preserve">Jonathan Bram, 58, </w:t>
      </w:r>
      <w:r>
        <w:rPr>
          <w:rFonts w:ascii="Arial" w:cs="Arial" w:eastAsia="Arial" w:hAnsi="Arial"/>
          <w:sz w:val="18"/>
          <w:szCs w:val="18"/>
          <w:color w:val="auto"/>
        </w:rPr>
        <w:t>has served as a director and Chairman of the board of directors of the Company since August 2018.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Bram is a founding partner of GIP and serves on its Investment and Operating Committees and chairs the Investment Committee of its credit funds. Prior to the formation of GIP in 2006, Mr. Bram spent 15 years at Credit Suisse as a managing director in the Investment Banking Division, where he served in a variety of positions including co-head of the Global Industrial and Services Group, chief operating officer of the Investment Banking Division, and co-head of corporate finance for the 150-person U.S. Energy Group. He has experience financing and investing in renewables companies and projects that utilize wind, solar, geothermal and hydroelectric technologies. Mr. Bram is a member of the board of directors of Zephyr Acquisition Holdings, SunPower Corporation and Chile Renovables, SpA. He previously served on the boards of Terra-Gen Power, Guacolda Energy and Channelview Cogeneration. Mr. Bram holds a B.A. in economics from Columbia College. Mr. Bram’s significant experience in investment banking for, and investments in, energy and power companies, as well as his leadership role at GIP, provide strong financial and transactional experience to the Company’s board of directors.</w:t>
      </w:r>
    </w:p>
    <w:p>
      <w:pPr>
        <w:spacing w:after="0" w:line="121" w:lineRule="exact"/>
        <w:rPr>
          <w:sz w:val="20"/>
          <w:szCs w:val="20"/>
          <w:color w:val="auto"/>
        </w:rPr>
      </w:pPr>
    </w:p>
    <w:p>
      <w:pPr>
        <w:jc w:val="both"/>
        <w:ind w:firstLine="448"/>
        <w:spacing w:after="0" w:line="267" w:lineRule="auto"/>
        <w:rPr>
          <w:sz w:val="20"/>
          <w:szCs w:val="20"/>
          <w:color w:val="auto"/>
        </w:rPr>
      </w:pPr>
      <w:r>
        <w:rPr>
          <w:rFonts w:ascii="Arial" w:cs="Arial" w:eastAsia="Arial" w:hAnsi="Arial"/>
          <w:sz w:val="19"/>
          <w:szCs w:val="19"/>
          <w:b w:val="1"/>
          <w:bCs w:val="1"/>
          <w:i w:val="1"/>
          <w:iCs w:val="1"/>
          <w:color w:val="auto"/>
        </w:rPr>
        <w:t xml:space="preserve">Brian R. Ford, 75, </w:t>
      </w:r>
      <w:r>
        <w:rPr>
          <w:rFonts w:ascii="Arial" w:cs="Arial" w:eastAsia="Arial" w:hAnsi="Arial"/>
          <w:sz w:val="19"/>
          <w:szCs w:val="19"/>
          <w:color w:val="auto"/>
        </w:rPr>
        <w:t>has served as a director since July 2013 and Lead Independent Director since January 2019. Mr. Ford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was the Chief Executive Officer of Washington Philadelphia Partners, LP, a real estate investment company, from 2008 through 2010. He retired as a partner from Ernst &amp; Young LLP in June 2008 where he had been employed since 1971. Mr. Ford currently serves on the board of various companies, including FS Investment Corporation portfolios, a specialty finance company that invests primarily in the debt securities of private U.S. middle-market companies, since 2013, where he also serves as the chairman of the audit committee. He also serves on the boards of Drexel University and BAYADA Home Health. From 2013 to 2020, Mr. Ford served on the board of AmeriGas Propane, Inc., where he also served as a member of its audit and corporate governance committees. Mr. Ford received his B.S. in Economics from Rutgers University. Mr. Ford’s extensive experience in accounting and public company matters provides strong financial, audit and accounting skills to the Company’s board of directors.</w:t>
      </w:r>
    </w:p>
    <w:p>
      <w:pPr>
        <w:spacing w:after="0" w:line="136" w:lineRule="exact"/>
        <w:rPr>
          <w:sz w:val="20"/>
          <w:szCs w:val="20"/>
          <w:color w:val="auto"/>
        </w:rPr>
      </w:pPr>
    </w:p>
    <w:p>
      <w:pPr>
        <w:jc w:val="both"/>
        <w:ind w:firstLine="448"/>
        <w:spacing w:after="0" w:line="286" w:lineRule="auto"/>
        <w:rPr>
          <w:sz w:val="20"/>
          <w:szCs w:val="20"/>
          <w:color w:val="auto"/>
        </w:rPr>
      </w:pPr>
      <w:r>
        <w:rPr>
          <w:rFonts w:ascii="Arial" w:cs="Arial" w:eastAsia="Arial" w:hAnsi="Arial"/>
          <w:sz w:val="18"/>
          <w:szCs w:val="18"/>
          <w:b w:val="1"/>
          <w:bCs w:val="1"/>
          <w:i w:val="1"/>
          <w:iCs w:val="1"/>
          <w:color w:val="auto"/>
        </w:rPr>
        <w:t xml:space="preserve">Bruce MacLennan, 57, </w:t>
      </w:r>
      <w:r>
        <w:rPr>
          <w:rFonts w:ascii="Arial" w:cs="Arial" w:eastAsia="Arial" w:hAnsi="Arial"/>
          <w:sz w:val="18"/>
          <w:szCs w:val="18"/>
          <w:color w:val="auto"/>
        </w:rPr>
        <w:t>has served as a director since August 2018. Mr. MacLennan is a Partner of GIP and focuses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energy and power sectors. Prior to joining GIP at its formation in 2006, Mr. MacLennan was a Director in the Investment Banking Division of Credit Suisse. During his time at Credit Suisse, he worked in the Global Energy Group, the Global Project Finance Group and the Global Industrial and Services Group. Mr. MacLennan holds an A.B. from Harvard University and an M.B.A. from the Wharton School of the University of Pennsylvania. He is currently a member of the board of directors of Eolian, L.P. and previously served on the boards of Competitive Power Ventures and CEG. Mr. MacLennan’s significant experience in investment banking for, and investments in, energy and power companies, as well as his leadership role at GIP, provide strong financial and transactional experience to the Company’s board of directors.</w:t>
      </w:r>
    </w:p>
    <w:p>
      <w:pPr>
        <w:spacing w:after="0" w:line="116" w:lineRule="exact"/>
        <w:rPr>
          <w:sz w:val="20"/>
          <w:szCs w:val="20"/>
          <w:color w:val="auto"/>
        </w:rPr>
      </w:pPr>
    </w:p>
    <w:p>
      <w:pPr>
        <w:jc w:val="both"/>
        <w:ind w:firstLine="448"/>
        <w:spacing w:after="0" w:line="269" w:lineRule="auto"/>
        <w:rPr>
          <w:sz w:val="20"/>
          <w:szCs w:val="20"/>
          <w:color w:val="auto"/>
        </w:rPr>
      </w:pPr>
      <w:r>
        <w:rPr>
          <w:rFonts w:ascii="Arial" w:cs="Arial" w:eastAsia="Arial" w:hAnsi="Arial"/>
          <w:sz w:val="19"/>
          <w:szCs w:val="19"/>
          <w:b w:val="1"/>
          <w:bCs w:val="1"/>
          <w:i w:val="1"/>
          <w:iCs w:val="1"/>
          <w:color w:val="auto"/>
        </w:rPr>
        <w:t xml:space="preserve">Daniel B. More, 67, </w:t>
      </w:r>
      <w:r>
        <w:rPr>
          <w:rFonts w:ascii="Arial" w:cs="Arial" w:eastAsia="Arial" w:hAnsi="Arial"/>
          <w:sz w:val="19"/>
          <w:szCs w:val="19"/>
          <w:color w:val="auto"/>
        </w:rPr>
        <w:t>has served as a director since February 2019. Mr. More has been a Senior Advisor with Guggenheim</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Securities since October 2015. Mr. More retired as a Managing Director and Global Head of Utility Mergers &amp; Acquisitions of the Investment Banking Division of Morgan Stanley in 2014. He held such position since 1996. Mr. More has been an investment banker since 1978 and has specialized in the utility sector since 1986. Mr. More has served as a director of SJW Group since April 2015. He served as a director of Saeta Yield from February 2015 to June 2018 and served as a director of the New York Independent System Operator from April 2014 until February 2016. Mr. More’s extensive experience in investment banking, including capital raising and strategic initiatives, combined with experience as a director of energy industry companies, provides significant value to the Company’s board of directors.</w:t>
      </w:r>
    </w:p>
    <w:p>
      <w:pPr>
        <w:sectPr>
          <w:pgSz w:w="11880" w:h="15480" w:orient="portrait"/>
          <w:cols w:equalWidth="0" w:num="1">
            <w:col w:w="10200"/>
          </w:cols>
          <w:pgMar w:left="840" w:top="404"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ectPr>
          <w:pgSz w:w="11880" w:h="15480" w:orient="portrait"/>
          <w:cols w:equalWidth="0" w:num="1">
            <w:col w:w="10200"/>
          </w:cols>
          <w:pgMar w:left="840" w:top="404" w:right="840" w:bottom="0" w:gutter="0" w:footer="0" w:header="0"/>
          <w:type w:val="continuous"/>
        </w:sectPr>
      </w:pPr>
    </w:p>
    <w:bookmarkStart w:id="70" w:name="page71"/>
    <w:bookmarkEnd w:id="70"/>
    <w:p>
      <w:pPr>
        <w:ind w:left="440"/>
        <w:spacing w:after="0"/>
        <w:rPr>
          <w:sz w:val="20"/>
          <w:szCs w:val="20"/>
          <w:color w:val="auto"/>
        </w:rPr>
      </w:pPr>
      <w:r>
        <w:rPr>
          <w:rFonts w:ascii="Arial" w:cs="Arial" w:eastAsia="Arial" w:hAnsi="Arial"/>
          <w:sz w:val="17"/>
          <w:szCs w:val="17"/>
          <w:b w:val="1"/>
          <w:bCs w:val="1"/>
          <w:i w:val="1"/>
          <w:iCs w:val="1"/>
          <w:color w:val="auto"/>
        </w:rPr>
        <w:t xml:space="preserve">E. Stanley O’Neal, 72, </w:t>
      </w:r>
      <w:r>
        <w:rPr>
          <w:rFonts w:ascii="Arial" w:cs="Arial" w:eastAsia="Arial" w:hAnsi="Arial"/>
          <w:sz w:val="17"/>
          <w:szCs w:val="17"/>
          <w:color w:val="auto"/>
        </w:rPr>
        <w:t>has served as a director since August 2018. Mr. O’Neal</w:t>
      </w:r>
      <w:r>
        <w:rPr>
          <w:rFonts w:ascii="Arial" w:cs="Arial" w:eastAsia="Arial" w:hAnsi="Arial"/>
          <w:sz w:val="17"/>
          <w:szCs w:val="17"/>
          <w:b w:val="1"/>
          <w:bCs w:val="1"/>
          <w:i w:val="1"/>
          <w:iCs w:val="1"/>
          <w:color w:val="auto"/>
        </w:rPr>
        <w:t xml:space="preserve"> </w:t>
      </w:r>
      <w:r>
        <w:rPr>
          <w:rFonts w:ascii="Arial" w:cs="Arial" w:eastAsia="Arial" w:hAnsi="Arial"/>
          <w:sz w:val="20"/>
          <w:szCs w:val="20"/>
          <w:color w:val="auto"/>
        </w:rPr>
        <w:t>s</w:t>
      </w:r>
      <w:r>
        <w:rPr>
          <w:rFonts w:ascii="Arial" w:cs="Arial" w:eastAsia="Arial" w:hAnsi="Arial"/>
          <w:sz w:val="17"/>
          <w:szCs w:val="17"/>
          <w:color w:val="auto"/>
        </w:rPr>
        <w:t>erved as Chairman of the Board and Chief</w:t>
      </w:r>
    </w:p>
    <w:p>
      <w:pPr>
        <w:spacing w:after="0" w:line="69"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Executive Officer of Merrill Lynch &amp; Co., Inc. until October 2007. He became Chief Executive Officer of Merrill Lynch in 2002 and was elected Chairman of the Board in 2003. Mr. O’Neal was employed with Merrill Lynch for 21 years, serving as President and Chief Operating Officer from July 2001 to December 2002; President of U.S. Private Client from February 2000 to July 2001; Chief Financial Officer from 1998 to 2000 and Executive Vice President and Co-head of Global Markets and Investment Banking from 1997 to 1998. Before joining Merrill Lynch, Mr. O’Neal was employed at General Motors Corporation where he held a number of financial positions of increasing responsibility. Currently, Mr. O’Neal is chairman of the nominating and governance committee and a member of the committee of Arconic Corp., an aluminum manufacturing company and the former parent company of Alcoa Inc. Mr. O’Neal is also a director and member of the nominating and governance committee of Element Solutions Inc. (formerly Platform Specialty Products Corporation), a global, diversified producer of high technology specialty chemical products and provider of technical services. Mr. O’Neal is also a director of Hut 8 Corp, a cryptocurrency mining company, which was formed in November 2023 as a merger between Hut 8 Mining Corp and U.S. Data Mining Group, Inc. Mr. O’Neal was a director of General Motors Corporation from 2001 to 2006, chairman of the board of Merrill Lynch &amp; Co., Inc. from 2003 to 2007, and a director of American Beacon Advisors, Inc. (investment advisor registered with the Securities and Exchange Commission) from 2009 to September 2012. Mr. O’Neal’s extensive executive experience, financial expertise and leadership skills enable him to provide unique guidance to the Company’s board of directors and management team.</w:t>
      </w:r>
    </w:p>
    <w:p>
      <w:pPr>
        <w:spacing w:after="0" w:line="137" w:lineRule="exact"/>
        <w:rPr>
          <w:sz w:val="20"/>
          <w:szCs w:val="20"/>
          <w:color w:val="auto"/>
        </w:rPr>
      </w:pPr>
    </w:p>
    <w:p>
      <w:pPr>
        <w:jc w:val="both"/>
        <w:ind w:firstLine="448"/>
        <w:spacing w:after="0" w:line="284" w:lineRule="auto"/>
        <w:rPr>
          <w:sz w:val="20"/>
          <w:szCs w:val="20"/>
          <w:color w:val="auto"/>
        </w:rPr>
      </w:pPr>
      <w:r>
        <w:rPr>
          <w:rFonts w:ascii="Arial" w:cs="Arial" w:eastAsia="Arial" w:hAnsi="Arial"/>
          <w:sz w:val="18"/>
          <w:szCs w:val="18"/>
          <w:b w:val="1"/>
          <w:bCs w:val="1"/>
          <w:i w:val="1"/>
          <w:iCs w:val="1"/>
          <w:color w:val="auto"/>
        </w:rPr>
        <w:t xml:space="preserve">Jennifer Lowry, 55, </w:t>
      </w:r>
      <w:r>
        <w:rPr>
          <w:rFonts w:ascii="Arial" w:cs="Arial" w:eastAsia="Arial" w:hAnsi="Arial"/>
          <w:sz w:val="18"/>
          <w:szCs w:val="18"/>
          <w:color w:val="auto"/>
        </w:rPr>
        <w:t>has served as a director since February 2022. Ms. Lowry served as Vice President of Risk, Treasury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Corporate Finance for McCormick &amp; Company, Inc. from October 2019 through July 2021, and as Vice President of Corporate Finance from November 2016 through October 2019. From 2012 to 2016, Ms. Lowry held management positions with Exelon Corporation as Senior Vice President, Generation Company Strategy and Constellation Energy Group, Inc as Vice President and Treasurer. Prior to that, she held executive positions at companies within the electric power industry including AES Corporation and Cogentrix Energy Group, Inc. Ms. Lowry served on numerous governing committees within Constellation and Exelon and was recently Chair of the Maryland Zoo Board of Trustees. Ms. Lowry has also been a board member of Electriq Power Holdings, Inc. since August 2023 and serves on its compensation committee. Ms. Lowry has also been a member of the board of directors of MYR Group, Inc. since 2018, and is currently chair of its Audit Committee. Ms. Lowry’s financial and energy industry experience provides significant value to the Company’s board of directors.</w:t>
      </w:r>
    </w:p>
    <w:p>
      <w:pPr>
        <w:spacing w:after="0" w:line="118" w:lineRule="exact"/>
        <w:rPr>
          <w:sz w:val="20"/>
          <w:szCs w:val="20"/>
          <w:color w:val="auto"/>
        </w:rPr>
      </w:pPr>
    </w:p>
    <w:p>
      <w:pPr>
        <w:jc w:val="both"/>
        <w:ind w:firstLine="448"/>
        <w:spacing w:after="0" w:line="287" w:lineRule="auto"/>
        <w:rPr>
          <w:sz w:val="20"/>
          <w:szCs w:val="20"/>
          <w:color w:val="auto"/>
        </w:rPr>
      </w:pPr>
      <w:r>
        <w:rPr>
          <w:rFonts w:ascii="Arial" w:cs="Arial" w:eastAsia="Arial" w:hAnsi="Arial"/>
          <w:sz w:val="18"/>
          <w:szCs w:val="18"/>
          <w:b w:val="1"/>
          <w:bCs w:val="1"/>
          <w:i w:val="1"/>
          <w:iCs w:val="1"/>
          <w:color w:val="auto"/>
        </w:rPr>
        <w:t xml:space="preserve">Guillaume Hédiard, 42, </w:t>
      </w:r>
      <w:r>
        <w:rPr>
          <w:rFonts w:ascii="Arial" w:cs="Arial" w:eastAsia="Arial" w:hAnsi="Arial"/>
          <w:sz w:val="18"/>
          <w:szCs w:val="18"/>
          <w:color w:val="auto"/>
        </w:rPr>
        <w:t>has served as a director since October 2022. Mr. Hédiard is Vice President Transactions and is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charge of M&amp;A, Structured Finance, and Legal activities for TotalEnergies Renewables. Mr. Hédiard also serves on the board of Casa dos Ventos. Prior to joining TotalEnergies in 2018, Mr. Hédiard spent 12 years at Crédit Agricole Corporate and Investment Bank in Paris and London, where he served as Executive Director in CA-CIB’s Power &amp; Utilities EMEA team in charge of debt arranging and structured finance advisory mandates in the power sector for the EMEA region. Mr. Hédiard holds a BA Corporate Finance and Financial Engineering from the Paris Dauphine University. Mr. Hédiard’s extensive financial and power industry experience provides significant value to the Company’s board of directors.</w:t>
      </w:r>
    </w:p>
    <w:p>
      <w:pPr>
        <w:spacing w:after="0" w:line="118" w:lineRule="exact"/>
        <w:rPr>
          <w:sz w:val="20"/>
          <w:szCs w:val="20"/>
          <w:color w:val="auto"/>
        </w:rPr>
      </w:pPr>
    </w:p>
    <w:p>
      <w:pPr>
        <w:jc w:val="both"/>
        <w:ind w:firstLine="448"/>
        <w:spacing w:after="0" w:line="282" w:lineRule="auto"/>
        <w:rPr>
          <w:sz w:val="20"/>
          <w:szCs w:val="20"/>
          <w:color w:val="auto"/>
        </w:rPr>
      </w:pPr>
      <w:r>
        <w:rPr>
          <w:rFonts w:ascii="Arial" w:cs="Arial" w:eastAsia="Arial" w:hAnsi="Arial"/>
          <w:sz w:val="18"/>
          <w:szCs w:val="18"/>
          <w:b w:val="1"/>
          <w:bCs w:val="1"/>
          <w:i w:val="1"/>
          <w:iCs w:val="1"/>
          <w:color w:val="auto"/>
        </w:rPr>
        <w:t xml:space="preserve">Vincent Stoquart, 49, </w:t>
      </w:r>
      <w:r>
        <w:rPr>
          <w:rFonts w:ascii="Arial" w:cs="Arial" w:eastAsia="Arial" w:hAnsi="Arial"/>
          <w:sz w:val="18"/>
          <w:szCs w:val="18"/>
          <w:color w:val="auto"/>
        </w:rPr>
        <w:t>has served as a director since October 2022. Mr. Stoquart has served as senior vice president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Renewables division of TotalEnergies S.E. since December 6, 2021. Mr. Stoquart is also a member of the board of SunPower Corporation and serves on its compensation committee. From October 2019 to December 2021, he served as Senior Vice President, Refining and Petrochemicals Americas, and President and Chief Executive Officer of Total Petrochemicals &amp; Refining USA, Inc. He was, during this period, also the country chair for TotalEnergies in the United States, based in Houston, Texas. Prior to that, Mr. Stoquart served as Senior Vice President, Polymers, of TotalEnergies Refining &amp; Chemicals in Brussels, Belgium. From 2012 to 2017, Mr. Stoquart managed TotalEnergies’s Flanders Refinery in Dunkirk, France, before joining TotalEnergies Global Services where he became President, TotalEnergies Learning Solutions. Mr. Stoquart began his career with TotalEnergies in 1998 as an engineering project manager at the Feluy Polymers Plant in Belgium, working as a production manager in various positions from 2002 to 2009 before being appointed as human resources and communications manager of the Feluy Plant in 2010. Mr. Stoquart graduated as a mechanical engineer from the Catholic University of Louvain, Belgium. He also has a diploma in aeronautics and aerospace from the von Karman Institute for Fluid Dynamics. Mr. Stoquart’s engineering, energy and leadership experience provides significant value to the Company’s board of directors.</w:t>
      </w:r>
    </w:p>
    <w:p>
      <w:pPr>
        <w:spacing w:after="0" w:line="122" w:lineRule="exact"/>
        <w:rPr>
          <w:sz w:val="20"/>
          <w:szCs w:val="20"/>
          <w:color w:val="auto"/>
        </w:rPr>
      </w:pPr>
    </w:p>
    <w:p>
      <w:pPr>
        <w:jc w:val="both"/>
        <w:ind w:firstLine="448"/>
        <w:spacing w:after="0" w:line="287" w:lineRule="auto"/>
        <w:rPr>
          <w:sz w:val="20"/>
          <w:szCs w:val="20"/>
          <w:color w:val="auto"/>
        </w:rPr>
      </w:pPr>
      <w:r>
        <w:rPr>
          <w:rFonts w:ascii="Arial" w:cs="Arial" w:eastAsia="Arial" w:hAnsi="Arial"/>
          <w:sz w:val="18"/>
          <w:szCs w:val="18"/>
          <w:b w:val="1"/>
          <w:bCs w:val="1"/>
          <w:i w:val="1"/>
          <w:iCs w:val="1"/>
          <w:color w:val="auto"/>
        </w:rPr>
        <w:t xml:space="preserve">Emmanuel Barrois, 41, </w:t>
      </w:r>
      <w:r>
        <w:rPr>
          <w:rFonts w:ascii="Arial" w:cs="Arial" w:eastAsia="Arial" w:hAnsi="Arial"/>
          <w:sz w:val="18"/>
          <w:szCs w:val="18"/>
          <w:color w:val="auto"/>
        </w:rPr>
        <w:t>has served as a director since October 2022. Mr. Barrois has 15 years of experience in the energy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industry. Starting as a petroleum engineer in France and in Nigeria, he moved on to management positions in the Republic of Congo and the UAE. In 2019, he joined the strategy team in the Exploration &amp; Production branch of TotalEnergies, where he led the Long Term Business Plan team. Since 2022, he has been in charge of TotalEnergies’ Renewables portfolio management team. He holds Masters of Engineering from Ecole Nationale des Ponts et Chaussées and Ecole Nationale Supérieure des Pétroles et Moteurs, and a Master of Science from Colorado School of Mines. Mr. Barrois’ engineering, energy and leadership experience provides significant value to the Company’s board of directors.</w:t>
      </w:r>
    </w:p>
    <w:p>
      <w:pPr>
        <w:sectPr>
          <w:pgSz w:w="11880" w:h="15480" w:orient="portrait"/>
          <w:cols w:equalWidth="0" w:num="1">
            <w:col w:w="10200"/>
          </w:cols>
          <w:pgMar w:left="840" w:top="399"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ectPr>
          <w:pgSz w:w="11880" w:h="15480" w:orient="portrait"/>
          <w:cols w:equalWidth="0" w:num="1">
            <w:col w:w="10200"/>
          </w:cols>
          <w:pgMar w:left="840" w:top="399" w:right="840" w:bottom="0" w:gutter="0" w:footer="0" w:header="0"/>
          <w:type w:val="continuous"/>
        </w:sectPr>
      </w:pPr>
    </w:p>
    <w:bookmarkStart w:id="71" w:name="page72"/>
    <w:bookmarkEnd w:id="71"/>
    <w:p>
      <w:pPr>
        <w:jc w:val="both"/>
        <w:ind w:firstLine="448"/>
        <w:spacing w:after="0" w:line="284" w:lineRule="auto"/>
        <w:rPr>
          <w:sz w:val="20"/>
          <w:szCs w:val="20"/>
          <w:color w:val="auto"/>
        </w:rPr>
      </w:pPr>
      <w:r>
        <w:rPr>
          <w:rFonts w:ascii="Arial" w:cs="Arial" w:eastAsia="Arial" w:hAnsi="Arial"/>
          <w:sz w:val="18"/>
          <w:szCs w:val="18"/>
          <w:b w:val="1"/>
          <w:bCs w:val="1"/>
          <w:i w:val="1"/>
          <w:iCs w:val="1"/>
          <w:color w:val="auto"/>
        </w:rPr>
        <w:t xml:space="preserve">Christopher S. Sotos, 52, </w:t>
      </w:r>
      <w:r>
        <w:rPr>
          <w:rFonts w:ascii="Arial" w:cs="Arial" w:eastAsia="Arial" w:hAnsi="Arial"/>
          <w:sz w:val="18"/>
          <w:szCs w:val="18"/>
          <w:color w:val="auto"/>
        </w:rPr>
        <w:t>has served as President and Chief Executive Officer of the Company since May 2016, and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 since May 2013. Mr. Sotos had also served in various positions at NRG, including most recently as Executive Vice President - Strategy and Mergers and Acquisitions from February 2016 through May 2016 and Senior Vice President - Strategy and Mergers and Acquisitions from November 2012 through February 2016. In this role, he led NRG’s corporate strategy, mergers and acquisitions, strategic alliances and other special projects for NRG. Previously, he served as NRG’s Senior Vice President and Treasurer from March 2008 to September 2012, where he was responsible for all treasury functions, including raising capital, valuation, debt administration and cash management. Mr. Sotos also previously served as a director of FuelCell Energy, Inc. from September 2014 to April 2019. As President and Chief Executive Officer of the Company, Mr. Sotos provides the Company’s board of directors with management’s perspective regarding the Company’s day to day operations and overall strategic plan. Mr. Sotos also brings strong financial and accounting skills to the Company’s board of directors.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Officers</w:t>
      </w:r>
    </w:p>
    <w:p>
      <w:pPr>
        <w:spacing w:after="0" w:line="192" w:lineRule="exact"/>
        <w:rPr>
          <w:sz w:val="20"/>
          <w:szCs w:val="20"/>
          <w:color w:val="auto"/>
        </w:rPr>
      </w:pPr>
    </w:p>
    <w:p>
      <w:pPr>
        <w:jc w:val="both"/>
        <w:ind w:firstLine="448"/>
        <w:spacing w:after="0" w:line="342" w:lineRule="auto"/>
        <w:rPr>
          <w:sz w:val="20"/>
          <w:szCs w:val="20"/>
          <w:color w:val="auto"/>
        </w:rPr>
      </w:pPr>
      <w:r>
        <w:rPr>
          <w:rFonts w:ascii="Arial" w:cs="Arial" w:eastAsia="Arial" w:hAnsi="Arial"/>
          <w:sz w:val="18"/>
          <w:szCs w:val="18"/>
          <w:b w:val="1"/>
          <w:bCs w:val="1"/>
          <w:i w:val="1"/>
          <w:iCs w:val="1"/>
          <w:color w:val="auto"/>
        </w:rPr>
        <w:t xml:space="preserve">Christopher S. Sotos </w:t>
      </w:r>
      <w:r>
        <w:rPr>
          <w:rFonts w:ascii="Arial" w:cs="Arial" w:eastAsia="Arial" w:hAnsi="Arial"/>
          <w:sz w:val="18"/>
          <w:szCs w:val="18"/>
          <w:color w:val="auto"/>
        </w:rPr>
        <w:t>has served as President and Chief Executive Officer of the Company since May 2016, and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 of the Company since May 2013. For additional biographical information for Mr. Sotos, see above under “Directors.”</w:t>
      </w:r>
    </w:p>
    <w:p>
      <w:pPr>
        <w:spacing w:after="0" w:line="67" w:lineRule="exact"/>
        <w:rPr>
          <w:sz w:val="20"/>
          <w:szCs w:val="20"/>
          <w:color w:val="auto"/>
        </w:rPr>
      </w:pPr>
    </w:p>
    <w:p>
      <w:pPr>
        <w:jc w:val="both"/>
        <w:ind w:firstLine="448"/>
        <w:spacing w:after="0" w:line="268" w:lineRule="auto"/>
        <w:rPr>
          <w:sz w:val="20"/>
          <w:szCs w:val="20"/>
          <w:color w:val="auto"/>
        </w:rPr>
      </w:pPr>
      <w:r>
        <w:rPr>
          <w:rFonts w:ascii="Arial" w:cs="Arial" w:eastAsia="Arial" w:hAnsi="Arial"/>
          <w:sz w:val="19"/>
          <w:szCs w:val="19"/>
          <w:b w:val="1"/>
          <w:bCs w:val="1"/>
          <w:i w:val="1"/>
          <w:iCs w:val="1"/>
          <w:color w:val="auto"/>
        </w:rPr>
        <w:t xml:space="preserve">Sarah Rubenstein, 46, </w:t>
      </w:r>
      <w:r>
        <w:rPr>
          <w:rFonts w:ascii="Arial" w:cs="Arial" w:eastAsia="Arial" w:hAnsi="Arial"/>
          <w:sz w:val="19"/>
          <w:szCs w:val="19"/>
          <w:color w:val="auto"/>
        </w:rPr>
        <w:t>has served as Executive Vice President and Chief Financial Officer of the Company since April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2023 and previously served as Senior Vice President and Chief Accounting Officer of the Company from January 2022 to March 2023 and as Vice President, Accounting and Controller from November 2020 through December 2021, where she was responsible for providing oversight of the Company’s financial accounting and reporting functions. Ms. Rubenstein previously served as Assistant Controller of the Company from August 2018 through November 2020, where she was responsible for managing corporate accounting and financial reporting activities, and immediately prior to that, as Director of Accounting Research and Financial Reporting at NRG Energy, Inc. from August 2012 through August 2018. Ms. Rubenstein’s prior roles include Director of Finance at EPV Solar, Inc. and Senior Director of Financial Reporting at Warner Music Group. Ms. Rubenstein began her career as an auditor with PricewaterhouseCoopers.</w:t>
      </w:r>
    </w:p>
    <w:p>
      <w:pPr>
        <w:spacing w:after="0" w:line="133" w:lineRule="exact"/>
        <w:rPr>
          <w:sz w:val="20"/>
          <w:szCs w:val="20"/>
          <w:color w:val="auto"/>
        </w:rPr>
      </w:pPr>
    </w:p>
    <w:p>
      <w:pPr>
        <w:jc w:val="both"/>
        <w:ind w:firstLine="448"/>
        <w:spacing w:after="0" w:line="272" w:lineRule="auto"/>
        <w:rPr>
          <w:sz w:val="20"/>
          <w:szCs w:val="20"/>
          <w:color w:val="auto"/>
        </w:rPr>
      </w:pPr>
      <w:r>
        <w:rPr>
          <w:rFonts w:ascii="Arial" w:cs="Arial" w:eastAsia="Arial" w:hAnsi="Arial"/>
          <w:sz w:val="19"/>
          <w:szCs w:val="19"/>
          <w:b w:val="1"/>
          <w:bCs w:val="1"/>
          <w:i w:val="1"/>
          <w:iCs w:val="1"/>
          <w:color w:val="auto"/>
        </w:rPr>
        <w:t xml:space="preserve">Kevin P. Malcarney, 57, </w:t>
      </w:r>
      <w:r>
        <w:rPr>
          <w:rFonts w:ascii="Arial" w:cs="Arial" w:eastAsia="Arial" w:hAnsi="Arial"/>
          <w:sz w:val="19"/>
          <w:szCs w:val="19"/>
          <w:color w:val="auto"/>
        </w:rPr>
        <w:t>has served as the Company’s General Counsel and Corporate Secretary since May 11, 2018,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was promoted from Senior Vice President to Executive Vice President in January 2022. Mr. Malcarney served as Interim General Counsel of the Company from March 16, 2018 to May 11, 2018. Mr. Malcarney was previously Vice President and Deputy General Counsel and served in various other roles at NRG since September 2008. Prior to NRG, Mr. Malcarney worked at two major law firms in Princeton, New Jersey and Philadelphia, Pennsylvania, and handled mergers and acquisitions, project financing and general corporate matters.</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Code of Ethics</w:t>
      </w:r>
    </w:p>
    <w:p>
      <w:pPr>
        <w:spacing w:after="0" w:line="195" w:lineRule="exact"/>
        <w:rPr>
          <w:sz w:val="20"/>
          <w:szCs w:val="20"/>
          <w:color w:val="auto"/>
        </w:rPr>
      </w:pPr>
    </w:p>
    <w:p>
      <w:pPr>
        <w:jc w:val="both"/>
        <w:ind w:firstLine="448"/>
        <w:spacing w:after="0" w:line="269" w:lineRule="auto"/>
        <w:rPr>
          <w:sz w:val="20"/>
          <w:szCs w:val="20"/>
          <w:color w:val="auto"/>
        </w:rPr>
      </w:pPr>
      <w:r>
        <w:rPr>
          <w:rFonts w:ascii="Arial" w:cs="Arial" w:eastAsia="Arial" w:hAnsi="Arial"/>
          <w:sz w:val="19"/>
          <w:szCs w:val="19"/>
          <w:color w:val="auto"/>
        </w:rPr>
        <w:t xml:space="preserve">The Company has adopted a code of ethics entitled “Clearway Energy, Inc. Code of Business Conduct and Ethics” that applies to all of the Company’s directors and employees, including the Company’s Officers (e.g., CEO, CFO, and Principal Accounting Officer). It may be accessed through the “Corporate Governance” section of the Company’s website at </w:t>
      </w:r>
      <w:r>
        <w:rPr>
          <w:rFonts w:ascii="Arial" w:cs="Arial" w:eastAsia="Arial" w:hAnsi="Arial"/>
          <w:sz w:val="19"/>
          <w:szCs w:val="19"/>
          <w:b w:val="1"/>
          <w:bCs w:val="1"/>
          <w:i w:val="1"/>
          <w:iCs w:val="1"/>
          <w:color w:val="auto"/>
        </w:rPr>
        <w:t>http://</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 xml:space="preserve">www.clearwayenergy.com. </w:t>
      </w:r>
      <w:r>
        <w:rPr>
          <w:rFonts w:ascii="Arial" w:cs="Arial" w:eastAsia="Arial" w:hAnsi="Arial"/>
          <w:sz w:val="19"/>
          <w:szCs w:val="19"/>
          <w:color w:val="auto"/>
        </w:rPr>
        <w:t>The Company also elects to disclose the information required by Form 8-K, Item 5.05,</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“Amendments to the Registrant’s Code of Ethics, or Waiver of a Provision of the Code of Ethics,” through the Company’s website, and such information will remain available on this website for at least a 12-month period. A copy of the “Clearway Energy, Inc. Code of Business Conduct and Ethics” is available in print to any stockholder who requests it.</w:t>
      </w:r>
    </w:p>
    <w:p>
      <w:pPr>
        <w:spacing w:after="0" w:line="136" w:lineRule="exact"/>
        <w:rPr>
          <w:sz w:val="20"/>
          <w:szCs w:val="20"/>
          <w:color w:val="auto"/>
        </w:rPr>
      </w:pPr>
    </w:p>
    <w:p>
      <w:pPr>
        <w:jc w:val="both"/>
        <w:ind w:firstLine="448"/>
        <w:spacing w:after="0" w:line="280" w:lineRule="auto"/>
        <w:rPr>
          <w:sz w:val="20"/>
          <w:szCs w:val="20"/>
          <w:color w:val="auto"/>
        </w:rPr>
      </w:pPr>
      <w:r>
        <w:rPr>
          <w:rFonts w:ascii="Arial" w:cs="Arial" w:eastAsia="Arial" w:hAnsi="Arial"/>
          <w:sz w:val="20"/>
          <w:szCs w:val="20"/>
          <w:color w:val="auto"/>
        </w:rPr>
        <w:t>Other information required by this Item will be incorporated by reference to the similarly named section of the Company’s Definitive Proxy Statement for its 2024 Annual Meeting of Stockholders.</w:t>
      </w:r>
    </w:p>
    <w:p>
      <w:pPr>
        <w:sectPr>
          <w:pgSz w:w="11880" w:h="15480" w:orient="portrait"/>
          <w:cols w:equalWidth="0" w:num="1">
            <w:col w:w="10200"/>
          </w:cols>
          <w:pgMar w:left="840" w:top="40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ectPr>
          <w:pgSz w:w="11880" w:h="15480" w:orient="portrait"/>
          <w:cols w:equalWidth="0" w:num="1">
            <w:col w:w="10200"/>
          </w:cols>
          <w:pgMar w:left="840" w:top="408" w:right="840" w:bottom="0" w:gutter="0" w:footer="0" w:header="0"/>
          <w:type w:val="continuous"/>
        </w:sectPr>
      </w:pPr>
    </w:p>
    <w:bookmarkStart w:id="72" w:name="page73"/>
    <w:bookmarkEnd w:id="72"/>
    <w:p>
      <w:pPr>
        <w:spacing w:after="0"/>
        <w:rPr>
          <w:sz w:val="20"/>
          <w:szCs w:val="20"/>
          <w:color w:val="auto"/>
        </w:rPr>
      </w:pPr>
      <w:r>
        <w:rPr>
          <w:rFonts w:ascii="Arial" w:cs="Arial" w:eastAsia="Arial" w:hAnsi="Arial"/>
          <w:sz w:val="20"/>
          <w:szCs w:val="20"/>
          <w:b w:val="1"/>
          <w:bCs w:val="1"/>
          <w:color w:val="auto"/>
        </w:rPr>
        <w:t>Item 11 — Executive Compensation</w:t>
      </w:r>
    </w:p>
    <w:p>
      <w:pPr>
        <w:spacing w:after="0" w:line="195" w:lineRule="exact"/>
        <w:rPr>
          <w:sz w:val="20"/>
          <w:szCs w:val="20"/>
          <w:color w:val="auto"/>
        </w:rPr>
      </w:pPr>
    </w:p>
    <w:p>
      <w:pPr>
        <w:ind w:right="20" w:firstLine="448"/>
        <w:spacing w:after="0" w:line="280" w:lineRule="auto"/>
        <w:rPr>
          <w:sz w:val="20"/>
          <w:szCs w:val="20"/>
          <w:color w:val="auto"/>
        </w:rPr>
      </w:pPr>
      <w:r>
        <w:rPr>
          <w:rFonts w:ascii="Arial" w:cs="Arial" w:eastAsia="Arial" w:hAnsi="Arial"/>
          <w:sz w:val="20"/>
          <w:szCs w:val="20"/>
          <w:color w:val="auto"/>
        </w:rPr>
        <w:t>Information required by this Item will be incorporated by reference to the similarly named section of the Company’s Definitive Proxy Statement for its 2024 Annual Meeting of Stockholders.</w:t>
      </w:r>
    </w:p>
    <w:p>
      <w:pPr>
        <w:spacing w:after="0" w:line="5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12 — Security Ownership of Certain Beneficial Owners and Management and Related Stockholder Matters</w:t>
      </w:r>
    </w:p>
    <w:p>
      <w:pPr>
        <w:spacing w:after="0" w:line="199" w:lineRule="exact"/>
        <w:rPr>
          <w:sz w:val="20"/>
          <w:szCs w:val="20"/>
          <w:color w:val="auto"/>
        </w:rPr>
      </w:pPr>
    </w:p>
    <w:p>
      <w:pPr>
        <w:ind w:right="20"/>
        <w:spacing w:after="0" w:line="284" w:lineRule="auto"/>
        <w:rPr>
          <w:sz w:val="20"/>
          <w:szCs w:val="20"/>
          <w:color w:val="auto"/>
        </w:rPr>
      </w:pPr>
      <w:r>
        <w:rPr>
          <w:rFonts w:ascii="Arial" w:cs="Arial" w:eastAsia="Arial" w:hAnsi="Arial"/>
          <w:sz w:val="20"/>
          <w:szCs w:val="20"/>
          <w:b w:val="1"/>
          <w:bCs w:val="1"/>
          <w:color w:val="auto"/>
        </w:rPr>
        <w:t>Securities Authorized for Issuance under the Clearway Energy, Inc. Amended and Restated 2013 Equity Compensation Plan</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91"/>
              </w:rPr>
              <w:t>(c)</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2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9"/>
              </w:rPr>
              <w:t>Number of Securities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7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(a)</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7"/>
              </w:rPr>
              <w:t>(b)</w:t>
            </w:r>
          </w:p>
        </w:tc>
        <w:tc>
          <w:tcPr>
            <w:tcW w:w="172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0"/>
              </w:rPr>
              <w:t>Remaining Available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172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0"/>
              </w:rPr>
              <w:t>for Future Issuance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72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9"/>
              </w:rPr>
              <w:t>Number of Securities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gridSpan w:val="2"/>
          </w:tcPr>
          <w:p>
            <w:pPr>
              <w:jc w:val="center"/>
              <w:ind w:right="200"/>
              <w:spacing w:after="0" w:line="159" w:lineRule="exact"/>
              <w:rPr>
                <w:sz w:val="20"/>
                <w:szCs w:val="20"/>
                <w:color w:val="auto"/>
              </w:rPr>
            </w:pPr>
            <w:r>
              <w:rPr>
                <w:rFonts w:ascii="Arial" w:cs="Arial" w:eastAsia="Arial" w:hAnsi="Arial"/>
                <w:sz w:val="16"/>
                <w:szCs w:val="16"/>
                <w:b w:val="1"/>
                <w:bCs w:val="1"/>
                <w:color w:val="auto"/>
                <w:w w:val="91"/>
              </w:rPr>
              <w:t>Weighted-Average</w:t>
            </w:r>
          </w:p>
        </w:tc>
        <w:tc>
          <w:tcPr>
            <w:tcW w:w="172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4"/>
              </w:rPr>
              <w:t>Under Equity</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72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7"/>
              </w:rPr>
              <w:t>to be Issued Upon</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gridSpan w:val="2"/>
          </w:tcPr>
          <w:p>
            <w:pPr>
              <w:jc w:val="center"/>
              <w:ind w:right="220"/>
              <w:spacing w:after="0" w:line="159" w:lineRule="exact"/>
              <w:rPr>
                <w:sz w:val="20"/>
                <w:szCs w:val="20"/>
                <w:color w:val="auto"/>
              </w:rPr>
            </w:pPr>
            <w:r>
              <w:rPr>
                <w:rFonts w:ascii="Arial" w:cs="Arial" w:eastAsia="Arial" w:hAnsi="Arial"/>
                <w:sz w:val="16"/>
                <w:szCs w:val="16"/>
                <w:b w:val="1"/>
                <w:bCs w:val="1"/>
                <w:color w:val="auto"/>
                <w:w w:val="88"/>
              </w:rPr>
              <w:t>Exercise</w:t>
            </w:r>
          </w:p>
        </w:tc>
        <w:tc>
          <w:tcPr>
            <w:tcW w:w="172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8"/>
              </w:rPr>
              <w:t>Compensation</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72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6"/>
              </w:rPr>
              <w:t>Exercise of</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gridSpan w:val="2"/>
          </w:tcPr>
          <w:p>
            <w:pPr>
              <w:jc w:val="center"/>
              <w:ind w:right="220"/>
              <w:spacing w:after="0" w:line="159" w:lineRule="exact"/>
              <w:rPr>
                <w:sz w:val="20"/>
                <w:szCs w:val="20"/>
                <w:color w:val="auto"/>
              </w:rPr>
            </w:pPr>
            <w:r>
              <w:rPr>
                <w:rFonts w:ascii="Arial" w:cs="Arial" w:eastAsia="Arial" w:hAnsi="Arial"/>
                <w:sz w:val="16"/>
                <w:szCs w:val="16"/>
                <w:b w:val="1"/>
                <w:bCs w:val="1"/>
                <w:color w:val="auto"/>
                <w:w w:val="90"/>
              </w:rPr>
              <w:t>Price of Outstanding</w:t>
            </w:r>
          </w:p>
        </w:tc>
        <w:tc>
          <w:tcPr>
            <w:tcW w:w="172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9"/>
              </w:rPr>
              <w:t>Plans (Excluding</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486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Plan Category</w:t>
            </w:r>
          </w:p>
        </w:tc>
        <w:tc>
          <w:tcPr>
            <w:tcW w:w="172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9"/>
              </w:rPr>
              <w:t>Outstanding Options,</w:t>
            </w:r>
          </w:p>
        </w:tc>
        <w:tc>
          <w:tcPr>
            <w:tcW w:w="80" w:type="dxa"/>
            <w:vAlign w:val="bottom"/>
          </w:tcPr>
          <w:p>
            <w:pPr>
              <w:spacing w:after="0"/>
              <w:rPr>
                <w:sz w:val="13"/>
                <w:szCs w:val="13"/>
                <w:color w:val="auto"/>
              </w:rPr>
            </w:pPr>
          </w:p>
        </w:tc>
        <w:tc>
          <w:tcPr>
            <w:tcW w:w="1780" w:type="dxa"/>
            <w:vAlign w:val="bottom"/>
            <w:gridSpan w:val="3"/>
          </w:tcPr>
          <w:p>
            <w:pPr>
              <w:jc w:val="center"/>
              <w:ind w:right="80"/>
              <w:spacing w:after="0" w:line="159" w:lineRule="exact"/>
              <w:rPr>
                <w:sz w:val="20"/>
                <w:szCs w:val="20"/>
                <w:color w:val="auto"/>
              </w:rPr>
            </w:pPr>
            <w:r>
              <w:rPr>
                <w:rFonts w:ascii="Arial" w:cs="Arial" w:eastAsia="Arial" w:hAnsi="Arial"/>
                <w:sz w:val="16"/>
                <w:szCs w:val="16"/>
                <w:b w:val="1"/>
                <w:bCs w:val="1"/>
                <w:color w:val="auto"/>
                <w:w w:val="92"/>
              </w:rPr>
              <w:t>Options, Warrants and</w:t>
            </w:r>
          </w:p>
        </w:tc>
        <w:tc>
          <w:tcPr>
            <w:tcW w:w="172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7"/>
              </w:rPr>
              <w:t>Securities Reflected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4860" w:type="dxa"/>
            <w:vAlign w:val="bottom"/>
            <w:gridSpan w:val="3"/>
            <w:vMerge w:val="continue"/>
          </w:tcPr>
          <w:p>
            <w:pPr>
              <w:spacing w:after="0"/>
              <w:rPr>
                <w:sz w:val="14"/>
                <w:szCs w:val="14"/>
                <w:color w:val="auto"/>
              </w:rPr>
            </w:pPr>
          </w:p>
        </w:tc>
        <w:tc>
          <w:tcPr>
            <w:tcW w:w="1720" w:type="dxa"/>
            <w:vAlign w:val="bottom"/>
          </w:tcPr>
          <w:p>
            <w:pPr>
              <w:jc w:val="center"/>
              <w:spacing w:after="0" w:line="172" w:lineRule="exact"/>
              <w:rPr>
                <w:sz w:val="20"/>
                <w:szCs w:val="20"/>
                <w:color w:val="auto"/>
              </w:rPr>
            </w:pPr>
            <w:r>
              <w:rPr>
                <w:rFonts w:ascii="Arial" w:cs="Arial" w:eastAsia="Arial" w:hAnsi="Arial"/>
                <w:sz w:val="16"/>
                <w:szCs w:val="16"/>
                <w:b w:val="1"/>
                <w:bCs w:val="1"/>
                <w:color w:val="auto"/>
                <w:w w:val="92"/>
              </w:rPr>
              <w:t>Warrants and Rights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center"/>
              <w:ind w:right="200"/>
              <w:spacing w:after="0" w:line="172" w:lineRule="exact"/>
              <w:rPr>
                <w:sz w:val="20"/>
                <w:szCs w:val="20"/>
                <w:color w:val="auto"/>
              </w:rPr>
            </w:pPr>
            <w:r>
              <w:rPr>
                <w:rFonts w:ascii="Arial" w:cs="Arial" w:eastAsia="Arial" w:hAnsi="Arial"/>
                <w:sz w:val="16"/>
                <w:szCs w:val="16"/>
                <w:b w:val="1"/>
                <w:bCs w:val="1"/>
                <w:color w:val="auto"/>
                <w:w w:val="88"/>
              </w:rPr>
              <w:t>Rights</w:t>
            </w:r>
          </w:p>
        </w:tc>
        <w:tc>
          <w:tcPr>
            <w:tcW w:w="1720" w:type="dxa"/>
            <w:vAlign w:val="bottom"/>
          </w:tcPr>
          <w:p>
            <w:pPr>
              <w:jc w:val="center"/>
              <w:spacing w:after="0" w:line="173" w:lineRule="exact"/>
              <w:rPr>
                <w:sz w:val="20"/>
                <w:szCs w:val="20"/>
                <w:color w:val="auto"/>
              </w:rPr>
            </w:pPr>
            <w:r>
              <w:rPr>
                <w:rFonts w:ascii="Arial" w:cs="Arial" w:eastAsia="Arial" w:hAnsi="Arial"/>
                <w:sz w:val="15"/>
                <w:szCs w:val="15"/>
                <w:b w:val="1"/>
                <w:bCs w:val="1"/>
                <w:color w:val="auto"/>
                <w:w w:val="96"/>
              </w:rPr>
              <w:t xml:space="preserve">in Column (a)) </w:t>
            </w:r>
            <w:r>
              <w:rPr>
                <w:rFonts w:ascii="Arial" w:cs="Arial" w:eastAsia="Arial" w:hAnsi="Arial"/>
                <w:sz w:val="19"/>
                <w:szCs w:val="19"/>
                <w:b w:val="1"/>
                <w:bCs w:val="1"/>
                <w:color w:val="auto"/>
                <w:w w:val="96"/>
                <w:vertAlign w:val="superscript"/>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E6E6E6"/>
            </w:tcBorders>
          </w:tcPr>
          <w:p>
            <w:pPr>
              <w:spacing w:after="0" w:line="20" w:lineRule="exact"/>
              <w:rPr>
                <w:sz w:val="1"/>
                <w:szCs w:val="1"/>
                <w:color w:val="auto"/>
              </w:rPr>
            </w:pPr>
          </w:p>
        </w:tc>
        <w:tc>
          <w:tcPr>
            <w:tcW w:w="980" w:type="dxa"/>
            <w:vAlign w:val="bottom"/>
            <w:tcBorders>
              <w:top w:val="single" w:sz="8" w:color="auto"/>
              <w:bottom w:val="single" w:sz="8" w:color="E6E6E6"/>
            </w:tcBorders>
          </w:tcPr>
          <w:p>
            <w:pPr>
              <w:spacing w:after="0" w:line="20" w:lineRule="exact"/>
              <w:rPr>
                <w:sz w:val="1"/>
                <w:szCs w:val="1"/>
                <w:color w:val="auto"/>
              </w:rPr>
            </w:pPr>
          </w:p>
        </w:tc>
        <w:tc>
          <w:tcPr>
            <w:tcW w:w="960" w:type="dxa"/>
            <w:vAlign w:val="bottom"/>
            <w:tcBorders>
              <w:bottom w:val="single" w:sz="8" w:color="E6E6E6"/>
            </w:tcBorders>
          </w:tcPr>
          <w:p>
            <w:pPr>
              <w:spacing w:after="0" w:line="20" w:lineRule="exact"/>
              <w:rPr>
                <w:sz w:val="1"/>
                <w:szCs w:val="1"/>
                <w:color w:val="auto"/>
              </w:rPr>
            </w:pPr>
          </w:p>
        </w:tc>
        <w:tc>
          <w:tcPr>
            <w:tcW w:w="2920" w:type="dxa"/>
            <w:vAlign w:val="bottom"/>
            <w:tcBorders>
              <w:bottom w:val="single" w:sz="8" w:color="E6E6E6"/>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6E6E6"/>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6E6E6"/>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E6E6E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1"/>
        </w:trPr>
        <w:tc>
          <w:tcPr>
            <w:tcW w:w="40" w:type="dxa"/>
            <w:vAlign w:val="bottom"/>
            <w:shd w:val="clear" w:color="auto" w:fill="E6E6E6"/>
          </w:tcPr>
          <w:p>
            <w:pPr>
              <w:spacing w:after="0"/>
              <w:rPr>
                <w:sz w:val="18"/>
                <w:szCs w:val="18"/>
                <w:color w:val="auto"/>
              </w:rPr>
            </w:pPr>
          </w:p>
        </w:tc>
        <w:tc>
          <w:tcPr>
            <w:tcW w:w="4860" w:type="dxa"/>
            <w:vAlign w:val="bottom"/>
            <w:gridSpan w:val="3"/>
            <w:shd w:val="clear" w:color="auto" w:fill="E6E6E6"/>
          </w:tcPr>
          <w:p>
            <w:pPr>
              <w:spacing w:after="0" w:line="211" w:lineRule="exact"/>
              <w:rPr>
                <w:sz w:val="20"/>
                <w:szCs w:val="20"/>
                <w:color w:val="auto"/>
              </w:rPr>
            </w:pPr>
            <w:r>
              <w:rPr>
                <w:rFonts w:ascii="Arial" w:cs="Arial" w:eastAsia="Arial" w:hAnsi="Arial"/>
                <w:sz w:val="20"/>
                <w:szCs w:val="20"/>
                <w:color w:val="auto"/>
                <w:w w:val="94"/>
              </w:rPr>
              <w:t>Equity compensation plans approved by security holders -</w:t>
            </w:r>
          </w:p>
        </w:tc>
        <w:tc>
          <w:tcPr>
            <w:tcW w:w="172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7,626</w:t>
            </w:r>
          </w:p>
        </w:tc>
        <w:tc>
          <w:tcPr>
            <w:tcW w:w="220" w:type="dxa"/>
            <w:vAlign w:val="bottom"/>
            <w:gridSpan w:val="2"/>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640" w:type="dxa"/>
            <w:vAlign w:val="bottom"/>
            <w:gridSpan w:val="2"/>
            <w:vMerge w:val="restart"/>
            <w:shd w:val="clear" w:color="auto" w:fill="E6E6E6"/>
          </w:tcPr>
          <w:p>
            <w:pPr>
              <w:jc w:val="center"/>
              <w:ind w:left="1072"/>
              <w:spacing w:after="0"/>
              <w:rPr>
                <w:sz w:val="20"/>
                <w:szCs w:val="20"/>
                <w:color w:val="auto"/>
              </w:rPr>
            </w:pPr>
            <w:r>
              <w:rPr>
                <w:rFonts w:ascii="Arial" w:cs="Arial" w:eastAsia="Arial" w:hAnsi="Arial"/>
                <w:sz w:val="20"/>
                <w:szCs w:val="20"/>
                <w:color w:val="auto"/>
                <w:w w:val="99"/>
              </w:rPr>
              <w:t>—</w:t>
            </w:r>
          </w:p>
        </w:tc>
        <w:tc>
          <w:tcPr>
            <w:tcW w:w="172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2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40" w:type="dxa"/>
            <w:vAlign w:val="bottom"/>
            <w:shd w:val="clear" w:color="auto" w:fill="E6E6E6"/>
          </w:tcPr>
          <w:p>
            <w:pPr>
              <w:spacing w:after="0"/>
              <w:rPr>
                <w:sz w:val="23"/>
                <w:szCs w:val="23"/>
                <w:color w:val="auto"/>
              </w:rPr>
            </w:pPr>
          </w:p>
        </w:tc>
        <w:tc>
          <w:tcPr>
            <w:tcW w:w="4860" w:type="dxa"/>
            <w:vAlign w:val="bottom"/>
            <w:gridSpan w:val="3"/>
            <w:shd w:val="clear" w:color="auto" w:fill="E6E6E6"/>
          </w:tcPr>
          <w:p>
            <w:pPr>
              <w:ind w:left="280"/>
              <w:spacing w:after="0"/>
              <w:rPr>
                <w:sz w:val="20"/>
                <w:szCs w:val="20"/>
                <w:color w:val="auto"/>
              </w:rPr>
            </w:pPr>
            <w:r>
              <w:rPr>
                <w:rFonts w:ascii="Arial" w:cs="Arial" w:eastAsia="Arial" w:hAnsi="Arial"/>
                <w:sz w:val="20"/>
                <w:szCs w:val="20"/>
                <w:color w:val="auto"/>
                <w:w w:val="90"/>
              </w:rPr>
              <w:t xml:space="preserve">Class A common stock </w:t>
            </w:r>
            <w:r>
              <w:rPr>
                <w:rFonts w:ascii="Arial" w:cs="Arial" w:eastAsia="Arial" w:hAnsi="Arial"/>
                <w:sz w:val="20"/>
                <w:szCs w:val="20"/>
                <w:color w:val="BDBDBD"/>
                <w:w w:val="90"/>
              </w:rPr>
              <w:t>. . . . . . . . . . . . . . . . . . . . . . . . . . .</w:t>
            </w:r>
          </w:p>
        </w:tc>
        <w:tc>
          <w:tcPr>
            <w:tcW w:w="1720" w:type="dxa"/>
            <w:vAlign w:val="bottom"/>
            <w:vMerge w:val="continue"/>
            <w:shd w:val="clear" w:color="auto" w:fill="E6E6E6"/>
          </w:tcPr>
          <w:p>
            <w:pPr>
              <w:spacing w:after="0"/>
              <w:rPr>
                <w:sz w:val="23"/>
                <w:szCs w:val="23"/>
                <w:color w:val="auto"/>
              </w:rPr>
            </w:pPr>
          </w:p>
        </w:tc>
        <w:tc>
          <w:tcPr>
            <w:tcW w:w="220" w:type="dxa"/>
            <w:vAlign w:val="bottom"/>
            <w:gridSpan w:val="2"/>
            <w:vMerge w:val="continue"/>
            <w:shd w:val="clear" w:color="auto" w:fill="E6E6E6"/>
          </w:tcPr>
          <w:p>
            <w:pPr>
              <w:spacing w:after="0"/>
              <w:rPr>
                <w:sz w:val="23"/>
                <w:szCs w:val="23"/>
                <w:color w:val="auto"/>
              </w:rPr>
            </w:pPr>
          </w:p>
        </w:tc>
        <w:tc>
          <w:tcPr>
            <w:tcW w:w="1640" w:type="dxa"/>
            <w:vAlign w:val="bottom"/>
            <w:gridSpan w:val="2"/>
            <w:vMerge w:val="continue"/>
            <w:shd w:val="clear" w:color="auto" w:fill="E6E6E6"/>
          </w:tcPr>
          <w:p>
            <w:pPr>
              <w:spacing w:after="0"/>
              <w:rPr>
                <w:sz w:val="23"/>
                <w:szCs w:val="23"/>
                <w:color w:val="auto"/>
              </w:rPr>
            </w:pPr>
          </w:p>
        </w:tc>
        <w:tc>
          <w:tcPr>
            <w:tcW w:w="1720" w:type="dxa"/>
            <w:vAlign w:val="bottom"/>
            <w:vMerge w:val="continue"/>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4860" w:type="dxa"/>
            <w:vAlign w:val="bottom"/>
            <w:gridSpan w:val="3"/>
          </w:tcPr>
          <w:p>
            <w:pPr>
              <w:spacing w:after="0" w:line="221" w:lineRule="exact"/>
              <w:rPr>
                <w:sz w:val="20"/>
                <w:szCs w:val="20"/>
                <w:color w:val="auto"/>
              </w:rPr>
            </w:pPr>
            <w:r>
              <w:rPr>
                <w:rFonts w:ascii="Arial" w:cs="Arial" w:eastAsia="Arial" w:hAnsi="Arial"/>
                <w:sz w:val="20"/>
                <w:szCs w:val="20"/>
                <w:color w:val="auto"/>
                <w:w w:val="94"/>
              </w:rPr>
              <w:t>Equity compensation plans approved by security holders -</w:t>
            </w:r>
          </w:p>
        </w:tc>
        <w:tc>
          <w:tcPr>
            <w:tcW w:w="1720" w:type="dxa"/>
            <w:vAlign w:val="bottom"/>
            <w:vMerge w:val="restart"/>
          </w:tcPr>
          <w:p>
            <w:pPr>
              <w:jc w:val="right"/>
              <w:spacing w:after="0"/>
              <w:rPr>
                <w:sz w:val="20"/>
                <w:szCs w:val="20"/>
                <w:color w:val="auto"/>
              </w:rPr>
            </w:pPr>
            <w:r>
              <w:rPr>
                <w:rFonts w:ascii="Arial" w:cs="Arial" w:eastAsia="Arial" w:hAnsi="Arial"/>
                <w:sz w:val="20"/>
                <w:szCs w:val="20"/>
                <w:color w:val="auto"/>
              </w:rPr>
              <w:t>645,494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2"/>
            <w:vMerge w:val="restart"/>
          </w:tcPr>
          <w:p>
            <w:pPr>
              <w:jc w:val="center"/>
              <w:ind w:left="1072"/>
              <w:spacing w:after="0"/>
              <w:rPr>
                <w:sz w:val="20"/>
                <w:szCs w:val="20"/>
                <w:color w:val="auto"/>
              </w:rPr>
            </w:pPr>
            <w:r>
              <w:rPr>
                <w:rFonts w:ascii="Arial" w:cs="Arial" w:eastAsia="Arial" w:hAnsi="Arial"/>
                <w:sz w:val="20"/>
                <w:szCs w:val="20"/>
                <w:color w:val="auto"/>
                <w:w w:val="99"/>
              </w:rPr>
              <w:t>—</w:t>
            </w:r>
          </w:p>
        </w:tc>
        <w:tc>
          <w:tcPr>
            <w:tcW w:w="1720" w:type="dxa"/>
            <w:vAlign w:val="bottom"/>
            <w:vMerge w:val="restart"/>
          </w:tcPr>
          <w:p>
            <w:pPr>
              <w:jc w:val="right"/>
              <w:spacing w:after="0"/>
              <w:rPr>
                <w:sz w:val="20"/>
                <w:szCs w:val="20"/>
                <w:color w:val="auto"/>
              </w:rPr>
            </w:pPr>
            <w:r>
              <w:rPr>
                <w:rFonts w:ascii="Arial" w:cs="Arial" w:eastAsia="Arial" w:hAnsi="Arial"/>
                <w:sz w:val="20"/>
                <w:szCs w:val="20"/>
                <w:color w:val="auto"/>
              </w:rPr>
              <w:t>2,855,350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4860" w:type="dxa"/>
            <w:vAlign w:val="bottom"/>
            <w:gridSpan w:val="3"/>
          </w:tcPr>
          <w:p>
            <w:pPr>
              <w:ind w:left="280"/>
              <w:spacing w:after="0"/>
              <w:rPr>
                <w:sz w:val="20"/>
                <w:szCs w:val="20"/>
                <w:color w:val="auto"/>
              </w:rPr>
            </w:pPr>
            <w:r>
              <w:rPr>
                <w:rFonts w:ascii="Arial" w:cs="Arial" w:eastAsia="Arial" w:hAnsi="Arial"/>
                <w:sz w:val="20"/>
                <w:szCs w:val="20"/>
                <w:color w:val="auto"/>
                <w:w w:val="90"/>
              </w:rPr>
              <w:t xml:space="preserve">Class C common stock </w:t>
            </w:r>
            <w:r>
              <w:rPr>
                <w:rFonts w:ascii="Arial" w:cs="Arial" w:eastAsia="Arial" w:hAnsi="Arial"/>
                <w:sz w:val="20"/>
                <w:szCs w:val="20"/>
                <w:color w:val="BDBDBD"/>
                <w:w w:val="90"/>
              </w:rPr>
              <w:t>. . . . . . . . . . . . . . . . . . . . . . . . . . .</w:t>
            </w:r>
          </w:p>
        </w:tc>
        <w:tc>
          <w:tcPr>
            <w:tcW w:w="172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40" w:type="dxa"/>
            <w:vAlign w:val="bottom"/>
            <w:gridSpan w:val="2"/>
            <w:vMerge w:val="continue"/>
          </w:tcPr>
          <w:p>
            <w:pPr>
              <w:spacing w:after="0"/>
              <w:rPr>
                <w:sz w:val="23"/>
                <w:szCs w:val="23"/>
                <w:color w:val="auto"/>
              </w:rPr>
            </w:pPr>
          </w:p>
        </w:tc>
        <w:tc>
          <w:tcPr>
            <w:tcW w:w="1720" w:type="dxa"/>
            <w:vAlign w:val="bottom"/>
            <w:vMerge w:val="continue"/>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40" w:type="dxa"/>
            <w:vAlign w:val="bottom"/>
            <w:shd w:val="clear" w:color="auto" w:fill="E6E6E6"/>
          </w:tcPr>
          <w:p>
            <w:pPr>
              <w:spacing w:after="0"/>
              <w:rPr>
                <w:sz w:val="19"/>
                <w:szCs w:val="19"/>
                <w:color w:val="auto"/>
              </w:rPr>
            </w:pPr>
          </w:p>
        </w:tc>
        <w:tc>
          <w:tcPr>
            <w:tcW w:w="4860" w:type="dxa"/>
            <w:vAlign w:val="bottom"/>
            <w:gridSpan w:val="3"/>
            <w:shd w:val="clear" w:color="auto" w:fill="E6E6E6"/>
          </w:tcPr>
          <w:p>
            <w:pPr>
              <w:spacing w:after="0" w:line="227" w:lineRule="exact"/>
              <w:rPr>
                <w:sz w:val="20"/>
                <w:szCs w:val="20"/>
                <w:color w:val="auto"/>
              </w:rPr>
            </w:pPr>
            <w:r>
              <w:rPr>
                <w:rFonts w:ascii="Arial" w:cs="Arial" w:eastAsia="Arial" w:hAnsi="Arial"/>
                <w:sz w:val="20"/>
                <w:szCs w:val="20"/>
                <w:color w:val="auto"/>
              </w:rPr>
              <w:t>Equity compensation plans not approved by security</w:t>
            </w:r>
          </w:p>
        </w:tc>
        <w:tc>
          <w:tcPr>
            <w:tcW w:w="172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1580" w:type="dxa"/>
            <w:vAlign w:val="bottom"/>
            <w:vMerge w:val="restart"/>
            <w:shd w:val="clear" w:color="auto" w:fill="E6E6E6"/>
          </w:tcPr>
          <w:p>
            <w:pPr>
              <w:jc w:val="center"/>
              <w:ind w:left="1112"/>
              <w:spacing w:after="0"/>
              <w:rPr>
                <w:sz w:val="20"/>
                <w:szCs w:val="20"/>
                <w:color w:val="auto"/>
              </w:rPr>
            </w:pPr>
            <w:r>
              <w:rPr>
                <w:rFonts w:ascii="Arial" w:cs="Arial" w:eastAsia="Arial" w:hAnsi="Arial"/>
                <w:sz w:val="20"/>
                <w:szCs w:val="20"/>
                <w:color w:val="auto"/>
              </w:rPr>
              <w:t>N/A</w:t>
            </w:r>
          </w:p>
        </w:tc>
        <w:tc>
          <w:tcPr>
            <w:tcW w:w="60" w:type="dxa"/>
            <w:vAlign w:val="bottom"/>
            <w:vMerge w:val="restart"/>
            <w:shd w:val="clear" w:color="auto" w:fill="E6E6E6"/>
          </w:tcPr>
          <w:p>
            <w:pPr>
              <w:spacing w:after="0"/>
              <w:rPr>
                <w:sz w:val="19"/>
                <w:szCs w:val="19"/>
                <w:color w:val="auto"/>
              </w:rPr>
            </w:pPr>
          </w:p>
        </w:tc>
        <w:tc>
          <w:tcPr>
            <w:tcW w:w="172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40" w:type="dxa"/>
            <w:vAlign w:val="bottom"/>
            <w:tcBorders>
              <w:bottom w:val="single" w:sz="8" w:color="E6E6E6"/>
            </w:tcBorders>
            <w:shd w:val="clear" w:color="auto" w:fill="E6E6E6"/>
          </w:tcPr>
          <w:p>
            <w:pPr>
              <w:spacing w:after="0"/>
              <w:rPr>
                <w:sz w:val="22"/>
                <w:szCs w:val="22"/>
                <w:color w:val="auto"/>
              </w:rPr>
            </w:pPr>
          </w:p>
        </w:tc>
        <w:tc>
          <w:tcPr>
            <w:tcW w:w="4860" w:type="dxa"/>
            <w:vAlign w:val="bottom"/>
            <w:tcBorders>
              <w:bottom w:val="single" w:sz="8" w:color="E6E6E6"/>
            </w:tcBorders>
            <w:gridSpan w:val="3"/>
            <w:shd w:val="clear" w:color="auto" w:fill="E6E6E6"/>
          </w:tcPr>
          <w:p>
            <w:pPr>
              <w:ind w:left="280"/>
              <w:spacing w:after="0"/>
              <w:rPr>
                <w:sz w:val="20"/>
                <w:szCs w:val="20"/>
                <w:color w:val="auto"/>
              </w:rPr>
            </w:pPr>
            <w:r>
              <w:rPr>
                <w:rFonts w:ascii="Arial" w:cs="Arial" w:eastAsia="Arial" w:hAnsi="Arial"/>
                <w:sz w:val="20"/>
                <w:szCs w:val="20"/>
                <w:color w:val="auto"/>
                <w:w w:val="91"/>
              </w:rPr>
              <w:t xml:space="preserve">holders </w:t>
            </w:r>
            <w:r>
              <w:rPr>
                <w:rFonts w:ascii="Arial" w:cs="Arial" w:eastAsia="Arial" w:hAnsi="Arial"/>
                <w:sz w:val="20"/>
                <w:szCs w:val="20"/>
                <w:color w:val="BDBDBD"/>
                <w:w w:val="91"/>
              </w:rPr>
              <w:t>. . . . . . . . . . . . . . . . . . . . . . . . . . . . . . . . . . . . . . .</w:t>
            </w:r>
          </w:p>
        </w:tc>
        <w:tc>
          <w:tcPr>
            <w:tcW w:w="1720" w:type="dxa"/>
            <w:vAlign w:val="bottom"/>
            <w:tcBorders>
              <w:bottom w:val="single" w:sz="8" w:color="auto"/>
            </w:tcBorders>
            <w:vMerge w:val="continue"/>
            <w:shd w:val="clear" w:color="auto" w:fill="E6E6E6"/>
          </w:tcPr>
          <w:p>
            <w:pPr>
              <w:spacing w:after="0"/>
              <w:rPr>
                <w:sz w:val="22"/>
                <w:szCs w:val="22"/>
                <w:color w:val="auto"/>
              </w:rPr>
            </w:pPr>
          </w:p>
        </w:tc>
        <w:tc>
          <w:tcPr>
            <w:tcW w:w="80" w:type="dxa"/>
            <w:vAlign w:val="bottom"/>
            <w:tcBorders>
              <w:bottom w:val="single" w:sz="8" w:color="E6E6E6"/>
            </w:tcBorders>
            <w:shd w:val="clear" w:color="auto" w:fill="E6E6E6"/>
          </w:tcPr>
          <w:p>
            <w:pPr>
              <w:spacing w:after="0"/>
              <w:rPr>
                <w:sz w:val="22"/>
                <w:szCs w:val="22"/>
                <w:color w:val="auto"/>
              </w:rPr>
            </w:pPr>
          </w:p>
        </w:tc>
        <w:tc>
          <w:tcPr>
            <w:tcW w:w="140" w:type="dxa"/>
            <w:vAlign w:val="bottom"/>
            <w:tcBorders>
              <w:bottom w:val="single" w:sz="8" w:color="auto"/>
            </w:tcBorders>
            <w:shd w:val="clear" w:color="auto" w:fill="E6E6E6"/>
          </w:tcPr>
          <w:p>
            <w:pPr>
              <w:spacing w:after="0"/>
              <w:rPr>
                <w:sz w:val="22"/>
                <w:szCs w:val="22"/>
                <w:color w:val="auto"/>
              </w:rPr>
            </w:pPr>
          </w:p>
        </w:tc>
        <w:tc>
          <w:tcPr>
            <w:tcW w:w="1580" w:type="dxa"/>
            <w:vAlign w:val="bottom"/>
            <w:tcBorders>
              <w:bottom w:val="single" w:sz="8" w:color="auto"/>
            </w:tcBorders>
            <w:vMerge w:val="continue"/>
            <w:shd w:val="clear" w:color="auto" w:fill="E6E6E6"/>
          </w:tcPr>
          <w:p>
            <w:pPr>
              <w:spacing w:after="0"/>
              <w:rPr>
                <w:sz w:val="22"/>
                <w:szCs w:val="22"/>
                <w:color w:val="auto"/>
              </w:rPr>
            </w:pPr>
          </w:p>
        </w:tc>
        <w:tc>
          <w:tcPr>
            <w:tcW w:w="60" w:type="dxa"/>
            <w:vAlign w:val="bottom"/>
            <w:tcBorders>
              <w:bottom w:val="single" w:sz="8" w:color="E6E6E6"/>
            </w:tcBorders>
            <w:vMerge w:val="continue"/>
            <w:shd w:val="clear" w:color="auto" w:fill="E6E6E6"/>
          </w:tcPr>
          <w:p>
            <w:pPr>
              <w:spacing w:after="0"/>
              <w:rPr>
                <w:sz w:val="22"/>
                <w:szCs w:val="22"/>
                <w:color w:val="auto"/>
              </w:rPr>
            </w:pPr>
          </w:p>
        </w:tc>
        <w:tc>
          <w:tcPr>
            <w:tcW w:w="1720" w:type="dxa"/>
            <w:vAlign w:val="bottom"/>
            <w:tcBorders>
              <w:bottom w:val="single" w:sz="8" w:color="auto"/>
            </w:tcBorders>
            <w:vMerge w:val="continue"/>
            <w:shd w:val="clear" w:color="auto" w:fill="E6E6E6"/>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4860" w:type="dxa"/>
            <w:vAlign w:val="bottom"/>
            <w:gridSpan w:val="3"/>
          </w:tcPr>
          <w:p>
            <w:pPr>
              <w:spacing w:after="0"/>
              <w:rPr>
                <w:sz w:val="20"/>
                <w:szCs w:val="20"/>
                <w:color w:val="auto"/>
              </w:rPr>
            </w:pPr>
            <w:r>
              <w:rPr>
                <w:rFonts w:ascii="Arial" w:cs="Arial" w:eastAsia="Arial" w:hAnsi="Arial"/>
                <w:sz w:val="20"/>
                <w:szCs w:val="20"/>
                <w:color w:val="auto"/>
                <w:w w:val="90"/>
              </w:rPr>
              <w:t xml:space="preserve">Total </w:t>
            </w:r>
            <w:r>
              <w:rPr>
                <w:rFonts w:ascii="Arial" w:cs="Arial" w:eastAsia="Arial" w:hAnsi="Arial"/>
                <w:sz w:val="20"/>
                <w:szCs w:val="20"/>
                <w:color w:val="BDBDBD"/>
                <w:w w:val="90"/>
              </w:rPr>
              <w:t>. . . . . . . . . . . . . . . . . . . . . . . . . . . . . . . . . . . . . . . . . . . .</w:t>
            </w:r>
          </w:p>
        </w:tc>
        <w:tc>
          <w:tcPr>
            <w:tcW w:w="1720" w:type="dxa"/>
            <w:vAlign w:val="bottom"/>
          </w:tcPr>
          <w:p>
            <w:pPr>
              <w:jc w:val="right"/>
              <w:spacing w:after="0"/>
              <w:rPr>
                <w:sz w:val="20"/>
                <w:szCs w:val="20"/>
                <w:color w:val="auto"/>
              </w:rPr>
            </w:pPr>
            <w:r>
              <w:rPr>
                <w:rFonts w:ascii="Arial" w:cs="Arial" w:eastAsia="Arial" w:hAnsi="Arial"/>
                <w:sz w:val="20"/>
                <w:szCs w:val="20"/>
                <w:color w:val="auto"/>
              </w:rPr>
              <w:t>653,120</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640" w:type="dxa"/>
            <w:vAlign w:val="bottom"/>
            <w:gridSpan w:val="2"/>
          </w:tcPr>
          <w:p>
            <w:pPr>
              <w:jc w:val="center"/>
              <w:ind w:left="1072"/>
              <w:spacing w:after="0"/>
              <w:rPr>
                <w:sz w:val="20"/>
                <w:szCs w:val="20"/>
                <w:color w:val="auto"/>
              </w:rPr>
            </w:pPr>
            <w:r>
              <w:rPr>
                <w:rFonts w:ascii="Arial" w:cs="Arial" w:eastAsia="Arial" w:hAnsi="Arial"/>
                <w:sz w:val="20"/>
                <w:szCs w:val="20"/>
                <w:color w:val="auto"/>
                <w:w w:val="99"/>
              </w:rPr>
              <w:t>—</w:t>
            </w:r>
          </w:p>
        </w:tc>
        <w:tc>
          <w:tcPr>
            <w:tcW w:w="1720" w:type="dxa"/>
            <w:vAlign w:val="bottom"/>
          </w:tcPr>
          <w:p>
            <w:pPr>
              <w:jc w:val="right"/>
              <w:spacing w:after="0"/>
              <w:rPr>
                <w:sz w:val="20"/>
                <w:szCs w:val="20"/>
                <w:color w:val="auto"/>
              </w:rPr>
            </w:pPr>
            <w:r>
              <w:rPr>
                <w:rFonts w:ascii="Arial" w:cs="Arial" w:eastAsia="Arial" w:hAnsi="Arial"/>
                <w:sz w:val="20"/>
                <w:szCs w:val="20"/>
                <w:color w:val="auto"/>
              </w:rPr>
              <w:t>2,855,350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9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3102610</wp:posOffset>
            </wp:positionH>
            <wp:positionV relativeFrom="paragraph">
              <wp:posOffset>-1256665</wp:posOffset>
            </wp:positionV>
            <wp:extent cx="3389630" cy="6508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75">
                      <a:extLst>
                        <a:ext uri="{28A0092B-C50C-407E-A947-70E740481C1C}"/>
                      </a:extLst>
                    </a:blip>
                    <a:srcRect/>
                    <a:stretch>
                      <a:fillRect/>
                    </a:stretch>
                  </pic:blipFill>
                  <pic:spPr bwMode="auto">
                    <a:xfrm>
                      <a:off x="0" y="0"/>
                      <a:ext cx="3389630" cy="650875"/>
                    </a:xfrm>
                    <a:prstGeom prst="rect">
                      <a:avLst/>
                    </a:prstGeom>
                    <a:noFill/>
                  </pic:spPr>
                </pic:pic>
              </a:graphicData>
            </a:graphic>
          </wp:anchor>
        </w:drawing>
        <w:drawing>
          <wp:anchor simplePos="0" relativeHeight="251657728" behindDoc="1" locked="0" layoutInCell="0" allowOverlap="1">
            <wp:simplePos x="0" y="0"/>
            <wp:positionH relativeFrom="column">
              <wp:posOffset>3102610</wp:posOffset>
            </wp:positionH>
            <wp:positionV relativeFrom="paragraph">
              <wp:posOffset>-318770</wp:posOffset>
            </wp:positionV>
            <wp:extent cx="338963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76">
                      <a:extLst>
                        <a:ext uri="{28A0092B-C50C-407E-A947-70E740481C1C}"/>
                      </a:extLst>
                    </a:blip>
                    <a:srcRect/>
                    <a:stretch>
                      <a:fillRect/>
                    </a:stretch>
                  </pic:blipFill>
                  <pic:spPr bwMode="auto">
                    <a:xfrm>
                      <a:off x="0" y="0"/>
                      <a:ext cx="3389630" cy="25400"/>
                    </a:xfrm>
                    <a:prstGeom prst="rect">
                      <a:avLst/>
                    </a:prstGeom>
                    <a:noFill/>
                  </pic:spPr>
                </pic:pic>
              </a:graphicData>
            </a:graphic>
          </wp:anchor>
        </w:drawing>
      </w:r>
    </w:p>
    <w:p>
      <w:pPr>
        <w:spacing w:after="0" w:line="33" w:lineRule="exact"/>
        <w:rPr>
          <w:sz w:val="20"/>
          <w:szCs w:val="20"/>
          <w:color w:val="auto"/>
        </w:rPr>
      </w:pPr>
    </w:p>
    <w:p>
      <w:pPr>
        <w:ind w:left="80" w:right="20" w:firstLine="5"/>
        <w:spacing w:after="0" w:line="219" w:lineRule="auto"/>
        <w:tabs>
          <w:tab w:leader="none" w:pos="278" w:val="left"/>
        </w:tabs>
        <w:numPr>
          <w:ilvl w:val="0"/>
          <w:numId w:val="46"/>
        </w:numPr>
        <w:rPr>
          <w:rFonts w:ascii="Arial" w:cs="Arial" w:eastAsia="Arial" w:hAnsi="Arial"/>
          <w:sz w:val="23"/>
          <w:szCs w:val="23"/>
          <w:color w:val="auto"/>
          <w:vertAlign w:val="superscript"/>
        </w:rPr>
      </w:pPr>
      <w:r>
        <w:rPr>
          <w:rFonts w:ascii="Arial" w:cs="Arial" w:eastAsia="Arial" w:hAnsi="Arial"/>
          <w:sz w:val="16"/>
          <w:szCs w:val="16"/>
          <w:color w:val="auto"/>
        </w:rPr>
        <w:t>Beginning in May 2015, awards to be granted and associated dividend equivalent rights to be issued under the Clearway Energy, Inc. Amended and Restated 2013 Equity Incentive Plan convert to Class C common stock upon vesting.</w:t>
      </w:r>
    </w:p>
    <w:p>
      <w:pPr>
        <w:spacing w:after="0" w:line="149" w:lineRule="exact"/>
        <w:rPr>
          <w:sz w:val="20"/>
          <w:szCs w:val="20"/>
          <w:color w:val="auto"/>
        </w:rPr>
      </w:pPr>
    </w:p>
    <w:p>
      <w:pPr>
        <w:ind w:right="20" w:firstLine="448"/>
        <w:spacing w:after="0" w:line="280" w:lineRule="auto"/>
        <w:rPr>
          <w:sz w:val="20"/>
          <w:szCs w:val="20"/>
          <w:color w:val="auto"/>
        </w:rPr>
      </w:pPr>
      <w:r>
        <w:rPr>
          <w:rFonts w:ascii="Arial" w:cs="Arial" w:eastAsia="Arial" w:hAnsi="Arial"/>
          <w:sz w:val="20"/>
          <w:szCs w:val="20"/>
          <w:color w:val="auto"/>
        </w:rPr>
        <w:t>Other information required by this Item will be incorporated by reference to the similarly named section of the Company’s Definitive Proxy Statement for its 2024 Annual Meeting of Stockholders.</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13 — Certain Relationships and Related Transactions, and Director Independence</w:t>
      </w:r>
    </w:p>
    <w:p>
      <w:pPr>
        <w:spacing w:after="0" w:line="195" w:lineRule="exact"/>
        <w:rPr>
          <w:sz w:val="20"/>
          <w:szCs w:val="20"/>
          <w:color w:val="auto"/>
        </w:rPr>
      </w:pPr>
    </w:p>
    <w:p>
      <w:pPr>
        <w:ind w:right="20" w:firstLine="448"/>
        <w:spacing w:after="0" w:line="280" w:lineRule="auto"/>
        <w:rPr>
          <w:sz w:val="20"/>
          <w:szCs w:val="20"/>
          <w:color w:val="auto"/>
        </w:rPr>
      </w:pPr>
      <w:r>
        <w:rPr>
          <w:rFonts w:ascii="Arial" w:cs="Arial" w:eastAsia="Arial" w:hAnsi="Arial"/>
          <w:sz w:val="20"/>
          <w:szCs w:val="20"/>
          <w:color w:val="auto"/>
        </w:rPr>
        <w:t>Information required by this Item will be incorporated by reference to the similarly named section of the Company’s Definitive Proxy Statement for its 2024 Annual Meeting of Stockholders.</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14 — Principal Accounting Fees and Services</w:t>
      </w:r>
    </w:p>
    <w:p>
      <w:pPr>
        <w:spacing w:after="0" w:line="195" w:lineRule="exact"/>
        <w:rPr>
          <w:sz w:val="20"/>
          <w:szCs w:val="20"/>
          <w:color w:val="auto"/>
        </w:rPr>
      </w:pPr>
    </w:p>
    <w:p>
      <w:pPr>
        <w:ind w:right="20" w:firstLine="448"/>
        <w:spacing w:after="0" w:line="280" w:lineRule="auto"/>
        <w:rPr>
          <w:sz w:val="20"/>
          <w:szCs w:val="20"/>
          <w:color w:val="auto"/>
        </w:rPr>
      </w:pPr>
      <w:r>
        <w:rPr>
          <w:rFonts w:ascii="Arial" w:cs="Arial" w:eastAsia="Arial" w:hAnsi="Arial"/>
          <w:sz w:val="20"/>
          <w:szCs w:val="20"/>
          <w:color w:val="auto"/>
        </w:rPr>
        <w:t>Information required by this Item will be incorporated by reference to the similarly named section of the Company’s Definitive Proxy Statement for its 2024 Annual Meeting of Stockholders.</w:t>
      </w:r>
    </w:p>
    <w:p>
      <w:pPr>
        <w:sectPr>
          <w:pgSz w:w="11880" w:h="15480" w:orient="portrait"/>
          <w:cols w:equalWidth="0" w:num="1">
            <w:col w:w="10220"/>
          </w:cols>
          <w:pgMar w:left="840" w:top="404"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71</w:t>
      </w:r>
    </w:p>
    <w:p>
      <w:pPr>
        <w:sectPr>
          <w:pgSz w:w="11880" w:h="15480" w:orient="portrait"/>
          <w:cols w:equalWidth="0" w:num="1">
            <w:col w:w="10220"/>
          </w:cols>
          <w:pgMar w:left="840" w:top="404" w:right="820" w:bottom="0" w:gutter="0" w:footer="0" w:header="0"/>
          <w:type w:val="continuous"/>
        </w:sectPr>
      </w:pPr>
    </w:p>
    <w:bookmarkStart w:id="73" w:name="page74"/>
    <w:bookmarkEnd w:id="73"/>
    <w:p>
      <w:pPr>
        <w:jc w:val="center"/>
        <w:ind w:right="-39"/>
        <w:spacing w:after="0"/>
        <w:rPr>
          <w:sz w:val="20"/>
          <w:szCs w:val="20"/>
          <w:color w:val="auto"/>
        </w:rPr>
      </w:pPr>
      <w:r>
        <w:rPr>
          <w:rFonts w:ascii="Arial" w:cs="Arial" w:eastAsia="Arial" w:hAnsi="Arial"/>
          <w:sz w:val="20"/>
          <w:szCs w:val="20"/>
          <w:b w:val="1"/>
          <w:bCs w:val="1"/>
          <w:color w:val="auto"/>
        </w:rPr>
        <w:t>PART IV</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15 — Exhibits, Financial Statement Schedules</w:t>
      </w:r>
    </w:p>
    <w:p>
      <w:pPr>
        <w:spacing w:after="0" w:line="195" w:lineRule="exact"/>
        <w:rPr>
          <w:sz w:val="20"/>
          <w:szCs w:val="20"/>
          <w:color w:val="auto"/>
        </w:rPr>
      </w:pPr>
    </w:p>
    <w:p>
      <w:pPr>
        <w:ind w:left="540"/>
        <w:spacing w:after="0"/>
        <w:rPr>
          <w:sz w:val="20"/>
          <w:szCs w:val="20"/>
          <w:color w:val="auto"/>
        </w:rPr>
      </w:pPr>
      <w:r>
        <w:rPr>
          <w:rFonts w:ascii="Arial" w:cs="Arial" w:eastAsia="Arial" w:hAnsi="Arial"/>
          <w:sz w:val="20"/>
          <w:szCs w:val="20"/>
          <w:color w:val="auto"/>
        </w:rPr>
        <w:t>(a)(1) Financial Statements</w:t>
      </w:r>
    </w:p>
    <w:p>
      <w:pPr>
        <w:spacing w:after="0" w:line="188" w:lineRule="exact"/>
        <w:rPr>
          <w:sz w:val="20"/>
          <w:szCs w:val="20"/>
          <w:color w:val="auto"/>
        </w:rPr>
      </w:pPr>
    </w:p>
    <w:p>
      <w:pPr>
        <w:ind w:left="1080" w:right="40" w:hanging="268"/>
        <w:spacing w:after="0" w:line="265" w:lineRule="auto"/>
        <w:rPr>
          <w:sz w:val="20"/>
          <w:szCs w:val="20"/>
          <w:color w:val="auto"/>
        </w:rPr>
      </w:pPr>
      <w:r>
        <w:rPr>
          <w:rFonts w:ascii="Arial" w:cs="Arial" w:eastAsia="Arial" w:hAnsi="Arial"/>
          <w:sz w:val="20"/>
          <w:szCs w:val="20"/>
          <w:color w:val="auto"/>
        </w:rPr>
        <w:t>The following consolidated financial statements of Clearway Energy, Inc. and related notes thereto, together with the Report of Independent Registered Public Accounting Firm of Ernst &amp; Young LLP (PCAOB ID: 42) thereon, are included herein:</w:t>
      </w:r>
    </w:p>
    <w:p>
      <w:pPr>
        <w:spacing w:after="0" w:line="134" w:lineRule="exact"/>
        <w:rPr>
          <w:sz w:val="20"/>
          <w:szCs w:val="20"/>
          <w:color w:val="auto"/>
        </w:rPr>
      </w:pPr>
    </w:p>
    <w:p>
      <w:pPr>
        <w:ind w:left="800"/>
        <w:spacing w:after="0"/>
        <w:rPr>
          <w:sz w:val="20"/>
          <w:szCs w:val="20"/>
          <w:color w:val="auto"/>
        </w:rPr>
      </w:pPr>
      <w:r>
        <w:rPr>
          <w:rFonts w:ascii="Arial" w:cs="Arial" w:eastAsia="Arial" w:hAnsi="Arial"/>
          <w:sz w:val="20"/>
          <w:szCs w:val="20"/>
          <w:color w:val="auto"/>
        </w:rPr>
        <w:t>Consolidated Statements of Income — Years ended December 31, 2023, 2022 and 2021</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20"/>
          <w:szCs w:val="20"/>
          <w:color w:val="auto"/>
        </w:rPr>
        <w:t>Consolidated Statements of Comprehensive Income — Years ended December 31, 2023, 2022 and 2021</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20"/>
          <w:szCs w:val="20"/>
          <w:color w:val="auto"/>
        </w:rPr>
        <w:t>Consolidated Balance Sheets — As of December 31, 2023 and 2022</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20"/>
          <w:szCs w:val="20"/>
          <w:color w:val="auto"/>
        </w:rPr>
        <w:t>Consolidated Statements of Cash Flows — Years ended December 31, 2023, 2022 and 2021</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20"/>
          <w:szCs w:val="20"/>
          <w:color w:val="auto"/>
        </w:rPr>
        <w:t>Consolidated Statements of Stockholders’ Equity — Years ended December 31, 2023, 2022 and 2021</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20"/>
          <w:szCs w:val="20"/>
          <w:color w:val="auto"/>
        </w:rPr>
        <w:t>Notes to Consolidated Financial Statements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20"/>
          <w:szCs w:val="20"/>
          <w:color w:val="auto"/>
        </w:rPr>
        <w:t>(a)(2) Financial Statement Schedules</w:t>
      </w:r>
    </w:p>
    <w:p>
      <w:pPr>
        <w:spacing w:after="0" w:line="188" w:lineRule="exact"/>
        <w:rPr>
          <w:sz w:val="20"/>
          <w:szCs w:val="20"/>
          <w:color w:val="auto"/>
        </w:rPr>
      </w:pPr>
    </w:p>
    <w:p>
      <w:pPr>
        <w:ind w:left="1080" w:right="100"/>
        <w:spacing w:after="0" w:line="280" w:lineRule="auto"/>
        <w:rPr>
          <w:sz w:val="20"/>
          <w:szCs w:val="20"/>
          <w:color w:val="auto"/>
        </w:rPr>
      </w:pPr>
      <w:r>
        <w:rPr>
          <w:rFonts w:ascii="Arial" w:cs="Arial" w:eastAsia="Arial" w:hAnsi="Arial"/>
          <w:sz w:val="20"/>
          <w:szCs w:val="20"/>
          <w:color w:val="auto"/>
        </w:rPr>
        <w:t>The following schedules of Clearway Energy, Inc. are filed as part of Item 15 of this report and should be read in conjunction with the Consolidated Financial Statements:</w:t>
      </w:r>
    </w:p>
    <w:p>
      <w:pPr>
        <w:spacing w:after="0" w:line="120" w:lineRule="exact"/>
        <w:rPr>
          <w:sz w:val="20"/>
          <w:szCs w:val="20"/>
          <w:color w:val="auto"/>
        </w:rPr>
      </w:pPr>
    </w:p>
    <w:p>
      <w:pPr>
        <w:ind w:left="1080" w:right="80"/>
        <w:spacing w:after="0" w:line="265" w:lineRule="auto"/>
        <w:rPr>
          <w:sz w:val="20"/>
          <w:szCs w:val="20"/>
          <w:color w:val="auto"/>
        </w:rPr>
      </w:pPr>
      <w:r>
        <w:rPr>
          <w:rFonts w:ascii="Arial" w:cs="Arial" w:eastAsia="Arial" w:hAnsi="Arial"/>
          <w:sz w:val="20"/>
          <w:szCs w:val="20"/>
          <w:color w:val="auto"/>
        </w:rPr>
        <w:t>Schedule I — Clearway Energy, Inc. (Parent) Condensed Financial Statements for the years ended December 31, 2023, 2022 and 2021, are included in Clearway Energy, Inc.’s Annual Report on Form 10-K pursuant to the requirements of Rule 5-04(c) of Regulation S-X</w:t>
      </w:r>
    </w:p>
    <w:p>
      <w:pPr>
        <w:spacing w:after="0" w:line="134"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Schedule II — Valuation and Qualifying Accounts</w:t>
      </w:r>
    </w:p>
    <w:p>
      <w:pPr>
        <w:spacing w:after="0" w:line="188" w:lineRule="exact"/>
        <w:rPr>
          <w:sz w:val="20"/>
          <w:szCs w:val="20"/>
          <w:color w:val="auto"/>
        </w:rPr>
      </w:pPr>
    </w:p>
    <w:p>
      <w:pPr>
        <w:ind w:left="1080"/>
        <w:spacing w:after="0" w:line="265" w:lineRule="auto"/>
        <w:rPr>
          <w:sz w:val="20"/>
          <w:szCs w:val="20"/>
          <w:color w:val="auto"/>
        </w:rPr>
      </w:pPr>
      <w:r>
        <w:rPr>
          <w:rFonts w:ascii="Arial" w:cs="Arial" w:eastAsia="Arial" w:hAnsi="Arial"/>
          <w:sz w:val="20"/>
          <w:szCs w:val="20"/>
          <w:color w:val="auto"/>
        </w:rPr>
        <w:t>All other schedules for which provision is made in the applicable accounting regulation of the Securities and Exchange Commission are not required under the related instructions or are inapplicable, and therefore, have been omitted</w:t>
      </w:r>
    </w:p>
    <w:p>
      <w:pPr>
        <w:spacing w:after="0" w:line="134" w:lineRule="exact"/>
        <w:rPr>
          <w:sz w:val="20"/>
          <w:szCs w:val="20"/>
          <w:color w:val="auto"/>
        </w:rPr>
      </w:pPr>
    </w:p>
    <w:p>
      <w:pPr>
        <w:ind w:left="540"/>
        <w:spacing w:after="0"/>
        <w:rPr>
          <w:sz w:val="20"/>
          <w:szCs w:val="20"/>
          <w:color w:val="auto"/>
        </w:rPr>
      </w:pPr>
      <w:r>
        <w:rPr>
          <w:rFonts w:ascii="Arial" w:cs="Arial" w:eastAsia="Arial" w:hAnsi="Arial"/>
          <w:sz w:val="20"/>
          <w:szCs w:val="20"/>
          <w:color w:val="auto"/>
        </w:rPr>
        <w:t>(a)(3) Exhibits: See Exhibit Index submitted as a separate section of this report</w:t>
      </w:r>
    </w:p>
    <w:p>
      <w:pPr>
        <w:spacing w:after="0" w:line="188" w:lineRule="exact"/>
        <w:rPr>
          <w:sz w:val="20"/>
          <w:szCs w:val="20"/>
          <w:color w:val="auto"/>
        </w:rPr>
      </w:pPr>
    </w:p>
    <w:p>
      <w:pPr>
        <w:ind w:left="820" w:hanging="287"/>
        <w:spacing w:after="0"/>
        <w:tabs>
          <w:tab w:leader="none" w:pos="820" w:val="left"/>
        </w:tabs>
        <w:numPr>
          <w:ilvl w:val="0"/>
          <w:numId w:val="47"/>
        </w:numPr>
        <w:rPr>
          <w:rFonts w:ascii="Arial" w:cs="Arial" w:eastAsia="Arial" w:hAnsi="Arial"/>
          <w:sz w:val="20"/>
          <w:szCs w:val="20"/>
          <w:color w:val="auto"/>
        </w:rPr>
      </w:pPr>
      <w:r>
        <w:rPr>
          <w:rFonts w:ascii="Arial" w:cs="Arial" w:eastAsia="Arial" w:hAnsi="Arial"/>
          <w:sz w:val="20"/>
          <w:szCs w:val="20"/>
          <w:color w:val="auto"/>
        </w:rPr>
        <w:t>Exhibits</w:t>
      </w:r>
    </w:p>
    <w:p>
      <w:pPr>
        <w:spacing w:after="0" w:line="187" w:lineRule="exact"/>
        <w:rPr>
          <w:rFonts w:ascii="Arial" w:cs="Arial" w:eastAsia="Arial" w:hAnsi="Arial"/>
          <w:sz w:val="20"/>
          <w:szCs w:val="20"/>
          <w:color w:val="auto"/>
        </w:rPr>
      </w:pPr>
    </w:p>
    <w:p>
      <w:pPr>
        <w:ind w:left="800"/>
        <w:spacing w:after="0"/>
        <w:rPr>
          <w:rFonts w:ascii="Arial" w:cs="Arial" w:eastAsia="Arial" w:hAnsi="Arial"/>
          <w:sz w:val="20"/>
          <w:szCs w:val="20"/>
          <w:color w:val="auto"/>
        </w:rPr>
      </w:pPr>
      <w:r>
        <w:rPr>
          <w:rFonts w:ascii="Arial" w:cs="Arial" w:eastAsia="Arial" w:hAnsi="Arial"/>
          <w:sz w:val="20"/>
          <w:szCs w:val="20"/>
          <w:color w:val="auto"/>
        </w:rPr>
        <w:t>See Exhibit Index submitted as a separate section of this report</w:t>
      </w:r>
    </w:p>
    <w:p>
      <w:pPr>
        <w:spacing w:after="0" w:line="187" w:lineRule="exact"/>
        <w:rPr>
          <w:rFonts w:ascii="Arial" w:cs="Arial" w:eastAsia="Arial" w:hAnsi="Arial"/>
          <w:sz w:val="20"/>
          <w:szCs w:val="20"/>
          <w:color w:val="auto"/>
        </w:rPr>
      </w:pPr>
    </w:p>
    <w:p>
      <w:pPr>
        <w:ind w:left="800" w:hanging="267"/>
        <w:spacing w:after="0"/>
        <w:tabs>
          <w:tab w:leader="none" w:pos="800" w:val="left"/>
        </w:tabs>
        <w:numPr>
          <w:ilvl w:val="0"/>
          <w:numId w:val="47"/>
        </w:numPr>
        <w:rPr>
          <w:rFonts w:ascii="Arial" w:cs="Arial" w:eastAsia="Arial" w:hAnsi="Arial"/>
          <w:sz w:val="20"/>
          <w:szCs w:val="20"/>
          <w:color w:val="auto"/>
        </w:rPr>
      </w:pPr>
      <w:r>
        <w:rPr>
          <w:rFonts w:ascii="Arial" w:cs="Arial" w:eastAsia="Arial" w:hAnsi="Arial"/>
          <w:sz w:val="20"/>
          <w:szCs w:val="20"/>
          <w:color w:val="auto"/>
        </w:rPr>
        <w:t>Not applicable</w:t>
      </w:r>
    </w:p>
    <w:p>
      <w:pPr>
        <w:sectPr>
          <w:pgSz w:w="11880" w:h="15480" w:orient="portrait"/>
          <w:cols w:equalWidth="0" w:num="1">
            <w:col w:w="10160"/>
          </w:cols>
          <w:pgMar w:left="840" w:top="404"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72</w:t>
      </w:r>
    </w:p>
    <w:p>
      <w:pPr>
        <w:sectPr>
          <w:pgSz w:w="11880" w:h="15480" w:orient="portrait"/>
          <w:cols w:equalWidth="0" w:num="1">
            <w:col w:w="10160"/>
          </w:cols>
          <w:pgMar w:left="840" w:top="404" w:right="880" w:bottom="0" w:gutter="0" w:footer="0" w:header="0"/>
          <w:type w:val="continuous"/>
        </w:sectPr>
      </w:pPr>
    </w:p>
    <w:bookmarkStart w:id="74" w:name="page75"/>
    <w:bookmarkEnd w:id="74"/>
    <w:p>
      <w:pPr>
        <w:ind w:left="260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color w:val="auto"/>
        </w:rPr>
        <w:t>To the Stockholders and the Board of Directors of Clearway Energy, Inc.</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Opinion on the Financial Statements</w:t>
      </w:r>
    </w:p>
    <w:p>
      <w:pPr>
        <w:spacing w:after="0" w:line="191"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We have audited the accompanying consolidated balance sheets of Clearway Energy, Inc. (the Company) as of December 31, 2023 and 2022, the related consolidated statements of income, comprehensive income, stockholders’ equity, and cash flows for each of the three years in the period ended December 31, 2023, and the related notes and financial statement schedules listed in the Index at Item 15(a)(2)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spacing w:after="0" w:line="136" w:lineRule="exact"/>
        <w:rPr>
          <w:sz w:val="20"/>
          <w:szCs w:val="20"/>
          <w:color w:val="auto"/>
        </w:rPr>
      </w:pPr>
    </w:p>
    <w:p>
      <w:pPr>
        <w:jc w:val="both"/>
        <w:spacing w:after="0" w:line="29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22, 2024, expressed an unqualified opinion thereon.</w:t>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for Opinion</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Critical Audit Matters</w:t>
      </w:r>
    </w:p>
    <w:p>
      <w:pPr>
        <w:spacing w:after="0" w:line="191"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ind w:left="2240"/>
        <w:spacing w:after="0"/>
        <w:rPr>
          <w:sz w:val="20"/>
          <w:szCs w:val="20"/>
          <w:color w:val="auto"/>
        </w:rPr>
      </w:pPr>
      <w:r>
        <w:rPr>
          <w:rFonts w:ascii="Arial" w:cs="Arial" w:eastAsia="Arial" w:hAnsi="Arial"/>
          <w:sz w:val="20"/>
          <w:szCs w:val="20"/>
          <w:b w:val="1"/>
          <w:bCs w:val="1"/>
          <w:i w:val="1"/>
          <w:iCs w:val="1"/>
          <w:color w:val="auto"/>
        </w:rPr>
        <w:t>Allocation of earnings to noncontrolling interests in tax equity arrangements</w:t>
      </w:r>
    </w:p>
    <w:p>
      <w:pPr>
        <w:spacing w:after="0" w:line="371" w:lineRule="exact"/>
        <w:rPr>
          <w:sz w:val="20"/>
          <w:szCs w:val="20"/>
          <w:color w:val="auto"/>
        </w:rPr>
      </w:pPr>
    </w:p>
    <w:p>
      <w:pPr>
        <w:jc w:val="both"/>
        <w:ind w:left="2240" w:right="40" w:hanging="2193"/>
        <w:spacing w:after="0" w:line="257" w:lineRule="auto"/>
        <w:tabs>
          <w:tab w:leader="none" w:pos="2220" w:val="left"/>
        </w:tabs>
        <w:rPr>
          <w:sz w:val="20"/>
          <w:szCs w:val="20"/>
          <w:color w:val="auto"/>
        </w:rPr>
      </w:pPr>
      <w:r>
        <w:rPr>
          <w:rFonts w:ascii="Arial" w:cs="Arial" w:eastAsia="Arial" w:hAnsi="Arial"/>
          <w:sz w:val="20"/>
          <w:szCs w:val="20"/>
          <w:b w:val="1"/>
          <w:bCs w:val="1"/>
          <w:i w:val="1"/>
          <w:iCs w:val="1"/>
          <w:color w:val="auto"/>
        </w:rPr>
        <w:t>Description of the Matter</w:t>
      </w:r>
      <w:r>
        <w:rPr>
          <w:sz w:val="20"/>
          <w:szCs w:val="20"/>
          <w:color w:val="auto"/>
        </w:rPr>
        <w:tab/>
      </w:r>
      <w:r>
        <w:rPr>
          <w:rFonts w:ascii="Arial" w:cs="Arial" w:eastAsia="Arial" w:hAnsi="Arial"/>
          <w:sz w:val="18"/>
          <w:szCs w:val="18"/>
          <w:color w:val="auto"/>
        </w:rPr>
        <w:t>As described in Note 5 to the consolidated financial statements, during 2023, tax equity investors purchased noncontrolling interests in Daggett TE Holdco LLC, Daggett 2 TE Holdco LLC, VP-Arica TE Holdco LLC and TSN1 TE Holdco LLC (the “new tax equity arrangements”). Each tax equity investor received Class A membership interests in the respective entity. The Company utilizes the output of a hypothetical liquidation at book value (HLBV) model to determine the earnings allocated to the tax equity noncontrolling interest holders as the contractual agreements between the parties represent substantive profit-sharing arrangements.</w:t>
      </w:r>
    </w:p>
    <w:p>
      <w:pPr>
        <w:spacing w:after="0" w:line="155" w:lineRule="exact"/>
        <w:rPr>
          <w:sz w:val="20"/>
          <w:szCs w:val="20"/>
          <w:color w:val="auto"/>
        </w:rPr>
      </w:pPr>
    </w:p>
    <w:p>
      <w:pPr>
        <w:jc w:val="both"/>
        <w:ind w:left="2240" w:right="40"/>
        <w:spacing w:after="0" w:line="257" w:lineRule="auto"/>
        <w:rPr>
          <w:sz w:val="20"/>
          <w:szCs w:val="20"/>
          <w:color w:val="auto"/>
        </w:rPr>
      </w:pPr>
      <w:r>
        <w:rPr>
          <w:rFonts w:ascii="Arial" w:cs="Arial" w:eastAsia="Arial" w:hAnsi="Arial"/>
          <w:sz w:val="18"/>
          <w:szCs w:val="18"/>
          <w:color w:val="auto"/>
        </w:rPr>
        <w:t>Auditing the allocation of earnings using the HLBV method to the new tax equity arrangements was complex due to the judgments required at the inception of the arrangement to evaluate whether the HLBV model appropriately reflects the unique substantive profit-sharing terms and features within each arrangement. A greater extent of audit effort and specialized skill and knowledge was required with respect to evaluating the appropriateness of the tax capital account balances used in the HLBV model for compliance with the provisions of the Internal Revenue Code, as well as compliance with the contractual provisions in each agreement.</w:t>
      </w:r>
    </w:p>
    <w:p>
      <w:pPr>
        <w:sectPr>
          <w:pgSz w:w="11880" w:h="15480" w:orient="portrait"/>
          <w:cols w:equalWidth="0" w:num="1">
            <w:col w:w="10200"/>
          </w:cols>
          <w:pgMar w:left="840" w:top="404"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ectPr>
          <w:pgSz w:w="11880" w:h="15480" w:orient="portrait"/>
          <w:cols w:equalWidth="0" w:num="1">
            <w:col w:w="10200"/>
          </w:cols>
          <w:pgMar w:left="840" w:top="404" w:right="840" w:bottom="0" w:gutter="0" w:footer="0" w:header="0"/>
          <w:type w:val="continuous"/>
        </w:sectPr>
      </w:pPr>
    </w:p>
    <w:bookmarkStart w:id="75" w:name="page76"/>
    <w:bookmarkEnd w:id="75"/>
    <w:p>
      <w:pPr>
        <w:ind w:left="40"/>
        <w:spacing w:after="0"/>
        <w:tabs>
          <w:tab w:leader="none" w:pos="2220" w:val="left"/>
        </w:tabs>
        <w:rPr>
          <w:sz w:val="20"/>
          <w:szCs w:val="20"/>
          <w:color w:val="auto"/>
        </w:rPr>
      </w:pPr>
      <w:r>
        <w:rPr>
          <w:rFonts w:ascii="Arial" w:cs="Arial" w:eastAsia="Arial" w:hAnsi="Arial"/>
          <w:sz w:val="20"/>
          <w:szCs w:val="20"/>
          <w:b w:val="1"/>
          <w:bCs w:val="1"/>
          <w:i w:val="1"/>
          <w:iCs w:val="1"/>
          <w:color w:val="auto"/>
        </w:rPr>
        <w:t>How We Addressed the</w:t>
      </w:r>
      <w:r>
        <w:rPr>
          <w:sz w:val="20"/>
          <w:szCs w:val="20"/>
          <w:color w:val="auto"/>
        </w:rPr>
        <w:tab/>
      </w:r>
      <w:r>
        <w:rPr>
          <w:rFonts w:ascii="Arial" w:cs="Arial" w:eastAsia="Arial" w:hAnsi="Arial"/>
          <w:sz w:val="18"/>
          <w:szCs w:val="18"/>
          <w:color w:val="auto"/>
        </w:rPr>
        <w:t>We obtained an understanding, evaluated the design and tested the operating effectiveness of the</w:t>
      </w:r>
    </w:p>
    <w:p>
      <w:pPr>
        <w:jc w:val="both"/>
        <w:ind w:left="2240" w:hanging="2193"/>
        <w:spacing w:after="0" w:line="234" w:lineRule="auto"/>
        <w:tabs>
          <w:tab w:leader="none" w:pos="2220" w:val="left"/>
        </w:tabs>
        <w:rPr>
          <w:sz w:val="20"/>
          <w:szCs w:val="20"/>
          <w:color w:val="auto"/>
        </w:rPr>
      </w:pPr>
      <w:r>
        <w:rPr>
          <w:rFonts w:ascii="Arial" w:cs="Arial" w:eastAsia="Arial" w:hAnsi="Arial"/>
          <w:sz w:val="20"/>
          <w:szCs w:val="20"/>
          <w:b w:val="1"/>
          <w:bCs w:val="1"/>
          <w:i w:val="1"/>
          <w:iCs w:val="1"/>
          <w:color w:val="auto"/>
        </w:rPr>
        <w:t>Matter in Our Audit</w:t>
      </w:r>
      <w:r>
        <w:rPr>
          <w:sz w:val="20"/>
          <w:szCs w:val="20"/>
          <w:color w:val="auto"/>
        </w:rPr>
        <w:tab/>
      </w:r>
      <w:r>
        <w:rPr>
          <w:rFonts w:ascii="Arial" w:cs="Arial" w:eastAsia="Arial" w:hAnsi="Arial"/>
          <w:sz w:val="20"/>
          <w:szCs w:val="20"/>
          <w:color w:val="auto"/>
        </w:rPr>
        <w:t>control over the Company’s process for establishing the HLBV model for the new tax equity arrangements. For example, we tested a control over management’s review of the substantive profit-sharing terms and features within each arrangement and evaluated whether they are properly reflected in each HLBV model.</w:t>
      </w:r>
    </w:p>
    <w:p>
      <w:pPr>
        <w:spacing w:after="0" w:line="185" w:lineRule="exact"/>
        <w:rPr>
          <w:sz w:val="20"/>
          <w:szCs w:val="20"/>
          <w:color w:val="auto"/>
        </w:rPr>
      </w:pPr>
    </w:p>
    <w:p>
      <w:pPr>
        <w:jc w:val="both"/>
        <w:ind w:left="2240"/>
        <w:spacing w:after="0" w:line="238" w:lineRule="auto"/>
        <w:rPr>
          <w:sz w:val="20"/>
          <w:szCs w:val="20"/>
          <w:color w:val="auto"/>
        </w:rPr>
      </w:pPr>
      <w:r>
        <w:rPr>
          <w:rFonts w:ascii="Arial" w:cs="Arial" w:eastAsia="Arial" w:hAnsi="Arial"/>
          <w:sz w:val="19"/>
          <w:szCs w:val="19"/>
          <w:color w:val="auto"/>
        </w:rPr>
        <w:t>To test the allocation of earnings to noncontrolling interest holders in the new tax equity arrangements, we read the related agreements to understand the business purpose and the substantive profit-sharing provisions. We evaluated each HLBV model for consistency with the contractual provisions in the related agreements and tested the initial recognition of the noncontrolling interest balance by agreeing capital contributions to supporting documentation. We involved tax subject matter professionals to assist in evaluating the calculation of the tax capital accounts used in each HLBV model for compliance with the provisions of the Internal Revenue Code, as well as compliance with the contractual provisions in the agreements. Additionally, we tested the year end noncontrolling interest balances for the new tax equity arrangements by agreeing contributions and distributions to supporting documentation and recalculating the allocation of earnings reflected in each HLBV model.</w:t>
      </w:r>
    </w:p>
    <w:p>
      <w:pPr>
        <w:spacing w:after="0" w:line="377" w:lineRule="exact"/>
        <w:rPr>
          <w:sz w:val="20"/>
          <w:szCs w:val="20"/>
          <w:color w:val="auto"/>
        </w:rPr>
      </w:pPr>
    </w:p>
    <w:p>
      <w:pPr>
        <w:ind w:left="2240"/>
        <w:spacing w:after="0"/>
        <w:rPr>
          <w:sz w:val="20"/>
          <w:szCs w:val="20"/>
          <w:color w:val="auto"/>
        </w:rPr>
      </w:pPr>
      <w:r>
        <w:rPr>
          <w:rFonts w:ascii="Arial" w:cs="Arial" w:eastAsia="Arial" w:hAnsi="Arial"/>
          <w:sz w:val="20"/>
          <w:szCs w:val="20"/>
          <w:b w:val="1"/>
          <w:bCs w:val="1"/>
          <w:i w:val="1"/>
          <w:iCs w:val="1"/>
          <w:color w:val="auto"/>
        </w:rPr>
        <w:t>Fair value of Level 3 long-term power commodity contracts</w:t>
      </w:r>
    </w:p>
    <w:p>
      <w:pPr>
        <w:spacing w:after="0" w:line="371" w:lineRule="exact"/>
        <w:rPr>
          <w:sz w:val="20"/>
          <w:szCs w:val="20"/>
          <w:color w:val="auto"/>
        </w:rPr>
      </w:pPr>
    </w:p>
    <w:p>
      <w:pPr>
        <w:jc w:val="both"/>
        <w:ind w:left="2240" w:hanging="2193"/>
        <w:spacing w:after="0" w:line="228" w:lineRule="auto"/>
        <w:tabs>
          <w:tab w:leader="none" w:pos="2220" w:val="left"/>
        </w:tabs>
        <w:rPr>
          <w:sz w:val="20"/>
          <w:szCs w:val="20"/>
          <w:color w:val="auto"/>
        </w:rPr>
      </w:pPr>
      <w:r>
        <w:rPr>
          <w:rFonts w:ascii="Arial" w:cs="Arial" w:eastAsia="Arial" w:hAnsi="Arial"/>
          <w:sz w:val="20"/>
          <w:szCs w:val="20"/>
          <w:b w:val="1"/>
          <w:bCs w:val="1"/>
          <w:i w:val="1"/>
          <w:iCs w:val="1"/>
          <w:color w:val="auto"/>
        </w:rPr>
        <w:t>Description of the Matter</w:t>
      </w:r>
      <w:r>
        <w:rPr>
          <w:sz w:val="20"/>
          <w:szCs w:val="20"/>
          <w:color w:val="auto"/>
        </w:rPr>
        <w:tab/>
      </w:r>
      <w:r>
        <w:rPr>
          <w:rFonts w:ascii="Arial" w:cs="Arial" w:eastAsia="Arial" w:hAnsi="Arial"/>
          <w:sz w:val="19"/>
          <w:szCs w:val="19"/>
          <w:color w:val="auto"/>
        </w:rPr>
        <w:t>As described in Note 6 to the consolidated financial statements, as of December 31, 2023, the aggregate fair value of long-term power commodity contracts classified as Level 3 derivative instruments was $325 million. The Company’s determination of the fair value of long-term power commodity contracts executed in illiquid markets are considered Level 3 fair value measurements as they contain significant unobservable inputs, including forward market energy pricing curves. The Company uses a discounted cash flow valuation technique to determine the fair value of its long-term power commodity contracts.</w:t>
      </w:r>
    </w:p>
    <w:p>
      <w:pPr>
        <w:spacing w:after="0" w:line="142" w:lineRule="exact"/>
        <w:rPr>
          <w:sz w:val="20"/>
          <w:szCs w:val="20"/>
          <w:color w:val="auto"/>
        </w:rPr>
      </w:pPr>
    </w:p>
    <w:p>
      <w:pPr>
        <w:jc w:val="both"/>
        <w:ind w:left="2240"/>
        <w:spacing w:after="0" w:line="229" w:lineRule="auto"/>
        <w:rPr>
          <w:sz w:val="20"/>
          <w:szCs w:val="20"/>
          <w:color w:val="auto"/>
        </w:rPr>
      </w:pPr>
      <w:r>
        <w:rPr>
          <w:rFonts w:ascii="Arial" w:cs="Arial" w:eastAsia="Arial" w:hAnsi="Arial"/>
          <w:sz w:val="20"/>
          <w:szCs w:val="20"/>
          <w:color w:val="auto"/>
        </w:rPr>
        <w:t>Auditing the fair value measurement of long-term power commodity contracts classified as Level 3 financial instruments was complex due to the judgmental nature of the forward market energy pricing curve assumptions used as an input into the valuation models.</w:t>
      </w:r>
    </w:p>
    <w:p>
      <w:pPr>
        <w:spacing w:after="0" w:line="313" w:lineRule="exact"/>
        <w:rPr>
          <w:sz w:val="20"/>
          <w:szCs w:val="20"/>
          <w:color w:val="auto"/>
        </w:rPr>
      </w:pPr>
    </w:p>
    <w:p>
      <w:pPr>
        <w:ind w:left="40"/>
        <w:spacing w:after="0"/>
        <w:tabs>
          <w:tab w:leader="none" w:pos="2220" w:val="left"/>
        </w:tabs>
        <w:rPr>
          <w:sz w:val="20"/>
          <w:szCs w:val="20"/>
          <w:color w:val="auto"/>
        </w:rPr>
      </w:pPr>
      <w:r>
        <w:rPr>
          <w:rFonts w:ascii="Arial" w:cs="Arial" w:eastAsia="Arial" w:hAnsi="Arial"/>
          <w:sz w:val="20"/>
          <w:szCs w:val="20"/>
          <w:b w:val="1"/>
          <w:bCs w:val="1"/>
          <w:i w:val="1"/>
          <w:iCs w:val="1"/>
          <w:color w:val="auto"/>
        </w:rPr>
        <w:t>How We Addressed the</w:t>
      </w:r>
      <w:r>
        <w:rPr>
          <w:sz w:val="20"/>
          <w:szCs w:val="20"/>
          <w:color w:val="auto"/>
        </w:rPr>
        <w:tab/>
      </w:r>
      <w:r>
        <w:rPr>
          <w:rFonts w:ascii="Arial" w:cs="Arial" w:eastAsia="Arial" w:hAnsi="Arial"/>
          <w:sz w:val="18"/>
          <w:szCs w:val="18"/>
          <w:color w:val="auto"/>
        </w:rPr>
        <w:t>We obtained an understanding, evaluated the design and tested the operating effectiveness of</w:t>
      </w:r>
    </w:p>
    <w:p>
      <w:pPr>
        <w:jc w:val="both"/>
        <w:ind w:left="2240" w:hanging="2193"/>
        <w:spacing w:after="0" w:line="223" w:lineRule="auto"/>
        <w:tabs>
          <w:tab w:leader="none" w:pos="2220" w:val="left"/>
        </w:tabs>
        <w:rPr>
          <w:sz w:val="20"/>
          <w:szCs w:val="20"/>
          <w:color w:val="auto"/>
        </w:rPr>
      </w:pPr>
      <w:r>
        <w:rPr>
          <w:rFonts w:ascii="Arial" w:cs="Arial" w:eastAsia="Arial" w:hAnsi="Arial"/>
          <w:sz w:val="20"/>
          <w:szCs w:val="20"/>
          <w:b w:val="1"/>
          <w:bCs w:val="1"/>
          <w:i w:val="1"/>
          <w:iCs w:val="1"/>
          <w:color w:val="auto"/>
        </w:rPr>
        <w:t>Matter in Our Audit</w:t>
      </w:r>
      <w:r>
        <w:rPr>
          <w:sz w:val="20"/>
          <w:szCs w:val="20"/>
          <w:color w:val="auto"/>
        </w:rPr>
        <w:tab/>
      </w:r>
      <w:r>
        <w:rPr>
          <w:rFonts w:ascii="Arial" w:cs="Arial" w:eastAsia="Arial" w:hAnsi="Arial"/>
          <w:sz w:val="20"/>
          <w:szCs w:val="20"/>
          <w:color w:val="auto"/>
        </w:rPr>
        <w:t>controls over the Company’s processes for reviewing the key assumptions in estimating Level 3 fair values related to long-term power commodity contracts. For example, we tested controls over management’s review of the specific forward market energy pricing curves used as an input into the valuation models.</w:t>
      </w:r>
    </w:p>
    <w:p>
      <w:pPr>
        <w:spacing w:after="0" w:line="143" w:lineRule="exact"/>
        <w:rPr>
          <w:sz w:val="20"/>
          <w:szCs w:val="20"/>
          <w:color w:val="auto"/>
        </w:rPr>
      </w:pPr>
    </w:p>
    <w:p>
      <w:pPr>
        <w:jc w:val="both"/>
        <w:ind w:left="2240"/>
        <w:spacing w:after="0" w:line="224" w:lineRule="auto"/>
        <w:rPr>
          <w:sz w:val="20"/>
          <w:szCs w:val="20"/>
          <w:color w:val="auto"/>
        </w:rPr>
      </w:pPr>
      <w:r>
        <w:rPr>
          <w:rFonts w:ascii="Arial" w:cs="Arial" w:eastAsia="Arial" w:hAnsi="Arial"/>
          <w:sz w:val="19"/>
          <w:szCs w:val="19"/>
          <w:color w:val="auto"/>
        </w:rPr>
        <w:t>To test the fair value of Level 3 long-term power commodity contracts, our audit procedures included, among others, evaluating the valuation methodologies used by the Company and testing significant inputs, estimates and the mathematical accuracy of the calculations. In certain instances, with the assistance of our valuation specialists, we independently determined the significant assumptions, calculated the resultant fair values and compared them to the Company’s estimates. We obtained forward market energy prices from independent sources, including pricing service providers and counterparty fair values, and evaluated the Company’s assumptions related to their forward curves and confirmed key inputs with counterparties. We also performed sensitivity analyses using independent sources of market data to evaluate the significance of the change in fair value of Level 3 long-term power commodity contracts that would result from changes in underlying assumptions.</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/s/ Ernst &amp; Young LLP</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2021.</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color w:val="auto"/>
        </w:rPr>
        <w:t>February 22, 2024</w:t>
      </w:r>
    </w:p>
    <w:p>
      <w:pPr>
        <w:sectPr>
          <w:pgSz w:w="11880" w:h="15480" w:orient="portrait"/>
          <w:cols w:equalWidth="0" w:num="1">
            <w:col w:w="10160"/>
          </w:cols>
          <w:pgMar w:left="840" w:top="452"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74</w:t>
      </w:r>
    </w:p>
    <w:p>
      <w:pPr>
        <w:sectPr>
          <w:pgSz w:w="11880" w:h="15480" w:orient="portrait"/>
          <w:cols w:equalWidth="0" w:num="1">
            <w:col w:w="10160"/>
          </w:cols>
          <w:pgMar w:left="840" w:top="452" w:right="880" w:bottom="0" w:gutter="0" w:footer="0" w:header="0"/>
          <w:type w:val="continuous"/>
        </w:sectPr>
      </w:pPr>
    </w:p>
    <w:bookmarkStart w:id="76" w:name="page77"/>
    <w:bookmarkEnd w:id="76"/>
    <w:p>
      <w:pPr>
        <w:jc w:val="center"/>
        <w:spacing w:after="0"/>
        <w:rPr>
          <w:sz w:val="20"/>
          <w:szCs w:val="20"/>
          <w:color w:val="auto"/>
        </w:rPr>
      </w:pPr>
      <w:r>
        <w:rPr>
          <w:rFonts w:ascii="Arial" w:cs="Arial" w:eastAsia="Arial" w:hAnsi="Arial"/>
          <w:sz w:val="20"/>
          <w:szCs w:val="20"/>
          <w:b w:val="1"/>
          <w:bCs w:val="1"/>
          <w:color w:val="auto"/>
        </w:rPr>
        <w:t>CLEARWAY ENERGY, INC.</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INCOME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11"/>
          </w:tcPr>
          <w:p>
            <w:pPr>
              <w:jc w:val="right"/>
              <w:ind w:right="511"/>
              <w:spacing w:after="0"/>
              <w:rPr>
                <w:sz w:val="20"/>
                <w:szCs w:val="20"/>
                <w:color w:val="auto"/>
              </w:rPr>
            </w:pPr>
            <w:r>
              <w:rPr>
                <w:rFonts w:ascii="Arial" w:cs="Arial" w:eastAsia="Arial" w:hAnsi="Arial"/>
                <w:sz w:val="16"/>
                <w:szCs w:val="16"/>
                <w:b w:val="1"/>
                <w:bCs w:val="1"/>
                <w:color w:val="auto"/>
              </w:rPr>
              <w:t>Year ended December 31,</w:t>
            </w:r>
          </w:p>
        </w:tc>
      </w:tr>
      <w:tr>
        <w:trPr>
          <w:trHeight w:val="278"/>
        </w:trPr>
        <w:tc>
          <w:tcPr>
            <w:tcW w:w="7200" w:type="dxa"/>
            <w:vAlign w:val="bottom"/>
            <w:tcBorders>
              <w:bottom w:val="single" w:sz="8" w:color="E6E6E6"/>
            </w:tcBorders>
          </w:tcPr>
          <w:p>
            <w:pPr>
              <w:ind w:left="40"/>
              <w:spacing w:after="0"/>
              <w:rPr>
                <w:sz w:val="20"/>
                <w:szCs w:val="20"/>
                <w:color w:val="auto"/>
              </w:rPr>
            </w:pPr>
            <w:r>
              <w:rPr>
                <w:rFonts w:ascii="Arial" w:cs="Arial" w:eastAsia="Arial" w:hAnsi="Arial"/>
                <w:sz w:val="16"/>
                <w:szCs w:val="16"/>
                <w:b w:val="1"/>
                <w:bCs w:val="1"/>
                <w:color w:val="auto"/>
              </w:rPr>
              <w:t>(In millions, except per share amounts)</w:t>
            </w: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E6E6E6"/>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2022</w:t>
            </w:r>
          </w:p>
        </w:tc>
        <w:tc>
          <w:tcPr>
            <w:tcW w:w="60" w:type="dxa"/>
            <w:vAlign w:val="bottom"/>
            <w:tcBorders>
              <w:bottom w:val="single" w:sz="8" w:color="E6E6E6"/>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2021</w:t>
            </w:r>
          </w:p>
        </w:tc>
      </w:tr>
      <w:tr>
        <w:trPr>
          <w:trHeight w:val="274"/>
        </w:trPr>
        <w:tc>
          <w:tcPr>
            <w:tcW w:w="7200" w:type="dxa"/>
            <w:vAlign w:val="bottom"/>
            <w:shd w:val="clear" w:color="auto" w:fill="E6E6E6"/>
          </w:tcPr>
          <w:p>
            <w:pPr>
              <w:ind w:left="40"/>
              <w:spacing w:after="0"/>
              <w:rPr>
                <w:sz w:val="20"/>
                <w:szCs w:val="20"/>
                <w:color w:val="auto"/>
              </w:rPr>
            </w:pPr>
            <w:r>
              <w:rPr>
                <w:rFonts w:ascii="Arial" w:cs="Arial" w:eastAsia="Arial" w:hAnsi="Arial"/>
                <w:sz w:val="20"/>
                <w:szCs w:val="20"/>
                <w:b w:val="1"/>
                <w:bCs w:val="1"/>
                <w:color w:val="auto"/>
              </w:rPr>
              <w:t>Operating Revenues</w:t>
            </w:r>
          </w:p>
        </w:tc>
        <w:tc>
          <w:tcPr>
            <w:tcW w:w="220" w:type="dxa"/>
            <w:vAlign w:val="bottom"/>
            <w:shd w:val="clear" w:color="auto" w:fill="E6E6E6"/>
          </w:tcPr>
          <w:p>
            <w:pPr>
              <w:spacing w:after="0"/>
              <w:rPr>
                <w:sz w:val="23"/>
                <w:szCs w:val="23"/>
                <w:color w:val="auto"/>
              </w:rPr>
            </w:pPr>
          </w:p>
        </w:tc>
        <w:tc>
          <w:tcPr>
            <w:tcW w:w="72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180" w:type="dxa"/>
            <w:vAlign w:val="bottom"/>
            <w:shd w:val="clear" w:color="auto" w:fill="E6E6E6"/>
          </w:tcPr>
          <w:p>
            <w:pPr>
              <w:spacing w:after="0"/>
              <w:rPr>
                <w:sz w:val="23"/>
                <w:szCs w:val="23"/>
                <w:color w:val="auto"/>
              </w:rPr>
            </w:pPr>
          </w:p>
        </w:tc>
        <w:tc>
          <w:tcPr>
            <w:tcW w:w="72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00" w:type="dxa"/>
            <w:vAlign w:val="bottom"/>
            <w:shd w:val="clear" w:color="auto" w:fill="E6E6E6"/>
          </w:tcPr>
          <w:p>
            <w:pPr>
              <w:spacing w:after="0"/>
              <w:rPr>
                <w:sz w:val="23"/>
                <w:szCs w:val="23"/>
                <w:color w:val="auto"/>
              </w:rPr>
            </w:pPr>
          </w:p>
        </w:tc>
        <w:tc>
          <w:tcPr>
            <w:tcW w:w="700" w:type="dxa"/>
            <w:vAlign w:val="bottom"/>
            <w:shd w:val="clear" w:color="auto" w:fill="E6E6E6"/>
          </w:tcPr>
          <w:p>
            <w:pPr>
              <w:spacing w:after="0"/>
              <w:rPr>
                <w:sz w:val="23"/>
                <w:szCs w:val="23"/>
                <w:color w:val="auto"/>
              </w:rPr>
            </w:pPr>
          </w:p>
        </w:tc>
      </w:tr>
      <w:tr>
        <w:trPr>
          <w:trHeight w:val="274"/>
        </w:trPr>
        <w:tc>
          <w:tcPr>
            <w:tcW w:w="7200" w:type="dxa"/>
            <w:vAlign w:val="bottom"/>
          </w:tcPr>
          <w:p>
            <w:pPr>
              <w:jc w:val="right"/>
              <w:spacing w:after="0"/>
              <w:rPr>
                <w:sz w:val="20"/>
                <w:szCs w:val="20"/>
                <w:color w:val="auto"/>
              </w:rPr>
            </w:pPr>
            <w:r>
              <w:rPr>
                <w:rFonts w:ascii="Arial" w:cs="Arial" w:eastAsia="Arial" w:hAnsi="Arial"/>
                <w:sz w:val="20"/>
                <w:szCs w:val="20"/>
                <w:color w:val="auto"/>
                <w:w w:val="92"/>
              </w:rPr>
              <w:t xml:space="preserve">Total operating revenues </w:t>
            </w:r>
            <w:r>
              <w:rPr>
                <w:rFonts w:ascii="Arial" w:cs="Arial" w:eastAsia="Arial" w:hAnsi="Arial"/>
                <w:sz w:val="20"/>
                <w:szCs w:val="20"/>
                <w:color w:val="BDBDBD"/>
                <w:w w:val="92"/>
              </w:rPr>
              <w:t>. . . . . . . . . . . . . . . . . . . . . . . . . . . . . . . . . . . . . . . . . . . . . . . . .</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1,314</w:t>
            </w:r>
          </w:p>
        </w:tc>
        <w:tc>
          <w:tcPr>
            <w:tcW w:w="3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1,190</w:t>
            </w:r>
          </w:p>
        </w:tc>
        <w:tc>
          <w:tcPr>
            <w:tcW w:w="3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1,286</w:t>
            </w:r>
          </w:p>
        </w:tc>
      </w:tr>
      <w:tr>
        <w:trPr>
          <w:trHeight w:val="274"/>
        </w:trPr>
        <w:tc>
          <w:tcPr>
            <w:tcW w:w="7200" w:type="dxa"/>
            <w:vAlign w:val="bottom"/>
            <w:tcBorders>
              <w:top w:val="single" w:sz="8" w:color="E6E6E6"/>
            </w:tcBorders>
            <w:shd w:val="clear" w:color="auto" w:fill="E6E6E6"/>
          </w:tcPr>
          <w:p>
            <w:pPr>
              <w:ind w:left="40"/>
              <w:spacing w:after="0"/>
              <w:rPr>
                <w:sz w:val="20"/>
                <w:szCs w:val="20"/>
                <w:color w:val="auto"/>
              </w:rPr>
            </w:pPr>
            <w:r>
              <w:rPr>
                <w:rFonts w:ascii="Arial" w:cs="Arial" w:eastAsia="Arial" w:hAnsi="Arial"/>
                <w:sz w:val="20"/>
                <w:szCs w:val="20"/>
                <w:b w:val="1"/>
                <w:bCs w:val="1"/>
                <w:color w:val="auto"/>
              </w:rPr>
              <w:t>Operating Costs and Expenses</w:t>
            </w:r>
          </w:p>
        </w:tc>
        <w:tc>
          <w:tcPr>
            <w:tcW w:w="220" w:type="dxa"/>
            <w:vAlign w:val="bottom"/>
            <w:tcBorders>
              <w:top w:val="single" w:sz="8" w:color="auto"/>
            </w:tcBorders>
            <w:shd w:val="clear" w:color="auto" w:fill="E6E6E6"/>
          </w:tcPr>
          <w:p>
            <w:pPr>
              <w:spacing w:after="0"/>
              <w:rPr>
                <w:sz w:val="23"/>
                <w:szCs w:val="23"/>
                <w:color w:val="auto"/>
              </w:rPr>
            </w:pPr>
          </w:p>
        </w:tc>
        <w:tc>
          <w:tcPr>
            <w:tcW w:w="720" w:type="dxa"/>
            <w:vAlign w:val="bottom"/>
            <w:tcBorders>
              <w:top w:val="single" w:sz="8" w:color="auto"/>
            </w:tcBorders>
            <w:shd w:val="clear" w:color="auto" w:fill="E6E6E6"/>
          </w:tcPr>
          <w:p>
            <w:pPr>
              <w:spacing w:after="0"/>
              <w:rPr>
                <w:sz w:val="23"/>
                <w:szCs w:val="23"/>
                <w:color w:val="auto"/>
              </w:rPr>
            </w:pPr>
          </w:p>
        </w:tc>
        <w:tc>
          <w:tcPr>
            <w:tcW w:w="80" w:type="dxa"/>
            <w:vAlign w:val="bottom"/>
            <w:tcBorders>
              <w:top w:val="single" w:sz="8" w:color="E6E6E6"/>
            </w:tcBorders>
            <w:shd w:val="clear" w:color="auto" w:fill="E6E6E6"/>
          </w:tcPr>
          <w:p>
            <w:pPr>
              <w:spacing w:after="0"/>
              <w:rPr>
                <w:sz w:val="23"/>
                <w:szCs w:val="23"/>
                <w:color w:val="auto"/>
              </w:rPr>
            </w:pPr>
          </w:p>
        </w:tc>
        <w:tc>
          <w:tcPr>
            <w:tcW w:w="20" w:type="dxa"/>
            <w:vAlign w:val="bottom"/>
            <w:tcBorders>
              <w:top w:val="single" w:sz="8" w:color="auto"/>
            </w:tcBorders>
            <w:shd w:val="clear" w:color="auto" w:fill="E6E6E6"/>
          </w:tcPr>
          <w:p>
            <w:pPr>
              <w:spacing w:after="0"/>
              <w:rPr>
                <w:sz w:val="23"/>
                <w:szCs w:val="23"/>
                <w:color w:val="auto"/>
              </w:rPr>
            </w:pPr>
          </w:p>
        </w:tc>
        <w:tc>
          <w:tcPr>
            <w:tcW w:w="20" w:type="dxa"/>
            <w:vAlign w:val="bottom"/>
            <w:tcBorders>
              <w:top w:val="single" w:sz="8" w:color="auto"/>
            </w:tcBorders>
            <w:shd w:val="clear" w:color="auto" w:fill="E6E6E6"/>
          </w:tcPr>
          <w:p>
            <w:pPr>
              <w:spacing w:after="0"/>
              <w:rPr>
                <w:sz w:val="23"/>
                <w:szCs w:val="23"/>
                <w:color w:val="auto"/>
              </w:rPr>
            </w:pPr>
          </w:p>
        </w:tc>
        <w:tc>
          <w:tcPr>
            <w:tcW w:w="180" w:type="dxa"/>
            <w:vAlign w:val="bottom"/>
            <w:tcBorders>
              <w:top w:val="single" w:sz="8" w:color="auto"/>
            </w:tcBorders>
            <w:shd w:val="clear" w:color="auto" w:fill="E6E6E6"/>
          </w:tcPr>
          <w:p>
            <w:pPr>
              <w:spacing w:after="0"/>
              <w:rPr>
                <w:sz w:val="23"/>
                <w:szCs w:val="23"/>
                <w:color w:val="auto"/>
              </w:rPr>
            </w:pPr>
          </w:p>
        </w:tc>
        <w:tc>
          <w:tcPr>
            <w:tcW w:w="720" w:type="dxa"/>
            <w:vAlign w:val="bottom"/>
            <w:tcBorders>
              <w:top w:val="single" w:sz="8" w:color="auto"/>
            </w:tcBorders>
            <w:shd w:val="clear" w:color="auto" w:fill="E6E6E6"/>
          </w:tcPr>
          <w:p>
            <w:pPr>
              <w:spacing w:after="0"/>
              <w:rPr>
                <w:sz w:val="23"/>
                <w:szCs w:val="23"/>
                <w:color w:val="auto"/>
              </w:rPr>
            </w:pPr>
          </w:p>
        </w:tc>
        <w:tc>
          <w:tcPr>
            <w:tcW w:w="60" w:type="dxa"/>
            <w:vAlign w:val="bottom"/>
            <w:tcBorders>
              <w:top w:val="single" w:sz="8" w:color="E6E6E6"/>
            </w:tcBorders>
            <w:shd w:val="clear" w:color="auto" w:fill="E6E6E6"/>
          </w:tcPr>
          <w:p>
            <w:pPr>
              <w:spacing w:after="0"/>
              <w:rPr>
                <w:sz w:val="23"/>
                <w:szCs w:val="23"/>
                <w:color w:val="auto"/>
              </w:rPr>
            </w:pPr>
          </w:p>
        </w:tc>
        <w:tc>
          <w:tcPr>
            <w:tcW w:w="20" w:type="dxa"/>
            <w:vAlign w:val="bottom"/>
            <w:tcBorders>
              <w:top w:val="single" w:sz="8" w:color="auto"/>
            </w:tcBorders>
            <w:shd w:val="clear" w:color="auto" w:fill="E6E6E6"/>
          </w:tcPr>
          <w:p>
            <w:pPr>
              <w:spacing w:after="0"/>
              <w:rPr>
                <w:sz w:val="23"/>
                <w:szCs w:val="23"/>
                <w:color w:val="auto"/>
              </w:rPr>
            </w:pPr>
          </w:p>
        </w:tc>
        <w:tc>
          <w:tcPr>
            <w:tcW w:w="20" w:type="dxa"/>
            <w:vAlign w:val="bottom"/>
            <w:tcBorders>
              <w:top w:val="single" w:sz="8" w:color="auto"/>
            </w:tcBorders>
            <w:shd w:val="clear" w:color="auto" w:fill="E6E6E6"/>
          </w:tcPr>
          <w:p>
            <w:pPr>
              <w:spacing w:after="0"/>
              <w:rPr>
                <w:sz w:val="23"/>
                <w:szCs w:val="23"/>
                <w:color w:val="auto"/>
              </w:rPr>
            </w:pPr>
          </w:p>
        </w:tc>
        <w:tc>
          <w:tcPr>
            <w:tcW w:w="200" w:type="dxa"/>
            <w:vAlign w:val="bottom"/>
            <w:tcBorders>
              <w:top w:val="single" w:sz="8" w:color="auto"/>
            </w:tcBorders>
            <w:shd w:val="clear" w:color="auto" w:fill="E6E6E6"/>
          </w:tcPr>
          <w:p>
            <w:pPr>
              <w:spacing w:after="0"/>
              <w:rPr>
                <w:sz w:val="23"/>
                <w:szCs w:val="23"/>
                <w:color w:val="auto"/>
              </w:rPr>
            </w:pPr>
          </w:p>
        </w:tc>
        <w:tc>
          <w:tcPr>
            <w:tcW w:w="700" w:type="dxa"/>
            <w:vAlign w:val="bottom"/>
            <w:tcBorders>
              <w:top w:val="single" w:sz="8" w:color="auto"/>
            </w:tcBorders>
            <w:shd w:val="clear" w:color="auto" w:fill="E6E6E6"/>
          </w:tcPr>
          <w:p>
            <w:pPr>
              <w:spacing w:after="0"/>
              <w:rPr>
                <w:sz w:val="23"/>
                <w:szCs w:val="23"/>
                <w:color w:val="auto"/>
              </w:rPr>
            </w:pPr>
          </w:p>
        </w:tc>
      </w:tr>
      <w:tr>
        <w:trPr>
          <w:trHeight w:val="221"/>
        </w:trPr>
        <w:tc>
          <w:tcPr>
            <w:tcW w:w="7200" w:type="dxa"/>
            <w:vAlign w:val="bottom"/>
          </w:tcPr>
          <w:p>
            <w:pPr>
              <w:ind w:left="180"/>
              <w:spacing w:after="0" w:line="221" w:lineRule="exact"/>
              <w:rPr>
                <w:sz w:val="20"/>
                <w:szCs w:val="20"/>
                <w:color w:val="auto"/>
              </w:rPr>
            </w:pPr>
            <w:r>
              <w:rPr>
                <w:rFonts w:ascii="Arial" w:cs="Arial" w:eastAsia="Arial" w:hAnsi="Arial"/>
                <w:sz w:val="20"/>
                <w:szCs w:val="20"/>
                <w:color w:val="auto"/>
                <w:w w:val="99"/>
              </w:rPr>
              <w:t>Cost of operations, exclusive of depreciation, amortization and accretion shown</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66"/>
        </w:trPr>
        <w:tc>
          <w:tcPr>
            <w:tcW w:w="7200" w:type="dxa"/>
            <w:vAlign w:val="bottom"/>
          </w:tcPr>
          <w:p>
            <w:pPr>
              <w:jc w:val="right"/>
              <w:spacing w:after="0"/>
              <w:rPr>
                <w:sz w:val="20"/>
                <w:szCs w:val="20"/>
                <w:color w:val="auto"/>
              </w:rPr>
            </w:pPr>
            <w:r>
              <w:rPr>
                <w:rFonts w:ascii="Arial" w:cs="Arial" w:eastAsia="Arial" w:hAnsi="Arial"/>
                <w:sz w:val="20"/>
                <w:szCs w:val="20"/>
                <w:color w:val="auto"/>
                <w:w w:val="94"/>
              </w:rPr>
              <w:t xml:space="preserve">separately below </w:t>
            </w:r>
            <w:r>
              <w:rPr>
                <w:rFonts w:ascii="Arial" w:cs="Arial" w:eastAsia="Arial" w:hAnsi="Arial"/>
                <w:sz w:val="20"/>
                <w:szCs w:val="20"/>
                <w:color w:val="BDBDBD"/>
                <w:w w:val="94"/>
              </w:rPr>
              <w:t>. . . . . . . . . . . . . . . . . . . . . . . . . . . . . . . . . . . . . . . . . . . . . . . . . . . . . .</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473</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435</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451</w:t>
            </w:r>
          </w:p>
        </w:tc>
      </w:tr>
      <w:tr>
        <w:trPr>
          <w:trHeight w:val="289"/>
        </w:trPr>
        <w:tc>
          <w:tcPr>
            <w:tcW w:w="7200" w:type="dxa"/>
            <w:vAlign w:val="bottom"/>
            <w:shd w:val="clear" w:color="auto" w:fill="E6E6E6"/>
          </w:tcPr>
          <w:p>
            <w:pPr>
              <w:jc w:val="right"/>
              <w:spacing w:after="0"/>
              <w:rPr>
                <w:sz w:val="20"/>
                <w:szCs w:val="20"/>
                <w:color w:val="auto"/>
              </w:rPr>
            </w:pPr>
            <w:r>
              <w:rPr>
                <w:rFonts w:ascii="Arial" w:cs="Arial" w:eastAsia="Arial" w:hAnsi="Arial"/>
                <w:sz w:val="20"/>
                <w:szCs w:val="20"/>
                <w:color w:val="auto"/>
                <w:w w:val="92"/>
              </w:rPr>
              <w:t xml:space="preserve">Depreciation, amortization and accretion </w:t>
            </w:r>
            <w:r>
              <w:rPr>
                <w:rFonts w:ascii="Arial" w:cs="Arial" w:eastAsia="Arial" w:hAnsi="Arial"/>
                <w:sz w:val="20"/>
                <w:szCs w:val="20"/>
                <w:color w:val="BDBDBD"/>
                <w:w w:val="92"/>
              </w:rPr>
              <w:t>. . . . . . . . . . . . . . . . . . . . . . . . . . . . . . . . . . . . .</w:t>
            </w:r>
          </w:p>
        </w:tc>
        <w:tc>
          <w:tcPr>
            <w:tcW w:w="22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526</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512</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7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509</w:t>
            </w:r>
          </w:p>
        </w:tc>
      </w:tr>
      <w:tr>
        <w:trPr>
          <w:trHeight w:val="277"/>
        </w:trPr>
        <w:tc>
          <w:tcPr>
            <w:tcW w:w="7200" w:type="dxa"/>
            <w:vAlign w:val="bottom"/>
          </w:tcPr>
          <w:p>
            <w:pPr>
              <w:jc w:val="right"/>
              <w:spacing w:after="0"/>
              <w:rPr>
                <w:sz w:val="20"/>
                <w:szCs w:val="20"/>
                <w:color w:val="auto"/>
              </w:rPr>
            </w:pPr>
            <w:r>
              <w:rPr>
                <w:rFonts w:ascii="Arial" w:cs="Arial" w:eastAsia="Arial" w:hAnsi="Arial"/>
                <w:sz w:val="20"/>
                <w:szCs w:val="20"/>
                <w:color w:val="auto"/>
                <w:w w:val="91"/>
              </w:rPr>
              <w:t xml:space="preserve">Impairment losses </w:t>
            </w:r>
            <w:r>
              <w:rPr>
                <w:rFonts w:ascii="Arial" w:cs="Arial" w:eastAsia="Arial" w:hAnsi="Arial"/>
                <w:sz w:val="20"/>
                <w:szCs w:val="20"/>
                <w:color w:val="BDBDBD"/>
                <w:w w:val="91"/>
              </w:rPr>
              <w:t>. . . . . . . . . . . . . . . . . . . . . . . . . . . . . . . . . . . . . . . . . . . . . . . . . . . . . . .</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90"/>
        </w:trPr>
        <w:tc>
          <w:tcPr>
            <w:tcW w:w="7200" w:type="dxa"/>
            <w:vAlign w:val="bottom"/>
            <w:shd w:val="clear" w:color="auto" w:fill="E6E6E6"/>
          </w:tcPr>
          <w:p>
            <w:pPr>
              <w:jc w:val="right"/>
              <w:spacing w:after="0"/>
              <w:rPr>
                <w:sz w:val="20"/>
                <w:szCs w:val="20"/>
                <w:color w:val="auto"/>
              </w:rPr>
            </w:pPr>
            <w:r>
              <w:rPr>
                <w:rFonts w:ascii="Arial" w:cs="Arial" w:eastAsia="Arial" w:hAnsi="Arial"/>
                <w:sz w:val="20"/>
                <w:szCs w:val="20"/>
                <w:color w:val="auto"/>
                <w:w w:val="92"/>
              </w:rPr>
              <w:t xml:space="preserve">General and administrative </w:t>
            </w:r>
            <w:r>
              <w:rPr>
                <w:rFonts w:ascii="Arial" w:cs="Arial" w:eastAsia="Arial" w:hAnsi="Arial"/>
                <w:sz w:val="20"/>
                <w:szCs w:val="20"/>
                <w:color w:val="BDBDBD"/>
                <w:w w:val="92"/>
              </w:rPr>
              <w:t>. . . . . . . . . . . . . . . . . . . . . . . . . . . . . . . . . . . . . . . . . . . . . . . .</w:t>
            </w:r>
          </w:p>
        </w:tc>
        <w:tc>
          <w:tcPr>
            <w:tcW w:w="22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7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40</w:t>
            </w:r>
          </w:p>
        </w:tc>
      </w:tr>
      <w:tr>
        <w:trPr>
          <w:trHeight w:val="277"/>
        </w:trPr>
        <w:tc>
          <w:tcPr>
            <w:tcW w:w="7200" w:type="dxa"/>
            <w:vAlign w:val="bottom"/>
          </w:tcPr>
          <w:p>
            <w:pPr>
              <w:jc w:val="right"/>
              <w:spacing w:after="0"/>
              <w:rPr>
                <w:sz w:val="20"/>
                <w:szCs w:val="20"/>
                <w:color w:val="auto"/>
              </w:rPr>
            </w:pPr>
            <w:r>
              <w:rPr>
                <w:rFonts w:ascii="Arial" w:cs="Arial" w:eastAsia="Arial" w:hAnsi="Arial"/>
                <w:sz w:val="20"/>
                <w:szCs w:val="20"/>
                <w:color w:val="auto"/>
                <w:w w:val="92"/>
              </w:rPr>
              <w:t xml:space="preserve">Transaction and integration costs </w:t>
            </w:r>
            <w:r>
              <w:rPr>
                <w:rFonts w:ascii="Arial" w:cs="Arial" w:eastAsia="Arial" w:hAnsi="Arial"/>
                <w:sz w:val="20"/>
                <w:szCs w:val="20"/>
                <w:color w:val="BDBDBD"/>
                <w:w w:val="92"/>
              </w:rPr>
              <w:t>. . . . . . . . . . . . . . . . . . . . . . . . . . . . . . . . . . . . . . . . . . .</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99"/>
        </w:trPr>
        <w:tc>
          <w:tcPr>
            <w:tcW w:w="72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w w:val="92"/>
              </w:rPr>
              <w:t xml:space="preserve">Development costs </w:t>
            </w:r>
            <w:r>
              <w:rPr>
                <w:rFonts w:ascii="Arial" w:cs="Arial" w:eastAsia="Arial" w:hAnsi="Arial"/>
                <w:sz w:val="20"/>
                <w:szCs w:val="20"/>
                <w:color w:val="BDBDBD"/>
                <w:w w:val="92"/>
              </w:rPr>
              <w:t>. . . . . . . . . . . . . . . . . . . . . . . . . . . . . . . . . . . . . . . . . . . . . . . . . . . . . .</w:t>
            </w:r>
          </w:p>
        </w:tc>
        <w:tc>
          <w:tcPr>
            <w:tcW w:w="220" w:type="dxa"/>
            <w:vAlign w:val="bottom"/>
            <w:tcBorders>
              <w:bottom w:val="single" w:sz="8" w:color="auto"/>
            </w:tcBorders>
            <w:shd w:val="clear" w:color="auto" w:fill="E6E6E6"/>
          </w:tcPr>
          <w:p>
            <w:pPr>
              <w:spacing w:after="0"/>
              <w:rPr>
                <w:sz w:val="24"/>
                <w:szCs w:val="24"/>
                <w:color w:val="auto"/>
              </w:rPr>
            </w:pPr>
          </w:p>
        </w:tc>
        <w:tc>
          <w:tcPr>
            <w:tcW w:w="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auto"/>
            </w:tcBorders>
            <w:shd w:val="clear" w:color="auto" w:fill="E6E6E6"/>
          </w:tcPr>
          <w:p>
            <w:pPr>
              <w:spacing w:after="0"/>
              <w:rPr>
                <w:sz w:val="24"/>
                <w:szCs w:val="24"/>
                <w:color w:val="auto"/>
              </w:rPr>
            </w:pPr>
          </w:p>
        </w:tc>
        <w:tc>
          <w:tcPr>
            <w:tcW w:w="20" w:type="dxa"/>
            <w:vAlign w:val="bottom"/>
            <w:tcBorders>
              <w:bottom w:val="single" w:sz="8" w:color="auto"/>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auto"/>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spacing w:after="0"/>
              <w:rPr>
                <w:sz w:val="24"/>
                <w:szCs w:val="24"/>
                <w:color w:val="auto"/>
              </w:rPr>
            </w:pPr>
          </w:p>
        </w:tc>
        <w:tc>
          <w:tcPr>
            <w:tcW w:w="7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6</w:t>
            </w:r>
          </w:p>
        </w:tc>
      </w:tr>
      <w:tr>
        <w:trPr>
          <w:trHeight w:val="249"/>
        </w:trPr>
        <w:tc>
          <w:tcPr>
            <w:tcW w:w="7200" w:type="dxa"/>
            <w:vAlign w:val="bottom"/>
          </w:tcPr>
          <w:p>
            <w:pPr>
              <w:jc w:val="right"/>
              <w:spacing w:after="0"/>
              <w:rPr>
                <w:sz w:val="20"/>
                <w:szCs w:val="20"/>
                <w:color w:val="auto"/>
              </w:rPr>
            </w:pPr>
            <w:r>
              <w:rPr>
                <w:rFonts w:ascii="Arial" w:cs="Arial" w:eastAsia="Arial" w:hAnsi="Arial"/>
                <w:sz w:val="20"/>
                <w:szCs w:val="20"/>
                <w:color w:val="auto"/>
                <w:w w:val="92"/>
              </w:rPr>
              <w:t xml:space="preserve">Total operating costs and expenses </w:t>
            </w:r>
            <w:r>
              <w:rPr>
                <w:rFonts w:ascii="Arial" w:cs="Arial" w:eastAsia="Arial" w:hAnsi="Arial"/>
                <w:sz w:val="20"/>
                <w:szCs w:val="20"/>
                <w:color w:val="BDBDBD"/>
                <w:w w:val="92"/>
              </w:rPr>
              <w:t>. . . . . . . . . . . . . . . . . . . . . . . . . . . . . . . . . . . . . . . . .</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1,012</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1,019</w:t>
            </w:r>
          </w:p>
        </w:tc>
      </w:tr>
      <w:tr>
        <w:trPr>
          <w:trHeight w:val="299"/>
        </w:trPr>
        <w:tc>
          <w:tcPr>
            <w:tcW w:w="72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w w:val="93"/>
              </w:rPr>
              <w:t xml:space="preserve">Gain on sale of business </w:t>
            </w:r>
            <w:r>
              <w:rPr>
                <w:rFonts w:ascii="Arial" w:cs="Arial" w:eastAsia="Arial" w:hAnsi="Arial"/>
                <w:sz w:val="20"/>
                <w:szCs w:val="20"/>
                <w:color w:val="BDBDBD"/>
                <w:w w:val="93"/>
              </w:rPr>
              <w:t>. . . . . . . . . . . . . . . . . . . . . . . . . . . . . . . . . . . . . . . . . . . . . . . . .</w:t>
            </w:r>
          </w:p>
        </w:tc>
        <w:tc>
          <w:tcPr>
            <w:tcW w:w="220" w:type="dxa"/>
            <w:vAlign w:val="bottom"/>
            <w:tcBorders>
              <w:bottom w:val="single" w:sz="8" w:color="auto"/>
            </w:tcBorders>
            <w:shd w:val="clear" w:color="auto" w:fill="E6E6E6"/>
          </w:tcPr>
          <w:p>
            <w:pPr>
              <w:spacing w:after="0"/>
              <w:rPr>
                <w:sz w:val="24"/>
                <w:szCs w:val="24"/>
                <w:color w:val="auto"/>
              </w:rPr>
            </w:pPr>
          </w:p>
        </w:tc>
        <w:tc>
          <w:tcPr>
            <w:tcW w:w="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auto"/>
            </w:tcBorders>
            <w:shd w:val="clear" w:color="auto" w:fill="E6E6E6"/>
          </w:tcPr>
          <w:p>
            <w:pPr>
              <w:spacing w:after="0"/>
              <w:rPr>
                <w:sz w:val="24"/>
                <w:szCs w:val="24"/>
                <w:color w:val="auto"/>
              </w:rPr>
            </w:pPr>
          </w:p>
        </w:tc>
        <w:tc>
          <w:tcPr>
            <w:tcW w:w="20" w:type="dxa"/>
            <w:vAlign w:val="bottom"/>
            <w:tcBorders>
              <w:bottom w:val="single" w:sz="8" w:color="auto"/>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1,292</w:t>
            </w:r>
          </w:p>
        </w:tc>
        <w:tc>
          <w:tcPr>
            <w:tcW w:w="6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auto"/>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spacing w:after="0"/>
              <w:rPr>
                <w:sz w:val="24"/>
                <w:szCs w:val="24"/>
                <w:color w:val="auto"/>
              </w:rPr>
            </w:pPr>
          </w:p>
        </w:tc>
        <w:tc>
          <w:tcPr>
            <w:tcW w:w="7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r>
      <w:tr>
        <w:trPr>
          <w:trHeight w:val="245"/>
        </w:trPr>
        <w:tc>
          <w:tcPr>
            <w:tcW w:w="7200" w:type="dxa"/>
            <w:vAlign w:val="bottom"/>
            <w:tcBorders>
              <w:bottom w:val="single" w:sz="8" w:color="E6E6E6"/>
            </w:tcBorders>
          </w:tcPr>
          <w:p>
            <w:pPr>
              <w:ind w:left="40"/>
              <w:spacing w:after="0"/>
              <w:rPr>
                <w:sz w:val="20"/>
                <w:szCs w:val="20"/>
                <w:color w:val="auto"/>
              </w:rPr>
            </w:pPr>
            <w:r>
              <w:rPr>
                <w:rFonts w:ascii="Arial" w:cs="Arial" w:eastAsia="Arial" w:hAnsi="Arial"/>
                <w:sz w:val="20"/>
                <w:szCs w:val="20"/>
                <w:b w:val="1"/>
                <w:bCs w:val="1"/>
                <w:color w:val="auto"/>
              </w:rPr>
              <w:t>Operating Income</w:t>
            </w: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80" w:type="dxa"/>
            <w:vAlign w:val="bottom"/>
            <w:tcBorders>
              <w:bottom w:val="single" w:sz="8" w:color="E6E6E6"/>
            </w:tcBorders>
          </w:tcPr>
          <w:p>
            <w:pPr>
              <w:spacing w:after="0"/>
              <w:rPr>
                <w:sz w:val="21"/>
                <w:szCs w:val="21"/>
                <w:color w:val="auto"/>
              </w:rPr>
            </w:pPr>
          </w:p>
        </w:tc>
        <w:tc>
          <w:tcPr>
            <w:tcW w:w="20" w:type="dxa"/>
            <w:vAlign w:val="bottom"/>
            <w:tcBorders>
              <w:bottom w:val="single" w:sz="8" w:color="E6E6E6"/>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w:t>
            </w:r>
          </w:p>
        </w:tc>
        <w:tc>
          <w:tcPr>
            <w:tcW w:w="60" w:type="dxa"/>
            <w:vAlign w:val="bottom"/>
            <w:tcBorders>
              <w:bottom w:val="single" w:sz="8" w:color="E6E6E6"/>
            </w:tcBorders>
          </w:tcPr>
          <w:p>
            <w:pPr>
              <w:spacing w:after="0"/>
              <w:rPr>
                <w:sz w:val="21"/>
                <w:szCs w:val="21"/>
                <w:color w:val="auto"/>
              </w:rPr>
            </w:pPr>
          </w:p>
        </w:tc>
        <w:tc>
          <w:tcPr>
            <w:tcW w:w="20" w:type="dxa"/>
            <w:vAlign w:val="bottom"/>
            <w:tcBorders>
              <w:bottom w:val="single" w:sz="8" w:color="E6E6E6"/>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r>
      <w:tr>
        <w:trPr>
          <w:trHeight w:val="274"/>
        </w:trPr>
        <w:tc>
          <w:tcPr>
            <w:tcW w:w="7200" w:type="dxa"/>
            <w:vAlign w:val="bottom"/>
            <w:shd w:val="clear" w:color="auto" w:fill="E6E6E6"/>
          </w:tcPr>
          <w:p>
            <w:pPr>
              <w:ind w:left="40"/>
              <w:spacing w:after="0"/>
              <w:rPr>
                <w:sz w:val="20"/>
                <w:szCs w:val="20"/>
                <w:color w:val="auto"/>
              </w:rPr>
            </w:pPr>
            <w:r>
              <w:rPr>
                <w:rFonts w:ascii="Arial" w:cs="Arial" w:eastAsia="Arial" w:hAnsi="Arial"/>
                <w:sz w:val="20"/>
                <w:szCs w:val="20"/>
                <w:b w:val="1"/>
                <w:bCs w:val="1"/>
                <w:color w:val="auto"/>
              </w:rPr>
              <w:t>Other Income (Expense)</w:t>
            </w:r>
          </w:p>
        </w:tc>
        <w:tc>
          <w:tcPr>
            <w:tcW w:w="220" w:type="dxa"/>
            <w:vAlign w:val="bottom"/>
            <w:shd w:val="clear" w:color="auto" w:fill="E6E6E6"/>
          </w:tcPr>
          <w:p>
            <w:pPr>
              <w:spacing w:after="0"/>
              <w:rPr>
                <w:sz w:val="23"/>
                <w:szCs w:val="23"/>
                <w:color w:val="auto"/>
              </w:rPr>
            </w:pPr>
          </w:p>
        </w:tc>
        <w:tc>
          <w:tcPr>
            <w:tcW w:w="72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180" w:type="dxa"/>
            <w:vAlign w:val="bottom"/>
            <w:shd w:val="clear" w:color="auto" w:fill="E6E6E6"/>
          </w:tcPr>
          <w:p>
            <w:pPr>
              <w:spacing w:after="0"/>
              <w:rPr>
                <w:sz w:val="23"/>
                <w:szCs w:val="23"/>
                <w:color w:val="auto"/>
              </w:rPr>
            </w:pPr>
          </w:p>
        </w:tc>
        <w:tc>
          <w:tcPr>
            <w:tcW w:w="72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00" w:type="dxa"/>
            <w:vAlign w:val="bottom"/>
            <w:shd w:val="clear" w:color="auto" w:fill="E6E6E6"/>
          </w:tcPr>
          <w:p>
            <w:pPr>
              <w:spacing w:after="0"/>
              <w:rPr>
                <w:sz w:val="23"/>
                <w:szCs w:val="23"/>
                <w:color w:val="auto"/>
              </w:rPr>
            </w:pPr>
          </w:p>
        </w:tc>
        <w:tc>
          <w:tcPr>
            <w:tcW w:w="700" w:type="dxa"/>
            <w:vAlign w:val="bottom"/>
            <w:shd w:val="clear" w:color="auto" w:fill="E6E6E6"/>
          </w:tcPr>
          <w:p>
            <w:pPr>
              <w:spacing w:after="0"/>
              <w:rPr>
                <w:sz w:val="23"/>
                <w:szCs w:val="23"/>
                <w:color w:val="auto"/>
              </w:rPr>
            </w:pPr>
          </w:p>
        </w:tc>
      </w:tr>
      <w:tr>
        <w:trPr>
          <w:trHeight w:val="277"/>
        </w:trPr>
        <w:tc>
          <w:tcPr>
            <w:tcW w:w="7200" w:type="dxa"/>
            <w:vAlign w:val="bottom"/>
          </w:tcPr>
          <w:p>
            <w:pPr>
              <w:jc w:val="right"/>
              <w:spacing w:after="0"/>
              <w:rPr>
                <w:sz w:val="20"/>
                <w:szCs w:val="20"/>
                <w:color w:val="auto"/>
              </w:rPr>
            </w:pPr>
            <w:r>
              <w:rPr>
                <w:rFonts w:ascii="Arial" w:cs="Arial" w:eastAsia="Arial" w:hAnsi="Arial"/>
                <w:sz w:val="20"/>
                <w:szCs w:val="20"/>
                <w:color w:val="auto"/>
                <w:w w:val="92"/>
              </w:rPr>
              <w:t xml:space="preserve">Equity in earnings of unconsolidated affiliates </w:t>
            </w:r>
            <w:r>
              <w:rPr>
                <w:rFonts w:ascii="Arial" w:cs="Arial" w:eastAsia="Arial" w:hAnsi="Arial"/>
                <w:sz w:val="20"/>
                <w:szCs w:val="20"/>
                <w:color w:val="BDBDBD"/>
                <w:w w:val="92"/>
              </w:rPr>
              <w:t>. . . . . . . . . . . . . . . . . . . . . . . . . . . . . . . . .</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90"/>
        </w:trPr>
        <w:tc>
          <w:tcPr>
            <w:tcW w:w="7200" w:type="dxa"/>
            <w:vAlign w:val="bottom"/>
            <w:shd w:val="clear" w:color="auto" w:fill="E6E6E6"/>
          </w:tcPr>
          <w:p>
            <w:pPr>
              <w:jc w:val="right"/>
              <w:spacing w:after="0"/>
              <w:rPr>
                <w:sz w:val="20"/>
                <w:szCs w:val="20"/>
                <w:color w:val="auto"/>
              </w:rPr>
            </w:pPr>
            <w:r>
              <w:rPr>
                <w:rFonts w:ascii="Arial" w:cs="Arial" w:eastAsia="Arial" w:hAnsi="Arial"/>
                <w:sz w:val="20"/>
                <w:szCs w:val="20"/>
                <w:color w:val="auto"/>
                <w:w w:val="92"/>
              </w:rPr>
              <w:t xml:space="preserve">Other income, net </w:t>
            </w:r>
            <w:r>
              <w:rPr>
                <w:rFonts w:ascii="Arial" w:cs="Arial" w:eastAsia="Arial" w:hAnsi="Arial"/>
                <w:sz w:val="20"/>
                <w:szCs w:val="20"/>
                <w:color w:val="BDBDBD"/>
                <w:w w:val="92"/>
              </w:rPr>
              <w:t>. . . . . . . . . . . . . . . . . . . . . . . . . . . . . . . . . . . . . . . . . . . . . . . . . . . . . . .</w:t>
            </w:r>
          </w:p>
        </w:tc>
        <w:tc>
          <w:tcPr>
            <w:tcW w:w="22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7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w:t>
            </w:r>
          </w:p>
        </w:tc>
      </w:tr>
      <w:tr>
        <w:trPr>
          <w:trHeight w:val="277"/>
        </w:trPr>
        <w:tc>
          <w:tcPr>
            <w:tcW w:w="7200" w:type="dxa"/>
            <w:vAlign w:val="bottom"/>
          </w:tcPr>
          <w:p>
            <w:pPr>
              <w:jc w:val="right"/>
              <w:spacing w:after="0"/>
              <w:rPr>
                <w:sz w:val="20"/>
                <w:szCs w:val="20"/>
                <w:color w:val="auto"/>
              </w:rPr>
            </w:pPr>
            <w:r>
              <w:rPr>
                <w:rFonts w:ascii="Arial" w:cs="Arial" w:eastAsia="Arial" w:hAnsi="Arial"/>
                <w:sz w:val="20"/>
                <w:szCs w:val="20"/>
                <w:color w:val="auto"/>
                <w:w w:val="91"/>
              </w:rPr>
              <w:t xml:space="preserve">Loss on debt extinguishment </w:t>
            </w:r>
            <w:r>
              <w:rPr>
                <w:rFonts w:ascii="Arial" w:cs="Arial" w:eastAsia="Arial" w:hAnsi="Arial"/>
                <w:sz w:val="20"/>
                <w:szCs w:val="20"/>
                <w:color w:val="BDBDBD"/>
                <w:w w:val="91"/>
              </w:rPr>
              <w:t>. . . . . . . . . . . . . . . . . . . . . . . . . . . . . . . . . . . . . . . . . . . . . . .</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99"/>
        </w:trPr>
        <w:tc>
          <w:tcPr>
            <w:tcW w:w="72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w w:val="91"/>
              </w:rPr>
              <w:t xml:space="preserve">Interest expense </w:t>
            </w:r>
            <w:r>
              <w:rPr>
                <w:rFonts w:ascii="Arial" w:cs="Arial" w:eastAsia="Arial" w:hAnsi="Arial"/>
                <w:sz w:val="20"/>
                <w:szCs w:val="20"/>
                <w:color w:val="BDBDBD"/>
                <w:w w:val="91"/>
              </w:rPr>
              <w:t>. . . . . . . . . . . . . . . . . . . . . . . . . . . . . . . . . . . . . . . . . . . . . . . . . . . . . . . . .</w:t>
            </w:r>
          </w:p>
        </w:tc>
        <w:tc>
          <w:tcPr>
            <w:tcW w:w="220" w:type="dxa"/>
            <w:vAlign w:val="bottom"/>
            <w:tcBorders>
              <w:bottom w:val="single" w:sz="8" w:color="auto"/>
            </w:tcBorders>
            <w:shd w:val="clear" w:color="auto" w:fill="E6E6E6"/>
          </w:tcPr>
          <w:p>
            <w:pPr>
              <w:spacing w:after="0"/>
              <w:rPr>
                <w:sz w:val="24"/>
                <w:szCs w:val="24"/>
                <w:color w:val="auto"/>
              </w:rPr>
            </w:pPr>
          </w:p>
        </w:tc>
        <w:tc>
          <w:tcPr>
            <w:tcW w:w="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(337)</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auto"/>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(232)</w:t>
            </w:r>
          </w:p>
        </w:tc>
        <w:tc>
          <w:tcPr>
            <w:tcW w:w="6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auto"/>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spacing w:after="0"/>
              <w:rPr>
                <w:sz w:val="24"/>
                <w:szCs w:val="24"/>
                <w:color w:val="auto"/>
              </w:rPr>
            </w:pPr>
          </w:p>
        </w:tc>
        <w:tc>
          <w:tcPr>
            <w:tcW w:w="7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(312)</w:t>
            </w:r>
          </w:p>
        </w:tc>
      </w:tr>
      <w:tr>
        <w:trPr>
          <w:trHeight w:val="245"/>
        </w:trPr>
        <w:tc>
          <w:tcPr>
            <w:tcW w:w="7200" w:type="dxa"/>
            <w:vAlign w:val="bottom"/>
            <w:tcBorders>
              <w:bottom w:val="single" w:sz="8" w:color="E6E6E6"/>
            </w:tcBorders>
          </w:tcPr>
          <w:p>
            <w:pPr>
              <w:jc w:val="right"/>
              <w:spacing w:after="0"/>
              <w:rPr>
                <w:sz w:val="20"/>
                <w:szCs w:val="20"/>
                <w:color w:val="auto"/>
              </w:rPr>
            </w:pPr>
            <w:r>
              <w:rPr>
                <w:rFonts w:ascii="Arial" w:cs="Arial" w:eastAsia="Arial" w:hAnsi="Arial"/>
                <w:sz w:val="20"/>
                <w:szCs w:val="20"/>
                <w:color w:val="auto"/>
                <w:w w:val="92"/>
              </w:rPr>
              <w:t xml:space="preserve">Total other expense, net  </w:t>
            </w:r>
            <w:r>
              <w:rPr>
                <w:rFonts w:ascii="Arial" w:cs="Arial" w:eastAsia="Arial" w:hAnsi="Arial"/>
                <w:sz w:val="20"/>
                <w:szCs w:val="20"/>
                <w:color w:val="BDBDBD"/>
                <w:w w:val="92"/>
              </w:rPr>
              <w:t>. . . . . . . . . . . . . . . . . . . . . . . . . . . . . . . . . . . . . . . . . . . . . . . . .</w:t>
            </w: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80" w:type="dxa"/>
            <w:vAlign w:val="bottom"/>
            <w:tcBorders>
              <w:bottom w:val="single" w:sz="8" w:color="E6E6E6"/>
            </w:tcBorders>
          </w:tcPr>
          <w:p>
            <w:pPr>
              <w:spacing w:after="0"/>
              <w:rPr>
                <w:sz w:val="21"/>
                <w:szCs w:val="21"/>
                <w:color w:val="auto"/>
              </w:rPr>
            </w:pPr>
          </w:p>
        </w:tc>
        <w:tc>
          <w:tcPr>
            <w:tcW w:w="20" w:type="dxa"/>
            <w:vAlign w:val="bottom"/>
            <w:tcBorders>
              <w:bottom w:val="single" w:sz="8" w:color="E6E6E6"/>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60" w:type="dxa"/>
            <w:vAlign w:val="bottom"/>
            <w:tcBorders>
              <w:bottom w:val="single" w:sz="8" w:color="E6E6E6"/>
            </w:tcBorders>
          </w:tcPr>
          <w:p>
            <w:pPr>
              <w:spacing w:after="0"/>
              <w:rPr>
                <w:sz w:val="21"/>
                <w:szCs w:val="21"/>
                <w:color w:val="auto"/>
              </w:rPr>
            </w:pPr>
          </w:p>
        </w:tc>
        <w:tc>
          <w:tcPr>
            <w:tcW w:w="20" w:type="dxa"/>
            <w:vAlign w:val="bottom"/>
            <w:tcBorders>
              <w:bottom w:val="single" w:sz="8" w:color="E6E6E6"/>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r>
      <w:tr>
        <w:trPr>
          <w:trHeight w:val="274"/>
        </w:trPr>
        <w:tc>
          <w:tcPr>
            <w:tcW w:w="7200" w:type="dxa"/>
            <w:vAlign w:val="bottom"/>
            <w:shd w:val="clear" w:color="auto" w:fill="E6E6E6"/>
          </w:tcPr>
          <w:p>
            <w:pPr>
              <w:jc w:val="right"/>
              <w:spacing w:after="0"/>
              <w:rPr>
                <w:sz w:val="20"/>
                <w:szCs w:val="20"/>
                <w:color w:val="auto"/>
              </w:rPr>
            </w:pPr>
            <w:r>
              <w:rPr>
                <w:rFonts w:ascii="Arial" w:cs="Arial" w:eastAsia="Arial" w:hAnsi="Arial"/>
                <w:sz w:val="20"/>
                <w:szCs w:val="20"/>
                <w:b w:val="1"/>
                <w:bCs w:val="1"/>
                <w:color w:val="BDBDBD"/>
                <w:w w:val="93"/>
              </w:rPr>
              <w:t>. . . . . . . . . . . . . . . . . . . . . . . . . . . . . . . . . . . . . . . .</w:t>
            </w:r>
            <w:r>
              <w:rPr>
                <w:rFonts w:ascii="Arial" w:cs="Arial" w:eastAsia="Arial" w:hAnsi="Arial"/>
                <w:sz w:val="20"/>
                <w:szCs w:val="20"/>
                <w:b w:val="1"/>
                <w:bCs w:val="1"/>
                <w:color w:val="000000"/>
                <w:w w:val="93"/>
              </w:rPr>
              <w:t>(Loss)IncomeBeforeIncomeTaxes</w:t>
            </w:r>
          </w:p>
        </w:tc>
        <w:tc>
          <w:tcPr>
            <w:tcW w:w="220" w:type="dxa"/>
            <w:vAlign w:val="bottom"/>
            <w:shd w:val="clear" w:color="auto" w:fill="E6E6E6"/>
          </w:tcPr>
          <w:p>
            <w:pPr>
              <w:spacing w:after="0"/>
              <w:rPr>
                <w:sz w:val="23"/>
                <w:szCs w:val="23"/>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180" w:type="dxa"/>
            <w:vAlign w:val="bottom"/>
            <w:shd w:val="clear" w:color="auto" w:fill="E6E6E6"/>
          </w:tcPr>
          <w:p>
            <w:pPr>
              <w:spacing w:after="0"/>
              <w:rPr>
                <w:sz w:val="23"/>
                <w:szCs w:val="23"/>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1,282</w:t>
            </w:r>
          </w:p>
        </w:tc>
        <w:tc>
          <w:tcPr>
            <w:tcW w:w="6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00" w:type="dxa"/>
            <w:vAlign w:val="bottom"/>
            <w:shd w:val="clear" w:color="auto" w:fill="E6E6E6"/>
          </w:tcPr>
          <w:p>
            <w:pPr>
              <w:spacing w:after="0"/>
              <w:rPr>
                <w:sz w:val="23"/>
                <w:szCs w:val="23"/>
                <w:color w:val="auto"/>
              </w:rPr>
            </w:pPr>
          </w:p>
        </w:tc>
        <w:tc>
          <w:tcPr>
            <w:tcW w:w="7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(63)</w:t>
            </w:r>
          </w:p>
        </w:tc>
      </w:tr>
      <w:tr>
        <w:trPr>
          <w:trHeight w:val="274"/>
        </w:trPr>
        <w:tc>
          <w:tcPr>
            <w:tcW w:w="7200" w:type="dxa"/>
            <w:vAlign w:val="bottom"/>
            <w:tcBorders>
              <w:bottom w:val="single" w:sz="8" w:color="E6E6E6"/>
            </w:tcBorders>
          </w:tcPr>
          <w:p>
            <w:pPr>
              <w:jc w:val="right"/>
              <w:spacing w:after="0"/>
              <w:rPr>
                <w:sz w:val="20"/>
                <w:szCs w:val="20"/>
                <w:color w:val="auto"/>
              </w:rPr>
            </w:pPr>
            <w:r>
              <w:rPr>
                <w:rFonts w:ascii="Arial" w:cs="Arial" w:eastAsia="Arial" w:hAnsi="Arial"/>
                <w:sz w:val="20"/>
                <w:szCs w:val="20"/>
                <w:color w:val="auto"/>
                <w:w w:val="92"/>
              </w:rPr>
              <w:t xml:space="preserve">Income tax (benefit) expense </w:t>
            </w:r>
            <w:r>
              <w:rPr>
                <w:rFonts w:ascii="Arial" w:cs="Arial" w:eastAsia="Arial" w:hAnsi="Arial"/>
                <w:sz w:val="20"/>
                <w:szCs w:val="20"/>
                <w:color w:val="BDBDBD"/>
                <w:w w:val="92"/>
              </w:rPr>
              <w:t>. . . . . . . . . . . . . . . . . . . . . . . . . . . . . . . . . . . . . . . . . . . . . .</w:t>
            </w:r>
          </w:p>
        </w:tc>
        <w:tc>
          <w:tcPr>
            <w:tcW w:w="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E6E6E6"/>
            </w:tcBorders>
          </w:tcPr>
          <w:p>
            <w:pPr>
              <w:spacing w:after="0"/>
              <w:rPr>
                <w:sz w:val="23"/>
                <w:szCs w:val="23"/>
                <w:color w:val="auto"/>
              </w:rPr>
            </w:pPr>
          </w:p>
        </w:tc>
        <w:tc>
          <w:tcPr>
            <w:tcW w:w="20" w:type="dxa"/>
            <w:vAlign w:val="bottom"/>
            <w:tcBorders>
              <w:bottom w:val="single" w:sz="8" w:color="E6E6E6"/>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60" w:type="dxa"/>
            <w:vAlign w:val="bottom"/>
            <w:tcBorders>
              <w:bottom w:val="single" w:sz="8" w:color="E6E6E6"/>
            </w:tcBorders>
          </w:tcPr>
          <w:p>
            <w:pPr>
              <w:spacing w:after="0"/>
              <w:rPr>
                <w:sz w:val="23"/>
                <w:szCs w:val="23"/>
                <w:color w:val="auto"/>
              </w:rPr>
            </w:pPr>
          </w:p>
        </w:tc>
        <w:tc>
          <w:tcPr>
            <w:tcW w:w="20" w:type="dxa"/>
            <w:vAlign w:val="bottom"/>
            <w:tcBorders>
              <w:bottom w:val="single" w:sz="8" w:color="E6E6E6"/>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82"/>
        </w:trPr>
        <w:tc>
          <w:tcPr>
            <w:tcW w:w="72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b w:val="1"/>
                <w:bCs w:val="1"/>
                <w:color w:val="BDBDBD"/>
                <w:w w:val="92"/>
              </w:rPr>
              <w:t>. . . . . . . . . . . . . . . . . . . . . . . . . . . . . . . . . . . . . . . . . . . . . . . . . . . . . . .</w:t>
            </w:r>
            <w:r>
              <w:rPr>
                <w:rFonts w:ascii="Arial" w:cs="Arial" w:eastAsia="Arial" w:hAnsi="Arial"/>
                <w:sz w:val="20"/>
                <w:szCs w:val="20"/>
                <w:b w:val="1"/>
                <w:bCs w:val="1"/>
                <w:color w:val="000000"/>
                <w:w w:val="92"/>
              </w:rPr>
              <w:t>Net(Loss)Income</w:t>
            </w:r>
          </w:p>
        </w:tc>
        <w:tc>
          <w:tcPr>
            <w:tcW w:w="220" w:type="dxa"/>
            <w:vAlign w:val="bottom"/>
            <w:tcBorders>
              <w:bottom w:val="single" w:sz="8" w:color="auto"/>
            </w:tcBorders>
            <w:shd w:val="clear" w:color="auto" w:fill="E6E6E6"/>
          </w:tcPr>
          <w:p>
            <w:pPr>
              <w:spacing w:after="0"/>
              <w:rPr>
                <w:sz w:val="24"/>
                <w:szCs w:val="24"/>
                <w:color w:val="auto"/>
              </w:rPr>
            </w:pPr>
          </w:p>
        </w:tc>
        <w:tc>
          <w:tcPr>
            <w:tcW w:w="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auto"/>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1,060</w:t>
            </w:r>
          </w:p>
        </w:tc>
        <w:tc>
          <w:tcPr>
            <w:tcW w:w="6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auto"/>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spacing w:after="0"/>
              <w:rPr>
                <w:sz w:val="24"/>
                <w:szCs w:val="24"/>
                <w:color w:val="auto"/>
              </w:rPr>
            </w:pPr>
          </w:p>
        </w:tc>
        <w:tc>
          <w:tcPr>
            <w:tcW w:w="7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(75)</w:t>
            </w:r>
          </w:p>
        </w:tc>
      </w:tr>
      <w:tr>
        <w:trPr>
          <w:trHeight w:val="192"/>
        </w:trPr>
        <w:tc>
          <w:tcPr>
            <w:tcW w:w="7200" w:type="dxa"/>
            <w:vAlign w:val="bottom"/>
          </w:tcPr>
          <w:p>
            <w:pPr>
              <w:ind w:left="180"/>
              <w:spacing w:after="0" w:line="192" w:lineRule="exact"/>
              <w:rPr>
                <w:sz w:val="20"/>
                <w:szCs w:val="20"/>
                <w:color w:val="auto"/>
              </w:rPr>
            </w:pPr>
            <w:r>
              <w:rPr>
                <w:rFonts w:ascii="Arial" w:cs="Arial" w:eastAsia="Arial" w:hAnsi="Arial"/>
                <w:sz w:val="20"/>
                <w:szCs w:val="20"/>
                <w:color w:val="auto"/>
              </w:rPr>
              <w:t>Less: Net (loss) income attributable to noncontrolling interests and redeemable</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62"/>
        </w:trPr>
        <w:tc>
          <w:tcPr>
            <w:tcW w:w="7200" w:type="dxa"/>
            <w:vAlign w:val="bottom"/>
            <w:tcBorders>
              <w:bottom w:val="single" w:sz="8" w:color="E6E6E6"/>
            </w:tcBorders>
          </w:tcPr>
          <w:p>
            <w:pPr>
              <w:jc w:val="right"/>
              <w:spacing w:after="0"/>
              <w:rPr>
                <w:sz w:val="20"/>
                <w:szCs w:val="20"/>
                <w:color w:val="auto"/>
              </w:rPr>
            </w:pPr>
            <w:r>
              <w:rPr>
                <w:rFonts w:ascii="Arial" w:cs="Arial" w:eastAsia="Arial" w:hAnsi="Arial"/>
                <w:sz w:val="20"/>
                <w:szCs w:val="20"/>
                <w:color w:val="auto"/>
                <w:w w:val="94"/>
              </w:rPr>
              <w:t xml:space="preserve">noncontrolling interests </w:t>
            </w:r>
            <w:r>
              <w:rPr>
                <w:rFonts w:ascii="Arial" w:cs="Arial" w:eastAsia="Arial" w:hAnsi="Arial"/>
                <w:sz w:val="20"/>
                <w:szCs w:val="20"/>
                <w:color w:val="BDBDBD"/>
                <w:w w:val="94"/>
              </w:rPr>
              <w:t>. . . . . . . . . . . . . . . . . . . . . . . . . . . . . . . . . . . . . . . . . . . . . . . . .</w:t>
            </w: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8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6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r>
      <w:tr>
        <w:trPr>
          <w:trHeight w:val="283"/>
        </w:trPr>
        <w:tc>
          <w:tcPr>
            <w:tcW w:w="7200" w:type="dxa"/>
            <w:vAlign w:val="bottom"/>
            <w:shd w:val="clear" w:color="auto" w:fill="E6E6E6"/>
          </w:tcPr>
          <w:p>
            <w:pPr>
              <w:jc w:val="right"/>
              <w:spacing w:after="0"/>
              <w:rPr>
                <w:sz w:val="20"/>
                <w:szCs w:val="20"/>
                <w:color w:val="auto"/>
              </w:rPr>
            </w:pPr>
            <w:r>
              <w:rPr>
                <w:rFonts w:ascii="Arial" w:cs="Arial" w:eastAsia="Arial" w:hAnsi="Arial"/>
                <w:sz w:val="20"/>
                <w:szCs w:val="20"/>
                <w:b w:val="1"/>
                <w:bCs w:val="1"/>
                <w:color w:val="auto"/>
                <w:w w:val="96"/>
              </w:rPr>
              <w:t xml:space="preserve">. </w:t>
            </w:r>
            <w:r>
              <w:rPr>
                <w:rFonts w:ascii="Arial" w:cs="Arial" w:eastAsia="Arial" w:hAnsi="Arial"/>
                <w:sz w:val="20"/>
                <w:szCs w:val="20"/>
                <w:b w:val="1"/>
                <w:bCs w:val="1"/>
                <w:color w:val="BDBDBD"/>
                <w:w w:val="96"/>
              </w:rPr>
              <w:t>. . . . . . . . . . . . . . . . . . . . . . . . . . . .</w:t>
            </w:r>
            <w:r>
              <w:rPr>
                <w:rFonts w:ascii="Arial" w:cs="Arial" w:eastAsia="Arial" w:hAnsi="Arial"/>
                <w:sz w:val="20"/>
                <w:szCs w:val="20"/>
                <w:b w:val="1"/>
                <w:bCs w:val="1"/>
                <w:color w:val="auto"/>
                <w:w w:val="96"/>
              </w:rPr>
              <w:t>NetIncomeAttributabletoClearwayEnergy,Inc</w:t>
            </w:r>
          </w:p>
        </w:tc>
        <w:tc>
          <w:tcPr>
            <w:tcW w:w="2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79</w:t>
            </w:r>
          </w:p>
        </w:tc>
        <w:tc>
          <w:tcPr>
            <w:tcW w:w="300" w:type="dxa"/>
            <w:vAlign w:val="bottom"/>
            <w:gridSpan w:val="4"/>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582</w:t>
            </w:r>
          </w:p>
        </w:tc>
        <w:tc>
          <w:tcPr>
            <w:tcW w:w="300" w:type="dxa"/>
            <w:vAlign w:val="bottom"/>
            <w:gridSpan w:val="4"/>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51</w:t>
            </w:r>
          </w:p>
        </w:tc>
      </w:tr>
      <w:tr>
        <w:trPr>
          <w:trHeight w:val="176"/>
        </w:trPr>
        <w:tc>
          <w:tcPr>
            <w:tcW w:w="7200" w:type="dxa"/>
            <w:vAlign w:val="bottom"/>
            <w:tcBorders>
              <w:top w:val="single" w:sz="8" w:color="E6E6E6"/>
            </w:tcBorders>
          </w:tcPr>
          <w:p>
            <w:pPr>
              <w:ind w:left="40"/>
              <w:spacing w:after="0" w:line="176" w:lineRule="exact"/>
              <w:rPr>
                <w:sz w:val="20"/>
                <w:szCs w:val="20"/>
                <w:color w:val="auto"/>
              </w:rPr>
            </w:pPr>
            <w:r>
              <w:rPr>
                <w:rFonts w:ascii="Arial" w:cs="Arial" w:eastAsia="Arial" w:hAnsi="Arial"/>
                <w:sz w:val="20"/>
                <w:szCs w:val="20"/>
                <w:b w:val="1"/>
                <w:bCs w:val="1"/>
                <w:color w:val="auto"/>
                <w:w w:val="96"/>
              </w:rPr>
              <w:t>Earnings Per Share Attributable to Clearway Energy, Inc. Class A and Class C</w:t>
            </w: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Borders>
              <w:top w:val="single" w:sz="8" w:color="E6E6E6"/>
            </w:tcBorders>
          </w:tcPr>
          <w:p>
            <w:pPr>
              <w:spacing w:after="0"/>
              <w:rPr>
                <w:sz w:val="15"/>
                <w:szCs w:val="15"/>
                <w:color w:val="auto"/>
              </w:rPr>
            </w:pPr>
          </w:p>
        </w:tc>
        <w:tc>
          <w:tcPr>
            <w:tcW w:w="20" w:type="dxa"/>
            <w:vAlign w:val="bottom"/>
            <w:tcBorders>
              <w:top w:val="single" w:sz="8" w:color="E6E6E6"/>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60" w:type="dxa"/>
            <w:vAlign w:val="bottom"/>
            <w:tcBorders>
              <w:top w:val="single" w:sz="8" w:color="E6E6E6"/>
            </w:tcBorders>
          </w:tcPr>
          <w:p>
            <w:pPr>
              <w:spacing w:after="0"/>
              <w:rPr>
                <w:sz w:val="15"/>
                <w:szCs w:val="15"/>
                <w:color w:val="auto"/>
              </w:rPr>
            </w:pPr>
          </w:p>
        </w:tc>
        <w:tc>
          <w:tcPr>
            <w:tcW w:w="20" w:type="dxa"/>
            <w:vAlign w:val="bottom"/>
            <w:tcBorders>
              <w:top w:val="single" w:sz="8" w:color="E6E6E6"/>
            </w:tcBorders>
          </w:tcPr>
          <w:p>
            <w:pPr>
              <w:spacing w:after="0"/>
              <w:rPr>
                <w:sz w:val="15"/>
                <w:szCs w:val="15"/>
                <w:color w:val="auto"/>
              </w:rPr>
            </w:pPr>
          </w:p>
        </w:tc>
        <w:tc>
          <w:tcPr>
            <w:tcW w:w="20" w:type="dxa"/>
            <w:vAlign w:val="bottom"/>
            <w:tcBorders>
              <w:top w:val="single" w:sz="8" w:color="E6E6E6"/>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r>
      <w:tr>
        <w:trPr>
          <w:trHeight w:val="268"/>
        </w:trPr>
        <w:tc>
          <w:tcPr>
            <w:tcW w:w="7200" w:type="dxa"/>
            <w:vAlign w:val="bottom"/>
          </w:tcPr>
          <w:p>
            <w:pPr>
              <w:jc w:val="right"/>
              <w:ind w:right="4941"/>
              <w:spacing w:after="0"/>
              <w:rPr>
                <w:sz w:val="20"/>
                <w:szCs w:val="20"/>
                <w:color w:val="auto"/>
              </w:rPr>
            </w:pPr>
            <w:r>
              <w:rPr>
                <w:rFonts w:ascii="Arial" w:cs="Arial" w:eastAsia="Arial" w:hAnsi="Arial"/>
                <w:sz w:val="20"/>
                <w:szCs w:val="20"/>
                <w:b w:val="1"/>
                <w:bCs w:val="1"/>
                <w:color w:val="auto"/>
                <w:w w:val="97"/>
              </w:rPr>
              <w:t>Common Stockholders</w:t>
            </w: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302"/>
        </w:trPr>
        <w:tc>
          <w:tcPr>
            <w:tcW w:w="7200" w:type="dxa"/>
            <w:vAlign w:val="bottom"/>
            <w:shd w:val="clear" w:color="auto" w:fill="E6E6E6"/>
          </w:tcPr>
          <w:p>
            <w:pPr>
              <w:jc w:val="right"/>
              <w:spacing w:after="0"/>
              <w:rPr>
                <w:sz w:val="20"/>
                <w:szCs w:val="20"/>
                <w:color w:val="auto"/>
              </w:rPr>
            </w:pPr>
            <w:r>
              <w:rPr>
                <w:rFonts w:ascii="Arial" w:cs="Arial" w:eastAsia="Arial" w:hAnsi="Arial"/>
                <w:sz w:val="20"/>
                <w:szCs w:val="20"/>
                <w:color w:val="auto"/>
                <w:w w:val="91"/>
              </w:rPr>
              <w:t xml:space="preserve">Weighted average number of Class A common shares outstanding - basic and diluted </w:t>
            </w:r>
            <w:r>
              <w:rPr>
                <w:rFonts w:ascii="Arial" w:cs="Arial" w:eastAsia="Arial" w:hAnsi="Arial"/>
                <w:sz w:val="20"/>
                <w:szCs w:val="20"/>
                <w:color w:val="BDBDBD"/>
                <w:w w:val="91"/>
              </w:rPr>
              <w:t>. .</w:t>
            </w:r>
          </w:p>
        </w:tc>
        <w:tc>
          <w:tcPr>
            <w:tcW w:w="22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7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35</w:t>
            </w:r>
          </w:p>
        </w:tc>
      </w:tr>
      <w:tr>
        <w:trPr>
          <w:trHeight w:val="277"/>
        </w:trPr>
        <w:tc>
          <w:tcPr>
            <w:tcW w:w="7200" w:type="dxa"/>
            <w:vAlign w:val="bottom"/>
          </w:tcPr>
          <w:p>
            <w:pPr>
              <w:jc w:val="right"/>
              <w:spacing w:after="0"/>
              <w:rPr>
                <w:sz w:val="20"/>
                <w:szCs w:val="20"/>
                <w:color w:val="auto"/>
              </w:rPr>
            </w:pPr>
            <w:r>
              <w:rPr>
                <w:rFonts w:ascii="Arial" w:cs="Arial" w:eastAsia="Arial" w:hAnsi="Arial"/>
                <w:sz w:val="20"/>
                <w:szCs w:val="20"/>
                <w:color w:val="auto"/>
                <w:w w:val="91"/>
              </w:rPr>
              <w:t xml:space="preserve">Weighted average number of Class C common shares outstanding - basic and diluted </w:t>
            </w:r>
            <w:r>
              <w:rPr>
                <w:rFonts w:ascii="Arial" w:cs="Arial" w:eastAsia="Arial" w:hAnsi="Arial"/>
                <w:sz w:val="20"/>
                <w:szCs w:val="20"/>
                <w:color w:val="BDBDBD"/>
                <w:w w:val="91"/>
              </w:rPr>
              <w:t>. .</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2"/>
        </w:trPr>
        <w:tc>
          <w:tcPr>
            <w:tcW w:w="7200" w:type="dxa"/>
            <w:vAlign w:val="bottom"/>
            <w:shd w:val="clear" w:color="auto" w:fill="E6E6E6"/>
          </w:tcPr>
          <w:p>
            <w:pPr>
              <w:ind w:left="40"/>
              <w:spacing w:after="0" w:line="212" w:lineRule="exact"/>
              <w:rPr>
                <w:sz w:val="20"/>
                <w:szCs w:val="20"/>
                <w:color w:val="auto"/>
              </w:rPr>
            </w:pPr>
            <w:r>
              <w:rPr>
                <w:rFonts w:ascii="Arial" w:cs="Arial" w:eastAsia="Arial" w:hAnsi="Arial"/>
                <w:sz w:val="20"/>
                <w:szCs w:val="20"/>
                <w:b w:val="1"/>
                <w:bCs w:val="1"/>
                <w:color w:val="auto"/>
                <w:w w:val="93"/>
              </w:rPr>
              <w:t>Earnings per Weighted Average Class A and Class C Common Share - Basic and</w:t>
            </w:r>
          </w:p>
        </w:tc>
        <w:tc>
          <w:tcPr>
            <w:tcW w:w="220" w:type="dxa"/>
            <w:vAlign w:val="bottom"/>
            <w:shd w:val="clear" w:color="auto" w:fill="E6E6E6"/>
          </w:tcPr>
          <w:p>
            <w:pPr>
              <w:spacing w:after="0"/>
              <w:rPr>
                <w:sz w:val="18"/>
                <w:szCs w:val="18"/>
                <w:color w:val="auto"/>
              </w:rPr>
            </w:pPr>
          </w:p>
        </w:tc>
        <w:tc>
          <w:tcPr>
            <w:tcW w:w="7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720" w:type="dxa"/>
            <w:vAlign w:val="bottom"/>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700" w:type="dxa"/>
            <w:vAlign w:val="bottom"/>
            <w:shd w:val="clear" w:color="auto" w:fill="E6E6E6"/>
          </w:tcPr>
          <w:p>
            <w:pPr>
              <w:spacing w:after="0"/>
              <w:rPr>
                <w:sz w:val="18"/>
                <w:szCs w:val="18"/>
                <w:color w:val="auto"/>
              </w:rPr>
            </w:pPr>
          </w:p>
        </w:tc>
      </w:tr>
      <w:tr>
        <w:trPr>
          <w:trHeight w:val="282"/>
        </w:trPr>
        <w:tc>
          <w:tcPr>
            <w:tcW w:w="72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b w:val="1"/>
                <w:bCs w:val="1"/>
                <w:color w:val="auto"/>
                <w:w w:val="92"/>
              </w:rPr>
              <w:t xml:space="preserve">Diluted </w:t>
            </w:r>
            <w:r>
              <w:rPr>
                <w:rFonts w:ascii="Arial" w:cs="Arial" w:eastAsia="Arial" w:hAnsi="Arial"/>
                <w:sz w:val="20"/>
                <w:szCs w:val="20"/>
                <w:b w:val="1"/>
                <w:bCs w:val="1"/>
                <w:color w:val="BDBDBD"/>
                <w:w w:val="92"/>
              </w:rPr>
              <w:t>. . . . . . . . . . . . . . . . . . . . . . . . . . . . . . . . . . . . . . . . . . . . . . . . . . . . . . . . . . . . . . .</w:t>
            </w:r>
          </w:p>
        </w:tc>
        <w:tc>
          <w:tcPr>
            <w:tcW w:w="2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0.67</w:t>
            </w:r>
          </w:p>
        </w:tc>
        <w:tc>
          <w:tcPr>
            <w:tcW w:w="100" w:type="dxa"/>
            <w:vAlign w:val="bottom"/>
            <w:tcBorders>
              <w:bottom w:val="single" w:sz="8" w:color="E6E6E6"/>
            </w:tcBorders>
            <w:gridSpan w:val="2"/>
            <w:shd w:val="clear" w:color="auto" w:fill="E6E6E6"/>
          </w:tcPr>
          <w:p>
            <w:pPr>
              <w:spacing w:after="0"/>
              <w:rPr>
                <w:sz w:val="24"/>
                <w:szCs w:val="24"/>
                <w:color w:val="auto"/>
              </w:rPr>
            </w:pPr>
          </w:p>
        </w:tc>
        <w:tc>
          <w:tcPr>
            <w:tcW w:w="200" w:type="dxa"/>
            <w:vAlign w:val="bottom"/>
            <w:tcBorders>
              <w:bottom w:val="single" w:sz="8" w:color="auto"/>
            </w:tcBorders>
            <w:gridSpan w:val="2"/>
            <w:shd w:val="clear" w:color="auto" w:fill="E6E6E6"/>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Borders>
              <w:bottom w:val="single" w:sz="8" w:color="E6E6E6"/>
            </w:tcBorders>
            <w:gridSpan w:val="3"/>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0.44</w:t>
            </w:r>
          </w:p>
        </w:tc>
      </w:tr>
      <w:tr>
        <w:trPr>
          <w:trHeight w:val="264"/>
        </w:trPr>
        <w:tc>
          <w:tcPr>
            <w:tcW w:w="7200" w:type="dxa"/>
            <w:vAlign w:val="bottom"/>
            <w:tcBorders>
              <w:bottom w:val="single" w:sz="8" w:color="E6E6E6"/>
            </w:tcBorders>
          </w:tcPr>
          <w:p>
            <w:pPr>
              <w:jc w:val="right"/>
              <w:spacing w:after="0" w:line="224" w:lineRule="exact"/>
              <w:rPr>
                <w:sz w:val="20"/>
                <w:szCs w:val="20"/>
                <w:color w:val="auto"/>
              </w:rPr>
            </w:pPr>
            <w:r>
              <w:rPr>
                <w:rFonts w:ascii="Arial" w:cs="Arial" w:eastAsia="Arial" w:hAnsi="Arial"/>
                <w:sz w:val="20"/>
                <w:szCs w:val="20"/>
                <w:b w:val="1"/>
                <w:bCs w:val="1"/>
                <w:color w:val="BDBDBD"/>
                <w:w w:val="95"/>
              </w:rPr>
              <w:t>. . . . . . . . . . . . . . . . . . . . . . . . . . . . . . . . . . . . .</w:t>
            </w:r>
            <w:r>
              <w:rPr>
                <w:rFonts w:ascii="Arial" w:cs="Arial" w:eastAsia="Arial" w:hAnsi="Arial"/>
                <w:sz w:val="20"/>
                <w:szCs w:val="20"/>
                <w:b w:val="1"/>
                <w:bCs w:val="1"/>
                <w:color w:val="000000"/>
                <w:w w:val="95"/>
              </w:rPr>
              <w:t>DividendsPerClassACommonShare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E6E6E6"/>
            </w:tcBorders>
            <w:gridSpan w:val="3"/>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E6E6E6"/>
            </w:tcBorders>
            <w:gridSpan w:val="3"/>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r>
      <w:tr>
        <w:trPr>
          <w:trHeight w:val="264"/>
        </w:trPr>
        <w:tc>
          <w:tcPr>
            <w:tcW w:w="7200" w:type="dxa"/>
            <w:vAlign w:val="bottom"/>
            <w:tcBorders>
              <w:bottom w:val="single" w:sz="8" w:color="E6E6E6"/>
            </w:tcBorders>
            <w:shd w:val="clear" w:color="auto" w:fill="E6E6E6"/>
          </w:tcPr>
          <w:p>
            <w:pPr>
              <w:jc w:val="right"/>
              <w:spacing w:after="0" w:line="224" w:lineRule="exact"/>
              <w:rPr>
                <w:sz w:val="20"/>
                <w:szCs w:val="20"/>
                <w:color w:val="auto"/>
              </w:rPr>
            </w:pPr>
            <w:r>
              <w:rPr>
                <w:rFonts w:ascii="Arial" w:cs="Arial" w:eastAsia="Arial" w:hAnsi="Arial"/>
                <w:sz w:val="20"/>
                <w:szCs w:val="20"/>
                <w:b w:val="1"/>
                <w:bCs w:val="1"/>
                <w:color w:val="BDBDBD"/>
                <w:w w:val="95"/>
              </w:rPr>
              <w:t>. . . . . . . . . . . . . . . . . . . . . . . . . . . . . . . . . . . . .</w:t>
            </w:r>
            <w:r>
              <w:rPr>
                <w:rFonts w:ascii="Arial" w:cs="Arial" w:eastAsia="Arial" w:hAnsi="Arial"/>
                <w:sz w:val="20"/>
                <w:szCs w:val="20"/>
                <w:b w:val="1"/>
                <w:bCs w:val="1"/>
                <w:color w:val="000000"/>
                <w:w w:val="95"/>
              </w:rPr>
              <w:t>DividendsPerClassCCommonShare</w:t>
            </w:r>
          </w:p>
        </w:tc>
        <w:tc>
          <w:tcPr>
            <w:tcW w:w="2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E6E6E6"/>
            </w:tcBorders>
            <w:gridSpan w:val="3"/>
            <w:shd w:val="clear" w:color="auto" w:fill="E6E6E6"/>
          </w:tcPr>
          <w:p>
            <w:pPr>
              <w:spacing w:after="0"/>
              <w:rPr>
                <w:sz w:val="22"/>
                <w:szCs w:val="22"/>
                <w:color w:val="auto"/>
              </w:rPr>
            </w:pPr>
          </w:p>
        </w:tc>
        <w:tc>
          <w:tcPr>
            <w:tcW w:w="1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E6E6E6"/>
            </w:tcBorders>
            <w:gridSpan w:val="3"/>
            <w:shd w:val="clear" w:color="auto" w:fill="E6E6E6"/>
          </w:tcPr>
          <w:p>
            <w:pPr>
              <w:spacing w:after="0"/>
              <w:rPr>
                <w:sz w:val="22"/>
                <w:szCs w:val="22"/>
                <w:color w:val="auto"/>
              </w:rPr>
            </w:pPr>
          </w:p>
        </w:tc>
        <w:tc>
          <w:tcPr>
            <w:tcW w:w="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-5774055</wp:posOffset>
            </wp:positionV>
            <wp:extent cx="19113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77">
                      <a:extLst>
                        <a:ext uri="{28A0092B-C50C-407E-A947-70E740481C1C}"/>
                      </a:extLst>
                    </a:blip>
                    <a:srcRect/>
                    <a:stretch>
                      <a:fillRect/>
                    </a:stretch>
                  </pic:blipFill>
                  <pic:spPr bwMode="auto">
                    <a:xfrm>
                      <a:off x="0" y="0"/>
                      <a:ext cx="1911350" cy="25400"/>
                    </a:xfrm>
                    <a:prstGeom prst="rect">
                      <a:avLst/>
                    </a:prstGeom>
                    <a:noFill/>
                  </pic:spPr>
                </pic:pic>
              </a:graphicData>
            </a:graphic>
          </wp:anchor>
        </w:drawing>
        <w:drawing>
          <wp:anchor simplePos="0" relativeHeight="251657728" behindDoc="1" locked="0" layoutInCell="0" allowOverlap="1">
            <wp:simplePos x="0" y="0"/>
            <wp:positionH relativeFrom="column">
              <wp:posOffset>4558665</wp:posOffset>
            </wp:positionH>
            <wp:positionV relativeFrom="paragraph">
              <wp:posOffset>-5414010</wp:posOffset>
            </wp:positionV>
            <wp:extent cx="19113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78">
                      <a:extLst>
                        <a:ext uri="{28A0092B-C50C-407E-A947-70E740481C1C}"/>
                      </a:extLst>
                    </a:blip>
                    <a:srcRect/>
                    <a:stretch>
                      <a:fillRect/>
                    </a:stretch>
                  </pic:blipFill>
                  <pic:spPr bwMode="auto">
                    <a:xfrm>
                      <a:off x="0" y="0"/>
                      <a:ext cx="1911350" cy="25400"/>
                    </a:xfrm>
                    <a:prstGeom prst="rect">
                      <a:avLst/>
                    </a:prstGeom>
                    <a:noFill/>
                  </pic:spPr>
                </pic:pic>
              </a:graphicData>
            </a:graphic>
          </wp:anchor>
        </w:drawing>
        <w:drawing>
          <wp:anchor simplePos="0" relativeHeight="251657728" behindDoc="1" locked="0" layoutInCell="0" allowOverlap="1">
            <wp:simplePos x="0" y="0"/>
            <wp:positionH relativeFrom="column">
              <wp:posOffset>4558665</wp:posOffset>
            </wp:positionH>
            <wp:positionV relativeFrom="paragraph">
              <wp:posOffset>-4020820</wp:posOffset>
            </wp:positionV>
            <wp:extent cx="19113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79">
                      <a:extLst>
                        <a:ext uri="{28A0092B-C50C-407E-A947-70E740481C1C}"/>
                      </a:extLst>
                    </a:blip>
                    <a:srcRect/>
                    <a:stretch>
                      <a:fillRect/>
                    </a:stretch>
                  </pic:blipFill>
                  <pic:spPr bwMode="auto">
                    <a:xfrm>
                      <a:off x="0" y="0"/>
                      <a:ext cx="1911350" cy="25400"/>
                    </a:xfrm>
                    <a:prstGeom prst="rect">
                      <a:avLst/>
                    </a:prstGeom>
                    <a:noFill/>
                  </pic:spPr>
                </pic:pic>
              </a:graphicData>
            </a:graphic>
          </wp:anchor>
        </w:drawing>
        <w:drawing>
          <wp:anchor simplePos="0" relativeHeight="251657728" behindDoc="1" locked="0" layoutInCell="0" allowOverlap="1">
            <wp:simplePos x="0" y="0"/>
            <wp:positionH relativeFrom="column">
              <wp:posOffset>4558665</wp:posOffset>
            </wp:positionH>
            <wp:positionV relativeFrom="paragraph">
              <wp:posOffset>-3660775</wp:posOffset>
            </wp:positionV>
            <wp:extent cx="19113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80">
                      <a:extLst>
                        <a:ext uri="{28A0092B-C50C-407E-A947-70E740481C1C}"/>
                      </a:extLst>
                    </a:blip>
                    <a:srcRect/>
                    <a:stretch>
                      <a:fillRect/>
                    </a:stretch>
                  </pic:blipFill>
                  <pic:spPr bwMode="auto">
                    <a:xfrm>
                      <a:off x="0" y="0"/>
                      <a:ext cx="1911350" cy="25400"/>
                    </a:xfrm>
                    <a:prstGeom prst="rect">
                      <a:avLst/>
                    </a:prstGeom>
                    <a:noFill/>
                  </pic:spPr>
                </pic:pic>
              </a:graphicData>
            </a:graphic>
          </wp:anchor>
        </w:drawing>
        <w:drawing>
          <wp:anchor simplePos="0" relativeHeight="251657728" behindDoc="1" locked="0" layoutInCell="0" allowOverlap="1">
            <wp:simplePos x="0" y="0"/>
            <wp:positionH relativeFrom="column">
              <wp:posOffset>4558665</wp:posOffset>
            </wp:positionH>
            <wp:positionV relativeFrom="paragraph">
              <wp:posOffset>-3481070</wp:posOffset>
            </wp:positionV>
            <wp:extent cx="19113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81">
                      <a:extLst>
                        <a:ext uri="{28A0092B-C50C-407E-A947-70E740481C1C}"/>
                      </a:extLst>
                    </a:blip>
                    <a:srcRect/>
                    <a:stretch>
                      <a:fillRect/>
                    </a:stretch>
                  </pic:blipFill>
                  <pic:spPr bwMode="auto">
                    <a:xfrm>
                      <a:off x="0" y="0"/>
                      <a:ext cx="1911350" cy="25400"/>
                    </a:xfrm>
                    <a:prstGeom prst="rect">
                      <a:avLst/>
                    </a:prstGeom>
                    <a:noFill/>
                  </pic:spPr>
                </pic:pic>
              </a:graphicData>
            </a:graphic>
          </wp:anchor>
        </w:drawing>
        <w:drawing>
          <wp:anchor simplePos="0" relativeHeight="251657728" behindDoc="1" locked="0" layoutInCell="0" allowOverlap="1">
            <wp:simplePos x="0" y="0"/>
            <wp:positionH relativeFrom="column">
              <wp:posOffset>4558665</wp:posOffset>
            </wp:positionH>
            <wp:positionV relativeFrom="paragraph">
              <wp:posOffset>-2580640</wp:posOffset>
            </wp:positionV>
            <wp:extent cx="19113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82">
                      <a:extLst>
                        <a:ext uri="{28A0092B-C50C-407E-A947-70E740481C1C}"/>
                      </a:extLst>
                    </a:blip>
                    <a:srcRect/>
                    <a:stretch>
                      <a:fillRect/>
                    </a:stretch>
                  </pic:blipFill>
                  <pic:spPr bwMode="auto">
                    <a:xfrm>
                      <a:off x="0" y="0"/>
                      <a:ext cx="1911350" cy="25400"/>
                    </a:xfrm>
                    <a:prstGeom prst="rect">
                      <a:avLst/>
                    </a:prstGeom>
                    <a:noFill/>
                  </pic:spPr>
                </pic:pic>
              </a:graphicData>
            </a:graphic>
          </wp:anchor>
        </w:drawing>
        <w:drawing>
          <wp:anchor simplePos="0" relativeHeight="251657728" behindDoc="1" locked="0" layoutInCell="0" allowOverlap="1">
            <wp:simplePos x="0" y="0"/>
            <wp:positionH relativeFrom="column">
              <wp:posOffset>4558665</wp:posOffset>
            </wp:positionH>
            <wp:positionV relativeFrom="paragraph">
              <wp:posOffset>-2400300</wp:posOffset>
            </wp:positionV>
            <wp:extent cx="19113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83">
                      <a:extLst>
                        <a:ext uri="{28A0092B-C50C-407E-A947-70E740481C1C}"/>
                      </a:extLst>
                    </a:blip>
                    <a:srcRect/>
                    <a:stretch>
                      <a:fillRect/>
                    </a:stretch>
                  </pic:blipFill>
                  <pic:spPr bwMode="auto">
                    <a:xfrm>
                      <a:off x="0" y="0"/>
                      <a:ext cx="1911350" cy="25400"/>
                    </a:xfrm>
                    <a:prstGeom prst="rect">
                      <a:avLst/>
                    </a:prstGeom>
                    <a:noFill/>
                  </pic:spPr>
                </pic:pic>
              </a:graphicData>
            </a:graphic>
          </wp:anchor>
        </w:drawing>
        <w:drawing>
          <wp:anchor simplePos="0" relativeHeight="251657728" behindDoc="1" locked="0" layoutInCell="0" allowOverlap="1">
            <wp:simplePos x="0" y="0"/>
            <wp:positionH relativeFrom="column">
              <wp:posOffset>4558665</wp:posOffset>
            </wp:positionH>
            <wp:positionV relativeFrom="paragraph">
              <wp:posOffset>-2040255</wp:posOffset>
            </wp:positionV>
            <wp:extent cx="19113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84">
                      <a:extLst>
                        <a:ext uri="{28A0092B-C50C-407E-A947-70E740481C1C}"/>
                      </a:extLst>
                    </a:blip>
                    <a:srcRect/>
                    <a:stretch>
                      <a:fillRect/>
                    </a:stretch>
                  </pic:blipFill>
                  <pic:spPr bwMode="auto">
                    <a:xfrm>
                      <a:off x="0" y="0"/>
                      <a:ext cx="1911350" cy="25400"/>
                    </a:xfrm>
                    <a:prstGeom prst="rect">
                      <a:avLst/>
                    </a:prstGeom>
                    <a:noFill/>
                  </pic:spPr>
                </pic:pic>
              </a:graphicData>
            </a:graphic>
          </wp:anchor>
        </w:drawing>
        <w:drawing>
          <wp:anchor simplePos="0" relativeHeight="251657728" behindDoc="1" locked="0" layoutInCell="0" allowOverlap="1">
            <wp:simplePos x="0" y="0"/>
            <wp:positionH relativeFrom="column">
              <wp:posOffset>4558665</wp:posOffset>
            </wp:positionH>
            <wp:positionV relativeFrom="paragraph">
              <wp:posOffset>-1859915</wp:posOffset>
            </wp:positionV>
            <wp:extent cx="19113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85">
                      <a:extLst>
                        <a:ext uri="{28A0092B-C50C-407E-A947-70E740481C1C}"/>
                      </a:extLst>
                    </a:blip>
                    <a:srcRect/>
                    <a:stretch>
                      <a:fillRect/>
                    </a:stretch>
                  </pic:blipFill>
                  <pic:spPr bwMode="auto">
                    <a:xfrm>
                      <a:off x="0" y="0"/>
                      <a:ext cx="1911350" cy="25400"/>
                    </a:xfrm>
                    <a:prstGeom prst="rect">
                      <a:avLst/>
                    </a:prstGeom>
                    <a:noFill/>
                  </pic:spPr>
                </pic:pic>
              </a:graphicData>
            </a:graphic>
          </wp:anchor>
        </w:drawing>
        <w:drawing>
          <wp:anchor simplePos="0" relativeHeight="251657728" behindDoc="1" locked="0" layoutInCell="0" allowOverlap="1">
            <wp:simplePos x="0" y="0"/>
            <wp:positionH relativeFrom="column">
              <wp:posOffset>4558665</wp:posOffset>
            </wp:positionH>
            <wp:positionV relativeFrom="paragraph">
              <wp:posOffset>-1547495</wp:posOffset>
            </wp:positionV>
            <wp:extent cx="19113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86">
                      <a:extLst>
                        <a:ext uri="{28A0092B-C50C-407E-A947-70E740481C1C}"/>
                      </a:extLst>
                    </a:blip>
                    <a:srcRect/>
                    <a:stretch>
                      <a:fillRect/>
                    </a:stretch>
                  </pic:blipFill>
                  <pic:spPr bwMode="auto">
                    <a:xfrm>
                      <a:off x="0" y="0"/>
                      <a:ext cx="1911350" cy="25400"/>
                    </a:xfrm>
                    <a:prstGeom prst="rect">
                      <a:avLst/>
                    </a:prstGeom>
                    <a:noFill/>
                  </pic:spPr>
                </pic:pic>
              </a:graphicData>
            </a:graphic>
          </wp:anchor>
        </w:drawing>
        <w:drawing>
          <wp:anchor simplePos="0" relativeHeight="251657728" behindDoc="1" locked="0" layoutInCell="0" allowOverlap="1">
            <wp:simplePos x="0" y="0"/>
            <wp:positionH relativeFrom="column">
              <wp:posOffset>4558665</wp:posOffset>
            </wp:positionH>
            <wp:positionV relativeFrom="paragraph">
              <wp:posOffset>-1379855</wp:posOffset>
            </wp:positionV>
            <wp:extent cx="1911350" cy="508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87">
                      <a:extLst>
                        <a:ext uri="{28A0092B-C50C-407E-A947-70E740481C1C}"/>
                      </a:extLst>
                    </a:blip>
                    <a:srcRect/>
                    <a:stretch>
                      <a:fillRect/>
                    </a:stretch>
                  </pic:blipFill>
                  <pic:spPr bwMode="auto">
                    <a:xfrm>
                      <a:off x="0" y="0"/>
                      <a:ext cx="1911350" cy="50800"/>
                    </a:xfrm>
                    <a:prstGeom prst="rect">
                      <a:avLst/>
                    </a:prstGeom>
                    <a:noFill/>
                  </pic:spPr>
                </pic:pic>
              </a:graphicData>
            </a:graphic>
          </wp:anchor>
        </w:drawing>
        <w:drawing>
          <wp:anchor simplePos="0" relativeHeight="251657728" behindDoc="1" locked="0" layoutInCell="0" allowOverlap="1">
            <wp:simplePos x="0" y="0"/>
            <wp:positionH relativeFrom="column">
              <wp:posOffset>4558665</wp:posOffset>
            </wp:positionH>
            <wp:positionV relativeFrom="paragraph">
              <wp:posOffset>-403860</wp:posOffset>
            </wp:positionV>
            <wp:extent cx="1911350" cy="508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88">
                      <a:extLst>
                        <a:ext uri="{28A0092B-C50C-407E-A947-70E740481C1C}"/>
                      </a:extLst>
                    </a:blip>
                    <a:srcRect/>
                    <a:stretch>
                      <a:fillRect/>
                    </a:stretch>
                  </pic:blipFill>
                  <pic:spPr bwMode="auto">
                    <a:xfrm>
                      <a:off x="0" y="0"/>
                      <a:ext cx="1911350" cy="50800"/>
                    </a:xfrm>
                    <a:prstGeom prst="rect">
                      <a:avLst/>
                    </a:prstGeom>
                    <a:noFill/>
                  </pic:spPr>
                </pic:pic>
              </a:graphicData>
            </a:graphic>
          </wp:anchor>
        </w:drawing>
        <w:drawing>
          <wp:anchor simplePos="0" relativeHeight="251657728" behindDoc="1" locked="0" layoutInCell="0" allowOverlap="1">
            <wp:simplePos x="0" y="0"/>
            <wp:positionH relativeFrom="column">
              <wp:posOffset>4558665</wp:posOffset>
            </wp:positionH>
            <wp:positionV relativeFrom="paragraph">
              <wp:posOffset>-223520</wp:posOffset>
            </wp:positionV>
            <wp:extent cx="1911350" cy="508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89">
                      <a:extLst>
                        <a:ext uri="{28A0092B-C50C-407E-A947-70E740481C1C}"/>
                      </a:extLst>
                    </a:blip>
                    <a:srcRect/>
                    <a:stretch>
                      <a:fillRect/>
                    </a:stretch>
                  </pic:blipFill>
                  <pic:spPr bwMode="auto">
                    <a:xfrm>
                      <a:off x="0" y="0"/>
                      <a:ext cx="1911350" cy="50800"/>
                    </a:xfrm>
                    <a:prstGeom prst="rect">
                      <a:avLst/>
                    </a:prstGeom>
                    <a:noFill/>
                  </pic:spPr>
                </pic:pic>
              </a:graphicData>
            </a:graphic>
          </wp:anchor>
        </w:drawing>
        <w:drawing>
          <wp:anchor simplePos="0" relativeHeight="251657728" behindDoc="1" locked="0" layoutInCell="0" allowOverlap="1">
            <wp:simplePos x="0" y="0"/>
            <wp:positionH relativeFrom="column">
              <wp:posOffset>4558665</wp:posOffset>
            </wp:positionH>
            <wp:positionV relativeFrom="paragraph">
              <wp:posOffset>-43815</wp:posOffset>
            </wp:positionV>
            <wp:extent cx="1911350" cy="508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90">
                      <a:extLst>
                        <a:ext uri="{28A0092B-C50C-407E-A947-70E740481C1C}"/>
                      </a:extLst>
                    </a:blip>
                    <a:srcRect/>
                    <a:stretch>
                      <a:fillRect/>
                    </a:stretch>
                  </pic:blipFill>
                  <pic:spPr bwMode="auto">
                    <a:xfrm>
                      <a:off x="0" y="0"/>
                      <a:ext cx="1911350" cy="50800"/>
                    </a:xfrm>
                    <a:prstGeom prst="rect">
                      <a:avLst/>
                    </a:prstGeom>
                    <a:noFill/>
                  </pic:spPr>
                </pic:pic>
              </a:graphicData>
            </a:graphic>
          </wp:anchor>
        </w:drawing>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consolidated financial statements</w:t>
      </w:r>
      <w:r>
        <w:rPr>
          <w:rFonts w:ascii="Arial" w:cs="Arial" w:eastAsia="Arial" w:hAnsi="Arial"/>
          <w:sz w:val="15"/>
          <w:szCs w:val="15"/>
          <w:color w:val="auto"/>
        </w:rPr>
        <w:t>.</w:t>
      </w:r>
    </w:p>
    <w:p>
      <w:pPr>
        <w:sectPr>
          <w:pgSz w:w="11880" w:h="15480" w:orient="portrait"/>
          <w:cols w:equalWidth="0" w:num="1">
            <w:col w:w="10160"/>
          </w:cols>
          <w:pgMar w:left="860" w:top="404"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ectPr>
          <w:pgSz w:w="11880" w:h="15480" w:orient="portrait"/>
          <w:cols w:equalWidth="0" w:num="1">
            <w:col w:w="10160"/>
          </w:cols>
          <w:pgMar w:left="860" w:top="404" w:right="860" w:bottom="0" w:gutter="0" w:footer="0" w:header="0"/>
          <w:type w:val="continuous"/>
        </w:sectPr>
      </w:pPr>
    </w:p>
    <w:bookmarkStart w:id="77" w:name="page78"/>
    <w:bookmarkEnd w:id="77"/>
    <w:p>
      <w:pPr>
        <w:jc w:val="center"/>
        <w:spacing w:after="0"/>
        <w:rPr>
          <w:sz w:val="20"/>
          <w:szCs w:val="20"/>
          <w:color w:val="auto"/>
        </w:rPr>
      </w:pPr>
      <w:r>
        <w:rPr>
          <w:rFonts w:ascii="Arial" w:cs="Arial" w:eastAsia="Arial" w:hAnsi="Arial"/>
          <w:sz w:val="20"/>
          <w:szCs w:val="20"/>
          <w:b w:val="1"/>
          <w:bCs w:val="1"/>
          <w:color w:val="auto"/>
        </w:rPr>
        <w:t>CLEARWAY ENERGY, INC.</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COMPREHENSIVE INCOME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00" w:type="dxa"/>
            <w:vAlign w:val="bottom"/>
            <w:gridSpan w:val="7"/>
          </w:tcPr>
          <w:p>
            <w:pPr>
              <w:jc w:val="right"/>
              <w:ind w:right="492"/>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234"/>
        </w:trPr>
        <w:tc>
          <w:tcPr>
            <w:tcW w:w="7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36"/>
        </w:trPr>
        <w:tc>
          <w:tcPr>
            <w:tcW w:w="7300" w:type="dxa"/>
            <w:vAlign w:val="bottom"/>
            <w:gridSpan w:val="2"/>
          </w:tcPr>
          <w:p>
            <w:pPr>
              <w:ind w:left="4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7300" w:type="dxa"/>
            <w:vAlign w:val="bottom"/>
            <w:gridSpan w:val="2"/>
            <w:shd w:val="clear" w:color="auto" w:fill="E6E6E6"/>
          </w:tcPr>
          <w:p>
            <w:pPr>
              <w:jc w:val="right"/>
              <w:ind w:right="80"/>
              <w:spacing w:after="0"/>
              <w:rPr>
                <w:sz w:val="20"/>
                <w:szCs w:val="20"/>
                <w:color w:val="auto"/>
              </w:rPr>
            </w:pPr>
            <w:r>
              <w:rPr>
                <w:rFonts w:ascii="Arial" w:cs="Arial" w:eastAsia="Arial" w:hAnsi="Arial"/>
                <w:sz w:val="18"/>
                <w:szCs w:val="18"/>
                <w:b w:val="1"/>
                <w:bCs w:val="1"/>
                <w:color w:val="auto"/>
                <w:w w:val="90"/>
              </w:rPr>
              <w:t xml:space="preserve">Net (Loss) Income </w:t>
            </w:r>
            <w:r>
              <w:rPr>
                <w:rFonts w:ascii="Arial" w:cs="Arial" w:eastAsia="Arial" w:hAnsi="Arial"/>
                <w:sz w:val="18"/>
                <w:szCs w:val="18"/>
                <w:b w:val="1"/>
                <w:bCs w:val="1"/>
                <w:color w:val="BDBDBD"/>
                <w:w w:val="90"/>
              </w:rPr>
              <w:t>. . . . . . . . . . . . . . . . . . . . . . . . . . . . . . . . . . . . . . . . . . . . . . . . . . . . . . . . . . . . . . . .</w:t>
            </w:r>
          </w:p>
        </w:tc>
        <w:tc>
          <w:tcPr>
            <w:tcW w:w="20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w:t>
            </w:r>
          </w:p>
        </w:tc>
        <w:tc>
          <w:tcPr>
            <w:tcW w:w="30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1,060</w:t>
            </w:r>
          </w:p>
        </w:tc>
        <w:tc>
          <w:tcPr>
            <w:tcW w:w="30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6"/>
        </w:trPr>
        <w:tc>
          <w:tcPr>
            <w:tcW w:w="730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Comprehensive (Loss) Income, net of tax</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300" w:type="dxa"/>
            <w:vAlign w:val="bottom"/>
            <w:gridSpan w:val="2"/>
            <w:shd w:val="clear" w:color="auto" w:fill="E6E6E6"/>
          </w:tcPr>
          <w:p>
            <w:pPr>
              <w:ind w:left="180"/>
              <w:spacing w:after="0"/>
              <w:rPr>
                <w:sz w:val="20"/>
                <w:szCs w:val="20"/>
                <w:color w:val="auto"/>
              </w:rPr>
            </w:pPr>
            <w:r>
              <w:rPr>
                <w:rFonts w:ascii="Arial" w:cs="Arial" w:eastAsia="Arial" w:hAnsi="Arial"/>
                <w:sz w:val="18"/>
                <w:szCs w:val="18"/>
                <w:color w:val="auto"/>
                <w:w w:val="94"/>
              </w:rPr>
              <w:t>Unrealized (loss) gain on derivatives and changes in accumulated OCI/OCL, net of income tax</w:t>
            </w:r>
          </w:p>
        </w:tc>
        <w:tc>
          <w:tcPr>
            <w:tcW w:w="200" w:type="dxa"/>
            <w:vAlign w:val="bottom"/>
            <w:shd w:val="clear" w:color="auto" w:fill="E6E6E6"/>
          </w:tcPr>
          <w:p>
            <w:pPr>
              <w:spacing w:after="0"/>
              <w:rPr>
                <w:sz w:val="19"/>
                <w:szCs w:val="19"/>
                <w:color w:val="auto"/>
              </w:rPr>
            </w:pPr>
          </w:p>
        </w:tc>
        <w:tc>
          <w:tcPr>
            <w:tcW w:w="70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E6E6E6"/>
          </w:tcPr>
          <w:p>
            <w:pPr>
              <w:spacing w:after="0"/>
              <w:rPr>
                <w:sz w:val="19"/>
                <w:szCs w:val="19"/>
                <w:color w:val="auto"/>
              </w:rPr>
            </w:pPr>
          </w:p>
        </w:tc>
        <w:tc>
          <w:tcPr>
            <w:tcW w:w="220" w:type="dxa"/>
            <w:vAlign w:val="bottom"/>
            <w:shd w:val="clear" w:color="auto" w:fill="E6E6E6"/>
          </w:tcPr>
          <w:p>
            <w:pPr>
              <w:spacing w:after="0"/>
              <w:rPr>
                <w:sz w:val="19"/>
                <w:szCs w:val="19"/>
                <w:color w:val="auto"/>
              </w:rPr>
            </w:pPr>
          </w:p>
        </w:tc>
        <w:tc>
          <w:tcPr>
            <w:tcW w:w="70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E6E6E6"/>
          </w:tcPr>
          <w:p>
            <w:pPr>
              <w:spacing w:after="0"/>
              <w:rPr>
                <w:sz w:val="19"/>
                <w:szCs w:val="19"/>
                <w:color w:val="auto"/>
              </w:rPr>
            </w:pPr>
          </w:p>
        </w:tc>
        <w:tc>
          <w:tcPr>
            <w:tcW w:w="220" w:type="dxa"/>
            <w:vAlign w:val="bottom"/>
            <w:shd w:val="clear" w:color="auto" w:fill="E6E6E6"/>
          </w:tcPr>
          <w:p>
            <w:pPr>
              <w:spacing w:after="0"/>
              <w:rPr>
                <w:sz w:val="19"/>
                <w:szCs w:val="19"/>
                <w:color w:val="auto"/>
              </w:rPr>
            </w:pPr>
          </w:p>
        </w:tc>
        <w:tc>
          <w:tcPr>
            <w:tcW w:w="70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0"/>
        </w:trPr>
        <w:tc>
          <w:tcPr>
            <w:tcW w:w="72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w w:val="94"/>
              </w:rPr>
              <w:t xml:space="preserve">(benefit) expense of $(1), $5 and $(3) </w:t>
            </w:r>
            <w:r>
              <w:rPr>
                <w:rFonts w:ascii="Arial" w:cs="Arial" w:eastAsia="Arial" w:hAnsi="Arial"/>
                <w:sz w:val="18"/>
                <w:szCs w:val="18"/>
                <w:color w:val="BDBDBD"/>
                <w:w w:val="94"/>
              </w:rPr>
              <w:t>. . . . . . . . . . . . . . . . . . . . . . . . . . . . . . . . . . . . . . . . . . . . . .</w:t>
            </w:r>
          </w:p>
        </w:tc>
        <w:tc>
          <w:tcPr>
            <w:tcW w:w="20" w:type="dxa"/>
            <w:vAlign w:val="bottom"/>
            <w:tcBorders>
              <w:bottom w:val="single" w:sz="8" w:color="auto"/>
            </w:tcBorders>
            <w:shd w:val="clear" w:color="auto" w:fill="E6E6E6"/>
          </w:tcPr>
          <w:p>
            <w:pPr>
              <w:spacing w:after="0"/>
              <w:rPr>
                <w:sz w:val="20"/>
                <w:szCs w:val="20"/>
                <w:color w:val="auto"/>
              </w:rPr>
            </w:pPr>
          </w:p>
        </w:tc>
        <w:tc>
          <w:tcPr>
            <w:tcW w:w="200" w:type="dxa"/>
            <w:vAlign w:val="bottom"/>
            <w:tcBorders>
              <w:bottom w:val="single" w:sz="8" w:color="auto"/>
            </w:tcBorders>
            <w:shd w:val="clear" w:color="auto" w:fill="E6E6E6"/>
          </w:tcPr>
          <w:p>
            <w:pPr>
              <w:spacing w:after="0"/>
              <w:rPr>
                <w:sz w:val="20"/>
                <w:szCs w:val="20"/>
                <w:color w:val="auto"/>
              </w:rPr>
            </w:pPr>
          </w:p>
        </w:tc>
        <w:tc>
          <w:tcPr>
            <w:tcW w:w="700" w:type="dxa"/>
            <w:vAlign w:val="bottom"/>
            <w:tcBorders>
              <w:bottom w:val="single" w:sz="8" w:color="auto"/>
            </w:tcBorders>
            <w:vMerge w:val="continue"/>
            <w:shd w:val="clear" w:color="auto" w:fill="E6E6E6"/>
          </w:tcPr>
          <w:p>
            <w:pPr>
              <w:spacing w:after="0"/>
              <w:rPr>
                <w:sz w:val="20"/>
                <w:szCs w:val="20"/>
                <w:color w:val="auto"/>
              </w:rPr>
            </w:pPr>
          </w:p>
        </w:tc>
        <w:tc>
          <w:tcPr>
            <w:tcW w:w="80" w:type="dxa"/>
            <w:vAlign w:val="bottom"/>
            <w:tcBorders>
              <w:bottom w:val="single" w:sz="8" w:color="E6E6E6"/>
            </w:tcBorders>
            <w:shd w:val="clear" w:color="auto" w:fill="E6E6E6"/>
          </w:tcPr>
          <w:p>
            <w:pPr>
              <w:spacing w:after="0"/>
              <w:rPr>
                <w:sz w:val="20"/>
                <w:szCs w:val="20"/>
                <w:color w:val="auto"/>
              </w:rPr>
            </w:pPr>
          </w:p>
        </w:tc>
        <w:tc>
          <w:tcPr>
            <w:tcW w:w="220" w:type="dxa"/>
            <w:vAlign w:val="bottom"/>
            <w:tcBorders>
              <w:bottom w:val="single" w:sz="8" w:color="auto"/>
            </w:tcBorders>
            <w:shd w:val="clear" w:color="auto" w:fill="E6E6E6"/>
          </w:tcPr>
          <w:p>
            <w:pPr>
              <w:spacing w:after="0"/>
              <w:rPr>
                <w:sz w:val="20"/>
                <w:szCs w:val="20"/>
                <w:color w:val="auto"/>
              </w:rPr>
            </w:pPr>
          </w:p>
        </w:tc>
        <w:tc>
          <w:tcPr>
            <w:tcW w:w="700" w:type="dxa"/>
            <w:vAlign w:val="bottom"/>
            <w:tcBorders>
              <w:bottom w:val="single" w:sz="8" w:color="auto"/>
            </w:tcBorders>
            <w:vMerge w:val="continue"/>
            <w:shd w:val="clear" w:color="auto" w:fill="E6E6E6"/>
          </w:tcPr>
          <w:p>
            <w:pPr>
              <w:spacing w:after="0"/>
              <w:rPr>
                <w:sz w:val="20"/>
                <w:szCs w:val="20"/>
                <w:color w:val="auto"/>
              </w:rPr>
            </w:pPr>
          </w:p>
        </w:tc>
        <w:tc>
          <w:tcPr>
            <w:tcW w:w="80" w:type="dxa"/>
            <w:vAlign w:val="bottom"/>
            <w:tcBorders>
              <w:bottom w:val="single" w:sz="8" w:color="E6E6E6"/>
            </w:tcBorders>
            <w:shd w:val="clear" w:color="auto" w:fill="E6E6E6"/>
          </w:tcPr>
          <w:p>
            <w:pPr>
              <w:spacing w:after="0"/>
              <w:rPr>
                <w:sz w:val="20"/>
                <w:szCs w:val="20"/>
                <w:color w:val="auto"/>
              </w:rPr>
            </w:pPr>
          </w:p>
        </w:tc>
        <w:tc>
          <w:tcPr>
            <w:tcW w:w="220" w:type="dxa"/>
            <w:vAlign w:val="bottom"/>
            <w:tcBorders>
              <w:bottom w:val="single" w:sz="8" w:color="auto"/>
            </w:tcBorders>
            <w:shd w:val="clear" w:color="auto" w:fill="E6E6E6"/>
          </w:tcPr>
          <w:p>
            <w:pPr>
              <w:spacing w:after="0"/>
              <w:rPr>
                <w:sz w:val="20"/>
                <w:szCs w:val="20"/>
                <w:color w:val="auto"/>
              </w:rPr>
            </w:pPr>
          </w:p>
        </w:tc>
        <w:tc>
          <w:tcPr>
            <w:tcW w:w="700" w:type="dxa"/>
            <w:vAlign w:val="bottom"/>
            <w:tcBorders>
              <w:bottom w:val="single" w:sz="8" w:color="auto"/>
            </w:tcBorders>
            <w:vMerge w:val="continue"/>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7280" w:type="dxa"/>
            <w:vAlign w:val="bottom"/>
            <w:tcBorders>
              <w:bottom w:val="single" w:sz="8" w:color="E6E6E6"/>
            </w:tcBorders>
          </w:tcPr>
          <w:p>
            <w:pPr>
              <w:jc w:val="right"/>
              <w:spacing w:after="0"/>
              <w:rPr>
                <w:sz w:val="20"/>
                <w:szCs w:val="20"/>
                <w:color w:val="auto"/>
              </w:rPr>
            </w:pPr>
            <w:r>
              <w:rPr>
                <w:rFonts w:ascii="Arial" w:cs="Arial" w:eastAsia="Arial" w:hAnsi="Arial"/>
                <w:sz w:val="18"/>
                <w:szCs w:val="18"/>
                <w:color w:val="auto"/>
                <w:w w:val="92"/>
              </w:rPr>
              <w:t xml:space="preserve">Other comprehensive (loss) income  </w:t>
            </w:r>
            <w:r>
              <w:rPr>
                <w:rFonts w:ascii="Arial" w:cs="Arial" w:eastAsia="Arial" w:hAnsi="Arial"/>
                <w:sz w:val="18"/>
                <w:szCs w:val="18"/>
                <w:color w:val="BDBDBD"/>
                <w:w w:val="92"/>
              </w:rPr>
              <w:t>. . . . . . . . . . . . . . . . . . . . . . . . . . . . . . . . . . . . . . . . . . . . . . . . .</w:t>
            </w: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E6E6E6"/>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bottom w:val="single" w:sz="8" w:color="E6E6E6"/>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88"/>
        </w:trPr>
        <w:tc>
          <w:tcPr>
            <w:tcW w:w="7300" w:type="dxa"/>
            <w:vAlign w:val="bottom"/>
            <w:gridSpan w:val="2"/>
            <w:shd w:val="clear" w:color="auto" w:fill="E6E6E6"/>
          </w:tcPr>
          <w:p>
            <w:pPr>
              <w:jc w:val="right"/>
              <w:ind w:right="80"/>
              <w:spacing w:after="0"/>
              <w:rPr>
                <w:sz w:val="20"/>
                <w:szCs w:val="20"/>
                <w:color w:val="auto"/>
              </w:rPr>
            </w:pPr>
            <w:r>
              <w:rPr>
                <w:rFonts w:ascii="Arial" w:cs="Arial" w:eastAsia="Arial" w:hAnsi="Arial"/>
                <w:sz w:val="18"/>
                <w:szCs w:val="18"/>
                <w:b w:val="1"/>
                <w:bCs w:val="1"/>
                <w:color w:val="auto"/>
                <w:w w:val="89"/>
              </w:rPr>
              <w:t xml:space="preserve">Comprehensive (Loss) Income </w:t>
            </w:r>
            <w:r>
              <w:rPr>
                <w:rFonts w:ascii="Arial" w:cs="Arial" w:eastAsia="Arial" w:hAnsi="Arial"/>
                <w:sz w:val="18"/>
                <w:szCs w:val="18"/>
                <w:b w:val="1"/>
                <w:bCs w:val="1"/>
                <w:color w:val="BDBDBD"/>
                <w:w w:val="89"/>
              </w:rPr>
              <w:t>. . . . . . . . . . . . . . . . . . . . . . . . . . . . . . . . . . . . . . . . . . . . . . . . . . . . . .</w:t>
            </w:r>
          </w:p>
        </w:tc>
        <w:tc>
          <w:tcPr>
            <w:tcW w:w="200" w:type="dxa"/>
            <w:vAlign w:val="bottom"/>
            <w:shd w:val="clear" w:color="auto" w:fill="E6E6E6"/>
          </w:tcPr>
          <w:p>
            <w:pPr>
              <w:spacing w:after="0"/>
              <w:rPr>
                <w:sz w:val="24"/>
                <w:szCs w:val="24"/>
                <w:color w:val="auto"/>
              </w:rPr>
            </w:pPr>
          </w:p>
        </w:tc>
        <w:tc>
          <w:tcPr>
            <w:tcW w:w="7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7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1,088</w:t>
            </w:r>
          </w:p>
        </w:tc>
        <w:tc>
          <w:tcPr>
            <w:tcW w:w="8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7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3"/>
        </w:trPr>
        <w:tc>
          <w:tcPr>
            <w:tcW w:w="7300" w:type="dxa"/>
            <w:vAlign w:val="bottom"/>
            <w:gridSpan w:val="2"/>
          </w:tcPr>
          <w:p>
            <w:pPr>
              <w:ind w:left="180"/>
              <w:spacing w:after="0"/>
              <w:rPr>
                <w:sz w:val="20"/>
                <w:szCs w:val="20"/>
                <w:color w:val="auto"/>
              </w:rPr>
            </w:pPr>
            <w:r>
              <w:rPr>
                <w:rFonts w:ascii="Arial" w:cs="Arial" w:eastAsia="Arial" w:hAnsi="Arial"/>
                <w:sz w:val="18"/>
                <w:szCs w:val="18"/>
                <w:color w:val="auto"/>
                <w:w w:val="97"/>
              </w:rPr>
              <w:t>Less: Comprehensive (loss) income attributable to noncontrolling interests and redeemable</w:t>
            </w:r>
          </w:p>
        </w:tc>
        <w:tc>
          <w:tcPr>
            <w:tcW w:w="20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495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40"/>
        </w:trPr>
        <w:tc>
          <w:tcPr>
            <w:tcW w:w="7280" w:type="dxa"/>
            <w:vAlign w:val="bottom"/>
            <w:tcBorders>
              <w:bottom w:val="single" w:sz="8" w:color="E6E6E6"/>
            </w:tcBorders>
          </w:tcPr>
          <w:p>
            <w:pPr>
              <w:jc w:val="right"/>
              <w:spacing w:after="0"/>
              <w:rPr>
                <w:sz w:val="20"/>
                <w:szCs w:val="20"/>
                <w:color w:val="auto"/>
              </w:rPr>
            </w:pPr>
            <w:r>
              <w:rPr>
                <w:rFonts w:ascii="Arial" w:cs="Arial" w:eastAsia="Arial" w:hAnsi="Arial"/>
                <w:sz w:val="18"/>
                <w:szCs w:val="18"/>
                <w:color w:val="auto"/>
                <w:w w:val="94"/>
              </w:rPr>
              <w:t xml:space="preserve">noncontrolling interests  </w:t>
            </w:r>
            <w:r>
              <w:rPr>
                <w:rFonts w:ascii="Arial" w:cs="Arial" w:eastAsia="Arial" w:hAnsi="Arial"/>
                <w:sz w:val="18"/>
                <w:szCs w:val="18"/>
                <w:color w:val="BDBDBD"/>
                <w:w w:val="94"/>
              </w:rPr>
              <w:t>. . . . . . . . . . . . . . . . . . . . . . . . . . . . . . . . . . . . . . . . . . . . . . . . . . . . . . . . .</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8"/>
        </w:trPr>
        <w:tc>
          <w:tcPr>
            <w:tcW w:w="72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auto"/>
                <w:w w:val="91"/>
              </w:rPr>
              <w:t xml:space="preserve">Comprehensive Income Attributable to Clearway Energy, Inc.  </w:t>
            </w:r>
            <w:r>
              <w:rPr>
                <w:rFonts w:ascii="Arial" w:cs="Arial" w:eastAsia="Arial" w:hAnsi="Arial"/>
                <w:sz w:val="18"/>
                <w:szCs w:val="18"/>
                <w:b w:val="1"/>
                <w:bCs w:val="1"/>
                <w:color w:val="BDBDBD"/>
                <w:w w:val="91"/>
              </w:rPr>
              <w:t>. . . . . . . . . . . . . . . . . . . . . . . . . .</w:t>
            </w:r>
          </w:p>
        </w:tc>
        <w:tc>
          <w:tcPr>
            <w:tcW w:w="20" w:type="dxa"/>
            <w:vAlign w:val="bottom"/>
            <w:tcBorders>
              <w:bottom w:val="single" w:sz="8" w:color="auto"/>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77</w:t>
            </w:r>
          </w:p>
        </w:tc>
        <w:tc>
          <w:tcPr>
            <w:tcW w:w="8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593</w:t>
            </w:r>
          </w:p>
        </w:tc>
        <w:tc>
          <w:tcPr>
            <w:tcW w:w="8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4609465</wp:posOffset>
            </wp:positionH>
            <wp:positionV relativeFrom="paragraph">
              <wp:posOffset>-893445</wp:posOffset>
            </wp:positionV>
            <wp:extent cx="188277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91">
                      <a:extLst>
                        <a:ext uri="{28A0092B-C50C-407E-A947-70E740481C1C}"/>
                      </a:extLst>
                    </a:blip>
                    <a:srcRect/>
                    <a:stretch>
                      <a:fillRect/>
                    </a:stretch>
                  </pic:blipFill>
                  <pic:spPr bwMode="auto">
                    <a:xfrm>
                      <a:off x="0" y="0"/>
                      <a:ext cx="1882775" cy="25400"/>
                    </a:xfrm>
                    <a:prstGeom prst="rect">
                      <a:avLst/>
                    </a:prstGeom>
                    <a:noFill/>
                  </pic:spPr>
                </pic:pic>
              </a:graphicData>
            </a:graphic>
          </wp:anchor>
        </w:drawing>
        <w:drawing>
          <wp:anchor simplePos="0" relativeHeight="251657728" behindDoc="1" locked="0" layoutInCell="0" allowOverlap="1">
            <wp:simplePos x="0" y="0"/>
            <wp:positionH relativeFrom="column">
              <wp:posOffset>4609465</wp:posOffset>
            </wp:positionH>
            <wp:positionV relativeFrom="paragraph">
              <wp:posOffset>-704215</wp:posOffset>
            </wp:positionV>
            <wp:extent cx="188277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92">
                      <a:extLst>
                        <a:ext uri="{28A0092B-C50C-407E-A947-70E740481C1C}"/>
                      </a:extLst>
                    </a:blip>
                    <a:srcRect/>
                    <a:stretch>
                      <a:fillRect/>
                    </a:stretch>
                  </pic:blipFill>
                  <pic:spPr bwMode="auto">
                    <a:xfrm>
                      <a:off x="0" y="0"/>
                      <a:ext cx="1882775" cy="25400"/>
                    </a:xfrm>
                    <a:prstGeom prst="rect">
                      <a:avLst/>
                    </a:prstGeom>
                    <a:noFill/>
                  </pic:spPr>
                </pic:pic>
              </a:graphicData>
            </a:graphic>
          </wp:anchor>
        </w:drawing>
        <w:drawing>
          <wp:anchor simplePos="0" relativeHeight="251657728" behindDoc="1" locked="0" layoutInCell="0" allowOverlap="1">
            <wp:simplePos x="0" y="0"/>
            <wp:positionH relativeFrom="column">
              <wp:posOffset>4609465</wp:posOffset>
            </wp:positionH>
            <wp:positionV relativeFrom="paragraph">
              <wp:posOffset>-220345</wp:posOffset>
            </wp:positionV>
            <wp:extent cx="188277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93">
                      <a:extLst>
                        <a:ext uri="{28A0092B-C50C-407E-A947-70E740481C1C}"/>
                      </a:extLst>
                    </a:blip>
                    <a:srcRect/>
                    <a:stretch>
                      <a:fillRect/>
                    </a:stretch>
                  </pic:blipFill>
                  <pic:spPr bwMode="auto">
                    <a:xfrm>
                      <a:off x="0" y="0"/>
                      <a:ext cx="1882775" cy="25400"/>
                    </a:xfrm>
                    <a:prstGeom prst="rect">
                      <a:avLst/>
                    </a:prstGeom>
                    <a:noFill/>
                  </pic:spPr>
                </pic:pic>
              </a:graphicData>
            </a:graphic>
          </wp:anchor>
        </w:drawing>
        <w:drawing>
          <wp:anchor simplePos="0" relativeHeight="251657728" behindDoc="1" locked="0" layoutInCell="0" allowOverlap="1">
            <wp:simplePos x="0" y="0"/>
            <wp:positionH relativeFrom="column">
              <wp:posOffset>4609465</wp:posOffset>
            </wp:positionH>
            <wp:positionV relativeFrom="paragraph">
              <wp:posOffset>-43815</wp:posOffset>
            </wp:positionV>
            <wp:extent cx="1882775" cy="508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94">
                      <a:extLst>
                        <a:ext uri="{28A0092B-C50C-407E-A947-70E740481C1C}"/>
                      </a:extLst>
                    </a:blip>
                    <a:srcRect/>
                    <a:stretch>
                      <a:fillRect/>
                    </a:stretch>
                  </pic:blipFill>
                  <pic:spPr bwMode="auto">
                    <a:xfrm>
                      <a:off x="0" y="0"/>
                      <a:ext cx="1882775" cy="50800"/>
                    </a:xfrm>
                    <a:prstGeom prst="rect">
                      <a:avLst/>
                    </a:prstGeom>
                    <a:noFill/>
                  </pic:spPr>
                </pic:pic>
              </a:graphicData>
            </a:graphic>
          </wp:anchor>
        </w:drawing>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consolidated financial statements.</w:t>
      </w:r>
    </w:p>
    <w:p>
      <w:pPr>
        <w:sectPr>
          <w:pgSz w:w="11880" w:h="15480" w:orient="portrait"/>
          <w:cols w:equalWidth="0" w:num="1">
            <w:col w:w="10200"/>
          </w:cols>
          <w:pgMar w:left="840" w:top="404"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ectPr>
          <w:pgSz w:w="11880" w:h="15480" w:orient="portrait"/>
          <w:cols w:equalWidth="0" w:num="1">
            <w:col w:w="10200"/>
          </w:cols>
          <w:pgMar w:left="840" w:top="404" w:right="840" w:bottom="0" w:gutter="0" w:footer="0" w:header="0"/>
          <w:type w:val="continuous"/>
        </w:sectPr>
      </w:pPr>
    </w:p>
    <w:bookmarkStart w:id="78" w:name="page79"/>
    <w:bookmarkEnd w:id="78"/>
    <w:p>
      <w:pPr>
        <w:jc w:val="center"/>
        <w:ind w:left="3260"/>
        <w:spacing w:after="0"/>
        <w:rPr>
          <w:sz w:val="20"/>
          <w:szCs w:val="20"/>
          <w:color w:val="auto"/>
        </w:rPr>
      </w:pPr>
      <w:r>
        <w:rPr>
          <w:rFonts w:ascii="Arial" w:cs="Arial" w:eastAsia="Arial" w:hAnsi="Arial"/>
          <w:sz w:val="20"/>
          <w:szCs w:val="20"/>
          <w:b w:val="1"/>
          <w:bCs w:val="1"/>
          <w:color w:val="auto"/>
        </w:rPr>
        <w:t>CLEARWAY ENERGY, INC.</w:t>
      </w:r>
    </w:p>
    <w:p>
      <w:pPr>
        <w:spacing w:after="0" w:line="128" w:lineRule="exact"/>
        <w:rPr>
          <w:sz w:val="20"/>
          <w:szCs w:val="20"/>
          <w:color w:val="auto"/>
        </w:rPr>
      </w:pPr>
    </w:p>
    <w:p>
      <w:pPr>
        <w:jc w:val="center"/>
        <w:ind w:left="3260"/>
        <w:spacing w:after="0"/>
        <w:rPr>
          <w:sz w:val="20"/>
          <w:szCs w:val="20"/>
          <w:color w:val="auto"/>
        </w:rPr>
      </w:pPr>
      <w:r>
        <w:rPr>
          <w:rFonts w:ascii="Arial" w:cs="Arial" w:eastAsia="Arial" w:hAnsi="Arial"/>
          <w:sz w:val="20"/>
          <w:szCs w:val="20"/>
          <w:b w:val="1"/>
          <w:bCs w:val="1"/>
          <w:color w:val="auto"/>
        </w:rPr>
        <w:t>CONSOLIDATED BALANCE SHEETS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millions, except shares)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ASSETS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Assets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-31115</wp:posOffset>
                </wp:positionH>
                <wp:positionV relativeFrom="paragraph">
                  <wp:posOffset>-122555</wp:posOffset>
                </wp:positionV>
                <wp:extent cx="6463030" cy="15113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63030" cy="151130"/>
                        </a:xfrm>
                        <a:prstGeom prst="rect">
                          <a:avLst/>
                        </a:prstGeom>
                        <a:solidFill>
                          <a:srgbClr val="E6E6E6"/>
                        </a:solidFill>
                      </wps:spPr>
                      <wps:bodyPr/>
                    </wps:wsp>
                  </a:graphicData>
                </a:graphic>
              </wp:anchor>
            </w:drawing>
          </mc:Choice>
          <mc:Fallback>
            <w:pict>
              <v:rect id="Shape 116" o:spid="_x0000_s1141" style="position:absolute;margin-left:-2.4499pt;margin-top:-9.6499pt;width:508.9pt;height:11.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1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Cash and cash equivalents </w:t>
      </w:r>
      <w:r>
        <w:rPr>
          <w:rFonts w:ascii="Arial" w:cs="Arial" w:eastAsia="Arial" w:hAnsi="Arial"/>
          <w:sz w:val="16"/>
          <w:szCs w:val="16"/>
          <w:color w:val="BDBDBD"/>
        </w:rPr>
        <w:t>. . . . . . . . . . . . . . . . . . . . . . . . . . . . . . . . . . . . . . . . . . . . . . . . . . . . .</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Restricted cash </w:t>
      </w:r>
      <w:r>
        <w:rPr>
          <w:rFonts w:ascii="Arial" w:cs="Arial" w:eastAsia="Arial" w:hAnsi="Arial"/>
          <w:sz w:val="16"/>
          <w:szCs w:val="16"/>
          <w:color w:val="BDBDBD"/>
        </w:rPr>
        <w:t>. . . . . . . . . . . . . . . . . . . . . . . . . . . . . . . . . . . . . . . . . . . . . . . . . . . . . . . . . . . . .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-31115</wp:posOffset>
                </wp:positionH>
                <wp:positionV relativeFrom="paragraph">
                  <wp:posOffset>-109855</wp:posOffset>
                </wp:positionV>
                <wp:extent cx="6463030" cy="150495"/>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63030" cy="150495"/>
                        </a:xfrm>
                        <a:prstGeom prst="rect">
                          <a:avLst/>
                        </a:prstGeom>
                        <a:solidFill>
                          <a:srgbClr val="E6E6E6"/>
                        </a:solidFill>
                      </wps:spPr>
                      <wps:bodyPr/>
                    </wps:wsp>
                  </a:graphicData>
                </a:graphic>
              </wp:anchor>
            </w:drawing>
          </mc:Choice>
          <mc:Fallback>
            <w:pict>
              <v:rect id="Shape 117" o:spid="_x0000_s1142" style="position:absolute;margin-left:-2.4499pt;margin-top:-8.6499pt;width:508.9pt;height:11.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Accounts receivable — trade </w:t>
      </w:r>
      <w:r>
        <w:rPr>
          <w:rFonts w:ascii="Arial" w:cs="Arial" w:eastAsia="Arial" w:hAnsi="Arial"/>
          <w:sz w:val="16"/>
          <w:szCs w:val="16"/>
          <w:color w:val="BDBDBD"/>
        </w:rPr>
        <w:t>. . . . . . . . . . . . . . . . . . . . . . . . . . . . . . . . . . . . . . . . . . . . . . . . . . .</w:t>
      </w:r>
    </w:p>
    <w:p>
      <w:pPr>
        <w:spacing w:after="0" w:line="5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Inventory  </w:t>
      </w:r>
      <w:r>
        <w:rPr>
          <w:rFonts w:ascii="Arial" w:cs="Arial" w:eastAsia="Arial" w:hAnsi="Arial"/>
          <w:sz w:val="16"/>
          <w:szCs w:val="16"/>
          <w:color w:val="BDBDBD"/>
        </w:rPr>
        <w:t>. . . . . . . . . . . . . . . . . . . . . . . . . . . . . . . . . . . . . . . . . . . . . . . . . . . . . . . . . . . . . . . . .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-31115</wp:posOffset>
                </wp:positionH>
                <wp:positionV relativeFrom="paragraph">
                  <wp:posOffset>-109220</wp:posOffset>
                </wp:positionV>
                <wp:extent cx="6463030" cy="150495"/>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63030" cy="150495"/>
                        </a:xfrm>
                        <a:prstGeom prst="rect">
                          <a:avLst/>
                        </a:prstGeom>
                        <a:solidFill>
                          <a:srgbClr val="E6E6E6"/>
                        </a:solidFill>
                      </wps:spPr>
                      <wps:bodyPr/>
                    </wps:wsp>
                  </a:graphicData>
                </a:graphic>
              </wp:anchor>
            </w:drawing>
          </mc:Choice>
          <mc:Fallback>
            <w:pict>
              <v:rect id="Shape 118" o:spid="_x0000_s1143" style="position:absolute;margin-left:-2.4499pt;margin-top:-8.5999pt;width:508.9pt;height:11.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3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Derivative instruments </w:t>
      </w:r>
      <w:r>
        <w:rPr>
          <w:rFonts w:ascii="Arial" w:cs="Arial" w:eastAsia="Arial" w:hAnsi="Arial"/>
          <w:sz w:val="16"/>
          <w:szCs w:val="16"/>
          <w:color w:val="BDBDBD"/>
        </w:rPr>
        <w:t>. . . . . . . . . . . . . . . . . . . . . . . . . . . . . . . . . . . . . . . . . . . . . . . . . . . . . . . .</w:t>
      </w:r>
    </w:p>
    <w:p>
      <w:pPr>
        <w:spacing w:after="0" w:line="5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Note receivable — affiliate  </w:t>
      </w:r>
      <w:r>
        <w:rPr>
          <w:rFonts w:ascii="Arial" w:cs="Arial" w:eastAsia="Arial" w:hAnsi="Arial"/>
          <w:sz w:val="16"/>
          <w:szCs w:val="16"/>
          <w:color w:val="BDBDBD"/>
        </w:rPr>
        <w:t>. . . . . . . . . . . . . . . . . . . . . . . . . . . . . . . . . . . . . . . . . . . . . . . . . . .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-31115</wp:posOffset>
                </wp:positionH>
                <wp:positionV relativeFrom="paragraph">
                  <wp:posOffset>-109220</wp:posOffset>
                </wp:positionV>
                <wp:extent cx="6463030" cy="15113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63030" cy="151130"/>
                        </a:xfrm>
                        <a:prstGeom prst="rect">
                          <a:avLst/>
                        </a:prstGeom>
                        <a:solidFill>
                          <a:srgbClr val="E6E6E6"/>
                        </a:solidFill>
                      </wps:spPr>
                      <wps:bodyPr/>
                    </wps:wsp>
                  </a:graphicData>
                </a:graphic>
              </wp:anchor>
            </w:drawing>
          </mc:Choice>
          <mc:Fallback>
            <w:pict>
              <v:rect id="Shape 119" o:spid="_x0000_s1144" style="position:absolute;margin-left:-2.4499pt;margin-top:-8.5999pt;width:508.9pt;height:11.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36" w:lineRule="exact"/>
        <w:rPr>
          <w:sz w:val="20"/>
          <w:szCs w:val="20"/>
          <w:color w:val="auto"/>
        </w:rPr>
      </w:pPr>
    </w:p>
    <w:p>
      <w:pPr>
        <w:ind w:left="140"/>
        <w:spacing w:after="0"/>
        <w:rPr>
          <w:sz w:val="20"/>
          <w:szCs w:val="20"/>
          <w:color w:val="auto"/>
        </w:rPr>
      </w:pPr>
      <w:r>
        <w:rPr>
          <w:rFonts w:ascii="Arial" w:cs="Arial" w:eastAsia="Arial" w:hAnsi="Arial"/>
          <w:sz w:val="15"/>
          <w:szCs w:val="15"/>
          <w:color w:val="auto"/>
        </w:rPr>
        <w:t xml:space="preserve">Prepayments and other current assets </w:t>
      </w:r>
      <w:r>
        <w:rPr>
          <w:rFonts w:ascii="Arial" w:cs="Arial" w:eastAsia="Arial" w:hAnsi="Arial"/>
          <w:sz w:val="15"/>
          <w:szCs w:val="15"/>
          <w:color w:val="BDBDBD"/>
        </w:rPr>
        <w:t>. . .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36195</wp:posOffset>
            </wp:positionV>
            <wp:extent cx="6476365" cy="1771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95">
                      <a:extLst>
                        <a:ext uri="{28A0092B-C50C-407E-A947-70E740481C1C}"/>
                      </a:extLst>
                    </a:blip>
                    <a:srcRect/>
                    <a:stretch>
                      <a:fillRect/>
                    </a:stretch>
                  </pic:blipFill>
                  <pic:spPr bwMode="auto">
                    <a:xfrm>
                      <a:off x="0" y="0"/>
                      <a:ext cx="6476365" cy="177165"/>
                    </a:xfrm>
                    <a:prstGeom prst="rect">
                      <a:avLst/>
                    </a:prstGeom>
                    <a:noFill/>
                  </pic:spPr>
                </pic:pic>
              </a:graphicData>
            </a:graphic>
          </wp:anchor>
        </w:drawing>
      </w:r>
    </w:p>
    <w:p>
      <w:pPr>
        <w:spacing w:after="0" w:line="4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Total current assets </w:t>
      </w:r>
      <w:r>
        <w:rPr>
          <w:rFonts w:ascii="Arial" w:cs="Arial" w:eastAsia="Arial" w:hAnsi="Arial"/>
          <w:sz w:val="16"/>
          <w:szCs w:val="16"/>
          <w:color w:val="BDBDBD"/>
        </w:rPr>
        <w:t>. . . . . . . . . . . . . . . . . . . . . . . . . . . . . . . . . . . . . . . . . . . . . . . . . . . . . . . .</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Property, plant and equipment, net </w:t>
      </w:r>
      <w:r>
        <w:rPr>
          <w:rFonts w:ascii="Arial" w:cs="Arial" w:eastAsia="Arial" w:hAnsi="Arial"/>
          <w:sz w:val="16"/>
          <w:szCs w:val="16"/>
          <w:b w:val="1"/>
          <w:bCs w:val="1"/>
          <w:color w:val="BDBDBD"/>
        </w:rPr>
        <w:t>. . . .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31115</wp:posOffset>
            </wp:positionV>
            <wp:extent cx="6476365" cy="1644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96">
                      <a:extLst>
                        <a:ext uri="{28A0092B-C50C-407E-A947-70E740481C1C}"/>
                      </a:extLst>
                    </a:blip>
                    <a:srcRect/>
                    <a:stretch>
                      <a:fillRect/>
                    </a:stretch>
                  </pic:blipFill>
                  <pic:spPr bwMode="auto">
                    <a:xfrm>
                      <a:off x="0" y="0"/>
                      <a:ext cx="6476365" cy="16446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Assets</w:t>
      </w:r>
    </w:p>
    <w:p>
      <w:pPr>
        <w:spacing w:after="0" w:line="3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Equity investments in affiliates </w:t>
      </w:r>
      <w:r>
        <w:rPr>
          <w:rFonts w:ascii="Arial" w:cs="Arial" w:eastAsia="Arial" w:hAnsi="Arial"/>
          <w:sz w:val="16"/>
          <w:szCs w:val="16"/>
          <w:color w:val="BDBDBD"/>
        </w:rPr>
        <w:t>. . . . . . . . . . . . . . . . . . . . . . . . . . . . . . . . . . . . . . . . . . . . . . . . .</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Intangible assets for power purchase agreements, net </w:t>
      </w:r>
      <w:r>
        <w:rPr>
          <w:rFonts w:ascii="Arial" w:cs="Arial" w:eastAsia="Arial" w:hAnsi="Arial"/>
          <w:sz w:val="16"/>
          <w:szCs w:val="16"/>
          <w:color w:val="BDBDBD"/>
        </w:rPr>
        <w:t>. . . . . . . . . . . . . . . . . . . . . . . . . . . . . . .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-31115</wp:posOffset>
                </wp:positionH>
                <wp:positionV relativeFrom="paragraph">
                  <wp:posOffset>-109855</wp:posOffset>
                </wp:positionV>
                <wp:extent cx="6463030" cy="15113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63030" cy="151130"/>
                        </a:xfrm>
                        <a:prstGeom prst="rect">
                          <a:avLst/>
                        </a:prstGeom>
                        <a:solidFill>
                          <a:srgbClr val="E6E6E6"/>
                        </a:solidFill>
                      </wps:spPr>
                      <wps:bodyPr/>
                    </wps:wsp>
                  </a:graphicData>
                </a:graphic>
              </wp:anchor>
            </w:drawing>
          </mc:Choice>
          <mc:Fallback>
            <w:pict>
              <v:rect id="Shape 122" o:spid="_x0000_s1147" style="position:absolute;margin-left:-2.4499pt;margin-top:-8.6499pt;width:508.9pt;height:11.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Other intangible assets, net </w:t>
      </w:r>
      <w:r>
        <w:rPr>
          <w:rFonts w:ascii="Arial" w:cs="Arial" w:eastAsia="Arial" w:hAnsi="Arial"/>
          <w:sz w:val="16"/>
          <w:szCs w:val="16"/>
          <w:color w:val="BDBDBD"/>
        </w:rPr>
        <w:t>. . . . . . . . . . . . . . . . . . . . . . . . . . . . . . . . . . . . . . . . . . . . . . . . . . . . .</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Derivative instruments </w:t>
      </w:r>
      <w:r>
        <w:rPr>
          <w:rFonts w:ascii="Arial" w:cs="Arial" w:eastAsia="Arial" w:hAnsi="Arial"/>
          <w:sz w:val="16"/>
          <w:szCs w:val="16"/>
          <w:color w:val="BDBDBD"/>
        </w:rPr>
        <w:t>. . . . . . . . . . . . . . . . . . . . . . . . . . . . . . . . . . . . . . . . . . . . . . . . . . . . . . .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-31115</wp:posOffset>
                </wp:positionH>
                <wp:positionV relativeFrom="paragraph">
                  <wp:posOffset>-109855</wp:posOffset>
                </wp:positionV>
                <wp:extent cx="6463030" cy="15113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63030" cy="151130"/>
                        </a:xfrm>
                        <a:prstGeom prst="rect">
                          <a:avLst/>
                        </a:prstGeom>
                        <a:solidFill>
                          <a:srgbClr val="E6E6E6"/>
                        </a:solidFill>
                      </wps:spPr>
                      <wps:bodyPr/>
                    </wps:wsp>
                  </a:graphicData>
                </a:graphic>
              </wp:anchor>
            </w:drawing>
          </mc:Choice>
          <mc:Fallback>
            <w:pict>
              <v:rect id="Shape 123" o:spid="_x0000_s1148" style="position:absolute;margin-left:-2.4499pt;margin-top:-8.6499pt;width:508.9pt;height:11.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Right-of-use assets, net  </w:t>
      </w:r>
      <w:r>
        <w:rPr>
          <w:rFonts w:ascii="Arial" w:cs="Arial" w:eastAsia="Arial" w:hAnsi="Arial"/>
          <w:sz w:val="16"/>
          <w:szCs w:val="16"/>
          <w:color w:val="BDBDBD"/>
        </w:rPr>
        <w:t>. . . . . . . . . . . . . . . . . . . . . . . . . . . . . . . . . . . . . . . . . . . . . . . . . . . . . . .</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Other non-current assets </w:t>
      </w:r>
      <w:r>
        <w:rPr>
          <w:rFonts w:ascii="Arial" w:cs="Arial" w:eastAsia="Arial" w:hAnsi="Arial"/>
          <w:sz w:val="16"/>
          <w:szCs w:val="16"/>
          <w:color w:val="BDBDBD"/>
        </w:rPr>
        <w:t>. . . . . . . . . . . . .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-109220</wp:posOffset>
            </wp:positionV>
            <wp:extent cx="6476365" cy="1644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97">
                      <a:extLst>
                        <a:ext uri="{28A0092B-C50C-407E-A947-70E740481C1C}"/>
                      </a:extLst>
                    </a:blip>
                    <a:srcRect/>
                    <a:stretch>
                      <a:fillRect/>
                    </a:stretch>
                  </pic:blipFill>
                  <pic:spPr bwMode="auto">
                    <a:xfrm>
                      <a:off x="0" y="0"/>
                      <a:ext cx="6476365" cy="164465"/>
                    </a:xfrm>
                    <a:prstGeom prst="rect">
                      <a:avLst/>
                    </a:prstGeom>
                    <a:noFill/>
                  </pic:spPr>
                </pic:pic>
              </a:graphicData>
            </a:graphic>
          </wp:anchor>
        </w:drawing>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Total other assets </w:t>
      </w:r>
      <w:r>
        <w:rPr>
          <w:rFonts w:ascii="Arial" w:cs="Arial" w:eastAsia="Arial" w:hAnsi="Arial"/>
          <w:sz w:val="16"/>
          <w:szCs w:val="16"/>
          <w:color w:val="BDBDBD"/>
        </w:rPr>
        <w:t>. . . . . . . . . . . . . . . .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29210</wp:posOffset>
            </wp:positionV>
            <wp:extent cx="6476365" cy="1898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98">
                      <a:extLst>
                        <a:ext uri="{28A0092B-C50C-407E-A947-70E740481C1C}"/>
                      </a:extLst>
                    </a:blip>
                    <a:srcRect/>
                    <a:stretch>
                      <a:fillRect/>
                    </a:stretch>
                  </pic:blipFill>
                  <pic:spPr bwMode="auto">
                    <a:xfrm>
                      <a:off x="0" y="0"/>
                      <a:ext cx="6476365" cy="18986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Total Assets </w:t>
      </w:r>
      <w:r>
        <w:rPr>
          <w:rFonts w:ascii="Arial" w:cs="Arial" w:eastAsia="Arial" w:hAnsi="Arial"/>
          <w:sz w:val="16"/>
          <w:szCs w:val="16"/>
          <w:b w:val="1"/>
          <w:bCs w:val="1"/>
          <w:color w:val="BDBDBD"/>
        </w:rPr>
        <w:t>. . . . . . . . . . . . . . . . . . . . . . . . . . . . . . . . . . . . . . . . . . . . . . . . . . . . . . . . . . . . . . . . .</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LIABILITIES AND STOCKHOLDERS’ EQUITY</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Liabilities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-31115</wp:posOffset>
                </wp:positionH>
                <wp:positionV relativeFrom="paragraph">
                  <wp:posOffset>-122555</wp:posOffset>
                </wp:positionV>
                <wp:extent cx="6463030" cy="151130"/>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63030" cy="151130"/>
                        </a:xfrm>
                        <a:prstGeom prst="rect">
                          <a:avLst/>
                        </a:prstGeom>
                        <a:solidFill>
                          <a:srgbClr val="E6E6E6"/>
                        </a:solidFill>
                      </wps:spPr>
                      <wps:bodyPr/>
                    </wps:wsp>
                  </a:graphicData>
                </a:graphic>
              </wp:anchor>
            </w:drawing>
          </mc:Choice>
          <mc:Fallback>
            <w:pict>
              <v:rect id="Shape 126" o:spid="_x0000_s1151" style="position:absolute;margin-left:-2.4499pt;margin-top:-9.6499pt;width:508.9pt;height:11.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1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Current portion of long-term debt </w:t>
      </w:r>
      <w:r>
        <w:rPr>
          <w:rFonts w:ascii="Arial" w:cs="Arial" w:eastAsia="Arial" w:hAnsi="Arial"/>
          <w:sz w:val="16"/>
          <w:szCs w:val="16"/>
          <w:color w:val="BDBDBD"/>
        </w:rPr>
        <w:t>. . . . . . . . . . . . . . . . . . . . . . . . . . . . . . . . . . . . . . . . . . . . . . .</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Accounts payable — trade </w:t>
      </w:r>
      <w:r>
        <w:rPr>
          <w:rFonts w:ascii="Arial" w:cs="Arial" w:eastAsia="Arial" w:hAnsi="Arial"/>
          <w:sz w:val="16"/>
          <w:szCs w:val="16"/>
          <w:color w:val="BDBDBD"/>
        </w:rPr>
        <w:t>. . . . . . . . . . . . . . . . . . . . . . . . . . . . . . . . . . . . . . . . . . . . . . . . . . . .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-31115</wp:posOffset>
                </wp:positionH>
                <wp:positionV relativeFrom="paragraph">
                  <wp:posOffset>-109855</wp:posOffset>
                </wp:positionV>
                <wp:extent cx="6463030" cy="150495"/>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63030" cy="150495"/>
                        </a:xfrm>
                        <a:prstGeom prst="rect">
                          <a:avLst/>
                        </a:prstGeom>
                        <a:solidFill>
                          <a:srgbClr val="E6E6E6"/>
                        </a:solidFill>
                      </wps:spPr>
                      <wps:bodyPr/>
                    </wps:wsp>
                  </a:graphicData>
                </a:graphic>
              </wp:anchor>
            </w:drawing>
          </mc:Choice>
          <mc:Fallback>
            <w:pict>
              <v:rect id="Shape 127" o:spid="_x0000_s1152" style="position:absolute;margin-left:-2.4499pt;margin-top:-8.6499pt;width:508.9pt;height:11.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Accounts payable — affiliates </w:t>
      </w:r>
      <w:r>
        <w:rPr>
          <w:rFonts w:ascii="Arial" w:cs="Arial" w:eastAsia="Arial" w:hAnsi="Arial"/>
          <w:sz w:val="16"/>
          <w:szCs w:val="16"/>
          <w:color w:val="BDBDBD"/>
        </w:rPr>
        <w:t>. . . . . . . . . . . . . . . . . . . . . . . . . . . . . . . . . . . . . . . . . . . . . . . . . .</w:t>
      </w:r>
    </w:p>
    <w:p>
      <w:pPr>
        <w:spacing w:after="0" w:line="54" w:lineRule="exact"/>
        <w:rPr>
          <w:sz w:val="20"/>
          <w:szCs w:val="20"/>
          <w:color w:val="auto"/>
        </w:rPr>
      </w:pPr>
    </w:p>
    <w:p>
      <w:pPr>
        <w:ind w:left="140"/>
        <w:spacing w:after="0"/>
        <w:tabs>
          <w:tab w:leader="none" w:pos="1920" w:val="left"/>
        </w:tabs>
        <w:rPr>
          <w:sz w:val="20"/>
          <w:szCs w:val="20"/>
          <w:color w:val="auto"/>
        </w:rPr>
      </w:pPr>
      <w:r>
        <w:rPr>
          <w:rFonts w:ascii="Arial" w:cs="Arial" w:eastAsia="Arial" w:hAnsi="Arial"/>
          <w:sz w:val="18"/>
          <w:szCs w:val="18"/>
          <w:color w:val="auto"/>
        </w:rPr>
        <w:t>Derivative instruments</w:t>
      </w:r>
      <w:r>
        <w:rPr>
          <w:sz w:val="20"/>
          <w:szCs w:val="20"/>
          <w:color w:val="auto"/>
        </w:rPr>
        <w:tab/>
      </w:r>
      <w:r>
        <w:rPr>
          <w:rFonts w:ascii="Arial" w:cs="Arial" w:eastAsia="Arial" w:hAnsi="Arial"/>
          <w:sz w:val="16"/>
          <w:szCs w:val="16"/>
          <w:color w:val="BDBDBD"/>
        </w:rPr>
        <w:t>. . . . . . . . . . . . . . . . . . . . . . . . . . . . . . . . . . . . . . . . . . . . . . . . . . . . . .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-31115</wp:posOffset>
                </wp:positionH>
                <wp:positionV relativeFrom="paragraph">
                  <wp:posOffset>-123825</wp:posOffset>
                </wp:positionV>
                <wp:extent cx="6463030" cy="150495"/>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63030" cy="150495"/>
                        </a:xfrm>
                        <a:prstGeom prst="rect">
                          <a:avLst/>
                        </a:prstGeom>
                        <a:solidFill>
                          <a:srgbClr val="E6E6E6"/>
                        </a:solidFill>
                      </wps:spPr>
                      <wps:bodyPr/>
                    </wps:wsp>
                  </a:graphicData>
                </a:graphic>
              </wp:anchor>
            </w:drawing>
          </mc:Choice>
          <mc:Fallback>
            <w:pict>
              <v:rect id="Shape 128" o:spid="_x0000_s1153" style="position:absolute;margin-left:-2.4499pt;margin-top:-9.7499pt;width:508.9pt;height:11.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1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Accrued interest expense </w:t>
      </w:r>
      <w:r>
        <w:rPr>
          <w:rFonts w:ascii="Arial" w:cs="Arial" w:eastAsia="Arial" w:hAnsi="Arial"/>
          <w:sz w:val="16"/>
          <w:szCs w:val="16"/>
          <w:color w:val="BDBDBD"/>
        </w:rPr>
        <w:t>. . . . . . . . . . . . . . . . . . . . . . . . . . . . . . . . . . . . . . . . . . . . . . . . . . . . . .</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Accrued expenses and other current liabilities </w:t>
      </w:r>
      <w:r>
        <w:rPr>
          <w:rFonts w:ascii="Arial" w:cs="Arial" w:eastAsia="Arial" w:hAnsi="Arial"/>
          <w:sz w:val="16"/>
          <w:szCs w:val="16"/>
          <w:color w:val="BDBDBD"/>
        </w:rPr>
        <w:t>.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-109855</wp:posOffset>
            </wp:positionV>
            <wp:extent cx="6476365" cy="1644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99">
                      <a:extLst>
                        <a:ext uri="{28A0092B-C50C-407E-A947-70E740481C1C}"/>
                      </a:extLst>
                    </a:blip>
                    <a:srcRect/>
                    <a:stretch>
                      <a:fillRect/>
                    </a:stretch>
                  </pic:blipFill>
                  <pic:spPr bwMode="auto">
                    <a:xfrm>
                      <a:off x="0" y="0"/>
                      <a:ext cx="6476365" cy="164465"/>
                    </a:xfrm>
                    <a:prstGeom prst="rect">
                      <a:avLst/>
                    </a:prstGeom>
                    <a:noFill/>
                  </pic:spPr>
                </pic:pic>
              </a:graphicData>
            </a:graphic>
          </wp:anchor>
        </w:drawing>
      </w:r>
    </w:p>
    <w:p>
      <w:pPr>
        <w:spacing w:after="0" w:line="3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Total current liabilities  </w:t>
      </w:r>
      <w:r>
        <w:rPr>
          <w:rFonts w:ascii="Arial" w:cs="Arial" w:eastAsia="Arial" w:hAnsi="Arial"/>
          <w:sz w:val="16"/>
          <w:szCs w:val="16"/>
          <w:color w:val="BDBDBD"/>
        </w:rPr>
        <w:t>. . . . . . . . . . .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29210</wp:posOffset>
            </wp:positionV>
            <wp:extent cx="6476365" cy="1644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00">
                      <a:extLst>
                        <a:ext uri="{28A0092B-C50C-407E-A947-70E740481C1C}"/>
                      </a:extLst>
                    </a:blip>
                    <a:srcRect/>
                    <a:stretch>
                      <a:fillRect/>
                    </a:stretch>
                  </pic:blipFill>
                  <pic:spPr bwMode="auto">
                    <a:xfrm>
                      <a:off x="0" y="0"/>
                      <a:ext cx="6476365" cy="16446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Liabilities</w:t>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Long-term debt </w:t>
      </w:r>
      <w:r>
        <w:rPr>
          <w:rFonts w:ascii="Arial" w:cs="Arial" w:eastAsia="Arial" w:hAnsi="Arial"/>
          <w:sz w:val="16"/>
          <w:szCs w:val="16"/>
          <w:color w:val="BDBDBD"/>
        </w:rPr>
        <w:t>. . . . . . . . . . . . . . . . . . . . . . . . . . . . . . . . . . . . . . . . . . . . . . . . . . . . . . . . . . . . . .</w:t>
      </w:r>
    </w:p>
    <w:p>
      <w:pPr>
        <w:spacing w:after="0" w:line="5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Deferred income taxes </w:t>
      </w:r>
      <w:r>
        <w:rPr>
          <w:rFonts w:ascii="Arial" w:cs="Arial" w:eastAsia="Arial" w:hAnsi="Arial"/>
          <w:sz w:val="16"/>
          <w:szCs w:val="16"/>
          <w:color w:val="BDBDBD"/>
        </w:rPr>
        <w:t>. . . . . . . . . . . . . . . . . . . . . . . . . . . . . . . . . . . . . . . . . . . . . . . . . . . . . . .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-31115</wp:posOffset>
                </wp:positionH>
                <wp:positionV relativeFrom="paragraph">
                  <wp:posOffset>-109220</wp:posOffset>
                </wp:positionV>
                <wp:extent cx="6463030" cy="15113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63030" cy="151130"/>
                        </a:xfrm>
                        <a:prstGeom prst="rect">
                          <a:avLst/>
                        </a:prstGeom>
                        <a:solidFill>
                          <a:srgbClr val="E6E6E6"/>
                        </a:solidFill>
                      </wps:spPr>
                      <wps:bodyPr/>
                    </wps:wsp>
                  </a:graphicData>
                </a:graphic>
              </wp:anchor>
            </w:drawing>
          </mc:Choice>
          <mc:Fallback>
            <w:pict>
              <v:rect id="Shape 131" o:spid="_x0000_s1156" style="position:absolute;margin-left:-2.4499pt;margin-top:-8.5999pt;width:508.9pt;height:11.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3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Derivative instruments </w:t>
      </w:r>
      <w:r>
        <w:rPr>
          <w:rFonts w:ascii="Arial" w:cs="Arial" w:eastAsia="Arial" w:hAnsi="Arial"/>
          <w:sz w:val="16"/>
          <w:szCs w:val="16"/>
          <w:color w:val="BDBDBD"/>
        </w:rPr>
        <w:t>. . . . . . . . . . . . . . . . . . . . . . . . . . . . . . . . . . . . . . . . . . . . . . . . . . . . . . . .</w:t>
      </w:r>
    </w:p>
    <w:p>
      <w:pPr>
        <w:spacing w:after="0" w:line="5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Long-term lease liabilities </w:t>
      </w:r>
      <w:r>
        <w:rPr>
          <w:rFonts w:ascii="Arial" w:cs="Arial" w:eastAsia="Arial" w:hAnsi="Arial"/>
          <w:sz w:val="16"/>
          <w:szCs w:val="16"/>
          <w:color w:val="BDBDBD"/>
        </w:rPr>
        <w:t>. . . . . . . . . . . . . . . . . . . . . . . . . . . . . . . . . . . . . . . . . . . . . . . . . . . .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-31115</wp:posOffset>
                </wp:positionH>
                <wp:positionV relativeFrom="paragraph">
                  <wp:posOffset>-109220</wp:posOffset>
                </wp:positionV>
                <wp:extent cx="6463030" cy="151130"/>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63030" cy="151130"/>
                        </a:xfrm>
                        <a:prstGeom prst="rect">
                          <a:avLst/>
                        </a:prstGeom>
                        <a:solidFill>
                          <a:srgbClr val="E6E6E6"/>
                        </a:solidFill>
                      </wps:spPr>
                      <wps:bodyPr/>
                    </wps:wsp>
                  </a:graphicData>
                </a:graphic>
              </wp:anchor>
            </w:drawing>
          </mc:Choice>
          <mc:Fallback>
            <w:pict>
              <v:rect id="Shape 132" o:spid="_x0000_s1157" style="position:absolute;margin-left:-2.4499pt;margin-top:-8.5999pt;width:508.9pt;height:11.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3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Other non-current liabilities </w:t>
      </w:r>
      <w:r>
        <w:rPr>
          <w:rFonts w:ascii="Arial" w:cs="Arial" w:eastAsia="Arial" w:hAnsi="Arial"/>
          <w:sz w:val="16"/>
          <w:szCs w:val="16"/>
          <w:color w:val="BDBDBD"/>
        </w:rPr>
        <w:t>. . . . . . . . . .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28575</wp:posOffset>
            </wp:positionV>
            <wp:extent cx="6476365" cy="1771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01">
                      <a:extLst>
                        <a:ext uri="{28A0092B-C50C-407E-A947-70E740481C1C}"/>
                      </a:extLst>
                    </a:blip>
                    <a:srcRect/>
                    <a:stretch>
                      <a:fillRect/>
                    </a:stretch>
                  </pic:blipFill>
                  <pic:spPr bwMode="auto">
                    <a:xfrm>
                      <a:off x="0" y="0"/>
                      <a:ext cx="6476365" cy="177165"/>
                    </a:xfrm>
                    <a:prstGeom prst="rect">
                      <a:avLst/>
                    </a:prstGeom>
                    <a:noFill/>
                  </pic:spPr>
                </pic:pic>
              </a:graphicData>
            </a:graphic>
          </wp:anchor>
        </w:drawing>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Total other liabilities </w:t>
      </w:r>
      <w:r>
        <w:rPr>
          <w:rFonts w:ascii="Arial" w:cs="Arial" w:eastAsia="Arial" w:hAnsi="Arial"/>
          <w:sz w:val="16"/>
          <w:szCs w:val="16"/>
          <w:color w:val="BDBDBD"/>
        </w:rPr>
        <w:t>. . . . . . . . . . . . . . . . . . . . . . . . . . . . . . . . . . . . . . . . . . . . . . . . . . . . . . .</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Total Liabilities </w:t>
      </w:r>
      <w:r>
        <w:rPr>
          <w:rFonts w:ascii="Arial" w:cs="Arial" w:eastAsia="Arial" w:hAnsi="Arial"/>
          <w:sz w:val="16"/>
          <w:szCs w:val="16"/>
          <w:b w:val="1"/>
          <w:bCs w:val="1"/>
          <w:color w:val="BDBDBD"/>
        </w:rPr>
        <w:t>. . . . . . . . . . . . . . . . . . . .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31115</wp:posOffset>
            </wp:positionV>
            <wp:extent cx="6476365" cy="1771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02">
                      <a:extLst>
                        <a:ext uri="{28A0092B-C50C-407E-A947-70E740481C1C}"/>
                      </a:extLst>
                    </a:blip>
                    <a:srcRect/>
                    <a:stretch>
                      <a:fillRect/>
                    </a:stretch>
                  </pic:blipFill>
                  <pic:spPr bwMode="auto">
                    <a:xfrm>
                      <a:off x="0" y="0"/>
                      <a:ext cx="6476365" cy="17716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Redeemable noncontrolling interest in subsidiaries </w:t>
      </w:r>
      <w:r>
        <w:rPr>
          <w:rFonts w:ascii="Arial" w:cs="Arial" w:eastAsia="Arial" w:hAnsi="Arial"/>
          <w:sz w:val="16"/>
          <w:szCs w:val="16"/>
          <w:b w:val="1"/>
          <w:bCs w:val="1"/>
          <w:color w:val="BDBDBD"/>
        </w:rPr>
        <w:t>. . . . . . . . . . . . . . . . . . . . . . . . . . . . . . . .</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Equity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-31115</wp:posOffset>
                </wp:positionH>
                <wp:positionV relativeFrom="paragraph">
                  <wp:posOffset>-121920</wp:posOffset>
                </wp:positionV>
                <wp:extent cx="6463030" cy="150495"/>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63030" cy="150495"/>
                        </a:xfrm>
                        <a:prstGeom prst="rect">
                          <a:avLst/>
                        </a:prstGeom>
                        <a:solidFill>
                          <a:srgbClr val="E6E6E6"/>
                        </a:solidFill>
                      </wps:spPr>
                      <wps:bodyPr/>
                    </wps:wsp>
                  </a:graphicData>
                </a:graphic>
              </wp:anchor>
            </w:drawing>
          </mc:Choice>
          <mc:Fallback>
            <w:pict>
              <v:rect id="Shape 135" o:spid="_x0000_s1160" style="position:absolute;margin-left:-2.4499pt;margin-top:-9.5999pt;width:508.9pt;height:11.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14" w:lineRule="exact"/>
        <w:rPr>
          <w:sz w:val="20"/>
          <w:szCs w:val="20"/>
          <w:color w:val="auto"/>
        </w:rPr>
      </w:pPr>
    </w:p>
    <w:p>
      <w:pPr>
        <w:ind w:left="140"/>
        <w:spacing w:after="0"/>
        <w:tabs>
          <w:tab w:leader="none" w:pos="5680" w:val="left"/>
        </w:tabs>
        <w:rPr>
          <w:sz w:val="20"/>
          <w:szCs w:val="20"/>
          <w:color w:val="auto"/>
        </w:rPr>
      </w:pPr>
      <w:r>
        <w:rPr>
          <w:rFonts w:ascii="Arial" w:cs="Arial" w:eastAsia="Arial" w:hAnsi="Arial"/>
          <w:sz w:val="18"/>
          <w:szCs w:val="18"/>
          <w:color w:val="auto"/>
        </w:rPr>
        <w:t>Preferred stock, $0.01 par value; 10,000,000 shares authorized; none issued</w:t>
      </w:r>
      <w:r>
        <w:rPr>
          <w:sz w:val="20"/>
          <w:szCs w:val="20"/>
          <w:color w:val="auto"/>
        </w:rPr>
        <w:tab/>
      </w:r>
      <w:r>
        <w:rPr>
          <w:rFonts w:ascii="Arial" w:cs="Arial" w:eastAsia="Arial" w:hAnsi="Arial"/>
          <w:sz w:val="16"/>
          <w:szCs w:val="16"/>
          <w:color w:val="BDBDBD"/>
        </w:rPr>
        <w:t>. . . . . . . . . . . .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-30480</wp:posOffset>
                </wp:positionH>
                <wp:positionV relativeFrom="paragraph">
                  <wp:posOffset>27305</wp:posOffset>
                </wp:positionV>
                <wp:extent cx="6462395" cy="74930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62395" cy="749300"/>
                        </a:xfrm>
                        <a:prstGeom prst="rect">
                          <a:avLst/>
                        </a:prstGeom>
                        <a:solidFill>
                          <a:srgbClr val="E6E6E6"/>
                        </a:solidFill>
                      </wps:spPr>
                      <wps:bodyPr/>
                    </wps:wsp>
                  </a:graphicData>
                </a:graphic>
              </wp:anchor>
            </w:drawing>
          </mc:Choice>
          <mc:Fallback>
            <w:pict>
              <v:rect id="Shape 136" o:spid="_x0000_s1161" style="position:absolute;margin-left:-2.3999pt;margin-top:2.15pt;width:508.85pt;height:5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57" w:lineRule="exact"/>
        <w:rPr>
          <w:sz w:val="20"/>
          <w:szCs w:val="20"/>
          <w:color w:val="auto"/>
        </w:rPr>
      </w:pPr>
    </w:p>
    <w:p>
      <w:pPr>
        <w:ind w:left="140" w:right="20"/>
        <w:spacing w:after="0" w:line="233" w:lineRule="auto"/>
        <w:rPr>
          <w:sz w:val="20"/>
          <w:szCs w:val="20"/>
          <w:color w:val="auto"/>
        </w:rPr>
      </w:pPr>
      <w:r>
        <w:rPr>
          <w:rFonts w:ascii="Arial" w:cs="Arial" w:eastAsia="Arial" w:hAnsi="Arial"/>
          <w:sz w:val="16"/>
          <w:szCs w:val="16"/>
          <w:color w:val="auto"/>
        </w:rPr>
        <w:t>Class A, Class B, Class C and Class D common stock, $0.01 par value; 3,000,000,000 shares authorized (Class A 500,000,000, Class B 500,000,000, Class C 1,000,000,000, Class D 1,000,000,000); 202,080,794 shares issued and outstanding (Class A 34,613,853, Class B 42,738,750, Class C 82,391,441, Class D 42,336,750) at December 31, 2023 and</w:t>
      </w:r>
    </w:p>
    <w:p>
      <w:pPr>
        <w:spacing w:after="0" w:line="2" w:lineRule="exact"/>
        <w:rPr>
          <w:sz w:val="20"/>
          <w:szCs w:val="20"/>
          <w:color w:val="auto"/>
        </w:rPr>
      </w:pPr>
    </w:p>
    <w:p>
      <w:pPr>
        <w:ind w:left="140"/>
        <w:spacing w:after="0" w:line="272" w:lineRule="auto"/>
        <w:rPr>
          <w:sz w:val="20"/>
          <w:szCs w:val="20"/>
          <w:color w:val="auto"/>
        </w:rPr>
      </w:pPr>
      <w:r>
        <w:rPr>
          <w:rFonts w:ascii="Arial" w:cs="Arial" w:eastAsia="Arial" w:hAnsi="Arial"/>
          <w:sz w:val="16"/>
          <w:szCs w:val="16"/>
          <w:color w:val="auto"/>
        </w:rPr>
        <w:t xml:space="preserve">201,972,813 shares issued and outstanding (Class A 34,613,853, Class B 42,738,750, Class C 82,283,460, Class D 42,336,750) at December 31, 2022 </w:t>
      </w:r>
      <w:r>
        <w:rPr>
          <w:rFonts w:ascii="Arial" w:cs="Arial" w:eastAsia="Arial" w:hAnsi="Arial"/>
          <w:sz w:val="16"/>
          <w:szCs w:val="16"/>
          <w:color w:val="BDBDBD"/>
        </w:rPr>
        <w:t>. . . . . . . . . . . . . . . . . . . . . . . . . . . .</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Additional paid-in capital </w:t>
      </w:r>
      <w:r>
        <w:rPr>
          <w:rFonts w:ascii="Arial" w:cs="Arial" w:eastAsia="Arial" w:hAnsi="Arial"/>
          <w:sz w:val="16"/>
          <w:szCs w:val="16"/>
          <w:color w:val="BDBDBD"/>
        </w:rPr>
        <w:t>. . . . . . . . . . . . . . . . . . . . . . . . . . . . . . . . . . . . . . . . . . . . . . . . . . . . . .</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Retained earnings </w:t>
      </w:r>
      <w:r>
        <w:rPr>
          <w:rFonts w:ascii="Arial" w:cs="Arial" w:eastAsia="Arial" w:hAnsi="Arial"/>
          <w:sz w:val="16"/>
          <w:szCs w:val="16"/>
          <w:color w:val="BDBDBD"/>
        </w:rPr>
        <w:t>. . . . . . . . . . . . . . . . . . . . . . . . . . . . . . . . . . . . . . . . . . . . . . . . . . . . . . . . . . .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-31115</wp:posOffset>
                </wp:positionH>
                <wp:positionV relativeFrom="paragraph">
                  <wp:posOffset>-109855</wp:posOffset>
                </wp:positionV>
                <wp:extent cx="6463030" cy="15113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63030" cy="151130"/>
                        </a:xfrm>
                        <a:prstGeom prst="rect">
                          <a:avLst/>
                        </a:prstGeom>
                        <a:solidFill>
                          <a:srgbClr val="E6E6E6"/>
                        </a:solidFill>
                      </wps:spPr>
                      <wps:bodyPr/>
                    </wps:wsp>
                  </a:graphicData>
                </a:graphic>
              </wp:anchor>
            </w:drawing>
          </mc:Choice>
          <mc:Fallback>
            <w:pict>
              <v:rect id="Shape 137" o:spid="_x0000_s1162" style="position:absolute;margin-left:-2.4499pt;margin-top:-8.6499pt;width:508.9pt;height:11.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Accumulated other comprehensive income </w:t>
      </w:r>
      <w:r>
        <w:rPr>
          <w:rFonts w:ascii="Arial" w:cs="Arial" w:eastAsia="Arial" w:hAnsi="Arial"/>
          <w:sz w:val="16"/>
          <w:szCs w:val="16"/>
          <w:color w:val="BDBDBD"/>
        </w:rPr>
        <w:t>. . . . . . . . . . . . . . . . . . . . . . . . . . . . . . . . . . . . . . . .</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Noncontrolling interest </w:t>
      </w:r>
      <w:r>
        <w:rPr>
          <w:rFonts w:ascii="Arial" w:cs="Arial" w:eastAsia="Arial" w:hAnsi="Arial"/>
          <w:sz w:val="16"/>
          <w:szCs w:val="16"/>
          <w:color w:val="BDBDBD"/>
        </w:rPr>
        <w:t>. . . . . . . . . . . . . .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-109220</wp:posOffset>
            </wp:positionV>
            <wp:extent cx="6476365" cy="1644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03">
                      <a:extLst>
                        <a:ext uri="{28A0092B-C50C-407E-A947-70E740481C1C}"/>
                      </a:extLst>
                    </a:blip>
                    <a:srcRect/>
                    <a:stretch>
                      <a:fillRect/>
                    </a:stretch>
                  </pic:blipFill>
                  <pic:spPr bwMode="auto">
                    <a:xfrm>
                      <a:off x="0" y="0"/>
                      <a:ext cx="6476365" cy="164465"/>
                    </a:xfrm>
                    <a:prstGeom prst="rect">
                      <a:avLst/>
                    </a:prstGeom>
                    <a:noFill/>
                  </pic:spPr>
                </pic:pic>
              </a:graphicData>
            </a:graphic>
          </wp:anchor>
        </w:drawing>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Total Stockholders’ Equity </w:t>
      </w:r>
      <w:r>
        <w:rPr>
          <w:rFonts w:ascii="Arial" w:cs="Arial" w:eastAsia="Arial" w:hAnsi="Arial"/>
          <w:sz w:val="16"/>
          <w:szCs w:val="16"/>
          <w:b w:val="1"/>
          <w:bCs w:val="1"/>
          <w:color w:val="BDBDBD"/>
        </w:rPr>
        <w:t>. . . . . . . . . . .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31115</wp:posOffset>
            </wp:positionV>
            <wp:extent cx="6476365" cy="1898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04">
                      <a:extLst>
                        <a:ext uri="{28A0092B-C50C-407E-A947-70E740481C1C}"/>
                      </a:extLst>
                    </a:blip>
                    <a:srcRect/>
                    <a:stretch>
                      <a:fillRect/>
                    </a:stretch>
                  </pic:blipFill>
                  <pic:spPr bwMode="auto">
                    <a:xfrm>
                      <a:off x="0" y="0"/>
                      <a:ext cx="6476365" cy="189865"/>
                    </a:xfrm>
                    <a:prstGeom prst="rect">
                      <a:avLst/>
                    </a:prstGeom>
                    <a:noFill/>
                  </pic:spPr>
                </pic:pic>
              </a:graphicData>
            </a:graphic>
          </wp:anchor>
        </w:drawing>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Total Liabilities and Stockholders’ Equity </w:t>
      </w:r>
      <w:r>
        <w:rPr>
          <w:rFonts w:ascii="Arial" w:cs="Arial" w:eastAsia="Arial" w:hAnsi="Arial"/>
          <w:sz w:val="16"/>
          <w:szCs w:val="16"/>
          <w:b w:val="1"/>
          <w:bCs w:val="1"/>
          <w:color w:val="BDBDBD"/>
        </w:rPr>
        <w:t>. . . . . . . . . . . . . . . . . . . . . . . . . . . . . . . . . . . . . .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1"/>
              <w:spacing w:after="0"/>
              <w:rPr>
                <w:sz w:val="20"/>
                <w:szCs w:val="20"/>
                <w:color w:val="auto"/>
              </w:rPr>
            </w:pPr>
            <w:r>
              <w:rPr>
                <w:rFonts w:ascii="Arial" w:cs="Arial" w:eastAsia="Arial" w:hAnsi="Arial"/>
                <w:sz w:val="16"/>
                <w:szCs w:val="16"/>
                <w:b w:val="1"/>
                <w:bCs w:val="1"/>
                <w:color w:val="auto"/>
                <w:w w:val="88"/>
              </w:rPr>
              <w:t>December 31, 2023</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1"/>
              <w:spacing w:after="0"/>
              <w:rPr>
                <w:sz w:val="20"/>
                <w:szCs w:val="20"/>
                <w:color w:val="auto"/>
              </w:rPr>
            </w:pPr>
            <w:r>
              <w:rPr>
                <w:rFonts w:ascii="Arial" w:cs="Arial" w:eastAsia="Arial" w:hAnsi="Arial"/>
                <w:sz w:val="16"/>
                <w:szCs w:val="16"/>
                <w:b w:val="1"/>
                <w:bCs w:val="1"/>
                <w:color w:val="auto"/>
                <w:w w:val="88"/>
              </w:rPr>
              <w:t>December 31, 2022</w:t>
            </w:r>
          </w:p>
        </w:tc>
      </w:tr>
      <w:tr>
        <w:trPr>
          <w:trHeight w:val="720"/>
        </w:trPr>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535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657</w:t>
            </w:r>
          </w:p>
        </w:tc>
      </w:tr>
      <w:tr>
        <w:trPr>
          <w:trHeight w:val="239"/>
        </w:trPr>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516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339</w:t>
            </w:r>
          </w:p>
        </w:tc>
      </w:tr>
      <w:tr>
        <w:trPr>
          <w:trHeight w:val="239"/>
        </w:trPr>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39"/>
        </w:trPr>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9"/>
        </w:trPr>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9"/>
        </w:trPr>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5"/>
        </w:trPr>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19"/>
        </w:trPr>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1,560</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w:t>
            </w:r>
          </w:p>
        </w:tc>
      </w:tr>
      <w:tr>
        <w:trPr>
          <w:trHeight w:val="219"/>
        </w:trPr>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9,526</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7,421</w:t>
            </w:r>
          </w:p>
        </w:tc>
      </w:tr>
      <w:tr>
        <w:trPr>
          <w:trHeight w:val="481"/>
        </w:trPr>
        <w:tc>
          <w:tcPr>
            <w:tcW w:w="1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364</w:t>
            </w:r>
          </w:p>
        </w:tc>
      </w:tr>
      <w:tr>
        <w:trPr>
          <w:trHeight w:val="239"/>
        </w:trPr>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2,303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2,488</w:t>
            </w:r>
          </w:p>
        </w:tc>
      </w:tr>
      <w:tr>
        <w:trPr>
          <w:trHeight w:val="239"/>
        </w:trPr>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39"/>
        </w:trPr>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9"/>
        </w:trPr>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597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527</w:t>
            </w:r>
          </w:p>
        </w:tc>
      </w:tr>
      <w:tr>
        <w:trPr>
          <w:trHeight w:val="215"/>
        </w:trPr>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r>
      <w:tr>
        <w:trPr>
          <w:trHeight w:val="219"/>
        </w:trPr>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3,615</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3,615</w:t>
            </w:r>
          </w:p>
        </w:tc>
      </w:tr>
      <w:tr>
        <w:trPr>
          <w:trHeight w:val="199"/>
        </w:trPr>
        <w:tc>
          <w:tcPr>
            <w:tcW w:w="14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14,701</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12,312</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700"/>
        </w:trPr>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558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322</w:t>
            </w:r>
          </w:p>
        </w:tc>
      </w:tr>
      <w:tr>
        <w:trPr>
          <w:trHeight w:val="239"/>
        </w:trPr>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9"/>
        </w:trPr>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9"/>
        </w:trPr>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9"/>
        </w:trPr>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5"/>
        </w:trPr>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r>
      <w:tr>
        <w:trPr>
          <w:trHeight w:val="219"/>
        </w:trPr>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w:t>
            </w:r>
          </w:p>
        </w:tc>
      </w:tr>
      <w:tr>
        <w:trPr>
          <w:trHeight w:val="481"/>
        </w:trPr>
        <w:tc>
          <w:tcPr>
            <w:tcW w:w="1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7,479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6,491</w:t>
            </w:r>
          </w:p>
        </w:tc>
      </w:tr>
      <w:tr>
        <w:trPr>
          <w:trHeight w:val="239"/>
        </w:trPr>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39"/>
        </w:trPr>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303</w:t>
            </w:r>
          </w:p>
        </w:tc>
      </w:tr>
      <w:tr>
        <w:trPr>
          <w:trHeight w:val="239"/>
        </w:trPr>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627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548</w:t>
            </w:r>
          </w:p>
        </w:tc>
      </w:tr>
      <w:tr>
        <w:trPr>
          <w:trHeight w:val="215"/>
        </w:trPr>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r>
      <w:tr>
        <w:trPr>
          <w:trHeight w:val="219"/>
        </w:trPr>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8,800</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7,662</w:t>
            </w:r>
          </w:p>
        </w:tc>
      </w:tr>
      <w:tr>
        <w:trPr>
          <w:trHeight w:val="219"/>
        </w:trPr>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9,706</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8,279</w:t>
            </w:r>
          </w:p>
        </w:tc>
      </w:tr>
      <w:tr>
        <w:trPr>
          <w:trHeight w:val="219"/>
        </w:trPr>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720"/>
        </w:trPr>
        <w:tc>
          <w:tcPr>
            <w:tcW w:w="1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67"/>
        </w:trPr>
        <w:tc>
          <w:tcPr>
            <w:tcW w:w="5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1,732</w:t>
            </w: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1,761</w:t>
            </w:r>
          </w:p>
        </w:tc>
      </w:tr>
      <w:tr>
        <w:trPr>
          <w:trHeight w:val="239"/>
        </w:trPr>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361</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463</w:t>
            </w:r>
          </w:p>
        </w:tc>
      </w:tr>
      <w:tr>
        <w:trPr>
          <w:trHeight w:val="239"/>
        </w:trPr>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2,893</w:t>
            </w:r>
          </w:p>
        </w:tc>
        <w:tc>
          <w:tcPr>
            <w:tcW w:w="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w:t>
            </w:r>
          </w:p>
        </w:tc>
      </w:tr>
      <w:tr>
        <w:trPr>
          <w:trHeight w:val="219"/>
        </w:trPr>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4,994</w:t>
            </w:r>
          </w:p>
        </w:tc>
        <w:tc>
          <w:tcPr>
            <w:tcW w:w="8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4,026</w:t>
            </w:r>
          </w:p>
        </w:tc>
      </w:tr>
      <w:tr>
        <w:trPr>
          <w:trHeight w:val="199"/>
        </w:trPr>
        <w:tc>
          <w:tcPr>
            <w:tcW w:w="580" w:type="dxa"/>
            <w:vAlign w:val="bottom"/>
            <w:tcBorders>
              <w:bottom w:val="single" w:sz="8" w:color="auto"/>
            </w:tcBorders>
          </w:tcPr>
          <w:p>
            <w:pPr>
              <w:jc w:val="right"/>
              <w:ind w:right="350"/>
              <w:spacing w:after="0" w:line="199"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14,701</w:t>
            </w:r>
          </w:p>
        </w:tc>
        <w:tc>
          <w:tcPr>
            <w:tcW w:w="80" w:type="dxa"/>
            <w:vAlign w:val="bottom"/>
          </w:tcPr>
          <w:p>
            <w:pPr>
              <w:spacing w:after="0"/>
              <w:rPr>
                <w:sz w:val="17"/>
                <w:szCs w:val="17"/>
                <w:color w:val="auto"/>
              </w:rPr>
            </w:pPr>
          </w:p>
        </w:tc>
        <w:tc>
          <w:tcPr>
            <w:tcW w:w="580" w:type="dxa"/>
            <w:vAlign w:val="bottom"/>
            <w:tcBorders>
              <w:bottom w:val="single" w:sz="8" w:color="auto"/>
            </w:tcBorders>
          </w:tcPr>
          <w:p>
            <w:pPr>
              <w:jc w:val="right"/>
              <w:ind w:right="350"/>
              <w:spacing w:after="0" w:line="199"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12,312</w:t>
            </w: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ectPr>
          <w:pgSz w:w="11880" w:h="15480" w:orient="portrait"/>
          <w:cols w:equalWidth="0" w:num="2">
            <w:col w:w="6820" w:space="60"/>
            <w:col w:w="3240"/>
          </w:cols>
          <w:pgMar w:left="900" w:top="399" w:right="860" w:bottom="0" w:gutter="0" w:footer="0" w:header="0"/>
        </w:sectPr>
      </w:pPr>
    </w:p>
    <w:p>
      <w:pPr>
        <w:jc w:val="center"/>
        <w:ind w:right="40"/>
        <w:spacing w:after="0"/>
        <w:rPr>
          <w:sz w:val="20"/>
          <w:szCs w:val="20"/>
          <w:color w:val="auto"/>
        </w:rPr>
      </w:pPr>
      <w:r>
        <w:rPr>
          <w:rFonts w:ascii="Arial" w:cs="Arial" w:eastAsia="Arial" w:hAnsi="Arial"/>
          <w:sz w:val="17"/>
          <w:szCs w:val="17"/>
          <w:color w:val="auto"/>
        </w:rPr>
        <w:t>See accompanying notes to consolidated financial statements.</w:t>
      </w:r>
    </w:p>
    <w:p>
      <w:pPr>
        <w:sectPr>
          <w:pgSz w:w="11880" w:h="15480" w:orient="portrait"/>
          <w:cols w:equalWidth="0" w:num="1">
            <w:col w:w="10120"/>
          </w:cols>
          <w:pgMar w:left="900" w:top="399" w:right="8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77</w:t>
      </w:r>
    </w:p>
    <w:p>
      <w:pPr>
        <w:sectPr>
          <w:pgSz w:w="11880" w:h="15480" w:orient="portrait"/>
          <w:cols w:equalWidth="0" w:num="1">
            <w:col w:w="10120"/>
          </w:cols>
          <w:pgMar w:left="900" w:top="399" w:right="860" w:bottom="0" w:gutter="0" w:footer="0" w:header="0"/>
          <w:type w:val="continuous"/>
        </w:sectPr>
      </w:pPr>
    </w:p>
    <w:bookmarkStart w:id="79" w:name="page80"/>
    <w:bookmarkEnd w:id="79"/>
    <w:p>
      <w:pPr>
        <w:jc w:val="center"/>
        <w:ind w:right="-39"/>
        <w:spacing w:after="0"/>
        <w:rPr>
          <w:sz w:val="20"/>
          <w:szCs w:val="20"/>
          <w:color w:val="auto"/>
        </w:rPr>
      </w:pPr>
      <w:r>
        <w:rPr>
          <w:rFonts w:ascii="Arial" w:cs="Arial" w:eastAsia="Arial" w:hAnsi="Arial"/>
          <w:sz w:val="20"/>
          <w:szCs w:val="20"/>
          <w:b w:val="1"/>
          <w:bCs w:val="1"/>
          <w:color w:val="auto"/>
        </w:rPr>
        <w:t>CLEARWAY ENERGY, INC.</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7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7"/>
          </w:tcPr>
          <w:p>
            <w:pPr>
              <w:jc w:val="right"/>
              <w:ind w:right="551"/>
              <w:spacing w:after="0"/>
              <w:rPr>
                <w:sz w:val="20"/>
                <w:szCs w:val="20"/>
                <w:color w:val="auto"/>
              </w:rPr>
            </w:pPr>
            <w:r>
              <w:rPr>
                <w:rFonts w:ascii="Arial" w:cs="Arial" w:eastAsia="Arial" w:hAnsi="Arial"/>
                <w:sz w:val="16"/>
                <w:szCs w:val="16"/>
                <w:b w:val="1"/>
                <w:bCs w:val="1"/>
                <w:color w:val="auto"/>
              </w:rPr>
              <w:t>Year ended December 31,</w:t>
            </w:r>
          </w:p>
        </w:tc>
      </w:tr>
      <w:tr>
        <w:trPr>
          <w:trHeight w:val="219"/>
        </w:trPr>
        <w:tc>
          <w:tcPr>
            <w:tcW w:w="77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2021</w:t>
            </w:r>
          </w:p>
        </w:tc>
      </w:tr>
      <w:tr>
        <w:trPr>
          <w:trHeight w:val="222"/>
        </w:trPr>
        <w:tc>
          <w:tcPr>
            <w:tcW w:w="7760" w:type="dxa"/>
            <w:vAlign w:val="bottom"/>
          </w:tcPr>
          <w:p>
            <w:pPr>
              <w:ind w:left="60"/>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ind w:left="60"/>
              <w:spacing w:after="0"/>
              <w:rPr>
                <w:sz w:val="20"/>
                <w:szCs w:val="20"/>
                <w:color w:val="auto"/>
              </w:rPr>
            </w:pPr>
            <w:r>
              <w:rPr>
                <w:rFonts w:ascii="Arial" w:cs="Arial" w:eastAsia="Arial" w:hAnsi="Arial"/>
                <w:sz w:val="16"/>
                <w:szCs w:val="16"/>
                <w:b w:val="1"/>
                <w:bCs w:val="1"/>
                <w:color w:val="auto"/>
                <w:w w:val="97"/>
              </w:rPr>
              <w:t>(In millions)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46"/>
        </w:trPr>
        <w:tc>
          <w:tcPr>
            <w:tcW w:w="7760" w:type="dxa"/>
            <w:vAlign w:val="bottom"/>
            <w:shd w:val="clear" w:color="auto" w:fill="E6E6E6"/>
          </w:tcPr>
          <w:p>
            <w:pPr>
              <w:ind w:left="60"/>
              <w:spacing w:after="0"/>
              <w:rPr>
                <w:sz w:val="20"/>
                <w:szCs w:val="20"/>
                <w:color w:val="auto"/>
              </w:rPr>
            </w:pPr>
            <w:r>
              <w:rPr>
                <w:rFonts w:ascii="Arial" w:cs="Arial" w:eastAsia="Arial" w:hAnsi="Arial"/>
                <w:sz w:val="18"/>
                <w:szCs w:val="18"/>
                <w:color w:val="auto"/>
                <w:w w:val="90"/>
              </w:rPr>
              <w:t xml:space="preserve">Net (loss) income </w:t>
            </w:r>
            <w:r>
              <w:rPr>
                <w:rFonts w:ascii="Arial" w:cs="Arial" w:eastAsia="Arial" w:hAnsi="Arial"/>
                <w:sz w:val="18"/>
                <w:szCs w:val="18"/>
                <w:color w:val="BDBDBD"/>
                <w:w w:val="90"/>
              </w:rPr>
              <w:t>. . . . . . . . . . . . . . . . . . . . . . . . . . . . . . . . . . . . . . . . . . . . . . . . . . . . . . . . . . . . . . . . . . . . . . .</w:t>
            </w:r>
          </w:p>
        </w:tc>
        <w:tc>
          <w:tcPr>
            <w:tcW w:w="2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w:t>
            </w:r>
          </w:p>
        </w:tc>
        <w:tc>
          <w:tcPr>
            <w:tcW w:w="320" w:type="dxa"/>
            <w:vAlign w:val="bottom"/>
            <w:gridSpan w:val="2"/>
            <w:shd w:val="clear" w:color="auto" w:fill="E6E6E6"/>
          </w:tcPr>
          <w:p>
            <w:pPr>
              <w:ind w:lef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1,060</w:t>
            </w:r>
          </w:p>
        </w:tc>
        <w:tc>
          <w:tcPr>
            <w:tcW w:w="30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(75)</w:t>
            </w:r>
          </w:p>
        </w:tc>
      </w:tr>
      <w:tr>
        <w:trPr>
          <w:trHeight w:val="237"/>
        </w:trPr>
        <w:tc>
          <w:tcPr>
            <w:tcW w:w="7760" w:type="dxa"/>
            <w:vAlign w:val="bottom"/>
          </w:tcPr>
          <w:p>
            <w:pPr>
              <w:jc w:val="right"/>
              <w:ind w:right="1230"/>
              <w:spacing w:after="0"/>
              <w:rPr>
                <w:sz w:val="20"/>
                <w:szCs w:val="20"/>
                <w:color w:val="auto"/>
              </w:rPr>
            </w:pPr>
            <w:r>
              <w:rPr>
                <w:rFonts w:ascii="Arial" w:cs="Arial" w:eastAsia="Arial" w:hAnsi="Arial"/>
                <w:sz w:val="18"/>
                <w:szCs w:val="18"/>
                <w:color w:val="auto"/>
                <w:w w:val="93"/>
              </w:rPr>
              <w:t>Adjustments to reconcile net (loss) income to net cash provided by operating activities:</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41"/>
        </w:trPr>
        <w:tc>
          <w:tcPr>
            <w:tcW w:w="776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6"/>
              </w:rPr>
              <w:t xml:space="preserve">Equity in earnings of unconsolidated affiliates  </w:t>
            </w:r>
            <w:r>
              <w:rPr>
                <w:rFonts w:ascii="Arial" w:cs="Arial" w:eastAsia="Arial" w:hAnsi="Arial"/>
                <w:sz w:val="18"/>
                <w:szCs w:val="18"/>
                <w:color w:val="BDBDBD"/>
                <w:w w:val="96"/>
              </w:rPr>
              <w:t>. . . . . . . . . . . . . . . . . . . . . . . . . . . . . . . . . . . . . . . . . . .</w:t>
            </w:r>
          </w:p>
        </w:tc>
        <w:tc>
          <w:tcPr>
            <w:tcW w:w="22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E6E6E6"/>
          </w:tcPr>
          <w:p>
            <w:pPr>
              <w:spacing w:after="0"/>
              <w:rPr>
                <w:sz w:val="20"/>
                <w:szCs w:val="20"/>
                <w:color w:val="auto"/>
              </w:rPr>
            </w:pPr>
          </w:p>
        </w:tc>
        <w:tc>
          <w:tcPr>
            <w:tcW w:w="24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E6E6E6"/>
          </w:tcPr>
          <w:p>
            <w:pPr>
              <w:spacing w:after="0"/>
              <w:rPr>
                <w:sz w:val="20"/>
                <w:szCs w:val="20"/>
                <w:color w:val="auto"/>
              </w:rPr>
            </w:pPr>
          </w:p>
        </w:tc>
        <w:tc>
          <w:tcPr>
            <w:tcW w:w="22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(32)</w:t>
            </w:r>
          </w:p>
        </w:tc>
      </w:tr>
      <w:tr>
        <w:trPr>
          <w:trHeight w:val="237"/>
        </w:trPr>
        <w:tc>
          <w:tcPr>
            <w:tcW w:w="7760" w:type="dxa"/>
            <w:vAlign w:val="bottom"/>
          </w:tcPr>
          <w:p>
            <w:pPr>
              <w:jc w:val="right"/>
              <w:spacing w:after="0"/>
              <w:rPr>
                <w:sz w:val="20"/>
                <w:szCs w:val="20"/>
                <w:color w:val="auto"/>
              </w:rPr>
            </w:pPr>
            <w:r>
              <w:rPr>
                <w:rFonts w:ascii="Arial" w:cs="Arial" w:eastAsia="Arial" w:hAnsi="Arial"/>
                <w:sz w:val="18"/>
                <w:szCs w:val="18"/>
                <w:color w:val="auto"/>
                <w:w w:val="96"/>
              </w:rPr>
              <w:t xml:space="preserve">Distributions from unconsolidated affiliates </w:t>
            </w:r>
            <w:r>
              <w:rPr>
                <w:rFonts w:ascii="Arial" w:cs="Arial" w:eastAsia="Arial" w:hAnsi="Arial"/>
                <w:sz w:val="18"/>
                <w:szCs w:val="18"/>
                <w:color w:val="BDBDBD"/>
                <w:w w:val="96"/>
              </w:rPr>
              <w:t>. . . . . . . . . . . . . . . . . . . . . . . . . . . . . . . . . . . . . . . . . . . . . .</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41"/>
        </w:trPr>
        <w:tc>
          <w:tcPr>
            <w:tcW w:w="776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5"/>
              </w:rPr>
              <w:t xml:space="preserve">Depreciation, amortization and accretion </w:t>
            </w:r>
            <w:r>
              <w:rPr>
                <w:rFonts w:ascii="Arial" w:cs="Arial" w:eastAsia="Arial" w:hAnsi="Arial"/>
                <w:sz w:val="18"/>
                <w:szCs w:val="18"/>
                <w:color w:val="BDBDBD"/>
                <w:w w:val="95"/>
              </w:rPr>
              <w:t>. . . . . . . . . . . . . . . . . . . . . . . . . . . . . . . . . . . . . . . . . . . . . . . .</w:t>
            </w:r>
          </w:p>
        </w:tc>
        <w:tc>
          <w:tcPr>
            <w:tcW w:w="22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526</w:t>
            </w:r>
          </w:p>
        </w:tc>
        <w:tc>
          <w:tcPr>
            <w:tcW w:w="80" w:type="dxa"/>
            <w:vAlign w:val="bottom"/>
            <w:shd w:val="clear" w:color="auto" w:fill="E6E6E6"/>
          </w:tcPr>
          <w:p>
            <w:pPr>
              <w:spacing w:after="0"/>
              <w:rPr>
                <w:sz w:val="20"/>
                <w:szCs w:val="20"/>
                <w:color w:val="auto"/>
              </w:rPr>
            </w:pPr>
          </w:p>
        </w:tc>
        <w:tc>
          <w:tcPr>
            <w:tcW w:w="24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512</w:t>
            </w:r>
          </w:p>
        </w:tc>
        <w:tc>
          <w:tcPr>
            <w:tcW w:w="80" w:type="dxa"/>
            <w:vAlign w:val="bottom"/>
            <w:shd w:val="clear" w:color="auto" w:fill="E6E6E6"/>
          </w:tcPr>
          <w:p>
            <w:pPr>
              <w:spacing w:after="0"/>
              <w:rPr>
                <w:sz w:val="20"/>
                <w:szCs w:val="20"/>
                <w:color w:val="auto"/>
              </w:rPr>
            </w:pPr>
          </w:p>
        </w:tc>
        <w:tc>
          <w:tcPr>
            <w:tcW w:w="22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509</w:t>
            </w:r>
          </w:p>
        </w:tc>
      </w:tr>
      <w:tr>
        <w:trPr>
          <w:trHeight w:val="237"/>
        </w:trPr>
        <w:tc>
          <w:tcPr>
            <w:tcW w:w="7760" w:type="dxa"/>
            <w:vAlign w:val="bottom"/>
          </w:tcPr>
          <w:p>
            <w:pPr>
              <w:jc w:val="right"/>
              <w:spacing w:after="0"/>
              <w:rPr>
                <w:sz w:val="20"/>
                <w:szCs w:val="20"/>
                <w:color w:val="auto"/>
              </w:rPr>
            </w:pPr>
            <w:r>
              <w:rPr>
                <w:rFonts w:ascii="Arial" w:cs="Arial" w:eastAsia="Arial" w:hAnsi="Arial"/>
                <w:sz w:val="18"/>
                <w:szCs w:val="18"/>
                <w:color w:val="auto"/>
                <w:w w:val="95"/>
              </w:rPr>
              <w:t xml:space="preserve">Amortization of financing costs and debt discounts </w:t>
            </w:r>
            <w:r>
              <w:rPr>
                <w:rFonts w:ascii="Arial" w:cs="Arial" w:eastAsia="Arial" w:hAnsi="Arial"/>
                <w:sz w:val="18"/>
                <w:szCs w:val="18"/>
                <w:color w:val="BDBDBD"/>
                <w:w w:val="95"/>
              </w:rPr>
              <w:t>. . . . . . . . . . . . . . . . . . . . . . . . . . . . . . . . . . . . . . . .</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41"/>
        </w:trPr>
        <w:tc>
          <w:tcPr>
            <w:tcW w:w="776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5"/>
              </w:rPr>
              <w:t xml:space="preserve">Amortization of intangibles </w:t>
            </w:r>
            <w:r>
              <w:rPr>
                <w:rFonts w:ascii="Arial" w:cs="Arial" w:eastAsia="Arial" w:hAnsi="Arial"/>
                <w:sz w:val="18"/>
                <w:szCs w:val="18"/>
                <w:color w:val="BDBDBD"/>
                <w:w w:val="95"/>
              </w:rPr>
              <w:t>. . . . . . . . . . . . . . . . . . . . . . . . . . . . . . . . . . . . . . . . . . . . . . . . . . . . . . . . . . .</w:t>
            </w:r>
          </w:p>
        </w:tc>
        <w:tc>
          <w:tcPr>
            <w:tcW w:w="22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185</w:t>
            </w:r>
          </w:p>
        </w:tc>
        <w:tc>
          <w:tcPr>
            <w:tcW w:w="80" w:type="dxa"/>
            <w:vAlign w:val="bottom"/>
            <w:shd w:val="clear" w:color="auto" w:fill="E6E6E6"/>
          </w:tcPr>
          <w:p>
            <w:pPr>
              <w:spacing w:after="0"/>
              <w:rPr>
                <w:sz w:val="20"/>
                <w:szCs w:val="20"/>
                <w:color w:val="auto"/>
              </w:rPr>
            </w:pPr>
          </w:p>
        </w:tc>
        <w:tc>
          <w:tcPr>
            <w:tcW w:w="24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172</w:t>
            </w:r>
          </w:p>
        </w:tc>
        <w:tc>
          <w:tcPr>
            <w:tcW w:w="80" w:type="dxa"/>
            <w:vAlign w:val="bottom"/>
            <w:shd w:val="clear" w:color="auto" w:fill="E6E6E6"/>
          </w:tcPr>
          <w:p>
            <w:pPr>
              <w:spacing w:after="0"/>
              <w:rPr>
                <w:sz w:val="20"/>
                <w:szCs w:val="20"/>
                <w:color w:val="auto"/>
              </w:rPr>
            </w:pPr>
          </w:p>
        </w:tc>
        <w:tc>
          <w:tcPr>
            <w:tcW w:w="22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146</w:t>
            </w:r>
          </w:p>
        </w:tc>
      </w:tr>
      <w:tr>
        <w:trPr>
          <w:trHeight w:val="237"/>
        </w:trPr>
        <w:tc>
          <w:tcPr>
            <w:tcW w:w="7760" w:type="dxa"/>
            <w:vAlign w:val="bottom"/>
          </w:tcPr>
          <w:p>
            <w:pPr>
              <w:jc w:val="right"/>
              <w:spacing w:after="0"/>
              <w:rPr>
                <w:sz w:val="20"/>
                <w:szCs w:val="20"/>
                <w:color w:val="auto"/>
              </w:rPr>
            </w:pPr>
            <w:r>
              <w:rPr>
                <w:rFonts w:ascii="Arial" w:cs="Arial" w:eastAsia="Arial" w:hAnsi="Arial"/>
                <w:sz w:val="18"/>
                <w:szCs w:val="18"/>
                <w:color w:val="auto"/>
                <w:w w:val="95"/>
              </w:rPr>
              <w:t xml:space="preserve">Loss on debt extinguishment  </w:t>
            </w:r>
            <w:r>
              <w:rPr>
                <w:rFonts w:ascii="Arial" w:cs="Arial" w:eastAsia="Arial" w:hAnsi="Arial"/>
                <w:sz w:val="18"/>
                <w:szCs w:val="18"/>
                <w:color w:val="BDBDBD"/>
                <w:w w:val="95"/>
              </w:rPr>
              <w:t>. . . . . . . . . . . . . . . . . . . . . . . . . . . . . . . . . . . . . . . . . . . . . . . . . . . . . . . . .</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41"/>
        </w:trPr>
        <w:tc>
          <w:tcPr>
            <w:tcW w:w="776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5"/>
              </w:rPr>
              <w:t xml:space="preserve">Reduction in carrying amount of right-of-use assets </w:t>
            </w:r>
            <w:r>
              <w:rPr>
                <w:rFonts w:ascii="Arial" w:cs="Arial" w:eastAsia="Arial" w:hAnsi="Arial"/>
                <w:sz w:val="18"/>
                <w:szCs w:val="18"/>
                <w:color w:val="BDBDBD"/>
                <w:w w:val="95"/>
              </w:rPr>
              <w:t>. . . . . . . . . . . . . . . . . . . . . . . . . . . . . . . . . . . . . . . .</w:t>
            </w:r>
          </w:p>
        </w:tc>
        <w:tc>
          <w:tcPr>
            <w:tcW w:w="22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E6E6E6"/>
          </w:tcPr>
          <w:p>
            <w:pPr>
              <w:spacing w:after="0"/>
              <w:rPr>
                <w:sz w:val="20"/>
                <w:szCs w:val="20"/>
                <w:color w:val="auto"/>
              </w:rPr>
            </w:pPr>
          </w:p>
        </w:tc>
        <w:tc>
          <w:tcPr>
            <w:tcW w:w="24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E6E6E6"/>
          </w:tcPr>
          <w:p>
            <w:pPr>
              <w:spacing w:after="0"/>
              <w:rPr>
                <w:sz w:val="20"/>
                <w:szCs w:val="20"/>
                <w:color w:val="auto"/>
              </w:rPr>
            </w:pPr>
          </w:p>
        </w:tc>
        <w:tc>
          <w:tcPr>
            <w:tcW w:w="22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w:t>
            </w:r>
          </w:p>
        </w:tc>
      </w:tr>
      <w:tr>
        <w:trPr>
          <w:trHeight w:val="237"/>
        </w:trPr>
        <w:tc>
          <w:tcPr>
            <w:tcW w:w="7760" w:type="dxa"/>
            <w:vAlign w:val="bottom"/>
          </w:tcPr>
          <w:p>
            <w:pPr>
              <w:jc w:val="right"/>
              <w:spacing w:after="0"/>
              <w:rPr>
                <w:sz w:val="20"/>
                <w:szCs w:val="20"/>
                <w:color w:val="auto"/>
              </w:rPr>
            </w:pPr>
            <w:r>
              <w:rPr>
                <w:rFonts w:ascii="Arial" w:cs="Arial" w:eastAsia="Arial" w:hAnsi="Arial"/>
                <w:sz w:val="18"/>
                <w:szCs w:val="18"/>
                <w:color w:val="auto"/>
                <w:w w:val="94"/>
              </w:rPr>
              <w:t xml:space="preserve">Gain on sale of business  </w:t>
            </w:r>
            <w:r>
              <w:rPr>
                <w:rFonts w:ascii="Arial" w:cs="Arial" w:eastAsia="Arial" w:hAnsi="Arial"/>
                <w:sz w:val="18"/>
                <w:szCs w:val="18"/>
                <w:color w:val="BDBDBD"/>
                <w:w w:val="94"/>
              </w:rPr>
              <w:t>. . . . . . . . . . . . . . . . . . . . . . . . . . . . . . . . . . . . . . . . . . . . . . . . . . . . . . . . . . . . .</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1"/>
        </w:trPr>
        <w:tc>
          <w:tcPr>
            <w:tcW w:w="776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5"/>
              </w:rPr>
              <w:t xml:space="preserve">Impairment losses </w:t>
            </w:r>
            <w:r>
              <w:rPr>
                <w:rFonts w:ascii="Arial" w:cs="Arial" w:eastAsia="Arial" w:hAnsi="Arial"/>
                <w:sz w:val="18"/>
                <w:szCs w:val="18"/>
                <w:color w:val="BDBDBD"/>
                <w:w w:val="95"/>
              </w:rPr>
              <w:t>. . . . . . . . . . . . . . . . . . . . . . . . . . . . . . . . . . . . . . . . . . . . . . . . . . . . . . . . . . . . . . . . . .</w:t>
            </w:r>
          </w:p>
        </w:tc>
        <w:tc>
          <w:tcPr>
            <w:tcW w:w="22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E6E6E6"/>
          </w:tcPr>
          <w:p>
            <w:pPr>
              <w:spacing w:after="0"/>
              <w:rPr>
                <w:sz w:val="20"/>
                <w:szCs w:val="20"/>
                <w:color w:val="auto"/>
              </w:rPr>
            </w:pPr>
          </w:p>
        </w:tc>
        <w:tc>
          <w:tcPr>
            <w:tcW w:w="24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E6E6E6"/>
          </w:tcPr>
          <w:p>
            <w:pPr>
              <w:spacing w:after="0"/>
              <w:rPr>
                <w:sz w:val="20"/>
                <w:szCs w:val="20"/>
                <w:color w:val="auto"/>
              </w:rPr>
            </w:pPr>
          </w:p>
        </w:tc>
        <w:tc>
          <w:tcPr>
            <w:tcW w:w="22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7760" w:type="dxa"/>
            <w:vAlign w:val="bottom"/>
          </w:tcPr>
          <w:p>
            <w:pPr>
              <w:jc w:val="right"/>
              <w:spacing w:after="0"/>
              <w:rPr>
                <w:sz w:val="20"/>
                <w:szCs w:val="20"/>
                <w:color w:val="auto"/>
              </w:rPr>
            </w:pPr>
            <w:r>
              <w:rPr>
                <w:rFonts w:ascii="Arial" w:cs="Arial" w:eastAsia="Arial" w:hAnsi="Arial"/>
                <w:sz w:val="18"/>
                <w:szCs w:val="18"/>
                <w:color w:val="auto"/>
                <w:w w:val="94"/>
              </w:rPr>
              <w:t xml:space="preserve">Change in deferred income taxes </w:t>
            </w:r>
            <w:r>
              <w:rPr>
                <w:rFonts w:ascii="Arial" w:cs="Arial" w:eastAsia="Arial" w:hAnsi="Arial"/>
                <w:sz w:val="18"/>
                <w:szCs w:val="18"/>
                <w:color w:val="BDBDBD"/>
                <w:w w:val="94"/>
              </w:rPr>
              <w:t>. . . . . . . . . . . . . . . . . . . . . . . . . . . . . . . . . . . . . . . . . . . . . . . . . . . . . . .</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41"/>
        </w:trPr>
        <w:tc>
          <w:tcPr>
            <w:tcW w:w="776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6"/>
              </w:rPr>
              <w:t xml:space="preserve">Changes in derivative instruments and amortization of accumulated OCI/OCL </w:t>
            </w:r>
            <w:r>
              <w:rPr>
                <w:rFonts w:ascii="Arial" w:cs="Arial" w:eastAsia="Arial" w:hAnsi="Arial"/>
                <w:sz w:val="18"/>
                <w:szCs w:val="18"/>
                <w:color w:val="BDBDBD"/>
                <w:w w:val="96"/>
              </w:rPr>
              <w:t>. . . . . . . . . . . . . . . . . .</w:t>
            </w:r>
          </w:p>
        </w:tc>
        <w:tc>
          <w:tcPr>
            <w:tcW w:w="22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E6E6E6"/>
          </w:tcPr>
          <w:p>
            <w:pPr>
              <w:spacing w:after="0"/>
              <w:rPr>
                <w:sz w:val="20"/>
                <w:szCs w:val="20"/>
                <w:color w:val="auto"/>
              </w:rPr>
            </w:pPr>
          </w:p>
        </w:tc>
        <w:tc>
          <w:tcPr>
            <w:tcW w:w="24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69</w:t>
            </w:r>
          </w:p>
        </w:tc>
        <w:tc>
          <w:tcPr>
            <w:tcW w:w="80" w:type="dxa"/>
            <w:vAlign w:val="bottom"/>
            <w:shd w:val="clear" w:color="auto" w:fill="E6E6E6"/>
          </w:tcPr>
          <w:p>
            <w:pPr>
              <w:spacing w:after="0"/>
              <w:rPr>
                <w:sz w:val="20"/>
                <w:szCs w:val="20"/>
                <w:color w:val="auto"/>
              </w:rPr>
            </w:pPr>
          </w:p>
        </w:tc>
        <w:tc>
          <w:tcPr>
            <w:tcW w:w="22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28</w:t>
            </w:r>
          </w:p>
        </w:tc>
      </w:tr>
      <w:tr>
        <w:trPr>
          <w:trHeight w:val="237"/>
        </w:trPr>
        <w:tc>
          <w:tcPr>
            <w:tcW w:w="7760" w:type="dxa"/>
            <w:vAlign w:val="bottom"/>
          </w:tcPr>
          <w:p>
            <w:pPr>
              <w:jc w:val="right"/>
              <w:spacing w:after="0"/>
              <w:rPr>
                <w:sz w:val="20"/>
                <w:szCs w:val="20"/>
                <w:color w:val="auto"/>
              </w:rPr>
            </w:pPr>
            <w:r>
              <w:rPr>
                <w:rFonts w:ascii="Arial" w:cs="Arial" w:eastAsia="Arial" w:hAnsi="Arial"/>
                <w:sz w:val="18"/>
                <w:szCs w:val="18"/>
                <w:color w:val="auto"/>
                <w:w w:val="92"/>
              </w:rPr>
              <w:t xml:space="preserve">Cash (used in) provided by changes in other working capital </w:t>
            </w:r>
            <w:r>
              <w:rPr>
                <w:rFonts w:ascii="Arial" w:cs="Arial" w:eastAsia="Arial" w:hAnsi="Arial"/>
                <w:sz w:val="18"/>
                <w:szCs w:val="18"/>
                <w:color w:val="BDBDBD"/>
                <w:w w:val="92"/>
              </w:rPr>
              <w:t>. . . . . . . . . . . . . . . . . . . . . . . . . . . . . . . . . . .</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41"/>
        </w:trPr>
        <w:tc>
          <w:tcPr>
            <w:tcW w:w="776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5"/>
              </w:rPr>
              <w:t xml:space="preserve">Changes in prepaid and accrued liabilities for tolling agreements </w:t>
            </w:r>
            <w:r>
              <w:rPr>
                <w:rFonts w:ascii="Arial" w:cs="Arial" w:eastAsia="Arial" w:hAnsi="Arial"/>
                <w:sz w:val="18"/>
                <w:szCs w:val="18"/>
                <w:color w:val="BDBDBD"/>
                <w:w w:val="95"/>
              </w:rPr>
              <w:t>. . . . . . . . . . . . . . . . . . . . . . . . . . . . .</w:t>
            </w:r>
          </w:p>
        </w:tc>
        <w:tc>
          <w:tcPr>
            <w:tcW w:w="22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E6E6E6"/>
          </w:tcPr>
          <w:p>
            <w:pPr>
              <w:spacing w:after="0"/>
              <w:rPr>
                <w:sz w:val="20"/>
                <w:szCs w:val="20"/>
                <w:color w:val="auto"/>
              </w:rPr>
            </w:pPr>
          </w:p>
        </w:tc>
        <w:tc>
          <w:tcPr>
            <w:tcW w:w="24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E6E6E6"/>
          </w:tcPr>
          <w:p>
            <w:pPr>
              <w:spacing w:after="0"/>
              <w:rPr>
                <w:sz w:val="20"/>
                <w:szCs w:val="20"/>
                <w:color w:val="auto"/>
              </w:rPr>
            </w:pPr>
          </w:p>
        </w:tc>
        <w:tc>
          <w:tcPr>
            <w:tcW w:w="22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7760" w:type="dxa"/>
            <w:vAlign w:val="bottom"/>
            <w:tcBorders>
              <w:bottom w:val="single" w:sz="8" w:color="E6E6E6"/>
            </w:tcBorders>
          </w:tcPr>
          <w:p>
            <w:pPr>
              <w:jc w:val="right"/>
              <w:spacing w:after="0"/>
              <w:rPr>
                <w:sz w:val="20"/>
                <w:szCs w:val="20"/>
                <w:color w:val="auto"/>
              </w:rPr>
            </w:pPr>
            <w:r>
              <w:rPr>
                <w:rFonts w:ascii="Arial" w:cs="Arial" w:eastAsia="Arial" w:hAnsi="Arial"/>
                <w:sz w:val="18"/>
                <w:szCs w:val="18"/>
                <w:color w:val="auto"/>
                <w:w w:val="95"/>
              </w:rPr>
              <w:t xml:space="preserve">Changes in other working capital </w:t>
            </w:r>
            <w:r>
              <w:rPr>
                <w:rFonts w:ascii="Arial" w:cs="Arial" w:eastAsia="Arial" w:hAnsi="Arial"/>
                <w:sz w:val="18"/>
                <w:szCs w:val="18"/>
                <w:color w:val="BDBDBD"/>
                <w:w w:val="95"/>
              </w:rPr>
              <w:t>. . . . . . . . . . . . . . . . . . . . . . . . . . . . . . . . . . . . . . . . . . . . . . . . . . . . . .</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80" w:type="dxa"/>
            <w:vAlign w:val="bottom"/>
            <w:tcBorders>
              <w:bottom w:val="single" w:sz="8" w:color="E6E6E6"/>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E6E6E6"/>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39"/>
        </w:trPr>
        <w:tc>
          <w:tcPr>
            <w:tcW w:w="77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BDBDBD"/>
                <w:w w:val="94"/>
              </w:rPr>
              <w:t>. . . . . . . . . . . . . . . . . . . . . . . . . . . . . . . . . . . . . . . . . . . . . . . .</w:t>
            </w:r>
            <w:r>
              <w:rPr>
                <w:rFonts w:ascii="Arial" w:cs="Arial" w:eastAsia="Arial" w:hAnsi="Arial"/>
                <w:sz w:val="18"/>
                <w:szCs w:val="18"/>
                <w:b w:val="1"/>
                <w:bCs w:val="1"/>
                <w:color w:val="000000"/>
                <w:w w:val="94"/>
              </w:rPr>
              <w:t>NetCashProvidedbyOperatingActivities</w:t>
            </w:r>
          </w:p>
        </w:tc>
        <w:tc>
          <w:tcPr>
            <w:tcW w:w="220" w:type="dxa"/>
            <w:vAlign w:val="bottom"/>
            <w:tcBorders>
              <w:bottom w:val="single" w:sz="8" w:color="auto"/>
            </w:tcBorders>
            <w:shd w:val="clear" w:color="auto" w:fill="E6E6E6"/>
          </w:tcPr>
          <w:p>
            <w:pPr>
              <w:spacing w:after="0"/>
              <w:rPr>
                <w:sz w:val="20"/>
                <w:szCs w:val="20"/>
                <w:color w:val="auto"/>
              </w:rPr>
            </w:pPr>
          </w:p>
        </w:tc>
        <w:tc>
          <w:tcPr>
            <w:tcW w:w="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702</w:t>
            </w:r>
          </w:p>
        </w:tc>
        <w:tc>
          <w:tcPr>
            <w:tcW w:w="80" w:type="dxa"/>
            <w:vAlign w:val="bottom"/>
            <w:tcBorders>
              <w:bottom w:val="single" w:sz="8" w:color="E6E6E6"/>
            </w:tcBorders>
            <w:shd w:val="clear" w:color="auto" w:fill="E6E6E6"/>
          </w:tcPr>
          <w:p>
            <w:pPr>
              <w:spacing w:after="0"/>
              <w:rPr>
                <w:sz w:val="20"/>
                <w:szCs w:val="20"/>
                <w:color w:val="auto"/>
              </w:rPr>
            </w:pPr>
          </w:p>
        </w:tc>
        <w:tc>
          <w:tcPr>
            <w:tcW w:w="240" w:type="dxa"/>
            <w:vAlign w:val="bottom"/>
            <w:tcBorders>
              <w:bottom w:val="single" w:sz="8" w:color="auto"/>
            </w:tcBorders>
            <w:shd w:val="clear" w:color="auto" w:fill="E6E6E6"/>
          </w:tcPr>
          <w:p>
            <w:pPr>
              <w:spacing w:after="0"/>
              <w:rPr>
                <w:sz w:val="20"/>
                <w:szCs w:val="20"/>
                <w:color w:val="auto"/>
              </w:rPr>
            </w:pPr>
          </w:p>
        </w:tc>
        <w:tc>
          <w:tcPr>
            <w:tcW w:w="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787</w:t>
            </w:r>
          </w:p>
        </w:tc>
        <w:tc>
          <w:tcPr>
            <w:tcW w:w="80" w:type="dxa"/>
            <w:vAlign w:val="bottom"/>
            <w:tcBorders>
              <w:bottom w:val="single" w:sz="8" w:color="E6E6E6"/>
            </w:tcBorders>
            <w:shd w:val="clear" w:color="auto" w:fill="E6E6E6"/>
          </w:tcPr>
          <w:p>
            <w:pPr>
              <w:spacing w:after="0"/>
              <w:rPr>
                <w:sz w:val="20"/>
                <w:szCs w:val="20"/>
                <w:color w:val="auto"/>
              </w:rPr>
            </w:pPr>
          </w:p>
        </w:tc>
        <w:tc>
          <w:tcPr>
            <w:tcW w:w="220" w:type="dxa"/>
            <w:vAlign w:val="bottom"/>
            <w:tcBorders>
              <w:bottom w:val="single" w:sz="8" w:color="auto"/>
            </w:tcBorders>
            <w:shd w:val="clear" w:color="auto" w:fill="E6E6E6"/>
          </w:tcPr>
          <w:p>
            <w:pPr>
              <w:spacing w:after="0"/>
              <w:rPr>
                <w:sz w:val="20"/>
                <w:szCs w:val="20"/>
                <w:color w:val="auto"/>
              </w:rPr>
            </w:pPr>
          </w:p>
        </w:tc>
        <w:tc>
          <w:tcPr>
            <w:tcW w:w="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701</w:t>
            </w:r>
          </w:p>
        </w:tc>
      </w:tr>
      <w:tr>
        <w:trPr>
          <w:trHeight w:val="208"/>
        </w:trPr>
        <w:tc>
          <w:tcPr>
            <w:tcW w:w="7760" w:type="dxa"/>
            <w:vAlign w:val="bottom"/>
          </w:tcPr>
          <w:p>
            <w:pPr>
              <w:ind w:left="60"/>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9"/>
        </w:trPr>
        <w:tc>
          <w:tcPr>
            <w:tcW w:w="776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4"/>
              </w:rPr>
              <w:t xml:space="preserve">Acquisitions, net of cash acquired </w:t>
            </w:r>
            <w:r>
              <w:rPr>
                <w:rFonts w:ascii="Arial" w:cs="Arial" w:eastAsia="Arial" w:hAnsi="Arial"/>
                <w:sz w:val="18"/>
                <w:szCs w:val="18"/>
                <w:color w:val="BDBDBD"/>
                <w:w w:val="94"/>
              </w:rPr>
              <w:t>. . . . . . . . . . . . . . . . . . . . . . . . . . . . . . . . . . . . . . . . . . . . . . . . . . . . . .</w:t>
            </w:r>
          </w:p>
        </w:tc>
        <w:tc>
          <w:tcPr>
            <w:tcW w:w="22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0"/>
                <w:szCs w:val="20"/>
                <w:color w:val="auto"/>
              </w:rPr>
            </w:pPr>
          </w:p>
        </w:tc>
        <w:tc>
          <w:tcPr>
            <w:tcW w:w="24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0"/>
                <w:szCs w:val="20"/>
                <w:color w:val="auto"/>
              </w:rPr>
            </w:pPr>
          </w:p>
        </w:tc>
        <w:tc>
          <w:tcPr>
            <w:tcW w:w="22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(533)</w:t>
            </w:r>
          </w:p>
        </w:tc>
      </w:tr>
      <w:tr>
        <w:trPr>
          <w:trHeight w:val="237"/>
        </w:trPr>
        <w:tc>
          <w:tcPr>
            <w:tcW w:w="7760" w:type="dxa"/>
            <w:vAlign w:val="bottom"/>
          </w:tcPr>
          <w:p>
            <w:pPr>
              <w:jc w:val="right"/>
              <w:spacing w:after="0"/>
              <w:rPr>
                <w:sz w:val="20"/>
                <w:szCs w:val="20"/>
                <w:color w:val="auto"/>
              </w:rPr>
            </w:pPr>
            <w:r>
              <w:rPr>
                <w:rFonts w:ascii="Arial" w:cs="Arial" w:eastAsia="Arial" w:hAnsi="Arial"/>
                <w:sz w:val="18"/>
                <w:szCs w:val="18"/>
                <w:color w:val="auto"/>
                <w:w w:val="96"/>
              </w:rPr>
              <w:t xml:space="preserve">Acquisition of Drop Down Assets, net of cash acquired  </w:t>
            </w:r>
            <w:r>
              <w:rPr>
                <w:rFonts w:ascii="Arial" w:cs="Arial" w:eastAsia="Arial" w:hAnsi="Arial"/>
                <w:sz w:val="18"/>
                <w:szCs w:val="18"/>
                <w:color w:val="BDBDBD"/>
                <w:w w:val="96"/>
              </w:rPr>
              <w:t>. . . . . . . . . . . . . . . . . . . . . . . . . . . . . . . . . . . .</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241"/>
        </w:trPr>
        <w:tc>
          <w:tcPr>
            <w:tcW w:w="776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6"/>
              </w:rPr>
              <w:t xml:space="preserve">Acquisition of Capistrano Wind Portfolio, net of cash acquired </w:t>
            </w:r>
            <w:r>
              <w:rPr>
                <w:rFonts w:ascii="Arial" w:cs="Arial" w:eastAsia="Arial" w:hAnsi="Arial"/>
                <w:sz w:val="18"/>
                <w:szCs w:val="18"/>
                <w:color w:val="BDBDBD"/>
                <w:w w:val="96"/>
              </w:rPr>
              <w:t>. . . . . . . . . . . . . . . . . . . . . . . . . . . . . . .</w:t>
            </w:r>
          </w:p>
        </w:tc>
        <w:tc>
          <w:tcPr>
            <w:tcW w:w="22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0"/>
                <w:szCs w:val="20"/>
                <w:color w:val="auto"/>
              </w:rPr>
            </w:pPr>
          </w:p>
        </w:tc>
        <w:tc>
          <w:tcPr>
            <w:tcW w:w="24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(223)</w:t>
            </w:r>
          </w:p>
        </w:tc>
        <w:tc>
          <w:tcPr>
            <w:tcW w:w="80" w:type="dxa"/>
            <w:vAlign w:val="bottom"/>
            <w:shd w:val="clear" w:color="auto" w:fill="E6E6E6"/>
          </w:tcPr>
          <w:p>
            <w:pPr>
              <w:spacing w:after="0"/>
              <w:rPr>
                <w:sz w:val="20"/>
                <w:szCs w:val="20"/>
                <w:color w:val="auto"/>
              </w:rPr>
            </w:pPr>
          </w:p>
        </w:tc>
        <w:tc>
          <w:tcPr>
            <w:tcW w:w="22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7760" w:type="dxa"/>
            <w:vAlign w:val="bottom"/>
          </w:tcPr>
          <w:p>
            <w:pPr>
              <w:jc w:val="right"/>
              <w:spacing w:after="0"/>
              <w:rPr>
                <w:sz w:val="20"/>
                <w:szCs w:val="20"/>
                <w:color w:val="auto"/>
              </w:rPr>
            </w:pPr>
            <w:r>
              <w:rPr>
                <w:rFonts w:ascii="Arial" w:cs="Arial" w:eastAsia="Arial" w:hAnsi="Arial"/>
                <w:sz w:val="18"/>
                <w:szCs w:val="18"/>
                <w:color w:val="auto"/>
                <w:w w:val="94"/>
              </w:rPr>
              <w:t xml:space="preserve">Capital expenditures  </w:t>
            </w:r>
            <w:r>
              <w:rPr>
                <w:rFonts w:ascii="Arial" w:cs="Arial" w:eastAsia="Arial" w:hAnsi="Arial"/>
                <w:sz w:val="18"/>
                <w:szCs w:val="18"/>
                <w:color w:val="BDBDBD"/>
                <w:w w:val="94"/>
              </w:rPr>
              <w:t>. . . . . . . . . . . . . . . . . . . . . . . . . . . . . . . . . . . . . . . . . . . . . . . . . . . . . . . . . . . . . . . .</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41"/>
        </w:trPr>
        <w:tc>
          <w:tcPr>
            <w:tcW w:w="776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4"/>
              </w:rPr>
              <w:t xml:space="preserve">Payment for equipment deposit </w:t>
            </w:r>
            <w:r>
              <w:rPr>
                <w:rFonts w:ascii="Arial" w:cs="Arial" w:eastAsia="Arial" w:hAnsi="Arial"/>
                <w:sz w:val="18"/>
                <w:szCs w:val="18"/>
                <w:color w:val="BDBDBD"/>
                <w:w w:val="94"/>
              </w:rPr>
              <w:t>. . . . . . . . . . . . . . . . . . . . . . . . . . . . . . . . . . . . . . . . . . . . . . . . . . . . . . . .</w:t>
            </w:r>
          </w:p>
        </w:tc>
        <w:tc>
          <w:tcPr>
            <w:tcW w:w="22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E6E6E6"/>
          </w:tcPr>
          <w:p>
            <w:pPr>
              <w:spacing w:after="0"/>
              <w:rPr>
                <w:sz w:val="20"/>
                <w:szCs w:val="20"/>
                <w:color w:val="auto"/>
              </w:rPr>
            </w:pPr>
          </w:p>
        </w:tc>
        <w:tc>
          <w:tcPr>
            <w:tcW w:w="24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0"/>
                <w:szCs w:val="20"/>
                <w:color w:val="auto"/>
              </w:rPr>
            </w:pPr>
          </w:p>
        </w:tc>
        <w:tc>
          <w:tcPr>
            <w:tcW w:w="22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r>
      <w:tr>
        <w:trPr>
          <w:trHeight w:val="239"/>
        </w:trPr>
        <w:tc>
          <w:tcPr>
            <w:tcW w:w="7760" w:type="dxa"/>
            <w:vAlign w:val="bottom"/>
          </w:tcPr>
          <w:p>
            <w:pPr>
              <w:jc w:val="right"/>
              <w:spacing w:after="0"/>
              <w:rPr>
                <w:sz w:val="20"/>
                <w:szCs w:val="20"/>
                <w:color w:val="auto"/>
              </w:rPr>
            </w:pPr>
            <w:r>
              <w:rPr>
                <w:rFonts w:ascii="Arial" w:cs="Arial" w:eastAsia="Arial" w:hAnsi="Arial"/>
                <w:sz w:val="18"/>
                <w:szCs w:val="18"/>
                <w:color w:val="auto"/>
                <w:w w:val="95"/>
              </w:rPr>
              <w:t xml:space="preserve">Payment for equipment deposit and asset purchase from affiliate </w:t>
            </w:r>
            <w:r>
              <w:rPr>
                <w:rFonts w:ascii="Arial" w:cs="Arial" w:eastAsia="Arial" w:hAnsi="Arial"/>
                <w:sz w:val="18"/>
                <w:szCs w:val="18"/>
                <w:color w:val="BDBDBD"/>
                <w:w w:val="95"/>
              </w:rPr>
              <w:t>. . . . . . . . . . . . . . . . . . . . . . . . . . . . .</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9"/>
        </w:trPr>
        <w:tc>
          <w:tcPr>
            <w:tcW w:w="776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5"/>
              </w:rPr>
              <w:t xml:space="preserve">Return of investments from unconsolidated affiliates </w:t>
            </w:r>
            <w:r>
              <w:rPr>
                <w:rFonts w:ascii="Arial" w:cs="Arial" w:eastAsia="Arial" w:hAnsi="Arial"/>
                <w:sz w:val="18"/>
                <w:szCs w:val="18"/>
                <w:color w:val="BDBDBD"/>
                <w:w w:val="95"/>
              </w:rPr>
              <w:t>. . . . . . . . . . . . . . . . . . . . . . . . . . . . . . . . . . . . . . .</w:t>
            </w:r>
          </w:p>
        </w:tc>
        <w:tc>
          <w:tcPr>
            <w:tcW w:w="22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E6E6E6"/>
          </w:tcPr>
          <w:p>
            <w:pPr>
              <w:spacing w:after="0"/>
              <w:rPr>
                <w:sz w:val="20"/>
                <w:szCs w:val="20"/>
                <w:color w:val="auto"/>
              </w:rPr>
            </w:pPr>
          </w:p>
        </w:tc>
        <w:tc>
          <w:tcPr>
            <w:tcW w:w="24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E6E6E6"/>
          </w:tcPr>
          <w:p>
            <w:pPr>
              <w:spacing w:after="0"/>
              <w:rPr>
                <w:sz w:val="20"/>
                <w:szCs w:val="20"/>
                <w:color w:val="auto"/>
              </w:rPr>
            </w:pPr>
          </w:p>
        </w:tc>
        <w:tc>
          <w:tcPr>
            <w:tcW w:w="22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47</w:t>
            </w:r>
          </w:p>
        </w:tc>
      </w:tr>
      <w:tr>
        <w:trPr>
          <w:trHeight w:val="239"/>
        </w:trPr>
        <w:tc>
          <w:tcPr>
            <w:tcW w:w="7760" w:type="dxa"/>
            <w:vAlign w:val="bottom"/>
          </w:tcPr>
          <w:p>
            <w:pPr>
              <w:jc w:val="right"/>
              <w:spacing w:after="0"/>
              <w:rPr>
                <w:sz w:val="20"/>
                <w:szCs w:val="20"/>
                <w:color w:val="auto"/>
              </w:rPr>
            </w:pPr>
            <w:r>
              <w:rPr>
                <w:rFonts w:ascii="Arial" w:cs="Arial" w:eastAsia="Arial" w:hAnsi="Arial"/>
                <w:sz w:val="18"/>
                <w:szCs w:val="18"/>
                <w:color w:val="auto"/>
                <w:w w:val="95"/>
              </w:rPr>
              <w:t xml:space="preserve">Increase in note receivable — affiliate </w:t>
            </w:r>
            <w:r>
              <w:rPr>
                <w:rFonts w:ascii="Arial" w:cs="Arial" w:eastAsia="Arial" w:hAnsi="Arial"/>
                <w:sz w:val="18"/>
                <w:szCs w:val="18"/>
                <w:color w:val="BDBDBD"/>
                <w:w w:val="95"/>
              </w:rPr>
              <w:t>. . . . . . . . . . . . . . . . . . . . . . . . . . . . . . . . . . . . . . . . . . . . . . . . . .</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9"/>
        </w:trPr>
        <w:tc>
          <w:tcPr>
            <w:tcW w:w="776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5"/>
              </w:rPr>
              <w:t xml:space="preserve">Investments in unconsolidated affiliates </w:t>
            </w:r>
            <w:r>
              <w:rPr>
                <w:rFonts w:ascii="Arial" w:cs="Arial" w:eastAsia="Arial" w:hAnsi="Arial"/>
                <w:sz w:val="18"/>
                <w:szCs w:val="18"/>
                <w:color w:val="BDBDBD"/>
                <w:w w:val="95"/>
              </w:rPr>
              <w:t>. . . . . . . . . . . . . . . . . . . . . . . . . . . . . . . . . . . . . . . . . . . . . . . . .</w:t>
            </w:r>
          </w:p>
        </w:tc>
        <w:tc>
          <w:tcPr>
            <w:tcW w:w="22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E6E6E6"/>
          </w:tcPr>
          <w:p>
            <w:pPr>
              <w:spacing w:after="0"/>
              <w:rPr>
                <w:sz w:val="20"/>
                <w:szCs w:val="20"/>
                <w:color w:val="auto"/>
              </w:rPr>
            </w:pPr>
          </w:p>
        </w:tc>
        <w:tc>
          <w:tcPr>
            <w:tcW w:w="24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0"/>
                <w:szCs w:val="20"/>
                <w:color w:val="auto"/>
              </w:rPr>
            </w:pPr>
          </w:p>
        </w:tc>
        <w:tc>
          <w:tcPr>
            <w:tcW w:w="22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r>
      <w:tr>
        <w:trPr>
          <w:trHeight w:val="239"/>
        </w:trPr>
        <w:tc>
          <w:tcPr>
            <w:tcW w:w="7760" w:type="dxa"/>
            <w:vAlign w:val="bottom"/>
          </w:tcPr>
          <w:p>
            <w:pPr>
              <w:jc w:val="right"/>
              <w:spacing w:after="0"/>
              <w:rPr>
                <w:sz w:val="20"/>
                <w:szCs w:val="20"/>
                <w:color w:val="auto"/>
              </w:rPr>
            </w:pPr>
            <w:r>
              <w:rPr>
                <w:rFonts w:ascii="Arial" w:cs="Arial" w:eastAsia="Arial" w:hAnsi="Arial"/>
                <w:sz w:val="18"/>
                <w:szCs w:val="18"/>
                <w:color w:val="auto"/>
                <w:w w:val="94"/>
              </w:rPr>
              <w:t xml:space="preserve">Proceeds from sale of business </w:t>
            </w:r>
            <w:r>
              <w:rPr>
                <w:rFonts w:ascii="Arial" w:cs="Arial" w:eastAsia="Arial" w:hAnsi="Arial"/>
                <w:sz w:val="18"/>
                <w:szCs w:val="18"/>
                <w:color w:val="BDBDBD"/>
                <w:w w:val="94"/>
              </w:rPr>
              <w:t>. . . . . . . . . . . . . . . . . . . . . . . . . . . . . . . . . . . . . . . . . . . . . . . . . . . . . . . .</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1,457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9"/>
        </w:trPr>
        <w:tc>
          <w:tcPr>
            <w:tcW w:w="77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w w:val="95"/>
              </w:rPr>
              <w:t xml:space="preserve">Other </w:t>
            </w:r>
            <w:r>
              <w:rPr>
                <w:rFonts w:ascii="Arial" w:cs="Arial" w:eastAsia="Arial" w:hAnsi="Arial"/>
                <w:sz w:val="18"/>
                <w:szCs w:val="18"/>
                <w:color w:val="BDBDBD"/>
                <w:w w:val="95"/>
              </w:rPr>
              <w:t>. . . . . . . . . . . . . . . . . . . . . . . . . . . . . . . . . . . . . . . . . . . . . . . . . . . . . . . . . . . . . . . . . . . . . . . . . . . .</w:t>
            </w:r>
          </w:p>
        </w:tc>
        <w:tc>
          <w:tcPr>
            <w:tcW w:w="220" w:type="dxa"/>
            <w:vAlign w:val="bottom"/>
            <w:tcBorders>
              <w:bottom w:val="single" w:sz="8" w:color="auto"/>
            </w:tcBorders>
            <w:shd w:val="clear" w:color="auto" w:fill="E6E6E6"/>
          </w:tcPr>
          <w:p>
            <w:pPr>
              <w:spacing w:after="0"/>
              <w:rPr>
                <w:sz w:val="21"/>
                <w:szCs w:val="21"/>
                <w:color w:val="auto"/>
              </w:rPr>
            </w:pPr>
          </w:p>
        </w:tc>
        <w:tc>
          <w:tcPr>
            <w:tcW w:w="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E6E6E6"/>
            </w:tcBorders>
            <w:shd w:val="clear" w:color="auto" w:fill="E6E6E6"/>
          </w:tcPr>
          <w:p>
            <w:pPr>
              <w:spacing w:after="0"/>
              <w:rPr>
                <w:sz w:val="21"/>
                <w:szCs w:val="21"/>
                <w:color w:val="auto"/>
              </w:rPr>
            </w:pPr>
          </w:p>
        </w:tc>
        <w:tc>
          <w:tcPr>
            <w:tcW w:w="240" w:type="dxa"/>
            <w:vAlign w:val="bottom"/>
            <w:tcBorders>
              <w:bottom w:val="single" w:sz="8" w:color="auto"/>
            </w:tcBorders>
            <w:shd w:val="clear" w:color="auto" w:fill="E6E6E6"/>
          </w:tcPr>
          <w:p>
            <w:pPr>
              <w:spacing w:after="0"/>
              <w:rPr>
                <w:sz w:val="21"/>
                <w:szCs w:val="21"/>
                <w:color w:val="auto"/>
              </w:rPr>
            </w:pPr>
          </w:p>
        </w:tc>
        <w:tc>
          <w:tcPr>
            <w:tcW w:w="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E6E6E6"/>
            </w:tcBorders>
            <w:shd w:val="clear" w:color="auto" w:fill="E6E6E6"/>
          </w:tcPr>
          <w:p>
            <w:pPr>
              <w:spacing w:after="0"/>
              <w:rPr>
                <w:sz w:val="21"/>
                <w:szCs w:val="21"/>
                <w:color w:val="auto"/>
              </w:rPr>
            </w:pPr>
          </w:p>
        </w:tc>
        <w:tc>
          <w:tcPr>
            <w:tcW w:w="220" w:type="dxa"/>
            <w:vAlign w:val="bottom"/>
            <w:tcBorders>
              <w:bottom w:val="single" w:sz="8" w:color="auto"/>
            </w:tcBorders>
            <w:shd w:val="clear" w:color="auto" w:fill="E6E6E6"/>
          </w:tcPr>
          <w:p>
            <w:pPr>
              <w:spacing w:after="0"/>
              <w:rPr>
                <w:sz w:val="21"/>
                <w:szCs w:val="21"/>
                <w:color w:val="auto"/>
              </w:rPr>
            </w:pPr>
          </w:p>
        </w:tc>
        <w:tc>
          <w:tcPr>
            <w:tcW w:w="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22</w:t>
            </w:r>
          </w:p>
        </w:tc>
      </w:tr>
      <w:tr>
        <w:trPr>
          <w:trHeight w:val="199"/>
        </w:trPr>
        <w:tc>
          <w:tcPr>
            <w:tcW w:w="7760" w:type="dxa"/>
            <w:vAlign w:val="bottom"/>
            <w:tcBorders>
              <w:bottom w:val="single" w:sz="8" w:color="E6E6E6"/>
            </w:tcBorders>
          </w:tcPr>
          <w:p>
            <w:pPr>
              <w:jc w:val="right"/>
              <w:spacing w:after="0" w:line="199" w:lineRule="exact"/>
              <w:rPr>
                <w:sz w:val="20"/>
                <w:szCs w:val="20"/>
                <w:color w:val="auto"/>
              </w:rPr>
            </w:pPr>
            <w:r>
              <w:rPr>
                <w:rFonts w:ascii="Arial" w:cs="Arial" w:eastAsia="Arial" w:hAnsi="Arial"/>
                <w:sz w:val="18"/>
                <w:szCs w:val="18"/>
                <w:b w:val="1"/>
                <w:bCs w:val="1"/>
                <w:color w:val="BDBDBD"/>
                <w:w w:val="95"/>
              </w:rPr>
              <w:t>. . . . . . . . . . . . . . . . . . . . . . . . . . . . . . . . . . . . . . . . .</w:t>
            </w:r>
            <w:r>
              <w:rPr>
                <w:rFonts w:ascii="Arial" w:cs="Arial" w:eastAsia="Arial" w:hAnsi="Arial"/>
                <w:sz w:val="18"/>
                <w:szCs w:val="18"/>
                <w:b w:val="1"/>
                <w:bCs w:val="1"/>
                <w:color w:val="000000"/>
                <w:w w:val="95"/>
              </w:rPr>
              <w:t>NetCash(Usedin)ProvidedbyInvestingActivities</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(523)</w:t>
            </w:r>
          </w:p>
        </w:tc>
        <w:tc>
          <w:tcPr>
            <w:tcW w:w="80" w:type="dxa"/>
            <w:vAlign w:val="bottom"/>
            <w:tcBorders>
              <w:bottom w:val="single" w:sz="8" w:color="E6E6E6"/>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1,065</w:t>
            </w:r>
          </w:p>
        </w:tc>
        <w:tc>
          <w:tcPr>
            <w:tcW w:w="80" w:type="dxa"/>
            <w:vAlign w:val="bottom"/>
            <w:tcBorders>
              <w:bottom w:val="single" w:sz="8" w:color="E6E6E6"/>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(865)</w:t>
            </w:r>
          </w:p>
        </w:tc>
      </w:tr>
      <w:tr>
        <w:trPr>
          <w:trHeight w:val="229"/>
        </w:trPr>
        <w:tc>
          <w:tcPr>
            <w:tcW w:w="7760" w:type="dxa"/>
            <w:vAlign w:val="bottom"/>
            <w:shd w:val="clear" w:color="auto" w:fill="E6E6E6"/>
          </w:tcPr>
          <w:p>
            <w:pPr>
              <w:ind w:left="60"/>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shd w:val="clear" w:color="auto" w:fill="E6E6E6"/>
          </w:tcPr>
          <w:p>
            <w:pPr>
              <w:spacing w:after="0"/>
              <w:rPr>
                <w:sz w:val="19"/>
                <w:szCs w:val="19"/>
                <w:color w:val="auto"/>
              </w:rPr>
            </w:pPr>
          </w:p>
        </w:tc>
        <w:tc>
          <w:tcPr>
            <w:tcW w:w="72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72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220" w:type="dxa"/>
            <w:vAlign w:val="bottom"/>
            <w:shd w:val="clear" w:color="auto" w:fill="E6E6E6"/>
          </w:tcPr>
          <w:p>
            <w:pPr>
              <w:spacing w:after="0"/>
              <w:rPr>
                <w:sz w:val="19"/>
                <w:szCs w:val="19"/>
                <w:color w:val="auto"/>
              </w:rPr>
            </w:pPr>
          </w:p>
        </w:tc>
        <w:tc>
          <w:tcPr>
            <w:tcW w:w="720" w:type="dxa"/>
            <w:vAlign w:val="bottom"/>
            <w:shd w:val="clear" w:color="auto" w:fill="E6E6E6"/>
          </w:tcPr>
          <w:p>
            <w:pPr>
              <w:spacing w:after="0"/>
              <w:rPr>
                <w:sz w:val="19"/>
                <w:szCs w:val="19"/>
                <w:color w:val="auto"/>
              </w:rPr>
            </w:pPr>
          </w:p>
        </w:tc>
      </w:tr>
      <w:tr>
        <w:trPr>
          <w:trHeight w:val="237"/>
        </w:trPr>
        <w:tc>
          <w:tcPr>
            <w:tcW w:w="7760" w:type="dxa"/>
            <w:vAlign w:val="bottom"/>
          </w:tcPr>
          <w:p>
            <w:pPr>
              <w:jc w:val="right"/>
              <w:spacing w:after="0"/>
              <w:rPr>
                <w:sz w:val="20"/>
                <w:szCs w:val="20"/>
                <w:color w:val="auto"/>
              </w:rPr>
            </w:pPr>
            <w:r>
              <w:rPr>
                <w:rFonts w:ascii="Arial" w:cs="Arial" w:eastAsia="Arial" w:hAnsi="Arial"/>
                <w:sz w:val="18"/>
                <w:szCs w:val="18"/>
                <w:color w:val="auto"/>
                <w:w w:val="96"/>
              </w:rPr>
              <w:t xml:space="preserve">Contributions from noncontrolling interests, net of distributions </w:t>
            </w:r>
            <w:r>
              <w:rPr>
                <w:rFonts w:ascii="Arial" w:cs="Arial" w:eastAsia="Arial" w:hAnsi="Arial"/>
                <w:sz w:val="18"/>
                <w:szCs w:val="18"/>
                <w:color w:val="BDBDBD"/>
                <w:w w:val="96"/>
              </w:rPr>
              <w:t>. . . . . . . . . . . . . . . . . . . . . . . . . . . . . .</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967</w:t>
            </w:r>
          </w:p>
        </w:tc>
      </w:tr>
      <w:tr>
        <w:trPr>
          <w:trHeight w:val="241"/>
        </w:trPr>
        <w:tc>
          <w:tcPr>
            <w:tcW w:w="776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5"/>
              </w:rPr>
              <w:t xml:space="preserve">Payments of dividends and distributions  </w:t>
            </w:r>
            <w:r>
              <w:rPr>
                <w:rFonts w:ascii="Arial" w:cs="Arial" w:eastAsia="Arial" w:hAnsi="Arial"/>
                <w:sz w:val="18"/>
                <w:szCs w:val="18"/>
                <w:color w:val="BDBDBD"/>
                <w:w w:val="95"/>
              </w:rPr>
              <w:t>. . . . . . . . . . . . . . . . . . . . . . . . . . . . . . . . . . . . . . . . . . . . . . . .</w:t>
            </w:r>
          </w:p>
        </w:tc>
        <w:tc>
          <w:tcPr>
            <w:tcW w:w="22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(311)</w:t>
            </w:r>
          </w:p>
        </w:tc>
        <w:tc>
          <w:tcPr>
            <w:tcW w:w="80" w:type="dxa"/>
            <w:vAlign w:val="bottom"/>
            <w:shd w:val="clear" w:color="auto" w:fill="E6E6E6"/>
          </w:tcPr>
          <w:p>
            <w:pPr>
              <w:spacing w:after="0"/>
              <w:rPr>
                <w:sz w:val="20"/>
                <w:szCs w:val="20"/>
                <w:color w:val="auto"/>
              </w:rPr>
            </w:pPr>
          </w:p>
        </w:tc>
        <w:tc>
          <w:tcPr>
            <w:tcW w:w="24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(289)</w:t>
            </w:r>
          </w:p>
        </w:tc>
        <w:tc>
          <w:tcPr>
            <w:tcW w:w="80" w:type="dxa"/>
            <w:vAlign w:val="bottom"/>
            <w:shd w:val="clear" w:color="auto" w:fill="E6E6E6"/>
          </w:tcPr>
          <w:p>
            <w:pPr>
              <w:spacing w:after="0"/>
              <w:rPr>
                <w:sz w:val="20"/>
                <w:szCs w:val="20"/>
                <w:color w:val="auto"/>
              </w:rPr>
            </w:pPr>
          </w:p>
        </w:tc>
        <w:tc>
          <w:tcPr>
            <w:tcW w:w="22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(268)</w:t>
            </w:r>
          </w:p>
        </w:tc>
      </w:tr>
      <w:tr>
        <w:trPr>
          <w:trHeight w:val="237"/>
        </w:trPr>
        <w:tc>
          <w:tcPr>
            <w:tcW w:w="7760" w:type="dxa"/>
            <w:vAlign w:val="bottom"/>
          </w:tcPr>
          <w:p>
            <w:pPr>
              <w:jc w:val="right"/>
              <w:spacing w:after="0"/>
              <w:rPr>
                <w:sz w:val="20"/>
                <w:szCs w:val="20"/>
                <w:color w:val="auto"/>
              </w:rPr>
            </w:pPr>
            <w:r>
              <w:rPr>
                <w:rFonts w:ascii="Arial" w:cs="Arial" w:eastAsia="Arial" w:hAnsi="Arial"/>
                <w:sz w:val="18"/>
                <w:szCs w:val="18"/>
                <w:color w:val="auto"/>
                <w:w w:val="96"/>
              </w:rPr>
              <w:t xml:space="preserve">Distributions to CEG of escrowed amounts </w:t>
            </w:r>
            <w:r>
              <w:rPr>
                <w:rFonts w:ascii="Arial" w:cs="Arial" w:eastAsia="Arial" w:hAnsi="Arial"/>
                <w:sz w:val="18"/>
                <w:szCs w:val="18"/>
                <w:color w:val="BDBDBD"/>
                <w:w w:val="96"/>
              </w:rPr>
              <w:t>. . . . . . . . . . . . . . . . . . . . . . . . . . . . . . . . . . . . . . . . . . . . . .</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1"/>
        </w:trPr>
        <w:tc>
          <w:tcPr>
            <w:tcW w:w="776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5"/>
              </w:rPr>
              <w:t xml:space="preserve">Tax-related distributions </w:t>
            </w:r>
            <w:r>
              <w:rPr>
                <w:rFonts w:ascii="Arial" w:cs="Arial" w:eastAsia="Arial" w:hAnsi="Arial"/>
                <w:sz w:val="18"/>
                <w:szCs w:val="18"/>
                <w:color w:val="BDBDBD"/>
                <w:w w:val="95"/>
              </w:rPr>
              <w:t>. . . . . . . . . . . . . . . . . . . . . . . . . . . . . . . . . . . . . . . . . . . . . . . . . . . . . . . . . . . . .</w:t>
            </w:r>
          </w:p>
        </w:tc>
        <w:tc>
          <w:tcPr>
            <w:tcW w:w="22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E6E6E6"/>
          </w:tcPr>
          <w:p>
            <w:pPr>
              <w:spacing w:after="0"/>
              <w:rPr>
                <w:sz w:val="20"/>
                <w:szCs w:val="20"/>
                <w:color w:val="auto"/>
              </w:rPr>
            </w:pPr>
          </w:p>
        </w:tc>
        <w:tc>
          <w:tcPr>
            <w:tcW w:w="24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E6E6E6"/>
          </w:tcPr>
          <w:p>
            <w:pPr>
              <w:spacing w:after="0"/>
              <w:rPr>
                <w:sz w:val="20"/>
                <w:szCs w:val="20"/>
                <w:color w:val="auto"/>
              </w:rPr>
            </w:pPr>
          </w:p>
        </w:tc>
        <w:tc>
          <w:tcPr>
            <w:tcW w:w="22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7760" w:type="dxa"/>
            <w:vAlign w:val="bottom"/>
          </w:tcPr>
          <w:p>
            <w:pPr>
              <w:jc w:val="right"/>
              <w:spacing w:after="0"/>
              <w:rPr>
                <w:sz w:val="20"/>
                <w:szCs w:val="20"/>
                <w:color w:val="auto"/>
              </w:rPr>
            </w:pPr>
            <w:r>
              <w:rPr>
                <w:rFonts w:ascii="Arial" w:cs="Arial" w:eastAsia="Arial" w:hAnsi="Arial"/>
                <w:sz w:val="18"/>
                <w:szCs w:val="18"/>
                <w:color w:val="auto"/>
                <w:w w:val="96"/>
              </w:rPr>
              <w:t xml:space="preserve">Buyout of noncontrolling interest and redeemable noncontrolling interest  </w:t>
            </w:r>
            <w:r>
              <w:rPr>
                <w:rFonts w:ascii="Arial" w:cs="Arial" w:eastAsia="Arial" w:hAnsi="Arial"/>
                <w:sz w:val="18"/>
                <w:szCs w:val="18"/>
                <w:color w:val="BDBDBD"/>
                <w:w w:val="96"/>
              </w:rPr>
              <w:t>. . . . . . . . . . . . . . . . . . . . . .</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1"/>
        </w:trPr>
        <w:tc>
          <w:tcPr>
            <w:tcW w:w="776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6"/>
              </w:rPr>
              <w:t xml:space="preserve">Proceeds from the revolving credit facility </w:t>
            </w:r>
            <w:r>
              <w:rPr>
                <w:rFonts w:ascii="Arial" w:cs="Arial" w:eastAsia="Arial" w:hAnsi="Arial"/>
                <w:sz w:val="18"/>
                <w:szCs w:val="18"/>
                <w:color w:val="BDBDBD"/>
                <w:w w:val="96"/>
              </w:rPr>
              <w:t>. . . . . . . . . . . . . . . . . . . . . . . . . . . . . . . . . . . . . . . . . . . . . . .</w:t>
            </w:r>
          </w:p>
        </w:tc>
        <w:tc>
          <w:tcPr>
            <w:tcW w:w="22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0"/>
                <w:szCs w:val="20"/>
                <w:color w:val="auto"/>
              </w:rPr>
            </w:pPr>
          </w:p>
        </w:tc>
        <w:tc>
          <w:tcPr>
            <w:tcW w:w="24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80</w:t>
            </w:r>
          </w:p>
        </w:tc>
        <w:tc>
          <w:tcPr>
            <w:tcW w:w="80" w:type="dxa"/>
            <w:vAlign w:val="bottom"/>
            <w:shd w:val="clear" w:color="auto" w:fill="E6E6E6"/>
          </w:tcPr>
          <w:p>
            <w:pPr>
              <w:spacing w:after="0"/>
              <w:rPr>
                <w:sz w:val="20"/>
                <w:szCs w:val="20"/>
                <w:color w:val="auto"/>
              </w:rPr>
            </w:pPr>
          </w:p>
        </w:tc>
        <w:tc>
          <w:tcPr>
            <w:tcW w:w="22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622</w:t>
            </w:r>
          </w:p>
        </w:tc>
      </w:tr>
      <w:tr>
        <w:trPr>
          <w:trHeight w:val="237"/>
        </w:trPr>
        <w:tc>
          <w:tcPr>
            <w:tcW w:w="7760" w:type="dxa"/>
            <w:vAlign w:val="bottom"/>
          </w:tcPr>
          <w:p>
            <w:pPr>
              <w:jc w:val="right"/>
              <w:spacing w:after="0"/>
              <w:rPr>
                <w:sz w:val="20"/>
                <w:szCs w:val="20"/>
                <w:color w:val="auto"/>
              </w:rPr>
            </w:pPr>
            <w:r>
              <w:rPr>
                <w:rFonts w:ascii="Arial" w:cs="Arial" w:eastAsia="Arial" w:hAnsi="Arial"/>
                <w:sz w:val="18"/>
                <w:szCs w:val="18"/>
                <w:color w:val="auto"/>
                <w:w w:val="96"/>
              </w:rPr>
              <w:t xml:space="preserve">Payments for the revolving credit facility </w:t>
            </w:r>
            <w:r>
              <w:rPr>
                <w:rFonts w:ascii="Arial" w:cs="Arial" w:eastAsia="Arial" w:hAnsi="Arial"/>
                <w:sz w:val="18"/>
                <w:szCs w:val="18"/>
                <w:color w:val="BDBDBD"/>
                <w:w w:val="96"/>
              </w:rPr>
              <w:t>. . . . . . . . . . . . . . . . . . . . . . . . . . . . . . . . . . . . . . . . . . . . . . . .</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(377)</w:t>
            </w:r>
          </w:p>
        </w:tc>
      </w:tr>
      <w:tr>
        <w:trPr>
          <w:trHeight w:val="241"/>
        </w:trPr>
        <w:tc>
          <w:tcPr>
            <w:tcW w:w="776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4"/>
              </w:rPr>
              <w:t xml:space="preserve">Proceeds from issuance of long-term debt  </w:t>
            </w:r>
            <w:r>
              <w:rPr>
                <w:rFonts w:ascii="Arial" w:cs="Arial" w:eastAsia="Arial" w:hAnsi="Arial"/>
                <w:sz w:val="18"/>
                <w:szCs w:val="18"/>
                <w:color w:val="BDBDBD"/>
                <w:w w:val="94"/>
              </w:rPr>
              <w:t>. . . . . . . . . . . . . . . . . . . . . . . . . . . . . . . . . . . . . . . . . . . . . . .</w:t>
            </w:r>
          </w:p>
        </w:tc>
        <w:tc>
          <w:tcPr>
            <w:tcW w:w="22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563</w:t>
            </w:r>
          </w:p>
        </w:tc>
        <w:tc>
          <w:tcPr>
            <w:tcW w:w="80" w:type="dxa"/>
            <w:vAlign w:val="bottom"/>
            <w:shd w:val="clear" w:color="auto" w:fill="E6E6E6"/>
          </w:tcPr>
          <w:p>
            <w:pPr>
              <w:spacing w:after="0"/>
              <w:rPr>
                <w:sz w:val="20"/>
                <w:szCs w:val="20"/>
                <w:color w:val="auto"/>
              </w:rPr>
            </w:pPr>
          </w:p>
        </w:tc>
        <w:tc>
          <w:tcPr>
            <w:tcW w:w="24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244</w:t>
            </w:r>
          </w:p>
        </w:tc>
        <w:tc>
          <w:tcPr>
            <w:tcW w:w="80" w:type="dxa"/>
            <w:vAlign w:val="bottom"/>
            <w:shd w:val="clear" w:color="auto" w:fill="E6E6E6"/>
          </w:tcPr>
          <w:p>
            <w:pPr>
              <w:spacing w:after="0"/>
              <w:rPr>
                <w:sz w:val="20"/>
                <w:szCs w:val="20"/>
                <w:color w:val="auto"/>
              </w:rPr>
            </w:pPr>
          </w:p>
        </w:tc>
        <w:tc>
          <w:tcPr>
            <w:tcW w:w="22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1,728</w:t>
            </w:r>
          </w:p>
        </w:tc>
      </w:tr>
      <w:tr>
        <w:trPr>
          <w:trHeight w:val="237"/>
        </w:trPr>
        <w:tc>
          <w:tcPr>
            <w:tcW w:w="7760" w:type="dxa"/>
            <w:vAlign w:val="bottom"/>
          </w:tcPr>
          <w:p>
            <w:pPr>
              <w:jc w:val="right"/>
              <w:spacing w:after="0"/>
              <w:rPr>
                <w:sz w:val="20"/>
                <w:szCs w:val="20"/>
                <w:color w:val="auto"/>
              </w:rPr>
            </w:pPr>
            <w:r>
              <w:rPr>
                <w:rFonts w:ascii="Arial" w:cs="Arial" w:eastAsia="Arial" w:hAnsi="Arial"/>
                <w:sz w:val="18"/>
                <w:szCs w:val="18"/>
                <w:color w:val="auto"/>
                <w:w w:val="94"/>
              </w:rPr>
              <w:t xml:space="preserve">Payments of debt issuance costs </w:t>
            </w:r>
            <w:r>
              <w:rPr>
                <w:rFonts w:ascii="Arial" w:cs="Arial" w:eastAsia="Arial" w:hAnsi="Arial"/>
                <w:sz w:val="18"/>
                <w:szCs w:val="18"/>
                <w:color w:val="BDBDBD"/>
                <w:w w:val="94"/>
              </w:rPr>
              <w:t>. . . . . . . . . . . . . . . . . . . . . . . . . . . . . . . . . . . . . . . . . . . . . . . . . . . . . . .</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41"/>
        </w:trPr>
        <w:tc>
          <w:tcPr>
            <w:tcW w:w="776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5"/>
              </w:rPr>
              <w:t xml:space="preserve">Payments for long-term debt  </w:t>
            </w:r>
            <w:r>
              <w:rPr>
                <w:rFonts w:ascii="Arial" w:cs="Arial" w:eastAsia="Arial" w:hAnsi="Arial"/>
                <w:sz w:val="18"/>
                <w:szCs w:val="18"/>
                <w:color w:val="BDBDBD"/>
                <w:w w:val="95"/>
              </w:rPr>
              <w:t>. . . . . . . . . . . . . . . . . . . . . . . . . . . . . . . . . . . . . . . . . . . . . . . . . . . . . . . . .</w:t>
            </w:r>
          </w:p>
        </w:tc>
        <w:tc>
          <w:tcPr>
            <w:tcW w:w="22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(1,349)</w:t>
            </w:r>
          </w:p>
        </w:tc>
        <w:tc>
          <w:tcPr>
            <w:tcW w:w="80" w:type="dxa"/>
            <w:vAlign w:val="bottom"/>
            <w:shd w:val="clear" w:color="auto" w:fill="E6E6E6"/>
          </w:tcPr>
          <w:p>
            <w:pPr>
              <w:spacing w:after="0"/>
              <w:rPr>
                <w:sz w:val="20"/>
                <w:szCs w:val="20"/>
                <w:color w:val="auto"/>
              </w:rPr>
            </w:pPr>
          </w:p>
        </w:tc>
        <w:tc>
          <w:tcPr>
            <w:tcW w:w="24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(1,198)</w:t>
            </w:r>
          </w:p>
        </w:tc>
        <w:tc>
          <w:tcPr>
            <w:tcW w:w="80" w:type="dxa"/>
            <w:vAlign w:val="bottom"/>
            <w:shd w:val="clear" w:color="auto" w:fill="E6E6E6"/>
          </w:tcPr>
          <w:p>
            <w:pPr>
              <w:spacing w:after="0"/>
              <w:rPr>
                <w:sz w:val="20"/>
                <w:szCs w:val="20"/>
                <w:color w:val="auto"/>
              </w:rPr>
            </w:pPr>
          </w:p>
        </w:tc>
        <w:tc>
          <w:tcPr>
            <w:tcW w:w="22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(2,292)</w:t>
            </w:r>
          </w:p>
        </w:tc>
      </w:tr>
      <w:tr>
        <w:trPr>
          <w:trHeight w:val="229"/>
        </w:trPr>
        <w:tc>
          <w:tcPr>
            <w:tcW w:w="7760" w:type="dxa"/>
            <w:vAlign w:val="bottom"/>
            <w:tcBorders>
              <w:bottom w:val="single" w:sz="8" w:color="E6E6E6"/>
            </w:tcBorders>
          </w:tcPr>
          <w:p>
            <w:pPr>
              <w:jc w:val="right"/>
              <w:spacing w:after="0"/>
              <w:rPr>
                <w:sz w:val="20"/>
                <w:szCs w:val="20"/>
                <w:color w:val="auto"/>
              </w:rPr>
            </w:pPr>
            <w:r>
              <w:rPr>
                <w:rFonts w:ascii="Arial" w:cs="Arial" w:eastAsia="Arial" w:hAnsi="Arial"/>
                <w:sz w:val="18"/>
                <w:szCs w:val="18"/>
                <w:color w:val="auto"/>
                <w:w w:val="95"/>
              </w:rPr>
              <w:t xml:space="preserve">Other </w:t>
            </w:r>
            <w:r>
              <w:rPr>
                <w:rFonts w:ascii="Arial" w:cs="Arial" w:eastAsia="Arial" w:hAnsi="Arial"/>
                <w:sz w:val="18"/>
                <w:szCs w:val="18"/>
                <w:color w:val="BDBDBD"/>
                <w:w w:val="95"/>
              </w:rPr>
              <w:t>. . . . . . . . . . . . . . . . . . . . . . . . . . . . . . . . . . . . . . . . . . . . . . . . . . . . . . . . . . . . . . . . . . . . . . . . . . . .</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E6E6E6"/>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E6E6E6"/>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39"/>
        </w:trPr>
        <w:tc>
          <w:tcPr>
            <w:tcW w:w="77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BDBDBD"/>
                <w:w w:val="95"/>
              </w:rPr>
              <w:t>. . . . . . . . . . . . . . . . . . . . . . . . . . . . . . . . . . . . . . . .</w:t>
            </w:r>
            <w:r>
              <w:rPr>
                <w:rFonts w:ascii="Arial" w:cs="Arial" w:eastAsia="Arial" w:hAnsi="Arial"/>
                <w:sz w:val="18"/>
                <w:szCs w:val="18"/>
                <w:b w:val="1"/>
                <w:bCs w:val="1"/>
                <w:color w:val="000000"/>
                <w:w w:val="95"/>
              </w:rPr>
              <w:t>NetCash(Usedin)ProvidedbyFinancingActivities</w:t>
            </w:r>
          </w:p>
        </w:tc>
        <w:tc>
          <w:tcPr>
            <w:tcW w:w="220" w:type="dxa"/>
            <w:vAlign w:val="bottom"/>
            <w:tcBorders>
              <w:bottom w:val="single" w:sz="8" w:color="auto"/>
            </w:tcBorders>
            <w:shd w:val="clear" w:color="auto" w:fill="E6E6E6"/>
          </w:tcPr>
          <w:p>
            <w:pPr>
              <w:spacing w:after="0"/>
              <w:rPr>
                <w:sz w:val="20"/>
                <w:szCs w:val="20"/>
                <w:color w:val="auto"/>
              </w:rPr>
            </w:pPr>
          </w:p>
        </w:tc>
        <w:tc>
          <w:tcPr>
            <w:tcW w:w="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(124)</w:t>
            </w:r>
          </w:p>
        </w:tc>
        <w:tc>
          <w:tcPr>
            <w:tcW w:w="80" w:type="dxa"/>
            <w:vAlign w:val="bottom"/>
            <w:tcBorders>
              <w:bottom w:val="single" w:sz="8" w:color="E6E6E6"/>
            </w:tcBorders>
            <w:shd w:val="clear" w:color="auto" w:fill="E6E6E6"/>
          </w:tcPr>
          <w:p>
            <w:pPr>
              <w:spacing w:after="0"/>
              <w:rPr>
                <w:sz w:val="20"/>
                <w:szCs w:val="20"/>
                <w:color w:val="auto"/>
              </w:rPr>
            </w:pPr>
          </w:p>
        </w:tc>
        <w:tc>
          <w:tcPr>
            <w:tcW w:w="240" w:type="dxa"/>
            <w:vAlign w:val="bottom"/>
            <w:tcBorders>
              <w:bottom w:val="single" w:sz="8" w:color="auto"/>
            </w:tcBorders>
            <w:shd w:val="clear" w:color="auto" w:fill="E6E6E6"/>
          </w:tcPr>
          <w:p>
            <w:pPr>
              <w:spacing w:after="0"/>
              <w:rPr>
                <w:sz w:val="20"/>
                <w:szCs w:val="20"/>
                <w:color w:val="auto"/>
              </w:rPr>
            </w:pPr>
          </w:p>
        </w:tc>
        <w:tc>
          <w:tcPr>
            <w:tcW w:w="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(1,510)</w:t>
            </w:r>
          </w:p>
        </w:tc>
        <w:tc>
          <w:tcPr>
            <w:tcW w:w="80" w:type="dxa"/>
            <w:vAlign w:val="bottom"/>
            <w:tcBorders>
              <w:bottom w:val="single" w:sz="8" w:color="E6E6E6"/>
            </w:tcBorders>
            <w:shd w:val="clear" w:color="auto" w:fill="E6E6E6"/>
          </w:tcPr>
          <w:p>
            <w:pPr>
              <w:spacing w:after="0"/>
              <w:rPr>
                <w:sz w:val="20"/>
                <w:szCs w:val="20"/>
                <w:color w:val="auto"/>
              </w:rPr>
            </w:pPr>
          </w:p>
        </w:tc>
        <w:tc>
          <w:tcPr>
            <w:tcW w:w="220" w:type="dxa"/>
            <w:vAlign w:val="bottom"/>
            <w:tcBorders>
              <w:bottom w:val="single" w:sz="8" w:color="auto"/>
            </w:tcBorders>
            <w:shd w:val="clear" w:color="auto" w:fill="E6E6E6"/>
          </w:tcPr>
          <w:p>
            <w:pPr>
              <w:spacing w:after="0"/>
              <w:rPr>
                <w:sz w:val="20"/>
                <w:szCs w:val="20"/>
                <w:color w:val="auto"/>
              </w:rPr>
            </w:pPr>
          </w:p>
        </w:tc>
        <w:tc>
          <w:tcPr>
            <w:tcW w:w="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367</w:t>
            </w:r>
          </w:p>
        </w:tc>
      </w:tr>
      <w:tr>
        <w:trPr>
          <w:trHeight w:val="199"/>
        </w:trPr>
        <w:tc>
          <w:tcPr>
            <w:tcW w:w="7760" w:type="dxa"/>
            <w:vAlign w:val="bottom"/>
            <w:tcBorders>
              <w:bottom w:val="single" w:sz="8" w:color="E6E6E6"/>
            </w:tcBorders>
          </w:tcPr>
          <w:p>
            <w:pPr>
              <w:jc w:val="right"/>
              <w:spacing w:after="0" w:line="199" w:lineRule="exact"/>
              <w:rPr>
                <w:sz w:val="20"/>
                <w:szCs w:val="20"/>
                <w:color w:val="auto"/>
              </w:rPr>
            </w:pPr>
            <w:r>
              <w:rPr>
                <w:rFonts w:ascii="Arial" w:cs="Arial" w:eastAsia="Arial" w:hAnsi="Arial"/>
                <w:sz w:val="18"/>
                <w:szCs w:val="18"/>
                <w:b w:val="1"/>
                <w:bCs w:val="1"/>
                <w:color w:val="BDBDBD"/>
                <w:w w:val="93"/>
              </w:rPr>
              <w:t>. . . . . . . . . . . . . . . . . . . . . . . . . . . . . . . . . . . . . . . . . . . .</w:t>
            </w:r>
            <w:r>
              <w:rPr>
                <w:rFonts w:ascii="Arial" w:cs="Arial" w:eastAsia="Arial" w:hAnsi="Arial"/>
                <w:sz w:val="18"/>
                <w:szCs w:val="18"/>
                <w:b w:val="1"/>
                <w:bCs w:val="1"/>
                <w:color w:val="000000"/>
                <w:w w:val="93"/>
              </w:rPr>
              <w:t>ReclassificationofCashtoAssetsHeld-for-Sale</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E6E6E6"/>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E6E6E6"/>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(14)</w:t>
            </w:r>
          </w:p>
        </w:tc>
      </w:tr>
      <w:tr>
        <w:trPr>
          <w:trHeight w:val="229"/>
        </w:trPr>
        <w:tc>
          <w:tcPr>
            <w:tcW w:w="776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BDBDBD"/>
                <w:w w:val="95"/>
              </w:rPr>
              <w:t>. . . . . . . . . . . . . . . . . . . . . . . . . . . . . . . . .</w:t>
            </w:r>
            <w:r>
              <w:rPr>
                <w:rFonts w:ascii="Arial" w:cs="Arial" w:eastAsia="Arial" w:hAnsi="Arial"/>
                <w:sz w:val="18"/>
                <w:szCs w:val="18"/>
                <w:b w:val="1"/>
                <w:bCs w:val="1"/>
                <w:color w:val="000000"/>
                <w:w w:val="95"/>
              </w:rPr>
              <w:t>NetIncreaseinCash,CashEquivalentsandRestrictedCash</w:t>
            </w:r>
          </w:p>
        </w:tc>
        <w:tc>
          <w:tcPr>
            <w:tcW w:w="220" w:type="dxa"/>
            <w:vAlign w:val="bottom"/>
            <w:shd w:val="clear" w:color="auto" w:fill="E6E6E6"/>
          </w:tcPr>
          <w:p>
            <w:pPr>
              <w:spacing w:after="0"/>
              <w:rPr>
                <w:sz w:val="19"/>
                <w:szCs w:val="19"/>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342</w:t>
            </w:r>
          </w:p>
        </w:tc>
        <w:tc>
          <w:tcPr>
            <w:tcW w:w="80" w:type="dxa"/>
            <w:vAlign w:val="bottom"/>
            <w:shd w:val="clear" w:color="auto" w:fill="E6E6E6"/>
          </w:tcPr>
          <w:p>
            <w:pPr>
              <w:spacing w:after="0"/>
              <w:rPr>
                <w:sz w:val="19"/>
                <w:szCs w:val="19"/>
                <w:color w:val="auto"/>
              </w:rPr>
            </w:pPr>
          </w:p>
        </w:tc>
        <w:tc>
          <w:tcPr>
            <w:tcW w:w="220" w:type="dxa"/>
            <w:vAlign w:val="bottom"/>
            <w:shd w:val="clear" w:color="auto" w:fill="E6E6E6"/>
          </w:tcPr>
          <w:p>
            <w:pPr>
              <w:spacing w:after="0"/>
              <w:rPr>
                <w:sz w:val="19"/>
                <w:szCs w:val="19"/>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189</w:t>
            </w:r>
          </w:p>
        </w:tc>
      </w:tr>
      <w:tr>
        <w:trPr>
          <w:trHeight w:val="229"/>
        </w:trPr>
        <w:tc>
          <w:tcPr>
            <w:tcW w:w="7760" w:type="dxa"/>
            <w:vAlign w:val="bottom"/>
            <w:tcBorders>
              <w:bottom w:val="single" w:sz="8" w:color="E6E6E6"/>
            </w:tcBorders>
          </w:tcPr>
          <w:p>
            <w:pPr>
              <w:jc w:val="right"/>
              <w:spacing w:after="0"/>
              <w:rPr>
                <w:sz w:val="20"/>
                <w:szCs w:val="20"/>
                <w:color w:val="auto"/>
              </w:rPr>
            </w:pPr>
            <w:r>
              <w:rPr>
                <w:rFonts w:ascii="Arial" w:cs="Arial" w:eastAsia="Arial" w:hAnsi="Arial"/>
                <w:sz w:val="18"/>
                <w:szCs w:val="18"/>
                <w:b w:val="1"/>
                <w:bCs w:val="1"/>
                <w:color w:val="auto"/>
                <w:w w:val="90"/>
              </w:rPr>
              <w:t xml:space="preserve">Cash, Cash Equivalents and Restricted Cash at Beginning of Period </w:t>
            </w:r>
            <w:r>
              <w:rPr>
                <w:rFonts w:ascii="Arial" w:cs="Arial" w:eastAsia="Arial" w:hAnsi="Arial"/>
                <w:sz w:val="18"/>
                <w:szCs w:val="18"/>
                <w:b w:val="1"/>
                <w:bCs w:val="1"/>
                <w:color w:val="BDBDBD"/>
                <w:w w:val="90"/>
              </w:rPr>
              <w:t>. . . . . . . . . . . . . . . . . . . . . . . . . . .</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w:t>
            </w:r>
          </w:p>
        </w:tc>
        <w:tc>
          <w:tcPr>
            <w:tcW w:w="80" w:type="dxa"/>
            <w:vAlign w:val="bottom"/>
            <w:tcBorders>
              <w:bottom w:val="single" w:sz="8" w:color="E6E6E6"/>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80" w:type="dxa"/>
            <w:vAlign w:val="bottom"/>
            <w:tcBorders>
              <w:bottom w:val="single" w:sz="8" w:color="E6E6E6"/>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r>
      <w:tr>
        <w:trPr>
          <w:trHeight w:val="239"/>
        </w:trPr>
        <w:tc>
          <w:tcPr>
            <w:tcW w:w="7760" w:type="dxa"/>
            <w:vAlign w:val="bottom"/>
            <w:tcBorders>
              <w:bottom w:val="single" w:sz="8" w:color="E6E6E6"/>
            </w:tcBorders>
            <w:shd w:val="clear" w:color="auto" w:fill="E6E6E6"/>
          </w:tcPr>
          <w:p>
            <w:pPr>
              <w:jc w:val="right"/>
              <w:spacing w:after="0" w:line="199" w:lineRule="exact"/>
              <w:rPr>
                <w:sz w:val="20"/>
                <w:szCs w:val="20"/>
                <w:color w:val="auto"/>
              </w:rPr>
            </w:pPr>
            <w:r>
              <w:rPr>
                <w:rFonts w:ascii="Arial" w:cs="Arial" w:eastAsia="Arial" w:hAnsi="Arial"/>
                <w:sz w:val="18"/>
                <w:szCs w:val="18"/>
                <w:b w:val="1"/>
                <w:bCs w:val="1"/>
                <w:color w:val="BDBDBD"/>
                <w:w w:val="96"/>
              </w:rPr>
              <w:t>. . . . . . . . . . . . . . . . . . . . . . . . . . . . . . . .</w:t>
            </w:r>
            <w:r>
              <w:rPr>
                <w:rFonts w:ascii="Arial" w:cs="Arial" w:eastAsia="Arial" w:hAnsi="Arial"/>
                <w:sz w:val="18"/>
                <w:szCs w:val="18"/>
                <w:b w:val="1"/>
                <w:bCs w:val="1"/>
                <w:color w:val="000000"/>
                <w:w w:val="96"/>
              </w:rPr>
              <w:t>Cash,CashEquivalentsandRestrictedCashatEndofPeriod</w:t>
            </w:r>
          </w:p>
        </w:tc>
        <w:tc>
          <w:tcPr>
            <w:tcW w:w="220" w:type="dxa"/>
            <w:vAlign w:val="bottom"/>
            <w:tcBorders>
              <w:bottom w:val="single" w:sz="8" w:color="auto"/>
            </w:tcBorders>
            <w:shd w:val="clear" w:color="auto" w:fill="E6E6E6"/>
          </w:tcPr>
          <w:p>
            <w:pPr>
              <w:jc w:val="right"/>
              <w:spacing w:after="0" w:line="199"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E6E6E6"/>
          </w:tcPr>
          <w:p>
            <w:pPr>
              <w:jc w:val="right"/>
              <w:spacing w:after="0" w:line="199" w:lineRule="exact"/>
              <w:rPr>
                <w:sz w:val="20"/>
                <w:szCs w:val="20"/>
                <w:color w:val="auto"/>
              </w:rPr>
            </w:pPr>
            <w:r>
              <w:rPr>
                <w:rFonts w:ascii="Arial" w:cs="Arial" w:eastAsia="Arial" w:hAnsi="Arial"/>
                <w:sz w:val="18"/>
                <w:szCs w:val="18"/>
                <w:color w:val="auto"/>
              </w:rPr>
              <w:t>1,051</w:t>
            </w:r>
          </w:p>
        </w:tc>
        <w:tc>
          <w:tcPr>
            <w:tcW w:w="80" w:type="dxa"/>
            <w:vAlign w:val="bottom"/>
            <w:tcBorders>
              <w:bottom w:val="single" w:sz="8" w:color="E6E6E6"/>
            </w:tcBorders>
            <w:shd w:val="clear" w:color="auto" w:fill="E6E6E6"/>
          </w:tcPr>
          <w:p>
            <w:pPr>
              <w:spacing w:after="0"/>
              <w:rPr>
                <w:sz w:val="20"/>
                <w:szCs w:val="20"/>
                <w:color w:val="auto"/>
              </w:rPr>
            </w:pPr>
          </w:p>
        </w:tc>
        <w:tc>
          <w:tcPr>
            <w:tcW w:w="240" w:type="dxa"/>
            <w:vAlign w:val="bottom"/>
            <w:tcBorders>
              <w:bottom w:val="single" w:sz="8" w:color="auto"/>
            </w:tcBorders>
            <w:shd w:val="clear" w:color="auto" w:fill="E6E6E6"/>
          </w:tcPr>
          <w:p>
            <w:pPr>
              <w:ind w:left="60"/>
              <w:spacing w:after="0" w:line="199"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E6E6E6"/>
          </w:tcPr>
          <w:p>
            <w:pPr>
              <w:jc w:val="right"/>
              <w:spacing w:after="0" w:line="199" w:lineRule="exact"/>
              <w:rPr>
                <w:sz w:val="20"/>
                <w:szCs w:val="20"/>
                <w:color w:val="auto"/>
              </w:rPr>
            </w:pPr>
            <w:r>
              <w:rPr>
                <w:rFonts w:ascii="Arial" w:cs="Arial" w:eastAsia="Arial" w:hAnsi="Arial"/>
                <w:sz w:val="18"/>
                <w:szCs w:val="18"/>
                <w:color w:val="auto"/>
              </w:rPr>
              <w:t>996</w:t>
            </w:r>
          </w:p>
        </w:tc>
        <w:tc>
          <w:tcPr>
            <w:tcW w:w="80" w:type="dxa"/>
            <w:vAlign w:val="bottom"/>
            <w:tcBorders>
              <w:bottom w:val="single" w:sz="8" w:color="E6E6E6"/>
            </w:tcBorders>
            <w:shd w:val="clear" w:color="auto" w:fill="E6E6E6"/>
          </w:tcPr>
          <w:p>
            <w:pPr>
              <w:spacing w:after="0"/>
              <w:rPr>
                <w:sz w:val="20"/>
                <w:szCs w:val="20"/>
                <w:color w:val="auto"/>
              </w:rPr>
            </w:pPr>
          </w:p>
        </w:tc>
        <w:tc>
          <w:tcPr>
            <w:tcW w:w="220" w:type="dxa"/>
            <w:vAlign w:val="bottom"/>
            <w:tcBorders>
              <w:bottom w:val="single" w:sz="8" w:color="auto"/>
            </w:tcBorders>
            <w:shd w:val="clear" w:color="auto" w:fill="E6E6E6"/>
          </w:tcPr>
          <w:p>
            <w:pPr>
              <w:jc w:val="right"/>
              <w:spacing w:after="0" w:line="199"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E6E6E6"/>
          </w:tcPr>
          <w:p>
            <w:pPr>
              <w:jc w:val="right"/>
              <w:spacing w:after="0" w:line="199" w:lineRule="exact"/>
              <w:rPr>
                <w:sz w:val="20"/>
                <w:szCs w:val="20"/>
                <w:color w:val="auto"/>
              </w:rPr>
            </w:pPr>
            <w:r>
              <w:rPr>
                <w:rFonts w:ascii="Arial" w:cs="Arial" w:eastAsia="Arial" w:hAnsi="Arial"/>
                <w:sz w:val="18"/>
                <w:szCs w:val="18"/>
                <w:color w:val="auto"/>
              </w:rPr>
              <w:t>654</w:t>
            </w:r>
          </w:p>
        </w:tc>
      </w:tr>
      <w:tr>
        <w:trPr>
          <w:trHeight w:val="104"/>
        </w:trPr>
        <w:tc>
          <w:tcPr>
            <w:tcW w:w="7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239"/>
        </w:trPr>
        <w:tc>
          <w:tcPr>
            <w:tcW w:w="7760" w:type="dxa"/>
            <w:vAlign w:val="bottom"/>
            <w:shd w:val="clear" w:color="auto" w:fill="E6E6E6"/>
          </w:tcPr>
          <w:p>
            <w:pPr>
              <w:ind w:left="60"/>
              <w:spacing w:after="0"/>
              <w:rPr>
                <w:sz w:val="20"/>
                <w:szCs w:val="20"/>
                <w:color w:val="auto"/>
              </w:rPr>
            </w:pPr>
            <w:r>
              <w:rPr>
                <w:rFonts w:ascii="Arial" w:cs="Arial" w:eastAsia="Arial" w:hAnsi="Arial"/>
                <w:sz w:val="18"/>
                <w:szCs w:val="18"/>
                <w:b w:val="1"/>
                <w:bCs w:val="1"/>
                <w:color w:val="auto"/>
              </w:rPr>
              <w:t>Supplemental Disclosures:</w:t>
            </w:r>
          </w:p>
        </w:tc>
        <w:tc>
          <w:tcPr>
            <w:tcW w:w="220" w:type="dxa"/>
            <w:vAlign w:val="bottom"/>
            <w:shd w:val="clear" w:color="auto" w:fill="E6E6E6"/>
          </w:tcPr>
          <w:p>
            <w:pPr>
              <w:spacing w:after="0"/>
              <w:rPr>
                <w:sz w:val="20"/>
                <w:szCs w:val="20"/>
                <w:color w:val="auto"/>
              </w:rPr>
            </w:pPr>
          </w:p>
        </w:tc>
        <w:tc>
          <w:tcPr>
            <w:tcW w:w="720" w:type="dxa"/>
            <w:vAlign w:val="bottom"/>
            <w:shd w:val="clear" w:color="auto" w:fill="E6E6E6"/>
          </w:tcPr>
          <w:p>
            <w:pPr>
              <w:spacing w:after="0"/>
              <w:rPr>
                <w:sz w:val="20"/>
                <w:szCs w:val="20"/>
                <w:color w:val="auto"/>
              </w:rPr>
            </w:pPr>
          </w:p>
        </w:tc>
        <w:tc>
          <w:tcPr>
            <w:tcW w:w="80" w:type="dxa"/>
            <w:vAlign w:val="bottom"/>
            <w:shd w:val="clear" w:color="auto" w:fill="E6E6E6"/>
          </w:tcPr>
          <w:p>
            <w:pPr>
              <w:spacing w:after="0"/>
              <w:rPr>
                <w:sz w:val="20"/>
                <w:szCs w:val="20"/>
                <w:color w:val="auto"/>
              </w:rPr>
            </w:pPr>
          </w:p>
        </w:tc>
        <w:tc>
          <w:tcPr>
            <w:tcW w:w="240" w:type="dxa"/>
            <w:vAlign w:val="bottom"/>
            <w:shd w:val="clear" w:color="auto" w:fill="E6E6E6"/>
          </w:tcPr>
          <w:p>
            <w:pPr>
              <w:spacing w:after="0"/>
              <w:rPr>
                <w:sz w:val="20"/>
                <w:szCs w:val="20"/>
                <w:color w:val="auto"/>
              </w:rPr>
            </w:pPr>
          </w:p>
        </w:tc>
        <w:tc>
          <w:tcPr>
            <w:tcW w:w="720" w:type="dxa"/>
            <w:vAlign w:val="bottom"/>
            <w:shd w:val="clear" w:color="auto" w:fill="E6E6E6"/>
          </w:tcPr>
          <w:p>
            <w:pPr>
              <w:spacing w:after="0"/>
              <w:rPr>
                <w:sz w:val="20"/>
                <w:szCs w:val="20"/>
                <w:color w:val="auto"/>
              </w:rPr>
            </w:pPr>
          </w:p>
        </w:tc>
        <w:tc>
          <w:tcPr>
            <w:tcW w:w="80" w:type="dxa"/>
            <w:vAlign w:val="bottom"/>
            <w:shd w:val="clear" w:color="auto" w:fill="E6E6E6"/>
          </w:tcPr>
          <w:p>
            <w:pPr>
              <w:spacing w:after="0"/>
              <w:rPr>
                <w:sz w:val="20"/>
                <w:szCs w:val="20"/>
                <w:color w:val="auto"/>
              </w:rPr>
            </w:pPr>
          </w:p>
        </w:tc>
        <w:tc>
          <w:tcPr>
            <w:tcW w:w="220" w:type="dxa"/>
            <w:vAlign w:val="bottom"/>
            <w:shd w:val="clear" w:color="auto" w:fill="E6E6E6"/>
          </w:tcPr>
          <w:p>
            <w:pPr>
              <w:spacing w:after="0"/>
              <w:rPr>
                <w:sz w:val="20"/>
                <w:szCs w:val="20"/>
                <w:color w:val="auto"/>
              </w:rPr>
            </w:pPr>
          </w:p>
        </w:tc>
        <w:tc>
          <w:tcPr>
            <w:tcW w:w="720" w:type="dxa"/>
            <w:vAlign w:val="bottom"/>
            <w:shd w:val="clear" w:color="auto" w:fill="E6E6E6"/>
          </w:tcPr>
          <w:p>
            <w:pPr>
              <w:spacing w:after="0"/>
              <w:rPr>
                <w:sz w:val="20"/>
                <w:szCs w:val="20"/>
                <w:color w:val="auto"/>
              </w:rPr>
            </w:pPr>
          </w:p>
        </w:tc>
      </w:tr>
      <w:tr>
        <w:trPr>
          <w:trHeight w:val="237"/>
        </w:trPr>
        <w:tc>
          <w:tcPr>
            <w:tcW w:w="7760" w:type="dxa"/>
            <w:vAlign w:val="bottom"/>
          </w:tcPr>
          <w:p>
            <w:pPr>
              <w:jc w:val="right"/>
              <w:spacing w:after="0"/>
              <w:rPr>
                <w:sz w:val="20"/>
                <w:szCs w:val="20"/>
                <w:color w:val="auto"/>
              </w:rPr>
            </w:pPr>
            <w:r>
              <w:rPr>
                <w:rFonts w:ascii="Arial" w:cs="Arial" w:eastAsia="Arial" w:hAnsi="Arial"/>
                <w:sz w:val="18"/>
                <w:szCs w:val="18"/>
                <w:color w:val="auto"/>
                <w:w w:val="93"/>
              </w:rPr>
              <w:t xml:space="preserve">Interest paid, net of amount capitalized </w:t>
            </w:r>
            <w:r>
              <w:rPr>
                <w:rFonts w:ascii="Arial" w:cs="Arial" w:eastAsia="Arial" w:hAnsi="Arial"/>
                <w:sz w:val="18"/>
                <w:szCs w:val="18"/>
                <w:color w:val="BDBDBD"/>
                <w:w w:val="93"/>
              </w:rPr>
              <w:t>. . . . . . . . . . . . . . . . . . . . . . . . . . . . . . . . . . . . . . . . . . . . . . . . . . .</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(304)</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(337)</w:t>
            </w:r>
          </w:p>
        </w:tc>
      </w:tr>
      <w:tr>
        <w:trPr>
          <w:trHeight w:val="241"/>
        </w:trPr>
        <w:tc>
          <w:tcPr>
            <w:tcW w:w="776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2"/>
              </w:rPr>
              <w:t xml:space="preserve">Income taxes paid </w:t>
            </w:r>
            <w:r>
              <w:rPr>
                <w:rFonts w:ascii="Arial" w:cs="Arial" w:eastAsia="Arial" w:hAnsi="Arial"/>
                <w:sz w:val="18"/>
                <w:szCs w:val="18"/>
                <w:color w:val="BDBDBD"/>
                <w:w w:val="92"/>
              </w:rPr>
              <w:t>. . . . . . . . . . . . . . . . . . . . . . . . . . . . . . . . . . . . . . . . . . . . . . . . . . . . . . . . . . . . . . . . . . . .</w:t>
            </w:r>
          </w:p>
        </w:tc>
        <w:tc>
          <w:tcPr>
            <w:tcW w:w="22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E6E6E6"/>
          </w:tcPr>
          <w:p>
            <w:pPr>
              <w:spacing w:after="0"/>
              <w:rPr>
                <w:sz w:val="20"/>
                <w:szCs w:val="20"/>
                <w:color w:val="auto"/>
              </w:rPr>
            </w:pPr>
          </w:p>
        </w:tc>
        <w:tc>
          <w:tcPr>
            <w:tcW w:w="24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E6E6E6"/>
          </w:tcPr>
          <w:p>
            <w:pPr>
              <w:spacing w:after="0"/>
              <w:rPr>
                <w:sz w:val="20"/>
                <w:szCs w:val="20"/>
                <w:color w:val="auto"/>
              </w:rPr>
            </w:pPr>
          </w:p>
        </w:tc>
        <w:tc>
          <w:tcPr>
            <w:tcW w:w="22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7760" w:type="dxa"/>
            <w:vAlign w:val="bottom"/>
          </w:tcPr>
          <w:p>
            <w:pPr>
              <w:ind w:left="60"/>
              <w:spacing w:after="0"/>
              <w:rPr>
                <w:sz w:val="20"/>
                <w:szCs w:val="20"/>
                <w:color w:val="auto"/>
              </w:rPr>
            </w:pPr>
            <w:r>
              <w:rPr>
                <w:rFonts w:ascii="Arial" w:cs="Arial" w:eastAsia="Arial" w:hAnsi="Arial"/>
                <w:sz w:val="18"/>
                <w:szCs w:val="18"/>
                <w:b w:val="1"/>
                <w:bCs w:val="1"/>
                <w:color w:val="auto"/>
              </w:rPr>
              <w:t>Non-cash investing and financing activities:</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39"/>
        </w:trPr>
        <w:tc>
          <w:tcPr>
            <w:tcW w:w="776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3"/>
              </w:rPr>
              <w:t xml:space="preserve">Non-cash adjustment for change in tax basis </w:t>
            </w:r>
            <w:r>
              <w:rPr>
                <w:rFonts w:ascii="Arial" w:cs="Arial" w:eastAsia="Arial" w:hAnsi="Arial"/>
                <w:sz w:val="18"/>
                <w:szCs w:val="18"/>
                <w:color w:val="BDBDBD"/>
                <w:w w:val="93"/>
              </w:rPr>
              <w:t>. . . . . . . . . . . . . . . . . . . . . . . . . . . . . . . . . . . . . . . . . . . . . . .</w:t>
            </w:r>
          </w:p>
        </w:tc>
        <w:tc>
          <w:tcPr>
            <w:tcW w:w="22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E6E6E6"/>
          </w:tcPr>
          <w:p>
            <w:pPr>
              <w:spacing w:after="0"/>
              <w:rPr>
                <w:sz w:val="20"/>
                <w:szCs w:val="20"/>
                <w:color w:val="auto"/>
              </w:rPr>
            </w:pPr>
          </w:p>
        </w:tc>
        <w:tc>
          <w:tcPr>
            <w:tcW w:w="24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E6E6E6"/>
          </w:tcPr>
          <w:p>
            <w:pPr>
              <w:spacing w:after="0"/>
              <w:rPr>
                <w:sz w:val="20"/>
                <w:szCs w:val="20"/>
                <w:color w:val="auto"/>
              </w:rPr>
            </w:pPr>
          </w:p>
        </w:tc>
        <w:tc>
          <w:tcPr>
            <w:tcW w:w="220" w:type="dxa"/>
            <w:vAlign w:val="bottom"/>
            <w:shd w:val="clear" w:color="auto" w:fill="E6E6E6"/>
          </w:tcPr>
          <w:p>
            <w:pPr>
              <w:spacing w:after="0"/>
              <w:rPr>
                <w:sz w:val="20"/>
                <w:szCs w:val="20"/>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w:t>
            </w:r>
          </w:p>
        </w:tc>
      </w:tr>
      <w:tr>
        <w:trPr>
          <w:trHeight w:val="234"/>
        </w:trPr>
        <w:tc>
          <w:tcPr>
            <w:tcW w:w="7760" w:type="dxa"/>
            <w:vAlign w:val="bottom"/>
          </w:tcPr>
          <w:p>
            <w:pPr>
              <w:jc w:val="right"/>
              <w:spacing w:after="0"/>
              <w:rPr>
                <w:sz w:val="20"/>
                <w:szCs w:val="20"/>
                <w:color w:val="auto"/>
              </w:rPr>
            </w:pPr>
            <w:r>
              <w:rPr>
                <w:rFonts w:ascii="Arial" w:cs="Arial" w:eastAsia="Arial" w:hAnsi="Arial"/>
                <w:sz w:val="18"/>
                <w:szCs w:val="18"/>
                <w:color w:val="auto"/>
                <w:w w:val="94"/>
              </w:rPr>
              <w:t xml:space="preserve">Non-cash (distributions to), contributions from noncontrolling interests  </w:t>
            </w:r>
            <w:r>
              <w:rPr>
                <w:rFonts w:ascii="Arial" w:cs="Arial" w:eastAsia="Arial" w:hAnsi="Arial"/>
                <w:sz w:val="18"/>
                <w:szCs w:val="18"/>
                <w:color w:val="BDBDBD"/>
                <w:w w:val="94"/>
              </w:rPr>
              <w:t>. . . . . . . . . . . . . . . . . . . . . . . . .</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-5704840</wp:posOffset>
            </wp:positionV>
            <wp:extent cx="193040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05">
                      <a:extLst>
                        <a:ext uri="{28A0092B-C50C-407E-A947-70E740481C1C}"/>
                      </a:extLst>
                    </a:blip>
                    <a:srcRect/>
                    <a:stretch>
                      <a:fillRect/>
                    </a:stretch>
                  </pic:blipFill>
                  <pic:spPr bwMode="auto">
                    <a:xfrm>
                      <a:off x="0" y="0"/>
                      <a:ext cx="1930400" cy="25400"/>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-5553710</wp:posOffset>
            </wp:positionV>
            <wp:extent cx="1930400"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06">
                      <a:extLst>
                        <a:ext uri="{28A0092B-C50C-407E-A947-70E740481C1C}"/>
                      </a:extLst>
                    </a:blip>
                    <a:srcRect/>
                    <a:stretch>
                      <a:fillRect/>
                    </a:stretch>
                  </pic:blipFill>
                  <pic:spPr bwMode="auto">
                    <a:xfrm>
                      <a:off x="0" y="0"/>
                      <a:ext cx="1930400" cy="25400"/>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-3733800</wp:posOffset>
            </wp:positionV>
            <wp:extent cx="1930400"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07">
                      <a:extLst>
                        <a:ext uri="{28A0092B-C50C-407E-A947-70E740481C1C}"/>
                      </a:extLst>
                    </a:blip>
                    <a:srcRect/>
                    <a:stretch>
                      <a:fillRect/>
                    </a:stretch>
                  </pic:blipFill>
                  <pic:spPr bwMode="auto">
                    <a:xfrm>
                      <a:off x="0" y="0"/>
                      <a:ext cx="1930400" cy="25400"/>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-3582035</wp:posOffset>
            </wp:positionV>
            <wp:extent cx="1930400"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08">
                      <a:extLst>
                        <a:ext uri="{28A0092B-C50C-407E-A947-70E740481C1C}"/>
                      </a:extLst>
                    </a:blip>
                    <a:srcRect/>
                    <a:stretch>
                      <a:fillRect/>
                    </a:stretch>
                  </pic:blipFill>
                  <pic:spPr bwMode="auto">
                    <a:xfrm>
                      <a:off x="0" y="0"/>
                      <a:ext cx="1930400" cy="25400"/>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-1762760</wp:posOffset>
            </wp:positionV>
            <wp:extent cx="1930400"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09">
                      <a:extLst>
                        <a:ext uri="{28A0092B-C50C-407E-A947-70E740481C1C}"/>
                      </a:extLst>
                    </a:blip>
                    <a:srcRect/>
                    <a:stretch>
                      <a:fillRect/>
                    </a:stretch>
                  </pic:blipFill>
                  <pic:spPr bwMode="auto">
                    <a:xfrm>
                      <a:off x="0" y="0"/>
                      <a:ext cx="1930400" cy="25400"/>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-1610995</wp:posOffset>
            </wp:positionV>
            <wp:extent cx="1930400"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10">
                      <a:extLst>
                        <a:ext uri="{28A0092B-C50C-407E-A947-70E740481C1C}"/>
                      </a:extLst>
                    </a:blip>
                    <a:srcRect/>
                    <a:stretch>
                      <a:fillRect/>
                    </a:stretch>
                  </pic:blipFill>
                  <pic:spPr bwMode="auto">
                    <a:xfrm>
                      <a:off x="0" y="0"/>
                      <a:ext cx="1930400" cy="25400"/>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-1459230</wp:posOffset>
            </wp:positionV>
            <wp:extent cx="1930400"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11">
                      <a:extLst>
                        <a:ext uri="{28A0092B-C50C-407E-A947-70E740481C1C}"/>
                      </a:extLst>
                    </a:blip>
                    <a:srcRect/>
                    <a:stretch>
                      <a:fillRect/>
                    </a:stretch>
                  </pic:blipFill>
                  <pic:spPr bwMode="auto">
                    <a:xfrm>
                      <a:off x="0" y="0"/>
                      <a:ext cx="1930400" cy="25400"/>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-1155700</wp:posOffset>
            </wp:positionV>
            <wp:extent cx="1930400"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12">
                      <a:extLst>
                        <a:ext uri="{28A0092B-C50C-407E-A947-70E740481C1C}"/>
                      </a:extLst>
                    </a:blip>
                    <a:srcRect/>
                    <a:stretch>
                      <a:fillRect/>
                    </a:stretch>
                  </pic:blipFill>
                  <pic:spPr bwMode="auto">
                    <a:xfrm>
                      <a:off x="0" y="0"/>
                      <a:ext cx="1930400" cy="25400"/>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-1017270</wp:posOffset>
            </wp:positionV>
            <wp:extent cx="1930400" cy="508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13">
                      <a:extLst>
                        <a:ext uri="{28A0092B-C50C-407E-A947-70E740481C1C}"/>
                      </a:extLst>
                    </a:blip>
                    <a:srcRect/>
                    <a:stretch>
                      <a:fillRect/>
                    </a:stretch>
                  </pic:blipFill>
                  <pic:spPr bwMode="auto">
                    <a:xfrm>
                      <a:off x="0" y="0"/>
                      <a:ext cx="1930400" cy="50800"/>
                    </a:xfrm>
                    <a:prstGeom prst="rect">
                      <a:avLst/>
                    </a:prstGeom>
                    <a:noFill/>
                  </pic:spPr>
                </pic:pic>
              </a:graphicData>
            </a:graphic>
          </wp:anchor>
        </w:drawing>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consolidated financial statements.</w:t>
      </w:r>
    </w:p>
    <w:p>
      <w:pPr>
        <w:sectPr>
          <w:pgSz w:w="11880" w:h="15480" w:orient="portrait"/>
          <w:cols w:equalWidth="0" w:num="1">
            <w:col w:w="10760"/>
          </w:cols>
          <w:pgMar w:left="560" w:top="399" w:right="560" w:bottom="0" w:gutter="0" w:footer="0" w:header="0"/>
        </w:sectPr>
      </w:pP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ectPr>
          <w:pgSz w:w="11880" w:h="15480" w:orient="portrait"/>
          <w:cols w:equalWidth="0" w:num="1">
            <w:col w:w="10760"/>
          </w:cols>
          <w:pgMar w:left="560" w:top="399" w:right="560" w:bottom="0" w:gutter="0" w:footer="0" w:header="0"/>
          <w:type w:val="continuous"/>
        </w:sectPr>
      </w:pPr>
    </w:p>
    <w:bookmarkStart w:id="80" w:name="page81"/>
    <w:bookmarkEnd w:id="80"/>
    <w:p>
      <w:pPr>
        <w:jc w:val="center"/>
        <w:spacing w:after="0"/>
        <w:rPr>
          <w:sz w:val="20"/>
          <w:szCs w:val="20"/>
          <w:color w:val="auto"/>
        </w:rPr>
      </w:pPr>
      <w:r>
        <w:rPr>
          <w:rFonts w:ascii="Arial" w:cs="Arial" w:eastAsia="Arial" w:hAnsi="Arial"/>
          <w:sz w:val="20"/>
          <w:szCs w:val="20"/>
          <w:b w:val="1"/>
          <w:bCs w:val="1"/>
          <w:color w:val="auto"/>
        </w:rPr>
        <w:t>CLEARWAY ENERGY, INC.</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STOCKHOLDERS’ EQUITY</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restart"/>
          </w:tcPr>
          <w:p>
            <w:pPr>
              <w:jc w:val="right"/>
              <w:ind w:right="1"/>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41"/>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rPr>
              <w:t>Non-</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restart"/>
          </w:tcPr>
          <w:p>
            <w:pPr>
              <w:jc w:val="center"/>
              <w:ind w:right="12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9"/>
        </w:trPr>
        <w:tc>
          <w:tcPr>
            <w:tcW w:w="4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9"/>
              </w:rPr>
              <w:t>Preferred</w:t>
            </w:r>
          </w:p>
        </w:tc>
        <w:tc>
          <w:tcPr>
            <w:tcW w:w="60" w:type="dxa"/>
            <w:vAlign w:val="bottom"/>
          </w:tcPr>
          <w:p>
            <w:pPr>
              <w:spacing w:after="0"/>
              <w:rPr>
                <w:sz w:val="12"/>
                <w:szCs w:val="12"/>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Common</w:t>
            </w: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ind w:right="81"/>
              <w:spacing w:after="0" w:line="139" w:lineRule="exact"/>
              <w:rPr>
                <w:sz w:val="20"/>
                <w:szCs w:val="20"/>
                <w:color w:val="auto"/>
              </w:rPr>
            </w:pPr>
            <w:r>
              <w:rPr>
                <w:rFonts w:ascii="Arial" w:cs="Arial" w:eastAsia="Arial" w:hAnsi="Arial"/>
                <w:sz w:val="14"/>
                <w:szCs w:val="14"/>
                <w:b w:val="1"/>
                <w:bCs w:val="1"/>
                <w:color w:val="auto"/>
                <w:w w:val="92"/>
              </w:rPr>
              <w:t>Deficit)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41"/>
              <w:spacing w:after="0" w:line="13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6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101"/>
              <w:spacing w:after="0" w:line="139" w:lineRule="exact"/>
              <w:rPr>
                <w:sz w:val="20"/>
                <w:szCs w:val="20"/>
                <w:color w:val="auto"/>
              </w:rPr>
            </w:pPr>
            <w:r>
              <w:rPr>
                <w:rFonts w:ascii="Arial" w:cs="Arial" w:eastAsia="Arial" w:hAnsi="Arial"/>
                <w:sz w:val="14"/>
                <w:szCs w:val="14"/>
                <w:b w:val="1"/>
                <w:bCs w:val="1"/>
                <w:color w:val="auto"/>
                <w:w w:val="98"/>
              </w:rPr>
              <w:t>Paid-In</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ind w:right="81"/>
              <w:spacing w:after="0" w:line="139" w:lineRule="exact"/>
              <w:rPr>
                <w:sz w:val="20"/>
                <w:szCs w:val="20"/>
                <w:color w:val="auto"/>
              </w:rPr>
            </w:pPr>
            <w:r>
              <w:rPr>
                <w:rFonts w:ascii="Arial" w:cs="Arial" w:eastAsia="Arial" w:hAnsi="Arial"/>
                <w:sz w:val="14"/>
                <w:szCs w:val="14"/>
                <w:b w:val="1"/>
                <w:bCs w:val="1"/>
                <w:color w:val="auto"/>
                <w:w w:val="87"/>
              </w:rPr>
              <w:t>Retained</w:t>
            </w:r>
          </w:p>
        </w:tc>
        <w:tc>
          <w:tcPr>
            <w:tcW w:w="60" w:type="dxa"/>
            <w:vAlign w:val="bottom"/>
          </w:tcPr>
          <w:p>
            <w:pPr>
              <w:spacing w:after="0"/>
              <w:rPr>
                <w:sz w:val="12"/>
                <w:szCs w:val="12"/>
                <w:color w:val="auto"/>
              </w:rPr>
            </w:pPr>
          </w:p>
        </w:tc>
        <w:tc>
          <w:tcPr>
            <w:tcW w:w="106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w w:val="87"/>
              </w:rPr>
              <w:t>Comprehensive</w:t>
            </w:r>
          </w:p>
        </w:tc>
        <w:tc>
          <w:tcPr>
            <w:tcW w:w="80" w:type="dxa"/>
            <w:vAlign w:val="bottom"/>
          </w:tcPr>
          <w:p>
            <w:pPr>
              <w:spacing w:after="0"/>
              <w:rPr>
                <w:sz w:val="12"/>
                <w:szCs w:val="12"/>
                <w:color w:val="auto"/>
              </w:rPr>
            </w:pPr>
          </w:p>
        </w:tc>
        <w:tc>
          <w:tcPr>
            <w:tcW w:w="78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w w:val="96"/>
              </w:rPr>
              <w:t>controlling</w:t>
            </w:r>
          </w:p>
        </w:tc>
        <w:tc>
          <w:tcPr>
            <w:tcW w:w="80" w:type="dxa"/>
            <w:vAlign w:val="bottom"/>
          </w:tcPr>
          <w:p>
            <w:pPr>
              <w:spacing w:after="0"/>
              <w:rPr>
                <w:sz w:val="12"/>
                <w:szCs w:val="12"/>
                <w:color w:val="auto"/>
              </w:rPr>
            </w:pPr>
          </w:p>
        </w:tc>
        <w:tc>
          <w:tcPr>
            <w:tcW w:w="96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w w:val="88"/>
              </w:rPr>
              <w:t>Stockholders’</w:t>
            </w:r>
          </w:p>
        </w:tc>
        <w:tc>
          <w:tcPr>
            <w:tcW w:w="0" w:type="dxa"/>
            <w:vAlign w:val="bottom"/>
          </w:tcPr>
          <w:p>
            <w:pPr>
              <w:spacing w:after="0"/>
              <w:rPr>
                <w:sz w:val="1"/>
                <w:szCs w:val="1"/>
                <w:color w:val="auto"/>
              </w:rPr>
            </w:pPr>
          </w:p>
        </w:tc>
      </w:tr>
      <w:tr>
        <w:trPr>
          <w:trHeight w:val="189"/>
        </w:trPr>
        <w:tc>
          <w:tcPr>
            <w:tcW w:w="4100" w:type="dxa"/>
            <w:vAlign w:val="bottom"/>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Stock</w:t>
            </w: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0"/>
              </w:rPr>
              <w:t>Earnings</w:t>
            </w:r>
          </w:p>
        </w:tc>
        <w:tc>
          <w:tcPr>
            <w:tcW w:w="60" w:type="dxa"/>
            <w:vAlign w:val="bottom"/>
          </w:tcPr>
          <w:p>
            <w:pPr>
              <w:spacing w:after="0"/>
              <w:rPr>
                <w:sz w:val="16"/>
                <w:szCs w:val="16"/>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(Loss) Income</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w w:val="90"/>
              </w:rPr>
              <w:t>Interest</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36"/>
        </w:trPr>
        <w:tc>
          <w:tcPr>
            <w:tcW w:w="4100" w:type="dxa"/>
            <w:vAlign w:val="bottom"/>
            <w:gridSpan w:val="2"/>
          </w:tcPr>
          <w:p>
            <w:pPr>
              <w:ind w:left="40"/>
              <w:spacing w:after="0"/>
              <w:rPr>
                <w:sz w:val="20"/>
                <w:szCs w:val="20"/>
                <w:color w:val="auto"/>
              </w:rPr>
            </w:pPr>
            <w:r>
              <w:rPr>
                <w:rFonts w:ascii="Arial" w:cs="Arial" w:eastAsia="Arial" w:hAnsi="Arial"/>
                <w:sz w:val="16"/>
                <w:szCs w:val="16"/>
                <w:b w:val="1"/>
                <w:bCs w:val="1"/>
                <w:color w:val="auto"/>
              </w:rPr>
              <w:t>Balances at December 31, 2020</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540" w:type="dxa"/>
            <w:vAlign w:val="bottom"/>
          </w:tcPr>
          <w:p>
            <w:pPr>
              <w:ind w:left="300"/>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1,922</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(84)</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890</w:t>
            </w:r>
          </w:p>
        </w:tc>
        <w:tc>
          <w:tcPr>
            <w:tcW w:w="280" w:type="dxa"/>
            <w:vAlign w:val="bottom"/>
            <w:gridSpan w:val="2"/>
          </w:tcPr>
          <w:p>
            <w:pPr>
              <w:jc w:val="right"/>
              <w:ind w:right="1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2,715</w:t>
            </w:r>
          </w:p>
        </w:tc>
        <w:tc>
          <w:tcPr>
            <w:tcW w:w="0" w:type="dxa"/>
            <w:vAlign w:val="bottom"/>
          </w:tcPr>
          <w:p>
            <w:pPr>
              <w:spacing w:after="0"/>
              <w:rPr>
                <w:sz w:val="1"/>
                <w:szCs w:val="1"/>
                <w:color w:val="auto"/>
              </w:rPr>
            </w:pPr>
          </w:p>
        </w:tc>
      </w:tr>
      <w:tr>
        <w:trPr>
          <w:trHeight w:val="262"/>
        </w:trPr>
        <w:tc>
          <w:tcPr>
            <w:tcW w:w="4100" w:type="dxa"/>
            <w:vAlign w:val="bottom"/>
            <w:gridSpan w:val="2"/>
            <w:shd w:val="clear" w:color="auto" w:fill="E6E6E6"/>
          </w:tcPr>
          <w:p>
            <w:pPr>
              <w:ind w:left="160"/>
              <w:spacing w:after="0"/>
              <w:rPr>
                <w:sz w:val="20"/>
                <w:szCs w:val="20"/>
                <w:color w:val="auto"/>
              </w:rPr>
            </w:pPr>
            <w:r>
              <w:rPr>
                <w:rFonts w:ascii="Arial" w:cs="Arial" w:eastAsia="Arial" w:hAnsi="Arial"/>
                <w:sz w:val="16"/>
                <w:szCs w:val="16"/>
                <w:color w:val="auto"/>
                <w:w w:val="91"/>
              </w:rPr>
              <w:t xml:space="preserve">Net income (loss) </w:t>
            </w:r>
            <w:r>
              <w:rPr>
                <w:rFonts w:ascii="Arial" w:cs="Arial" w:eastAsia="Arial" w:hAnsi="Arial"/>
                <w:sz w:val="16"/>
                <w:szCs w:val="16"/>
                <w:color w:val="BDBDBD"/>
                <w:w w:val="91"/>
              </w:rPr>
              <w:t>. . . . . . . . . . . . . . . . . . . . . . . . . . . . . . . . . .</w:t>
            </w:r>
          </w:p>
        </w:tc>
        <w:tc>
          <w:tcPr>
            <w:tcW w:w="140" w:type="dxa"/>
            <w:vAlign w:val="bottom"/>
            <w:shd w:val="clear" w:color="auto" w:fill="E6E6E6"/>
          </w:tcPr>
          <w:p>
            <w:pPr>
              <w:spacing w:after="0"/>
              <w:rPr>
                <w:sz w:val="22"/>
                <w:szCs w:val="22"/>
                <w:color w:val="auto"/>
              </w:rPr>
            </w:pPr>
          </w:p>
        </w:tc>
        <w:tc>
          <w:tcPr>
            <w:tcW w:w="540" w:type="dxa"/>
            <w:vAlign w:val="bottom"/>
            <w:shd w:val="clear" w:color="auto" w:fill="E6E6E6"/>
          </w:tcPr>
          <w:p>
            <w:pPr>
              <w:ind w:left="300"/>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5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6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800" w:type="dxa"/>
            <w:vAlign w:val="bottom"/>
            <w:shd w:val="clear" w:color="auto" w:fill="E6E6E6"/>
          </w:tcPr>
          <w:p>
            <w:pPr>
              <w:jc w:val="right"/>
              <w:ind w:right="1"/>
              <w:spacing w:after="0"/>
              <w:rPr>
                <w:sz w:val="20"/>
                <w:szCs w:val="20"/>
                <w:color w:val="auto"/>
              </w:rPr>
            </w:pPr>
            <w:r>
              <w:rPr>
                <w:rFonts w:ascii="Arial" w:cs="Arial" w:eastAsia="Arial" w:hAnsi="Arial"/>
                <w:sz w:val="16"/>
                <w:szCs w:val="16"/>
                <w:color w:val="auto"/>
              </w:rPr>
              <w:t>51</w:t>
            </w:r>
          </w:p>
        </w:tc>
        <w:tc>
          <w:tcPr>
            <w:tcW w:w="6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6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(130)</w:t>
            </w:r>
          </w:p>
        </w:tc>
        <w:tc>
          <w:tcPr>
            <w:tcW w:w="8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182"/>
        </w:trPr>
        <w:tc>
          <w:tcPr>
            <w:tcW w:w="4100" w:type="dxa"/>
            <w:vAlign w:val="bottom"/>
            <w:gridSpan w:val="2"/>
          </w:tcPr>
          <w:p>
            <w:pPr>
              <w:ind w:left="160"/>
              <w:spacing w:after="0" w:line="182" w:lineRule="exact"/>
              <w:rPr>
                <w:sz w:val="20"/>
                <w:szCs w:val="20"/>
                <w:color w:val="auto"/>
              </w:rPr>
            </w:pPr>
            <w:r>
              <w:rPr>
                <w:rFonts w:ascii="Arial" w:cs="Arial" w:eastAsia="Arial" w:hAnsi="Arial"/>
                <w:sz w:val="16"/>
                <w:szCs w:val="16"/>
                <w:color w:val="auto"/>
                <w:w w:val="92"/>
              </w:rPr>
              <w:t>Unrealized gain on derivatives and changes in accumulated</w:t>
            </w:r>
          </w:p>
        </w:tc>
        <w:tc>
          <w:tcPr>
            <w:tcW w:w="140" w:type="dxa"/>
            <w:vAlign w:val="bottom"/>
          </w:tcPr>
          <w:p>
            <w:pPr>
              <w:spacing w:after="0"/>
              <w:rPr>
                <w:sz w:val="15"/>
                <w:szCs w:val="15"/>
                <w:color w:val="auto"/>
              </w:rPr>
            </w:pPr>
          </w:p>
        </w:tc>
        <w:tc>
          <w:tcPr>
            <w:tcW w:w="540" w:type="dxa"/>
            <w:vAlign w:val="bottom"/>
            <w:vMerge w:val="restart"/>
          </w:tcPr>
          <w:p>
            <w:pPr>
              <w:ind w:left="3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4"/>
        </w:trPr>
        <w:tc>
          <w:tcPr>
            <w:tcW w:w="4100" w:type="dxa"/>
            <w:vAlign w:val="bottom"/>
            <w:gridSpan w:val="2"/>
          </w:tcPr>
          <w:p>
            <w:pPr>
              <w:ind w:left="160"/>
              <w:spacing w:after="0"/>
              <w:rPr>
                <w:sz w:val="20"/>
                <w:szCs w:val="20"/>
                <w:color w:val="auto"/>
              </w:rPr>
            </w:pPr>
            <w:r>
              <w:rPr>
                <w:rFonts w:ascii="Arial" w:cs="Arial" w:eastAsia="Arial" w:hAnsi="Arial"/>
                <w:sz w:val="16"/>
                <w:szCs w:val="16"/>
                <w:color w:val="auto"/>
                <w:w w:val="91"/>
              </w:rPr>
              <w:t xml:space="preserve">OCL, net of tax </w:t>
            </w:r>
            <w:r>
              <w:rPr>
                <w:rFonts w:ascii="Arial" w:cs="Arial" w:eastAsia="Arial" w:hAnsi="Arial"/>
                <w:sz w:val="16"/>
                <w:szCs w:val="16"/>
                <w:color w:val="BDBDBD"/>
                <w:w w:val="91"/>
              </w:rPr>
              <w:t>. . . . . . . . . . . . . . . . . . . . . . . . . . . . . . . . . . . .</w:t>
            </w:r>
          </w:p>
        </w:tc>
        <w:tc>
          <w:tcPr>
            <w:tcW w:w="14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4100" w:type="dxa"/>
            <w:vAlign w:val="bottom"/>
            <w:gridSpan w:val="2"/>
            <w:shd w:val="clear" w:color="auto" w:fill="E6E6E6"/>
          </w:tcPr>
          <w:p>
            <w:pPr>
              <w:ind w:left="160"/>
              <w:spacing w:after="0"/>
              <w:rPr>
                <w:sz w:val="20"/>
                <w:szCs w:val="20"/>
                <w:color w:val="auto"/>
              </w:rPr>
            </w:pPr>
            <w:r>
              <w:rPr>
                <w:rFonts w:ascii="Arial" w:cs="Arial" w:eastAsia="Arial" w:hAnsi="Arial"/>
                <w:sz w:val="16"/>
                <w:szCs w:val="16"/>
                <w:color w:val="auto"/>
                <w:w w:val="93"/>
              </w:rPr>
              <w:t xml:space="preserve">Contributions from CEG, net of distributions, non-cash </w:t>
            </w:r>
            <w:r>
              <w:rPr>
                <w:rFonts w:ascii="Arial" w:cs="Arial" w:eastAsia="Arial" w:hAnsi="Arial"/>
                <w:sz w:val="16"/>
                <w:szCs w:val="16"/>
                <w:color w:val="BDBDBD"/>
                <w:w w:val="93"/>
              </w:rPr>
              <w:t>. . . .</w:t>
            </w:r>
          </w:p>
        </w:tc>
        <w:tc>
          <w:tcPr>
            <w:tcW w:w="140" w:type="dxa"/>
            <w:vAlign w:val="bottom"/>
            <w:shd w:val="clear" w:color="auto" w:fill="E6E6E6"/>
          </w:tcPr>
          <w:p>
            <w:pPr>
              <w:spacing w:after="0"/>
              <w:rPr>
                <w:sz w:val="22"/>
                <w:szCs w:val="22"/>
                <w:color w:val="auto"/>
              </w:rPr>
            </w:pPr>
          </w:p>
        </w:tc>
        <w:tc>
          <w:tcPr>
            <w:tcW w:w="540" w:type="dxa"/>
            <w:vAlign w:val="bottom"/>
            <w:shd w:val="clear" w:color="auto" w:fill="E6E6E6"/>
          </w:tcPr>
          <w:p>
            <w:pPr>
              <w:ind w:left="300"/>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5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6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800" w:type="dxa"/>
            <w:vAlign w:val="bottom"/>
            <w:shd w:val="clear" w:color="auto" w:fill="E6E6E6"/>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6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31</w:t>
            </w:r>
          </w:p>
        </w:tc>
        <w:tc>
          <w:tcPr>
            <w:tcW w:w="8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46"/>
        </w:trPr>
        <w:tc>
          <w:tcPr>
            <w:tcW w:w="4100" w:type="dxa"/>
            <w:vAlign w:val="bottom"/>
            <w:gridSpan w:val="2"/>
          </w:tcPr>
          <w:p>
            <w:pPr>
              <w:ind w:left="160"/>
              <w:spacing w:after="0"/>
              <w:rPr>
                <w:sz w:val="20"/>
                <w:szCs w:val="20"/>
                <w:color w:val="auto"/>
              </w:rPr>
            </w:pPr>
            <w:r>
              <w:rPr>
                <w:rFonts w:ascii="Arial" w:cs="Arial" w:eastAsia="Arial" w:hAnsi="Arial"/>
                <w:sz w:val="16"/>
                <w:szCs w:val="16"/>
                <w:color w:val="auto"/>
                <w:w w:val="92"/>
              </w:rPr>
              <w:t xml:space="preserve">Contributions from CEG, net of distributions, cash </w:t>
            </w:r>
            <w:r>
              <w:rPr>
                <w:rFonts w:ascii="Arial" w:cs="Arial" w:eastAsia="Arial" w:hAnsi="Arial"/>
                <w:sz w:val="16"/>
                <w:szCs w:val="16"/>
                <w:color w:val="BDBDBD"/>
                <w:w w:val="92"/>
              </w:rPr>
              <w:t>. . . . . . . .</w:t>
            </w:r>
          </w:p>
        </w:tc>
        <w:tc>
          <w:tcPr>
            <w:tcW w:w="140" w:type="dxa"/>
            <w:vAlign w:val="bottom"/>
          </w:tcPr>
          <w:p>
            <w:pPr>
              <w:spacing w:after="0"/>
              <w:rPr>
                <w:sz w:val="21"/>
                <w:szCs w:val="21"/>
                <w:color w:val="auto"/>
              </w:rPr>
            </w:pPr>
          </w:p>
        </w:tc>
        <w:tc>
          <w:tcPr>
            <w:tcW w:w="540" w:type="dxa"/>
            <w:vAlign w:val="bottom"/>
          </w:tcPr>
          <w:p>
            <w:pPr>
              <w:ind w:left="3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296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296</w:t>
            </w:r>
          </w:p>
        </w:tc>
        <w:tc>
          <w:tcPr>
            <w:tcW w:w="0" w:type="dxa"/>
            <w:vAlign w:val="bottom"/>
          </w:tcPr>
          <w:p>
            <w:pPr>
              <w:spacing w:after="0"/>
              <w:rPr>
                <w:sz w:val="1"/>
                <w:szCs w:val="1"/>
                <w:color w:val="auto"/>
              </w:rPr>
            </w:pPr>
          </w:p>
        </w:tc>
      </w:tr>
      <w:tr>
        <w:trPr>
          <w:trHeight w:val="191"/>
        </w:trPr>
        <w:tc>
          <w:tcPr>
            <w:tcW w:w="4100" w:type="dxa"/>
            <w:vAlign w:val="bottom"/>
            <w:gridSpan w:val="2"/>
            <w:shd w:val="clear" w:color="auto" w:fill="E6E6E6"/>
          </w:tcPr>
          <w:p>
            <w:pPr>
              <w:ind w:left="160"/>
              <w:spacing w:after="0"/>
              <w:rPr>
                <w:sz w:val="20"/>
                <w:szCs w:val="20"/>
                <w:color w:val="auto"/>
              </w:rPr>
            </w:pPr>
            <w:r>
              <w:rPr>
                <w:rFonts w:ascii="Arial" w:cs="Arial" w:eastAsia="Arial" w:hAnsi="Arial"/>
                <w:sz w:val="16"/>
                <w:szCs w:val="16"/>
                <w:color w:val="auto"/>
              </w:rPr>
              <w:t>Contributions from noncontrolling interests, net of</w:t>
            </w:r>
          </w:p>
        </w:tc>
        <w:tc>
          <w:tcPr>
            <w:tcW w:w="140" w:type="dxa"/>
            <w:vAlign w:val="bottom"/>
            <w:shd w:val="clear" w:color="auto" w:fill="E6E6E6"/>
          </w:tcPr>
          <w:p>
            <w:pPr>
              <w:spacing w:after="0"/>
              <w:rPr>
                <w:sz w:val="16"/>
                <w:szCs w:val="16"/>
                <w:color w:val="auto"/>
              </w:rPr>
            </w:pPr>
          </w:p>
        </w:tc>
        <w:tc>
          <w:tcPr>
            <w:tcW w:w="540" w:type="dxa"/>
            <w:vAlign w:val="bottom"/>
            <w:vMerge w:val="restart"/>
            <w:shd w:val="clear" w:color="auto" w:fill="E6E6E6"/>
          </w:tcPr>
          <w:p>
            <w:pPr>
              <w:ind w:left="300"/>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16"/>
                <w:szCs w:val="16"/>
                <w:color w:val="auto"/>
              </w:rPr>
            </w:pPr>
          </w:p>
        </w:tc>
        <w:tc>
          <w:tcPr>
            <w:tcW w:w="160" w:type="dxa"/>
            <w:vAlign w:val="bottom"/>
            <w:shd w:val="clear" w:color="auto" w:fill="E6E6E6"/>
          </w:tcPr>
          <w:p>
            <w:pPr>
              <w:spacing w:after="0"/>
              <w:rPr>
                <w:sz w:val="16"/>
                <w:szCs w:val="16"/>
                <w:color w:val="auto"/>
              </w:rPr>
            </w:pPr>
          </w:p>
        </w:tc>
        <w:tc>
          <w:tcPr>
            <w:tcW w:w="54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16"/>
                <w:szCs w:val="16"/>
                <w:color w:val="auto"/>
              </w:rPr>
            </w:pPr>
          </w:p>
        </w:tc>
        <w:tc>
          <w:tcPr>
            <w:tcW w:w="160" w:type="dxa"/>
            <w:vAlign w:val="bottom"/>
            <w:shd w:val="clear" w:color="auto" w:fill="E6E6E6"/>
          </w:tcPr>
          <w:p>
            <w:pPr>
              <w:spacing w:after="0"/>
              <w:rPr>
                <w:sz w:val="16"/>
                <w:szCs w:val="16"/>
                <w:color w:val="auto"/>
              </w:rPr>
            </w:pPr>
          </w:p>
        </w:tc>
        <w:tc>
          <w:tcPr>
            <w:tcW w:w="66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16"/>
                <w:szCs w:val="16"/>
                <w:color w:val="auto"/>
              </w:rPr>
            </w:pPr>
          </w:p>
        </w:tc>
        <w:tc>
          <w:tcPr>
            <w:tcW w:w="160" w:type="dxa"/>
            <w:vAlign w:val="bottom"/>
            <w:shd w:val="clear" w:color="auto" w:fill="E6E6E6"/>
          </w:tcPr>
          <w:p>
            <w:pPr>
              <w:spacing w:after="0"/>
              <w:rPr>
                <w:sz w:val="16"/>
                <w:szCs w:val="16"/>
                <w:color w:val="auto"/>
              </w:rPr>
            </w:pPr>
          </w:p>
        </w:tc>
        <w:tc>
          <w:tcPr>
            <w:tcW w:w="800" w:type="dxa"/>
            <w:vAlign w:val="bottom"/>
            <w:vMerge w:val="restart"/>
            <w:shd w:val="clear" w:color="auto" w:fill="E6E6E6"/>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92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64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676</w:t>
            </w:r>
          </w:p>
        </w:tc>
        <w:tc>
          <w:tcPr>
            <w:tcW w:w="80" w:type="dxa"/>
            <w:vAlign w:val="bottom"/>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76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676</w:t>
            </w:r>
          </w:p>
        </w:tc>
        <w:tc>
          <w:tcPr>
            <w:tcW w:w="0" w:type="dxa"/>
            <w:vAlign w:val="bottom"/>
          </w:tcPr>
          <w:p>
            <w:pPr>
              <w:spacing w:after="0"/>
              <w:rPr>
                <w:sz w:val="1"/>
                <w:szCs w:val="1"/>
                <w:color w:val="auto"/>
              </w:rPr>
            </w:pPr>
          </w:p>
        </w:tc>
      </w:tr>
      <w:tr>
        <w:trPr>
          <w:trHeight w:val="220"/>
        </w:trPr>
        <w:tc>
          <w:tcPr>
            <w:tcW w:w="4100" w:type="dxa"/>
            <w:vAlign w:val="bottom"/>
            <w:gridSpan w:val="2"/>
            <w:shd w:val="clear" w:color="auto" w:fill="E6E6E6"/>
          </w:tcPr>
          <w:p>
            <w:pPr>
              <w:ind w:left="160"/>
              <w:spacing w:after="0"/>
              <w:rPr>
                <w:sz w:val="20"/>
                <w:szCs w:val="20"/>
                <w:color w:val="auto"/>
              </w:rPr>
            </w:pPr>
            <w:r>
              <w:rPr>
                <w:rFonts w:ascii="Arial" w:cs="Arial" w:eastAsia="Arial" w:hAnsi="Arial"/>
                <w:sz w:val="16"/>
                <w:szCs w:val="16"/>
                <w:color w:val="auto"/>
                <w:w w:val="91"/>
              </w:rPr>
              <w:t xml:space="preserve">distributions, cash </w:t>
            </w:r>
            <w:r>
              <w:rPr>
                <w:rFonts w:ascii="Arial" w:cs="Arial" w:eastAsia="Arial" w:hAnsi="Arial"/>
                <w:sz w:val="16"/>
                <w:szCs w:val="16"/>
                <w:color w:val="BDBDBD"/>
                <w:w w:val="91"/>
              </w:rPr>
              <w:t>. . . . . . . . . . . . . . . . . . . . . . . . . . . . . . . . . .</w:t>
            </w:r>
          </w:p>
        </w:tc>
        <w:tc>
          <w:tcPr>
            <w:tcW w:w="140" w:type="dxa"/>
            <w:vAlign w:val="bottom"/>
            <w:shd w:val="clear" w:color="auto" w:fill="E6E6E6"/>
          </w:tcPr>
          <w:p>
            <w:pPr>
              <w:spacing w:after="0"/>
              <w:rPr>
                <w:sz w:val="19"/>
                <w:szCs w:val="19"/>
                <w:color w:val="auto"/>
              </w:rPr>
            </w:pPr>
          </w:p>
        </w:tc>
        <w:tc>
          <w:tcPr>
            <w:tcW w:w="540" w:type="dxa"/>
            <w:vAlign w:val="bottom"/>
            <w:vMerge w:val="continue"/>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540" w:type="dxa"/>
            <w:vAlign w:val="bottom"/>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660" w:type="dxa"/>
            <w:vAlign w:val="bottom"/>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800" w:type="dxa"/>
            <w:vAlign w:val="bottom"/>
            <w:vMerge w:val="continue"/>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920" w:type="dxa"/>
            <w:vAlign w:val="bottom"/>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640" w:type="dxa"/>
            <w:vAlign w:val="bottom"/>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c>
          <w:tcPr>
            <w:tcW w:w="760" w:type="dxa"/>
            <w:vAlign w:val="bottom"/>
            <w:vMerge w:val="continue"/>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100" w:type="dxa"/>
            <w:vAlign w:val="bottom"/>
            <w:gridSpan w:val="2"/>
          </w:tcPr>
          <w:p>
            <w:pPr>
              <w:ind w:left="160"/>
              <w:spacing w:after="0"/>
              <w:rPr>
                <w:sz w:val="20"/>
                <w:szCs w:val="20"/>
                <w:color w:val="auto"/>
              </w:rPr>
            </w:pPr>
            <w:r>
              <w:rPr>
                <w:rFonts w:ascii="Arial" w:cs="Arial" w:eastAsia="Arial" w:hAnsi="Arial"/>
                <w:sz w:val="16"/>
                <w:szCs w:val="16"/>
                <w:color w:val="auto"/>
              </w:rPr>
              <w:t>Lighthouse Partnership Yield Protection Agreement</w:t>
            </w:r>
          </w:p>
        </w:tc>
        <w:tc>
          <w:tcPr>
            <w:tcW w:w="140" w:type="dxa"/>
            <w:vAlign w:val="bottom"/>
          </w:tcPr>
          <w:p>
            <w:pPr>
              <w:spacing w:after="0"/>
              <w:rPr>
                <w:sz w:val="16"/>
                <w:szCs w:val="16"/>
                <w:color w:val="auto"/>
              </w:rPr>
            </w:pPr>
          </w:p>
        </w:tc>
        <w:tc>
          <w:tcPr>
            <w:tcW w:w="540" w:type="dxa"/>
            <w:vAlign w:val="bottom"/>
            <w:vMerge w:val="restart"/>
          </w:tcPr>
          <w:p>
            <w:pPr>
              <w:ind w:left="3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2"/>
        </w:trPr>
        <w:tc>
          <w:tcPr>
            <w:tcW w:w="4100" w:type="dxa"/>
            <w:vAlign w:val="bottom"/>
            <w:gridSpan w:val="2"/>
          </w:tcPr>
          <w:p>
            <w:pPr>
              <w:ind w:left="160"/>
              <w:spacing w:after="0"/>
              <w:rPr>
                <w:sz w:val="20"/>
                <w:szCs w:val="20"/>
                <w:color w:val="auto"/>
              </w:rPr>
            </w:pPr>
            <w:r>
              <w:rPr>
                <w:rFonts w:ascii="Arial" w:cs="Arial" w:eastAsia="Arial" w:hAnsi="Arial"/>
                <w:sz w:val="16"/>
                <w:szCs w:val="16"/>
                <w:color w:val="auto"/>
                <w:w w:val="92"/>
              </w:rPr>
              <w:t xml:space="preserve">Amendment </w:t>
            </w:r>
            <w:r>
              <w:rPr>
                <w:rFonts w:ascii="Arial" w:cs="Arial" w:eastAsia="Arial" w:hAnsi="Arial"/>
                <w:sz w:val="16"/>
                <w:szCs w:val="16"/>
                <w:color w:val="BDBDBD"/>
                <w:w w:val="92"/>
              </w:rPr>
              <w:t>. . . . . . . . . . . . . . . . . . . . . . . . . . . . . . . . . . . . . .</w:t>
            </w:r>
          </w:p>
        </w:tc>
        <w:tc>
          <w:tcPr>
            <w:tcW w:w="14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100" w:type="dxa"/>
            <w:vAlign w:val="bottom"/>
            <w:gridSpan w:val="2"/>
            <w:shd w:val="clear" w:color="auto" w:fill="E6E6E6"/>
          </w:tcPr>
          <w:p>
            <w:pPr>
              <w:ind w:left="160"/>
              <w:spacing w:after="0"/>
              <w:rPr>
                <w:sz w:val="20"/>
                <w:szCs w:val="20"/>
                <w:color w:val="auto"/>
              </w:rPr>
            </w:pPr>
            <w:r>
              <w:rPr>
                <w:rFonts w:ascii="Arial" w:cs="Arial" w:eastAsia="Arial" w:hAnsi="Arial"/>
                <w:sz w:val="16"/>
                <w:szCs w:val="16"/>
                <w:color w:val="auto"/>
                <w:w w:val="92"/>
              </w:rPr>
              <w:t xml:space="preserve">Agua Caliente Acquisition </w:t>
            </w:r>
            <w:r>
              <w:rPr>
                <w:rFonts w:ascii="Arial" w:cs="Arial" w:eastAsia="Arial" w:hAnsi="Arial"/>
                <w:sz w:val="16"/>
                <w:szCs w:val="16"/>
                <w:color w:val="BDBDBD"/>
                <w:w w:val="92"/>
              </w:rPr>
              <w:t>. . . . . . . . . . . . . . . . . . . . . . . . . . .</w:t>
            </w:r>
          </w:p>
        </w:tc>
        <w:tc>
          <w:tcPr>
            <w:tcW w:w="140" w:type="dxa"/>
            <w:vAlign w:val="bottom"/>
            <w:shd w:val="clear" w:color="auto" w:fill="E6E6E6"/>
          </w:tcPr>
          <w:p>
            <w:pPr>
              <w:spacing w:after="0"/>
              <w:rPr>
                <w:sz w:val="22"/>
                <w:szCs w:val="22"/>
                <w:color w:val="auto"/>
              </w:rPr>
            </w:pPr>
          </w:p>
        </w:tc>
        <w:tc>
          <w:tcPr>
            <w:tcW w:w="540" w:type="dxa"/>
            <w:vAlign w:val="bottom"/>
            <w:shd w:val="clear" w:color="auto" w:fill="E6E6E6"/>
          </w:tcPr>
          <w:p>
            <w:pPr>
              <w:ind w:left="300"/>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5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6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800" w:type="dxa"/>
            <w:vAlign w:val="bottom"/>
            <w:shd w:val="clear" w:color="auto" w:fill="E6E6E6"/>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6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273</w:t>
            </w:r>
          </w:p>
        </w:tc>
        <w:tc>
          <w:tcPr>
            <w:tcW w:w="8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46"/>
        </w:trPr>
        <w:tc>
          <w:tcPr>
            <w:tcW w:w="4100" w:type="dxa"/>
            <w:vAlign w:val="bottom"/>
            <w:gridSpan w:val="2"/>
          </w:tcPr>
          <w:p>
            <w:pPr>
              <w:ind w:left="140"/>
              <w:spacing w:after="0"/>
              <w:rPr>
                <w:sz w:val="20"/>
                <w:szCs w:val="20"/>
                <w:color w:val="auto"/>
              </w:rPr>
            </w:pPr>
            <w:r>
              <w:rPr>
                <w:rFonts w:ascii="Arial" w:cs="Arial" w:eastAsia="Arial" w:hAnsi="Arial"/>
                <w:sz w:val="16"/>
                <w:szCs w:val="16"/>
                <w:color w:val="auto"/>
                <w:w w:val="90"/>
              </w:rPr>
              <w:t xml:space="preserve">Transfer of assets under common control </w:t>
            </w:r>
            <w:r>
              <w:rPr>
                <w:rFonts w:ascii="Arial" w:cs="Arial" w:eastAsia="Arial" w:hAnsi="Arial"/>
                <w:sz w:val="16"/>
                <w:szCs w:val="16"/>
                <w:color w:val="BDBDBD"/>
                <w:w w:val="90"/>
              </w:rPr>
              <w:t>. . . . . . . . . . . . . . . .</w:t>
            </w:r>
          </w:p>
        </w:tc>
        <w:tc>
          <w:tcPr>
            <w:tcW w:w="140" w:type="dxa"/>
            <w:vAlign w:val="bottom"/>
          </w:tcPr>
          <w:p>
            <w:pPr>
              <w:spacing w:after="0"/>
              <w:rPr>
                <w:sz w:val="21"/>
                <w:szCs w:val="21"/>
                <w:color w:val="auto"/>
              </w:rPr>
            </w:pPr>
          </w:p>
        </w:tc>
        <w:tc>
          <w:tcPr>
            <w:tcW w:w="540" w:type="dxa"/>
            <w:vAlign w:val="bottom"/>
          </w:tcPr>
          <w:p>
            <w:pPr>
              <w:ind w:left="3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(468)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(374)</w:t>
            </w:r>
          </w:p>
        </w:tc>
        <w:tc>
          <w:tcPr>
            <w:tcW w:w="0" w:type="dxa"/>
            <w:vAlign w:val="bottom"/>
          </w:tcPr>
          <w:p>
            <w:pPr>
              <w:spacing w:after="0"/>
              <w:rPr>
                <w:sz w:val="1"/>
                <w:szCs w:val="1"/>
                <w:color w:val="auto"/>
              </w:rPr>
            </w:pPr>
          </w:p>
        </w:tc>
      </w:tr>
      <w:tr>
        <w:trPr>
          <w:trHeight w:val="262"/>
        </w:trPr>
        <w:tc>
          <w:tcPr>
            <w:tcW w:w="4100" w:type="dxa"/>
            <w:vAlign w:val="bottom"/>
            <w:gridSpan w:val="2"/>
            <w:shd w:val="clear" w:color="auto" w:fill="E6E6E6"/>
          </w:tcPr>
          <w:p>
            <w:pPr>
              <w:ind w:left="160"/>
              <w:spacing w:after="0"/>
              <w:rPr>
                <w:sz w:val="20"/>
                <w:szCs w:val="20"/>
                <w:color w:val="auto"/>
              </w:rPr>
            </w:pPr>
            <w:r>
              <w:rPr>
                <w:rFonts w:ascii="Arial" w:cs="Arial" w:eastAsia="Arial" w:hAnsi="Arial"/>
                <w:sz w:val="16"/>
                <w:szCs w:val="16"/>
                <w:color w:val="auto"/>
                <w:w w:val="90"/>
              </w:rPr>
              <w:t xml:space="preserve">Stock-based compensation </w:t>
            </w:r>
            <w:r>
              <w:rPr>
                <w:rFonts w:ascii="Arial" w:cs="Arial" w:eastAsia="Arial" w:hAnsi="Arial"/>
                <w:sz w:val="16"/>
                <w:szCs w:val="16"/>
                <w:color w:val="BDBDBD"/>
                <w:w w:val="90"/>
              </w:rPr>
              <w:t>. . . . . . . . . . . . . . . . . . . . . . . . . . .</w:t>
            </w:r>
          </w:p>
        </w:tc>
        <w:tc>
          <w:tcPr>
            <w:tcW w:w="140" w:type="dxa"/>
            <w:vAlign w:val="bottom"/>
            <w:shd w:val="clear" w:color="auto" w:fill="E6E6E6"/>
          </w:tcPr>
          <w:p>
            <w:pPr>
              <w:spacing w:after="0"/>
              <w:rPr>
                <w:sz w:val="22"/>
                <w:szCs w:val="22"/>
                <w:color w:val="auto"/>
              </w:rPr>
            </w:pPr>
          </w:p>
        </w:tc>
        <w:tc>
          <w:tcPr>
            <w:tcW w:w="540" w:type="dxa"/>
            <w:vAlign w:val="bottom"/>
            <w:shd w:val="clear" w:color="auto" w:fill="E6E6E6"/>
          </w:tcPr>
          <w:p>
            <w:pPr>
              <w:ind w:left="300"/>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5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6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800" w:type="dxa"/>
            <w:vAlign w:val="bottom"/>
            <w:shd w:val="clear" w:color="auto" w:fill="E6E6E6"/>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6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46"/>
        </w:trPr>
        <w:tc>
          <w:tcPr>
            <w:tcW w:w="4100" w:type="dxa"/>
            <w:vAlign w:val="bottom"/>
            <w:gridSpan w:val="2"/>
          </w:tcPr>
          <w:p>
            <w:pPr>
              <w:ind w:left="160"/>
              <w:spacing w:after="0"/>
              <w:rPr>
                <w:sz w:val="20"/>
                <w:szCs w:val="20"/>
                <w:color w:val="auto"/>
              </w:rPr>
            </w:pPr>
            <w:r>
              <w:rPr>
                <w:rFonts w:ascii="Arial" w:cs="Arial" w:eastAsia="Arial" w:hAnsi="Arial"/>
                <w:sz w:val="16"/>
                <w:szCs w:val="16"/>
                <w:color w:val="auto"/>
                <w:w w:val="90"/>
              </w:rPr>
              <w:t xml:space="preserve">Non-cash adjustment for change in tax basis </w:t>
            </w:r>
            <w:r>
              <w:rPr>
                <w:rFonts w:ascii="Arial" w:cs="Arial" w:eastAsia="Arial" w:hAnsi="Arial"/>
                <w:sz w:val="16"/>
                <w:szCs w:val="16"/>
                <w:color w:val="BDBDBD"/>
                <w:w w:val="90"/>
              </w:rPr>
              <w:t>. . . . . . . . . . . . .</w:t>
            </w:r>
          </w:p>
        </w:tc>
        <w:tc>
          <w:tcPr>
            <w:tcW w:w="140" w:type="dxa"/>
            <w:vAlign w:val="bottom"/>
          </w:tcPr>
          <w:p>
            <w:pPr>
              <w:spacing w:after="0"/>
              <w:rPr>
                <w:sz w:val="21"/>
                <w:szCs w:val="21"/>
                <w:color w:val="auto"/>
              </w:rPr>
            </w:pPr>
          </w:p>
        </w:tc>
        <w:tc>
          <w:tcPr>
            <w:tcW w:w="540" w:type="dxa"/>
            <w:vAlign w:val="bottom"/>
          </w:tcPr>
          <w:p>
            <w:pPr>
              <w:ind w:left="3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69"/>
        </w:trPr>
        <w:tc>
          <w:tcPr>
            <w:tcW w:w="4100" w:type="dxa"/>
            <w:vAlign w:val="bottom"/>
            <w:tcBorders>
              <w:bottom w:val="single" w:sz="8" w:color="E6E6E6"/>
            </w:tcBorders>
            <w:gridSpan w:val="2"/>
            <w:shd w:val="clear" w:color="auto" w:fill="E6E6E6"/>
          </w:tcPr>
          <w:p>
            <w:pPr>
              <w:ind w:left="140"/>
              <w:spacing w:after="0"/>
              <w:rPr>
                <w:sz w:val="20"/>
                <w:szCs w:val="20"/>
                <w:color w:val="auto"/>
              </w:rPr>
            </w:pPr>
            <w:r>
              <w:rPr>
                <w:rFonts w:ascii="Arial" w:cs="Arial" w:eastAsia="Arial" w:hAnsi="Arial"/>
                <w:sz w:val="16"/>
                <w:szCs w:val="16"/>
                <w:color w:val="auto"/>
                <w:w w:val="92"/>
              </w:rPr>
              <w:t xml:space="preserve">Common stock dividends and distributions to CEG </w:t>
            </w:r>
            <w:r>
              <w:rPr>
                <w:rFonts w:ascii="Arial" w:cs="Arial" w:eastAsia="Arial" w:hAnsi="Arial"/>
                <w:sz w:val="16"/>
                <w:szCs w:val="16"/>
                <w:color w:val="BDBDBD"/>
                <w:w w:val="92"/>
              </w:rPr>
              <w:t>. . . . . . . .</w:t>
            </w:r>
          </w:p>
        </w:tc>
        <w:tc>
          <w:tcPr>
            <w:tcW w:w="140" w:type="dxa"/>
            <w:vAlign w:val="bottom"/>
            <w:tcBorders>
              <w:bottom w:val="single" w:sz="8" w:color="auto"/>
            </w:tcBorders>
            <w:shd w:val="clear" w:color="auto" w:fill="E6E6E6"/>
          </w:tcPr>
          <w:p>
            <w:pPr>
              <w:spacing w:after="0"/>
              <w:rPr>
                <w:sz w:val="23"/>
                <w:szCs w:val="23"/>
                <w:color w:val="auto"/>
              </w:rPr>
            </w:pPr>
          </w:p>
        </w:tc>
        <w:tc>
          <w:tcPr>
            <w:tcW w:w="540" w:type="dxa"/>
            <w:vAlign w:val="bottom"/>
            <w:tcBorders>
              <w:bottom w:val="single" w:sz="8" w:color="auto"/>
            </w:tcBorders>
            <w:shd w:val="clear" w:color="auto" w:fill="E6E6E6"/>
          </w:tcPr>
          <w:p>
            <w:pPr>
              <w:ind w:left="30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E6E6E6"/>
            </w:tcBorders>
            <w:shd w:val="clear" w:color="auto" w:fill="E6E6E6"/>
          </w:tcPr>
          <w:p>
            <w:pPr>
              <w:spacing w:after="0"/>
              <w:rPr>
                <w:sz w:val="23"/>
                <w:szCs w:val="23"/>
                <w:color w:val="auto"/>
              </w:rPr>
            </w:pPr>
          </w:p>
        </w:tc>
        <w:tc>
          <w:tcPr>
            <w:tcW w:w="160" w:type="dxa"/>
            <w:vAlign w:val="bottom"/>
            <w:tcBorders>
              <w:bottom w:val="single" w:sz="8" w:color="auto"/>
            </w:tcBorders>
            <w:shd w:val="clear" w:color="auto" w:fill="E6E6E6"/>
          </w:tcPr>
          <w:p>
            <w:pPr>
              <w:spacing w:after="0"/>
              <w:rPr>
                <w:sz w:val="23"/>
                <w:szCs w:val="23"/>
                <w:color w:val="auto"/>
              </w:rPr>
            </w:pPr>
          </w:p>
        </w:tc>
        <w:tc>
          <w:tcPr>
            <w:tcW w:w="5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E6E6E6"/>
            </w:tcBorders>
            <w:shd w:val="clear" w:color="auto" w:fill="E6E6E6"/>
          </w:tcPr>
          <w:p>
            <w:pPr>
              <w:spacing w:after="0"/>
              <w:rPr>
                <w:sz w:val="23"/>
                <w:szCs w:val="23"/>
                <w:color w:val="auto"/>
              </w:rPr>
            </w:pPr>
          </w:p>
        </w:tc>
        <w:tc>
          <w:tcPr>
            <w:tcW w:w="160" w:type="dxa"/>
            <w:vAlign w:val="bottom"/>
            <w:tcBorders>
              <w:bottom w:val="single" w:sz="8" w:color="auto"/>
            </w:tcBorders>
            <w:shd w:val="clear" w:color="auto" w:fill="E6E6E6"/>
          </w:tcPr>
          <w:p>
            <w:pPr>
              <w:spacing w:after="0"/>
              <w:rPr>
                <w:sz w:val="23"/>
                <w:szCs w:val="23"/>
                <w:color w:val="auto"/>
              </w:rPr>
            </w:pPr>
          </w:p>
        </w:tc>
        <w:tc>
          <w:tcPr>
            <w:tcW w:w="6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(155)</w:t>
            </w:r>
          </w:p>
        </w:tc>
        <w:tc>
          <w:tcPr>
            <w:tcW w:w="80" w:type="dxa"/>
            <w:vAlign w:val="bottom"/>
            <w:tcBorders>
              <w:bottom w:val="single" w:sz="8" w:color="E6E6E6"/>
            </w:tcBorders>
            <w:shd w:val="clear" w:color="auto" w:fill="E6E6E6"/>
          </w:tcPr>
          <w:p>
            <w:pPr>
              <w:spacing w:after="0"/>
              <w:rPr>
                <w:sz w:val="23"/>
                <w:szCs w:val="23"/>
                <w:color w:val="auto"/>
              </w:rPr>
            </w:pPr>
          </w:p>
        </w:tc>
        <w:tc>
          <w:tcPr>
            <w:tcW w:w="160" w:type="dxa"/>
            <w:vAlign w:val="bottom"/>
            <w:tcBorders>
              <w:bottom w:val="single" w:sz="8" w:color="auto"/>
            </w:tcBorders>
            <w:shd w:val="clear" w:color="auto" w:fill="E6E6E6"/>
          </w:tcPr>
          <w:p>
            <w:pPr>
              <w:spacing w:after="0"/>
              <w:rPr>
                <w:sz w:val="23"/>
                <w:szCs w:val="23"/>
                <w:color w:val="auto"/>
              </w:rPr>
            </w:pPr>
          </w:p>
        </w:tc>
        <w:tc>
          <w:tcPr>
            <w:tcW w:w="800" w:type="dxa"/>
            <w:vAlign w:val="bottom"/>
            <w:tcBorders>
              <w:bottom w:val="single" w:sz="8" w:color="auto"/>
            </w:tcBorders>
            <w:shd w:val="clear" w:color="auto" w:fill="E6E6E6"/>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E6E6E6"/>
            </w:tcBorders>
            <w:shd w:val="clear" w:color="auto" w:fill="E6E6E6"/>
          </w:tcPr>
          <w:p>
            <w:pPr>
              <w:spacing w:after="0"/>
              <w:rPr>
                <w:sz w:val="23"/>
                <w:szCs w:val="23"/>
                <w:color w:val="auto"/>
              </w:rPr>
            </w:pPr>
          </w:p>
        </w:tc>
        <w:tc>
          <w:tcPr>
            <w:tcW w:w="140" w:type="dxa"/>
            <w:vAlign w:val="bottom"/>
            <w:tcBorders>
              <w:bottom w:val="single" w:sz="8" w:color="auto"/>
            </w:tcBorders>
            <w:shd w:val="clear" w:color="auto" w:fill="E6E6E6"/>
          </w:tcPr>
          <w:p>
            <w:pPr>
              <w:spacing w:after="0"/>
              <w:rPr>
                <w:sz w:val="23"/>
                <w:szCs w:val="23"/>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E6E6E6"/>
            </w:tcBorders>
            <w:shd w:val="clear" w:color="auto" w:fill="E6E6E6"/>
          </w:tcPr>
          <w:p>
            <w:pPr>
              <w:spacing w:after="0"/>
              <w:rPr>
                <w:sz w:val="23"/>
                <w:szCs w:val="23"/>
                <w:color w:val="auto"/>
              </w:rPr>
            </w:pPr>
          </w:p>
        </w:tc>
        <w:tc>
          <w:tcPr>
            <w:tcW w:w="140" w:type="dxa"/>
            <w:vAlign w:val="bottom"/>
            <w:tcBorders>
              <w:bottom w:val="single" w:sz="8" w:color="auto"/>
            </w:tcBorders>
            <w:shd w:val="clear" w:color="auto" w:fill="E6E6E6"/>
          </w:tcPr>
          <w:p>
            <w:pPr>
              <w:spacing w:after="0"/>
              <w:rPr>
                <w:sz w:val="23"/>
                <w:szCs w:val="23"/>
                <w:color w:val="auto"/>
              </w:rPr>
            </w:pPr>
          </w:p>
        </w:tc>
        <w:tc>
          <w:tcPr>
            <w:tcW w:w="6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(113)</w:t>
            </w:r>
          </w:p>
        </w:tc>
        <w:tc>
          <w:tcPr>
            <w:tcW w:w="80" w:type="dxa"/>
            <w:vAlign w:val="bottom"/>
            <w:tcBorders>
              <w:bottom w:val="single" w:sz="8" w:color="E6E6E6"/>
            </w:tcBorders>
            <w:shd w:val="clear" w:color="auto" w:fill="E6E6E6"/>
          </w:tcPr>
          <w:p>
            <w:pPr>
              <w:spacing w:after="0"/>
              <w:rPr>
                <w:sz w:val="23"/>
                <w:szCs w:val="23"/>
                <w:color w:val="auto"/>
              </w:rPr>
            </w:pPr>
          </w:p>
        </w:tc>
        <w:tc>
          <w:tcPr>
            <w:tcW w:w="200" w:type="dxa"/>
            <w:vAlign w:val="bottom"/>
            <w:tcBorders>
              <w:bottom w:val="single" w:sz="8" w:color="auto"/>
            </w:tcBorders>
            <w:shd w:val="clear" w:color="auto" w:fill="E6E6E6"/>
          </w:tcPr>
          <w:p>
            <w:pPr>
              <w:spacing w:after="0"/>
              <w:rPr>
                <w:sz w:val="23"/>
                <w:szCs w:val="23"/>
                <w:color w:val="auto"/>
              </w:rPr>
            </w:pPr>
          </w:p>
        </w:tc>
        <w:tc>
          <w:tcPr>
            <w:tcW w:w="7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19"/>
        </w:trPr>
        <w:tc>
          <w:tcPr>
            <w:tcW w:w="4100" w:type="dxa"/>
            <w:vAlign w:val="bottom"/>
            <w:gridSpan w:val="2"/>
          </w:tcPr>
          <w:p>
            <w:pPr>
              <w:ind w:left="40"/>
              <w:spacing w:after="0"/>
              <w:rPr>
                <w:sz w:val="20"/>
                <w:szCs w:val="20"/>
                <w:color w:val="auto"/>
              </w:rPr>
            </w:pPr>
            <w:r>
              <w:rPr>
                <w:rFonts w:ascii="Arial" w:cs="Arial" w:eastAsia="Arial" w:hAnsi="Arial"/>
                <w:sz w:val="16"/>
                <w:szCs w:val="16"/>
                <w:b w:val="1"/>
                <w:bCs w:val="1"/>
                <w:color w:val="auto"/>
                <w:w w:val="91"/>
              </w:rPr>
              <w:t xml:space="preserve">Balances at December 31, 2021 </w:t>
            </w:r>
            <w:r>
              <w:rPr>
                <w:rFonts w:ascii="Arial" w:cs="Arial" w:eastAsia="Arial" w:hAnsi="Arial"/>
                <w:sz w:val="16"/>
                <w:szCs w:val="16"/>
                <w:b w:val="1"/>
                <w:bCs w:val="1"/>
                <w:color w:val="BDBDBD"/>
                <w:w w:val="91"/>
              </w:rPr>
              <w:t>. . . . . . . . . . . . . . . . . . . . . . .</w:t>
            </w:r>
          </w:p>
        </w:tc>
        <w:tc>
          <w:tcPr>
            <w:tcW w:w="140" w:type="dxa"/>
            <w:vAlign w:val="bottom"/>
          </w:tcPr>
          <w:p>
            <w:pPr>
              <w:spacing w:after="0"/>
              <w:rPr>
                <w:sz w:val="19"/>
                <w:szCs w:val="19"/>
                <w:color w:val="auto"/>
              </w:rPr>
            </w:pPr>
          </w:p>
        </w:tc>
        <w:tc>
          <w:tcPr>
            <w:tcW w:w="540" w:type="dxa"/>
            <w:vAlign w:val="bottom"/>
          </w:tcPr>
          <w:p>
            <w:pPr>
              <w:ind w:left="3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1,872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1,466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3,300</w:t>
            </w:r>
          </w:p>
        </w:tc>
        <w:tc>
          <w:tcPr>
            <w:tcW w:w="0" w:type="dxa"/>
            <w:vAlign w:val="bottom"/>
          </w:tcPr>
          <w:p>
            <w:pPr>
              <w:spacing w:after="0"/>
              <w:rPr>
                <w:sz w:val="1"/>
                <w:szCs w:val="1"/>
                <w:color w:val="auto"/>
              </w:rPr>
            </w:pPr>
          </w:p>
        </w:tc>
      </w:tr>
      <w:tr>
        <w:trPr>
          <w:trHeight w:val="261"/>
        </w:trPr>
        <w:tc>
          <w:tcPr>
            <w:tcW w:w="4100" w:type="dxa"/>
            <w:vAlign w:val="bottom"/>
            <w:gridSpan w:val="2"/>
            <w:shd w:val="clear" w:color="auto" w:fill="E6E6E6"/>
          </w:tcPr>
          <w:p>
            <w:pPr>
              <w:ind w:left="160"/>
              <w:spacing w:after="0"/>
              <w:rPr>
                <w:sz w:val="20"/>
                <w:szCs w:val="20"/>
                <w:color w:val="auto"/>
              </w:rPr>
            </w:pPr>
            <w:r>
              <w:rPr>
                <w:rFonts w:ascii="Arial" w:cs="Arial" w:eastAsia="Arial" w:hAnsi="Arial"/>
                <w:sz w:val="16"/>
                <w:szCs w:val="16"/>
                <w:color w:val="auto"/>
                <w:w w:val="91"/>
              </w:rPr>
              <w:t xml:space="preserve">Net income </w:t>
            </w:r>
            <w:r>
              <w:rPr>
                <w:rFonts w:ascii="Arial" w:cs="Arial" w:eastAsia="Arial" w:hAnsi="Arial"/>
                <w:sz w:val="16"/>
                <w:szCs w:val="16"/>
                <w:color w:val="BDBDBD"/>
                <w:w w:val="91"/>
              </w:rPr>
              <w:t>. . . . . . . . . . . . . . . . . . . . . . . . . . . . . . . . . . . . . . .</w:t>
            </w:r>
          </w:p>
        </w:tc>
        <w:tc>
          <w:tcPr>
            <w:tcW w:w="140" w:type="dxa"/>
            <w:vAlign w:val="bottom"/>
            <w:shd w:val="clear" w:color="auto" w:fill="E6E6E6"/>
          </w:tcPr>
          <w:p>
            <w:pPr>
              <w:spacing w:after="0"/>
              <w:rPr>
                <w:sz w:val="22"/>
                <w:szCs w:val="22"/>
                <w:color w:val="auto"/>
              </w:rPr>
            </w:pPr>
          </w:p>
        </w:tc>
        <w:tc>
          <w:tcPr>
            <w:tcW w:w="540" w:type="dxa"/>
            <w:vAlign w:val="bottom"/>
            <w:shd w:val="clear" w:color="auto" w:fill="E6E6E6"/>
          </w:tcPr>
          <w:p>
            <w:pPr>
              <w:ind w:left="300"/>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5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6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800" w:type="dxa"/>
            <w:vAlign w:val="bottom"/>
            <w:shd w:val="clear" w:color="auto" w:fill="E6E6E6"/>
          </w:tcPr>
          <w:p>
            <w:pPr>
              <w:jc w:val="right"/>
              <w:ind w:right="1"/>
              <w:spacing w:after="0"/>
              <w:rPr>
                <w:sz w:val="20"/>
                <w:szCs w:val="20"/>
                <w:color w:val="auto"/>
              </w:rPr>
            </w:pPr>
            <w:r>
              <w:rPr>
                <w:rFonts w:ascii="Arial" w:cs="Arial" w:eastAsia="Arial" w:hAnsi="Arial"/>
                <w:sz w:val="16"/>
                <w:szCs w:val="16"/>
                <w:color w:val="auto"/>
              </w:rPr>
              <w:t>582</w:t>
            </w:r>
          </w:p>
        </w:tc>
        <w:tc>
          <w:tcPr>
            <w:tcW w:w="6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6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467</w:t>
            </w:r>
          </w:p>
        </w:tc>
        <w:tc>
          <w:tcPr>
            <w:tcW w:w="8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1,049</w:t>
            </w:r>
          </w:p>
        </w:tc>
        <w:tc>
          <w:tcPr>
            <w:tcW w:w="0" w:type="dxa"/>
            <w:vAlign w:val="bottom"/>
          </w:tcPr>
          <w:p>
            <w:pPr>
              <w:spacing w:after="0"/>
              <w:rPr>
                <w:sz w:val="1"/>
                <w:szCs w:val="1"/>
                <w:color w:val="auto"/>
              </w:rPr>
            </w:pPr>
          </w:p>
        </w:tc>
      </w:tr>
      <w:tr>
        <w:trPr>
          <w:trHeight w:val="183"/>
        </w:trPr>
        <w:tc>
          <w:tcPr>
            <w:tcW w:w="4100" w:type="dxa"/>
            <w:vAlign w:val="bottom"/>
            <w:gridSpan w:val="2"/>
          </w:tcPr>
          <w:p>
            <w:pPr>
              <w:ind w:left="160"/>
              <w:spacing w:after="0" w:line="183" w:lineRule="exact"/>
              <w:rPr>
                <w:sz w:val="20"/>
                <w:szCs w:val="20"/>
                <w:color w:val="auto"/>
              </w:rPr>
            </w:pPr>
            <w:r>
              <w:rPr>
                <w:rFonts w:ascii="Arial" w:cs="Arial" w:eastAsia="Arial" w:hAnsi="Arial"/>
                <w:sz w:val="16"/>
                <w:szCs w:val="16"/>
                <w:color w:val="auto"/>
                <w:w w:val="92"/>
              </w:rPr>
              <w:t>Unrealized gain on derivatives and changes in accumulated</w:t>
            </w:r>
          </w:p>
        </w:tc>
        <w:tc>
          <w:tcPr>
            <w:tcW w:w="140" w:type="dxa"/>
            <w:vAlign w:val="bottom"/>
          </w:tcPr>
          <w:p>
            <w:pPr>
              <w:spacing w:after="0"/>
              <w:rPr>
                <w:sz w:val="15"/>
                <w:szCs w:val="15"/>
                <w:color w:val="auto"/>
              </w:rPr>
            </w:pPr>
          </w:p>
        </w:tc>
        <w:tc>
          <w:tcPr>
            <w:tcW w:w="540" w:type="dxa"/>
            <w:vAlign w:val="bottom"/>
            <w:vMerge w:val="restart"/>
          </w:tcPr>
          <w:p>
            <w:pPr>
              <w:ind w:left="3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4"/>
        </w:trPr>
        <w:tc>
          <w:tcPr>
            <w:tcW w:w="4100" w:type="dxa"/>
            <w:vAlign w:val="bottom"/>
            <w:gridSpan w:val="2"/>
          </w:tcPr>
          <w:p>
            <w:pPr>
              <w:ind w:left="160"/>
              <w:spacing w:after="0"/>
              <w:rPr>
                <w:sz w:val="20"/>
                <w:szCs w:val="20"/>
                <w:color w:val="auto"/>
              </w:rPr>
            </w:pPr>
            <w:r>
              <w:rPr>
                <w:rFonts w:ascii="Arial" w:cs="Arial" w:eastAsia="Arial" w:hAnsi="Arial"/>
                <w:sz w:val="16"/>
                <w:szCs w:val="16"/>
                <w:color w:val="auto"/>
                <w:w w:val="91"/>
              </w:rPr>
              <w:t xml:space="preserve">OCL, net of tax </w:t>
            </w:r>
            <w:r>
              <w:rPr>
                <w:rFonts w:ascii="Arial" w:cs="Arial" w:eastAsia="Arial" w:hAnsi="Arial"/>
                <w:sz w:val="16"/>
                <w:szCs w:val="16"/>
                <w:color w:val="BDBDBD"/>
                <w:w w:val="91"/>
              </w:rPr>
              <w:t>. . . . . . . . . . . . . . . . . . . . . . . . . . . . . . . . . . . .</w:t>
            </w:r>
          </w:p>
        </w:tc>
        <w:tc>
          <w:tcPr>
            <w:tcW w:w="14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4100" w:type="dxa"/>
            <w:vAlign w:val="bottom"/>
            <w:gridSpan w:val="2"/>
            <w:shd w:val="clear" w:color="auto" w:fill="E6E6E6"/>
          </w:tcPr>
          <w:p>
            <w:pPr>
              <w:ind w:left="140"/>
              <w:spacing w:after="0"/>
              <w:rPr>
                <w:sz w:val="20"/>
                <w:szCs w:val="20"/>
                <w:color w:val="auto"/>
              </w:rPr>
            </w:pPr>
            <w:r>
              <w:rPr>
                <w:rFonts w:ascii="Arial" w:cs="Arial" w:eastAsia="Arial" w:hAnsi="Arial"/>
                <w:sz w:val="16"/>
                <w:szCs w:val="16"/>
                <w:color w:val="auto"/>
                <w:w w:val="92"/>
              </w:rPr>
              <w:t xml:space="preserve">Distributions to CEG, net of contributions, non-cash </w:t>
            </w:r>
            <w:r>
              <w:rPr>
                <w:rFonts w:ascii="Arial" w:cs="Arial" w:eastAsia="Arial" w:hAnsi="Arial"/>
                <w:sz w:val="16"/>
                <w:szCs w:val="16"/>
                <w:color w:val="BDBDBD"/>
                <w:w w:val="92"/>
              </w:rPr>
              <w:t>. . . . . . .</w:t>
            </w:r>
          </w:p>
        </w:tc>
        <w:tc>
          <w:tcPr>
            <w:tcW w:w="140" w:type="dxa"/>
            <w:vAlign w:val="bottom"/>
            <w:shd w:val="clear" w:color="auto" w:fill="E6E6E6"/>
          </w:tcPr>
          <w:p>
            <w:pPr>
              <w:spacing w:after="0"/>
              <w:rPr>
                <w:sz w:val="22"/>
                <w:szCs w:val="22"/>
                <w:color w:val="auto"/>
              </w:rPr>
            </w:pPr>
          </w:p>
        </w:tc>
        <w:tc>
          <w:tcPr>
            <w:tcW w:w="540" w:type="dxa"/>
            <w:vAlign w:val="bottom"/>
            <w:shd w:val="clear" w:color="auto" w:fill="E6E6E6"/>
          </w:tcPr>
          <w:p>
            <w:pPr>
              <w:ind w:left="300"/>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5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6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800" w:type="dxa"/>
            <w:vAlign w:val="bottom"/>
            <w:shd w:val="clear" w:color="auto" w:fill="E6E6E6"/>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6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46"/>
        </w:trPr>
        <w:tc>
          <w:tcPr>
            <w:tcW w:w="4100" w:type="dxa"/>
            <w:vAlign w:val="bottom"/>
            <w:gridSpan w:val="2"/>
          </w:tcPr>
          <w:p>
            <w:pPr>
              <w:ind w:left="140"/>
              <w:spacing w:after="0"/>
              <w:rPr>
                <w:sz w:val="20"/>
                <w:szCs w:val="20"/>
                <w:color w:val="auto"/>
              </w:rPr>
            </w:pPr>
            <w:r>
              <w:rPr>
                <w:rFonts w:ascii="Arial" w:cs="Arial" w:eastAsia="Arial" w:hAnsi="Arial"/>
                <w:sz w:val="16"/>
                <w:szCs w:val="16"/>
                <w:color w:val="auto"/>
                <w:w w:val="93"/>
              </w:rPr>
              <w:t xml:space="preserve">Contributions from CEG, net of distributions, cash </w:t>
            </w:r>
            <w:r>
              <w:rPr>
                <w:rFonts w:ascii="Arial" w:cs="Arial" w:eastAsia="Arial" w:hAnsi="Arial"/>
                <w:sz w:val="16"/>
                <w:szCs w:val="16"/>
                <w:color w:val="BDBDBD"/>
                <w:w w:val="93"/>
              </w:rPr>
              <w:t>. . . . . . . .</w:t>
            </w:r>
          </w:p>
        </w:tc>
        <w:tc>
          <w:tcPr>
            <w:tcW w:w="140" w:type="dxa"/>
            <w:vAlign w:val="bottom"/>
          </w:tcPr>
          <w:p>
            <w:pPr>
              <w:spacing w:after="0"/>
              <w:rPr>
                <w:sz w:val="21"/>
                <w:szCs w:val="21"/>
                <w:color w:val="auto"/>
              </w:rPr>
            </w:pPr>
          </w:p>
        </w:tc>
        <w:tc>
          <w:tcPr>
            <w:tcW w:w="540" w:type="dxa"/>
            <w:vAlign w:val="bottom"/>
          </w:tcPr>
          <w:p>
            <w:pPr>
              <w:ind w:left="3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91"/>
        </w:trPr>
        <w:tc>
          <w:tcPr>
            <w:tcW w:w="4100" w:type="dxa"/>
            <w:vAlign w:val="bottom"/>
            <w:gridSpan w:val="2"/>
            <w:shd w:val="clear" w:color="auto" w:fill="E6E6E6"/>
          </w:tcPr>
          <w:p>
            <w:pPr>
              <w:ind w:left="140"/>
              <w:spacing w:after="0"/>
              <w:rPr>
                <w:sz w:val="20"/>
                <w:szCs w:val="20"/>
                <w:color w:val="auto"/>
              </w:rPr>
            </w:pPr>
            <w:r>
              <w:rPr>
                <w:rFonts w:ascii="Arial" w:cs="Arial" w:eastAsia="Arial" w:hAnsi="Arial"/>
                <w:sz w:val="16"/>
                <w:szCs w:val="16"/>
                <w:color w:val="auto"/>
              </w:rPr>
              <w:t>Contributions from noncontrolling interests, net of</w:t>
            </w:r>
          </w:p>
        </w:tc>
        <w:tc>
          <w:tcPr>
            <w:tcW w:w="140" w:type="dxa"/>
            <w:vAlign w:val="bottom"/>
            <w:shd w:val="clear" w:color="auto" w:fill="E6E6E6"/>
          </w:tcPr>
          <w:p>
            <w:pPr>
              <w:spacing w:after="0"/>
              <w:rPr>
                <w:sz w:val="16"/>
                <w:szCs w:val="16"/>
                <w:color w:val="auto"/>
              </w:rPr>
            </w:pPr>
          </w:p>
        </w:tc>
        <w:tc>
          <w:tcPr>
            <w:tcW w:w="540" w:type="dxa"/>
            <w:vAlign w:val="bottom"/>
            <w:vMerge w:val="restart"/>
            <w:shd w:val="clear" w:color="auto" w:fill="E6E6E6"/>
          </w:tcPr>
          <w:p>
            <w:pPr>
              <w:ind w:left="300"/>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16"/>
                <w:szCs w:val="16"/>
                <w:color w:val="auto"/>
              </w:rPr>
            </w:pPr>
          </w:p>
        </w:tc>
        <w:tc>
          <w:tcPr>
            <w:tcW w:w="160" w:type="dxa"/>
            <w:vAlign w:val="bottom"/>
            <w:shd w:val="clear" w:color="auto" w:fill="E6E6E6"/>
          </w:tcPr>
          <w:p>
            <w:pPr>
              <w:spacing w:after="0"/>
              <w:rPr>
                <w:sz w:val="16"/>
                <w:szCs w:val="16"/>
                <w:color w:val="auto"/>
              </w:rPr>
            </w:pPr>
          </w:p>
        </w:tc>
        <w:tc>
          <w:tcPr>
            <w:tcW w:w="54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16"/>
                <w:szCs w:val="16"/>
                <w:color w:val="auto"/>
              </w:rPr>
            </w:pPr>
          </w:p>
        </w:tc>
        <w:tc>
          <w:tcPr>
            <w:tcW w:w="160" w:type="dxa"/>
            <w:vAlign w:val="bottom"/>
            <w:shd w:val="clear" w:color="auto" w:fill="E6E6E6"/>
          </w:tcPr>
          <w:p>
            <w:pPr>
              <w:spacing w:after="0"/>
              <w:rPr>
                <w:sz w:val="16"/>
                <w:szCs w:val="16"/>
                <w:color w:val="auto"/>
              </w:rPr>
            </w:pPr>
          </w:p>
        </w:tc>
        <w:tc>
          <w:tcPr>
            <w:tcW w:w="66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16"/>
                <w:szCs w:val="16"/>
                <w:color w:val="auto"/>
              </w:rPr>
            </w:pPr>
          </w:p>
        </w:tc>
        <w:tc>
          <w:tcPr>
            <w:tcW w:w="160" w:type="dxa"/>
            <w:vAlign w:val="bottom"/>
            <w:shd w:val="clear" w:color="auto" w:fill="E6E6E6"/>
          </w:tcPr>
          <w:p>
            <w:pPr>
              <w:spacing w:after="0"/>
              <w:rPr>
                <w:sz w:val="16"/>
                <w:szCs w:val="16"/>
                <w:color w:val="auto"/>
              </w:rPr>
            </w:pPr>
          </w:p>
        </w:tc>
        <w:tc>
          <w:tcPr>
            <w:tcW w:w="800" w:type="dxa"/>
            <w:vAlign w:val="bottom"/>
            <w:vMerge w:val="restart"/>
            <w:shd w:val="clear" w:color="auto" w:fill="E6E6E6"/>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92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64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51</w:t>
            </w:r>
          </w:p>
        </w:tc>
        <w:tc>
          <w:tcPr>
            <w:tcW w:w="80" w:type="dxa"/>
            <w:vAlign w:val="bottom"/>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76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20"/>
        </w:trPr>
        <w:tc>
          <w:tcPr>
            <w:tcW w:w="4100" w:type="dxa"/>
            <w:vAlign w:val="bottom"/>
            <w:gridSpan w:val="2"/>
            <w:shd w:val="clear" w:color="auto" w:fill="E6E6E6"/>
          </w:tcPr>
          <w:p>
            <w:pPr>
              <w:ind w:left="140"/>
              <w:spacing w:after="0"/>
              <w:rPr>
                <w:sz w:val="20"/>
                <w:szCs w:val="20"/>
                <w:color w:val="auto"/>
              </w:rPr>
            </w:pPr>
            <w:r>
              <w:rPr>
                <w:rFonts w:ascii="Arial" w:cs="Arial" w:eastAsia="Arial" w:hAnsi="Arial"/>
                <w:sz w:val="16"/>
                <w:szCs w:val="16"/>
                <w:color w:val="auto"/>
                <w:w w:val="91"/>
              </w:rPr>
              <w:t xml:space="preserve">distributions, cash </w:t>
            </w:r>
            <w:r>
              <w:rPr>
                <w:rFonts w:ascii="Arial" w:cs="Arial" w:eastAsia="Arial" w:hAnsi="Arial"/>
                <w:sz w:val="16"/>
                <w:szCs w:val="16"/>
                <w:color w:val="BDBDBD"/>
                <w:w w:val="91"/>
              </w:rPr>
              <w:t>. . . . . . . . . . . . . . . . . . . . . . . . . . . . . . . . . .</w:t>
            </w:r>
          </w:p>
        </w:tc>
        <w:tc>
          <w:tcPr>
            <w:tcW w:w="140" w:type="dxa"/>
            <w:vAlign w:val="bottom"/>
            <w:shd w:val="clear" w:color="auto" w:fill="E6E6E6"/>
          </w:tcPr>
          <w:p>
            <w:pPr>
              <w:spacing w:after="0"/>
              <w:rPr>
                <w:sz w:val="19"/>
                <w:szCs w:val="19"/>
                <w:color w:val="auto"/>
              </w:rPr>
            </w:pPr>
          </w:p>
        </w:tc>
        <w:tc>
          <w:tcPr>
            <w:tcW w:w="540" w:type="dxa"/>
            <w:vAlign w:val="bottom"/>
            <w:vMerge w:val="continue"/>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540" w:type="dxa"/>
            <w:vAlign w:val="bottom"/>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660" w:type="dxa"/>
            <w:vAlign w:val="bottom"/>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800" w:type="dxa"/>
            <w:vAlign w:val="bottom"/>
            <w:vMerge w:val="continue"/>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920" w:type="dxa"/>
            <w:vAlign w:val="bottom"/>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640" w:type="dxa"/>
            <w:vAlign w:val="bottom"/>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c>
          <w:tcPr>
            <w:tcW w:w="760" w:type="dxa"/>
            <w:vAlign w:val="bottom"/>
            <w:vMerge w:val="continue"/>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100" w:type="dxa"/>
            <w:vAlign w:val="bottom"/>
            <w:gridSpan w:val="2"/>
          </w:tcPr>
          <w:p>
            <w:pPr>
              <w:ind w:left="140"/>
              <w:spacing w:after="0"/>
              <w:rPr>
                <w:sz w:val="20"/>
                <w:szCs w:val="20"/>
                <w:color w:val="auto"/>
              </w:rPr>
            </w:pPr>
            <w:r>
              <w:rPr>
                <w:rFonts w:ascii="Arial" w:cs="Arial" w:eastAsia="Arial" w:hAnsi="Arial"/>
                <w:sz w:val="16"/>
                <w:szCs w:val="16"/>
                <w:color w:val="auto"/>
                <w:w w:val="90"/>
              </w:rPr>
              <w:t xml:space="preserve">Transfer of assets under common control </w:t>
            </w:r>
            <w:r>
              <w:rPr>
                <w:rFonts w:ascii="Arial" w:cs="Arial" w:eastAsia="Arial" w:hAnsi="Arial"/>
                <w:sz w:val="16"/>
                <w:szCs w:val="16"/>
                <w:color w:val="BDBDBD"/>
                <w:w w:val="90"/>
              </w:rPr>
              <w:t>. . . . . . . . . . . . . . . .</w:t>
            </w:r>
          </w:p>
        </w:tc>
        <w:tc>
          <w:tcPr>
            <w:tcW w:w="140" w:type="dxa"/>
            <w:vAlign w:val="bottom"/>
          </w:tcPr>
          <w:p>
            <w:pPr>
              <w:spacing w:after="0"/>
              <w:rPr>
                <w:sz w:val="21"/>
                <w:szCs w:val="21"/>
                <w:color w:val="auto"/>
              </w:rPr>
            </w:pPr>
          </w:p>
        </w:tc>
        <w:tc>
          <w:tcPr>
            <w:tcW w:w="540" w:type="dxa"/>
            <w:vAlign w:val="bottom"/>
          </w:tcPr>
          <w:p>
            <w:pPr>
              <w:ind w:left="3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61"/>
        </w:trPr>
        <w:tc>
          <w:tcPr>
            <w:tcW w:w="4100" w:type="dxa"/>
            <w:vAlign w:val="bottom"/>
            <w:gridSpan w:val="2"/>
            <w:shd w:val="clear" w:color="auto" w:fill="E6E6E6"/>
          </w:tcPr>
          <w:p>
            <w:pPr>
              <w:ind w:left="140"/>
              <w:spacing w:after="0"/>
              <w:rPr>
                <w:sz w:val="20"/>
                <w:szCs w:val="20"/>
                <w:color w:val="auto"/>
              </w:rPr>
            </w:pPr>
            <w:r>
              <w:rPr>
                <w:rFonts w:ascii="Arial" w:cs="Arial" w:eastAsia="Arial" w:hAnsi="Arial"/>
                <w:sz w:val="16"/>
                <w:szCs w:val="16"/>
                <w:color w:val="auto"/>
                <w:w w:val="95"/>
              </w:rPr>
              <w:t xml:space="preserve">Capistrano Wind Portfolio Acquisition </w:t>
            </w:r>
            <w:r>
              <w:rPr>
                <w:rFonts w:ascii="Arial" w:cs="Arial" w:eastAsia="Arial" w:hAnsi="Arial"/>
                <w:sz w:val="16"/>
                <w:szCs w:val="16"/>
                <w:color w:val="BDBDBD"/>
                <w:w w:val="95"/>
              </w:rPr>
              <w:t>. . . . . . . . . . . . . . . . .</w:t>
            </w:r>
          </w:p>
        </w:tc>
        <w:tc>
          <w:tcPr>
            <w:tcW w:w="140" w:type="dxa"/>
            <w:vAlign w:val="bottom"/>
            <w:shd w:val="clear" w:color="auto" w:fill="E6E6E6"/>
          </w:tcPr>
          <w:p>
            <w:pPr>
              <w:spacing w:after="0"/>
              <w:rPr>
                <w:sz w:val="22"/>
                <w:szCs w:val="22"/>
                <w:color w:val="auto"/>
              </w:rPr>
            </w:pPr>
          </w:p>
        </w:tc>
        <w:tc>
          <w:tcPr>
            <w:tcW w:w="540" w:type="dxa"/>
            <w:vAlign w:val="bottom"/>
            <w:shd w:val="clear" w:color="auto" w:fill="E6E6E6"/>
          </w:tcPr>
          <w:p>
            <w:pPr>
              <w:ind w:left="300"/>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5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6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800" w:type="dxa"/>
            <w:vAlign w:val="bottom"/>
            <w:shd w:val="clear" w:color="auto" w:fill="E6E6E6"/>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6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7</w:t>
            </w:r>
          </w:p>
        </w:tc>
        <w:tc>
          <w:tcPr>
            <w:tcW w:w="8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46"/>
        </w:trPr>
        <w:tc>
          <w:tcPr>
            <w:tcW w:w="4100" w:type="dxa"/>
            <w:vAlign w:val="bottom"/>
            <w:gridSpan w:val="2"/>
          </w:tcPr>
          <w:p>
            <w:pPr>
              <w:ind w:left="140"/>
              <w:spacing w:after="0"/>
              <w:rPr>
                <w:sz w:val="20"/>
                <w:szCs w:val="20"/>
                <w:color w:val="auto"/>
              </w:rPr>
            </w:pPr>
            <w:r>
              <w:rPr>
                <w:rFonts w:ascii="Arial" w:cs="Arial" w:eastAsia="Arial" w:hAnsi="Arial"/>
                <w:sz w:val="16"/>
                <w:szCs w:val="16"/>
                <w:color w:val="auto"/>
                <w:w w:val="91"/>
              </w:rPr>
              <w:t xml:space="preserve">Kawailoa Sale to Clearway Renew </w:t>
            </w:r>
            <w:r>
              <w:rPr>
                <w:rFonts w:ascii="Arial" w:cs="Arial" w:eastAsia="Arial" w:hAnsi="Arial"/>
                <w:sz w:val="16"/>
                <w:szCs w:val="16"/>
                <w:color w:val="BDBDBD"/>
                <w:w w:val="91"/>
              </w:rPr>
              <w:t>. . . . . . . . . . . . . . . . . . . . .</w:t>
            </w:r>
          </w:p>
        </w:tc>
        <w:tc>
          <w:tcPr>
            <w:tcW w:w="140" w:type="dxa"/>
            <w:vAlign w:val="bottom"/>
          </w:tcPr>
          <w:p>
            <w:pPr>
              <w:spacing w:after="0"/>
              <w:rPr>
                <w:sz w:val="21"/>
                <w:szCs w:val="21"/>
                <w:color w:val="auto"/>
              </w:rPr>
            </w:pPr>
          </w:p>
        </w:tc>
        <w:tc>
          <w:tcPr>
            <w:tcW w:w="540" w:type="dxa"/>
            <w:vAlign w:val="bottom"/>
          </w:tcPr>
          <w:p>
            <w:pPr>
              <w:ind w:left="3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61"/>
        </w:trPr>
        <w:tc>
          <w:tcPr>
            <w:tcW w:w="4100" w:type="dxa"/>
            <w:vAlign w:val="bottom"/>
            <w:gridSpan w:val="2"/>
            <w:shd w:val="clear" w:color="auto" w:fill="E6E6E6"/>
          </w:tcPr>
          <w:p>
            <w:pPr>
              <w:ind w:left="140"/>
              <w:spacing w:after="0"/>
              <w:rPr>
                <w:sz w:val="20"/>
                <w:szCs w:val="20"/>
                <w:color w:val="auto"/>
              </w:rPr>
            </w:pPr>
            <w:r>
              <w:rPr>
                <w:rFonts w:ascii="Arial" w:cs="Arial" w:eastAsia="Arial" w:hAnsi="Arial"/>
                <w:sz w:val="16"/>
                <w:szCs w:val="16"/>
                <w:color w:val="auto"/>
                <w:w w:val="91"/>
              </w:rPr>
              <w:t xml:space="preserve">Tax-related distributions </w:t>
            </w:r>
            <w:r>
              <w:rPr>
                <w:rFonts w:ascii="Arial" w:cs="Arial" w:eastAsia="Arial" w:hAnsi="Arial"/>
                <w:sz w:val="16"/>
                <w:szCs w:val="16"/>
                <w:color w:val="BDBDBD"/>
                <w:w w:val="91"/>
              </w:rPr>
              <w:t>. . . . . . . . . . . . . . . . . . . . . . . . . . . . .</w:t>
            </w:r>
          </w:p>
        </w:tc>
        <w:tc>
          <w:tcPr>
            <w:tcW w:w="140" w:type="dxa"/>
            <w:vAlign w:val="bottom"/>
            <w:shd w:val="clear" w:color="auto" w:fill="E6E6E6"/>
          </w:tcPr>
          <w:p>
            <w:pPr>
              <w:spacing w:after="0"/>
              <w:rPr>
                <w:sz w:val="22"/>
                <w:szCs w:val="22"/>
                <w:color w:val="auto"/>
              </w:rPr>
            </w:pPr>
          </w:p>
        </w:tc>
        <w:tc>
          <w:tcPr>
            <w:tcW w:w="540" w:type="dxa"/>
            <w:vAlign w:val="bottom"/>
            <w:shd w:val="clear" w:color="auto" w:fill="E6E6E6"/>
          </w:tcPr>
          <w:p>
            <w:pPr>
              <w:ind w:left="300"/>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5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6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800" w:type="dxa"/>
            <w:vAlign w:val="bottom"/>
            <w:shd w:val="clear" w:color="auto" w:fill="E6E6E6"/>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6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48"/>
        </w:trPr>
        <w:tc>
          <w:tcPr>
            <w:tcW w:w="4100" w:type="dxa"/>
            <w:vAlign w:val="bottom"/>
            <w:gridSpan w:val="2"/>
          </w:tcPr>
          <w:p>
            <w:pPr>
              <w:ind w:left="140"/>
              <w:spacing w:after="0"/>
              <w:rPr>
                <w:sz w:val="20"/>
                <w:szCs w:val="20"/>
                <w:color w:val="auto"/>
              </w:rPr>
            </w:pPr>
            <w:r>
              <w:rPr>
                <w:rFonts w:ascii="Arial" w:cs="Arial" w:eastAsia="Arial" w:hAnsi="Arial"/>
                <w:sz w:val="16"/>
                <w:szCs w:val="16"/>
                <w:color w:val="auto"/>
                <w:w w:val="91"/>
              </w:rPr>
              <w:t xml:space="preserve">Non-cash adjustments for change in tax basis </w:t>
            </w:r>
            <w:r>
              <w:rPr>
                <w:rFonts w:ascii="Arial" w:cs="Arial" w:eastAsia="Arial" w:hAnsi="Arial"/>
                <w:sz w:val="16"/>
                <w:szCs w:val="16"/>
                <w:color w:val="BDBDBD"/>
                <w:w w:val="91"/>
              </w:rPr>
              <w:t>. . . . . . . . . . . .</w:t>
            </w:r>
          </w:p>
        </w:tc>
        <w:tc>
          <w:tcPr>
            <w:tcW w:w="140" w:type="dxa"/>
            <w:vAlign w:val="bottom"/>
          </w:tcPr>
          <w:p>
            <w:pPr>
              <w:spacing w:after="0"/>
              <w:rPr>
                <w:sz w:val="21"/>
                <w:szCs w:val="21"/>
                <w:color w:val="auto"/>
              </w:rPr>
            </w:pPr>
          </w:p>
        </w:tc>
        <w:tc>
          <w:tcPr>
            <w:tcW w:w="540" w:type="dxa"/>
            <w:vAlign w:val="bottom"/>
          </w:tcPr>
          <w:p>
            <w:pPr>
              <w:ind w:left="3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59"/>
        </w:trPr>
        <w:tc>
          <w:tcPr>
            <w:tcW w:w="4100" w:type="dxa"/>
            <w:vAlign w:val="bottom"/>
            <w:gridSpan w:val="2"/>
            <w:shd w:val="clear" w:color="auto" w:fill="E6E6E6"/>
          </w:tcPr>
          <w:p>
            <w:pPr>
              <w:ind w:left="140"/>
              <w:spacing w:after="0"/>
              <w:rPr>
                <w:sz w:val="20"/>
                <w:szCs w:val="20"/>
                <w:color w:val="auto"/>
              </w:rPr>
            </w:pPr>
            <w:r>
              <w:rPr>
                <w:rFonts w:ascii="Arial" w:cs="Arial" w:eastAsia="Arial" w:hAnsi="Arial"/>
                <w:sz w:val="16"/>
                <w:szCs w:val="16"/>
                <w:color w:val="auto"/>
                <w:w w:val="90"/>
              </w:rPr>
              <w:t xml:space="preserve">Stock-based compensation </w:t>
            </w:r>
            <w:r>
              <w:rPr>
                <w:rFonts w:ascii="Arial" w:cs="Arial" w:eastAsia="Arial" w:hAnsi="Arial"/>
                <w:sz w:val="16"/>
                <w:szCs w:val="16"/>
                <w:color w:val="BDBDBD"/>
                <w:w w:val="90"/>
              </w:rPr>
              <w:t>. . . . . . . . . . . . . . . . . . . . . . . . . . .</w:t>
            </w:r>
          </w:p>
        </w:tc>
        <w:tc>
          <w:tcPr>
            <w:tcW w:w="140" w:type="dxa"/>
            <w:vAlign w:val="bottom"/>
            <w:shd w:val="clear" w:color="auto" w:fill="E6E6E6"/>
          </w:tcPr>
          <w:p>
            <w:pPr>
              <w:spacing w:after="0"/>
              <w:rPr>
                <w:sz w:val="22"/>
                <w:szCs w:val="22"/>
                <w:color w:val="auto"/>
              </w:rPr>
            </w:pPr>
          </w:p>
        </w:tc>
        <w:tc>
          <w:tcPr>
            <w:tcW w:w="540" w:type="dxa"/>
            <w:vAlign w:val="bottom"/>
            <w:shd w:val="clear" w:color="auto" w:fill="E6E6E6"/>
          </w:tcPr>
          <w:p>
            <w:pPr>
              <w:ind w:left="300"/>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5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6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w:t>
            </w:r>
          </w:p>
        </w:tc>
        <w:tc>
          <w:tcPr>
            <w:tcW w:w="6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6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4"/>
        </w:trPr>
        <w:tc>
          <w:tcPr>
            <w:tcW w:w="4100" w:type="dxa"/>
            <w:vAlign w:val="bottom"/>
            <w:gridSpan w:val="2"/>
          </w:tcPr>
          <w:p>
            <w:pPr>
              <w:ind w:left="140"/>
              <w:spacing w:after="0"/>
              <w:rPr>
                <w:sz w:val="20"/>
                <w:szCs w:val="20"/>
                <w:color w:val="auto"/>
              </w:rPr>
            </w:pPr>
            <w:r>
              <w:rPr>
                <w:rFonts w:ascii="Arial" w:cs="Arial" w:eastAsia="Arial" w:hAnsi="Arial"/>
                <w:sz w:val="16"/>
                <w:szCs w:val="16"/>
                <w:color w:val="auto"/>
              </w:rPr>
              <w:t>Common stock dividends and distributions to CEG unit</w:t>
            </w:r>
          </w:p>
        </w:tc>
        <w:tc>
          <w:tcPr>
            <w:tcW w:w="140" w:type="dxa"/>
            <w:vAlign w:val="bottom"/>
          </w:tcPr>
          <w:p>
            <w:pPr>
              <w:spacing w:after="0"/>
              <w:rPr>
                <w:sz w:val="15"/>
                <w:szCs w:val="15"/>
                <w:color w:val="auto"/>
              </w:rPr>
            </w:pPr>
          </w:p>
        </w:tc>
        <w:tc>
          <w:tcPr>
            <w:tcW w:w="540" w:type="dxa"/>
            <w:vAlign w:val="bottom"/>
            <w:vMerge w:val="restart"/>
          </w:tcPr>
          <w:p>
            <w:pPr>
              <w:ind w:left="3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(82)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(85)</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(122)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209"/>
        </w:trPr>
        <w:tc>
          <w:tcPr>
            <w:tcW w:w="4100" w:type="dxa"/>
            <w:vAlign w:val="bottom"/>
            <w:tcBorders>
              <w:bottom w:val="single" w:sz="8" w:color="E6E6E6"/>
            </w:tcBorders>
            <w:gridSpan w:val="2"/>
          </w:tcPr>
          <w:p>
            <w:pPr>
              <w:ind w:left="140"/>
              <w:spacing w:after="0"/>
              <w:rPr>
                <w:sz w:val="20"/>
                <w:szCs w:val="20"/>
                <w:color w:val="auto"/>
              </w:rPr>
            </w:pPr>
            <w:r>
              <w:rPr>
                <w:rFonts w:ascii="Arial" w:cs="Arial" w:eastAsia="Arial" w:hAnsi="Arial"/>
                <w:sz w:val="16"/>
                <w:szCs w:val="16"/>
                <w:color w:val="auto"/>
                <w:w w:val="90"/>
              </w:rPr>
              <w:t xml:space="preserve">holders </w:t>
            </w:r>
            <w:r>
              <w:rPr>
                <w:rFonts w:ascii="Arial" w:cs="Arial" w:eastAsia="Arial" w:hAnsi="Arial"/>
                <w:sz w:val="16"/>
                <w:szCs w:val="16"/>
                <w:color w:val="BDBDBD"/>
                <w:w w:val="90"/>
              </w:rPr>
              <w:t>. . . . . . . . . . . . . . . . . . . . . . . . . . . . . . . . . . . . . . . . . . .</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E6E6E6"/>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E6E6E6"/>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E6E6E6"/>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E6E6E6"/>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E6E6E6"/>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E6E6E6"/>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100" w:type="dxa"/>
            <w:vAlign w:val="bottom"/>
            <w:gridSpan w:val="2"/>
            <w:shd w:val="clear" w:color="auto" w:fill="E6E6E6"/>
          </w:tcPr>
          <w:p>
            <w:pPr>
              <w:ind w:left="40"/>
              <w:spacing w:after="0"/>
              <w:rPr>
                <w:sz w:val="20"/>
                <w:szCs w:val="20"/>
                <w:color w:val="auto"/>
              </w:rPr>
            </w:pPr>
            <w:r>
              <w:rPr>
                <w:rFonts w:ascii="Arial" w:cs="Arial" w:eastAsia="Arial" w:hAnsi="Arial"/>
                <w:sz w:val="16"/>
                <w:szCs w:val="16"/>
                <w:b w:val="1"/>
                <w:bCs w:val="1"/>
                <w:color w:val="auto"/>
                <w:w w:val="91"/>
              </w:rPr>
              <w:t xml:space="preserve">Balances at December 31, 2022 </w:t>
            </w:r>
            <w:r>
              <w:rPr>
                <w:rFonts w:ascii="Arial" w:cs="Arial" w:eastAsia="Arial" w:hAnsi="Arial"/>
                <w:sz w:val="16"/>
                <w:szCs w:val="16"/>
                <w:b w:val="1"/>
                <w:bCs w:val="1"/>
                <w:color w:val="BDBDBD"/>
                <w:w w:val="91"/>
              </w:rPr>
              <w:t>. . . . . . . . . . . . . . . . . . . . . . .</w:t>
            </w:r>
          </w:p>
        </w:tc>
        <w:tc>
          <w:tcPr>
            <w:tcW w:w="140" w:type="dxa"/>
            <w:vAlign w:val="bottom"/>
            <w:shd w:val="clear" w:color="auto" w:fill="E6E6E6"/>
          </w:tcPr>
          <w:p>
            <w:pPr>
              <w:spacing w:after="0"/>
              <w:rPr>
                <w:sz w:val="21"/>
                <w:szCs w:val="21"/>
                <w:color w:val="auto"/>
              </w:rPr>
            </w:pPr>
          </w:p>
        </w:tc>
        <w:tc>
          <w:tcPr>
            <w:tcW w:w="540" w:type="dxa"/>
            <w:vAlign w:val="bottom"/>
            <w:shd w:val="clear" w:color="auto" w:fill="E6E6E6"/>
          </w:tcPr>
          <w:p>
            <w:pPr>
              <w:ind w:left="300"/>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21"/>
                <w:szCs w:val="21"/>
                <w:color w:val="auto"/>
              </w:rPr>
            </w:pPr>
          </w:p>
        </w:tc>
        <w:tc>
          <w:tcPr>
            <w:tcW w:w="160" w:type="dxa"/>
            <w:vAlign w:val="bottom"/>
            <w:shd w:val="clear" w:color="auto" w:fill="E6E6E6"/>
          </w:tcPr>
          <w:p>
            <w:pPr>
              <w:spacing w:after="0"/>
              <w:rPr>
                <w:sz w:val="21"/>
                <w:szCs w:val="21"/>
                <w:color w:val="auto"/>
              </w:rPr>
            </w:pPr>
          </w:p>
        </w:tc>
        <w:tc>
          <w:tcPr>
            <w:tcW w:w="5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E6E6E6"/>
          </w:tcPr>
          <w:p>
            <w:pPr>
              <w:spacing w:after="0"/>
              <w:rPr>
                <w:sz w:val="21"/>
                <w:szCs w:val="21"/>
                <w:color w:val="auto"/>
              </w:rPr>
            </w:pPr>
          </w:p>
        </w:tc>
        <w:tc>
          <w:tcPr>
            <w:tcW w:w="160" w:type="dxa"/>
            <w:vAlign w:val="bottom"/>
            <w:shd w:val="clear" w:color="auto" w:fill="E6E6E6"/>
          </w:tcPr>
          <w:p>
            <w:pPr>
              <w:spacing w:after="0"/>
              <w:rPr>
                <w:sz w:val="21"/>
                <w:szCs w:val="21"/>
                <w:color w:val="auto"/>
              </w:rPr>
            </w:pPr>
          </w:p>
        </w:tc>
        <w:tc>
          <w:tcPr>
            <w:tcW w:w="6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1,761</w:t>
            </w:r>
          </w:p>
        </w:tc>
        <w:tc>
          <w:tcPr>
            <w:tcW w:w="80" w:type="dxa"/>
            <w:vAlign w:val="bottom"/>
            <w:shd w:val="clear" w:color="auto" w:fill="E6E6E6"/>
          </w:tcPr>
          <w:p>
            <w:pPr>
              <w:spacing w:after="0"/>
              <w:rPr>
                <w:sz w:val="21"/>
                <w:szCs w:val="21"/>
                <w:color w:val="auto"/>
              </w:rPr>
            </w:pPr>
          </w:p>
        </w:tc>
        <w:tc>
          <w:tcPr>
            <w:tcW w:w="160" w:type="dxa"/>
            <w:vAlign w:val="bottom"/>
            <w:shd w:val="clear" w:color="auto" w:fill="E6E6E6"/>
          </w:tcPr>
          <w:p>
            <w:pPr>
              <w:spacing w:after="0"/>
              <w:rPr>
                <w:sz w:val="21"/>
                <w:szCs w:val="21"/>
                <w:color w:val="auto"/>
              </w:rPr>
            </w:pPr>
          </w:p>
        </w:tc>
        <w:tc>
          <w:tcPr>
            <w:tcW w:w="800" w:type="dxa"/>
            <w:vAlign w:val="bottom"/>
            <w:shd w:val="clear" w:color="auto" w:fill="E6E6E6"/>
          </w:tcPr>
          <w:p>
            <w:pPr>
              <w:jc w:val="right"/>
              <w:ind w:right="1"/>
              <w:spacing w:after="0"/>
              <w:rPr>
                <w:sz w:val="20"/>
                <w:szCs w:val="20"/>
                <w:color w:val="auto"/>
              </w:rPr>
            </w:pPr>
            <w:r>
              <w:rPr>
                <w:rFonts w:ascii="Arial" w:cs="Arial" w:eastAsia="Arial" w:hAnsi="Arial"/>
                <w:sz w:val="16"/>
                <w:szCs w:val="16"/>
                <w:color w:val="auto"/>
              </w:rPr>
              <w:t>463</w:t>
            </w:r>
          </w:p>
        </w:tc>
        <w:tc>
          <w:tcPr>
            <w:tcW w:w="60" w:type="dxa"/>
            <w:vAlign w:val="bottom"/>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6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1,792</w:t>
            </w:r>
          </w:p>
        </w:tc>
        <w:tc>
          <w:tcPr>
            <w:tcW w:w="80" w:type="dxa"/>
            <w:vAlign w:val="bottom"/>
            <w:shd w:val="clear" w:color="auto" w:fill="E6E6E6"/>
          </w:tcPr>
          <w:p>
            <w:pPr>
              <w:spacing w:after="0"/>
              <w:rPr>
                <w:sz w:val="21"/>
                <w:szCs w:val="21"/>
                <w:color w:val="auto"/>
              </w:rPr>
            </w:pPr>
          </w:p>
        </w:tc>
        <w:tc>
          <w:tcPr>
            <w:tcW w:w="200" w:type="dxa"/>
            <w:vAlign w:val="bottom"/>
            <w:shd w:val="clear" w:color="auto" w:fill="E6E6E6"/>
          </w:tcPr>
          <w:p>
            <w:pPr>
              <w:spacing w:after="0"/>
              <w:rPr>
                <w:sz w:val="21"/>
                <w:szCs w:val="21"/>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4,026</w:t>
            </w:r>
          </w:p>
        </w:tc>
        <w:tc>
          <w:tcPr>
            <w:tcW w:w="0" w:type="dxa"/>
            <w:vAlign w:val="bottom"/>
          </w:tcPr>
          <w:p>
            <w:pPr>
              <w:spacing w:after="0"/>
              <w:rPr>
                <w:sz w:val="1"/>
                <w:szCs w:val="1"/>
                <w:color w:val="auto"/>
              </w:rPr>
            </w:pPr>
          </w:p>
        </w:tc>
      </w:tr>
      <w:tr>
        <w:trPr>
          <w:trHeight w:val="248"/>
        </w:trPr>
        <w:tc>
          <w:tcPr>
            <w:tcW w:w="4100" w:type="dxa"/>
            <w:vAlign w:val="bottom"/>
            <w:gridSpan w:val="2"/>
          </w:tcPr>
          <w:p>
            <w:pPr>
              <w:ind w:left="140"/>
              <w:spacing w:after="0"/>
              <w:rPr>
                <w:sz w:val="20"/>
                <w:szCs w:val="20"/>
                <w:color w:val="auto"/>
              </w:rPr>
            </w:pPr>
            <w:r>
              <w:rPr>
                <w:rFonts w:ascii="Arial" w:cs="Arial" w:eastAsia="Arial" w:hAnsi="Arial"/>
                <w:sz w:val="16"/>
                <w:szCs w:val="16"/>
                <w:color w:val="auto"/>
                <w:w w:val="92"/>
              </w:rPr>
              <w:t xml:space="preserve">Net income (loss) </w:t>
            </w:r>
            <w:r>
              <w:rPr>
                <w:rFonts w:ascii="Arial" w:cs="Arial" w:eastAsia="Arial" w:hAnsi="Arial"/>
                <w:sz w:val="16"/>
                <w:szCs w:val="16"/>
                <w:color w:val="BDBDBD"/>
                <w:w w:val="92"/>
              </w:rPr>
              <w:t>. . . . . . . . . . . . . . . . . . . . . . . . . . . . . . . . . .</w:t>
            </w:r>
          </w:p>
        </w:tc>
        <w:tc>
          <w:tcPr>
            <w:tcW w:w="140" w:type="dxa"/>
            <w:vAlign w:val="bottom"/>
          </w:tcPr>
          <w:p>
            <w:pPr>
              <w:spacing w:after="0"/>
              <w:rPr>
                <w:sz w:val="21"/>
                <w:szCs w:val="21"/>
                <w:color w:val="auto"/>
              </w:rPr>
            </w:pPr>
          </w:p>
        </w:tc>
        <w:tc>
          <w:tcPr>
            <w:tcW w:w="540" w:type="dxa"/>
            <w:vAlign w:val="bottom"/>
          </w:tcPr>
          <w:p>
            <w:pPr>
              <w:ind w:left="3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79</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94"/>
        </w:trPr>
        <w:tc>
          <w:tcPr>
            <w:tcW w:w="4100" w:type="dxa"/>
            <w:vAlign w:val="bottom"/>
            <w:gridSpan w:val="2"/>
            <w:shd w:val="clear" w:color="auto" w:fill="E6E6E6"/>
          </w:tcPr>
          <w:p>
            <w:pPr>
              <w:ind w:left="140"/>
              <w:spacing w:after="0"/>
              <w:rPr>
                <w:sz w:val="20"/>
                <w:szCs w:val="20"/>
                <w:color w:val="auto"/>
              </w:rPr>
            </w:pPr>
            <w:r>
              <w:rPr>
                <w:rFonts w:ascii="Arial" w:cs="Arial" w:eastAsia="Arial" w:hAnsi="Arial"/>
                <w:sz w:val="16"/>
                <w:szCs w:val="16"/>
                <w:color w:val="auto"/>
                <w:w w:val="93"/>
              </w:rPr>
              <w:t>Unrealized loss on derivatives and changes in accumulated</w:t>
            </w:r>
          </w:p>
        </w:tc>
        <w:tc>
          <w:tcPr>
            <w:tcW w:w="140" w:type="dxa"/>
            <w:vAlign w:val="bottom"/>
            <w:shd w:val="clear" w:color="auto" w:fill="E6E6E6"/>
          </w:tcPr>
          <w:p>
            <w:pPr>
              <w:spacing w:after="0"/>
              <w:rPr>
                <w:sz w:val="16"/>
                <w:szCs w:val="16"/>
                <w:color w:val="auto"/>
              </w:rPr>
            </w:pPr>
          </w:p>
        </w:tc>
        <w:tc>
          <w:tcPr>
            <w:tcW w:w="540" w:type="dxa"/>
            <w:vAlign w:val="bottom"/>
            <w:vMerge w:val="restart"/>
            <w:shd w:val="clear" w:color="auto" w:fill="E6E6E6"/>
          </w:tcPr>
          <w:p>
            <w:pPr>
              <w:ind w:left="300"/>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16"/>
                <w:szCs w:val="16"/>
                <w:color w:val="auto"/>
              </w:rPr>
            </w:pPr>
          </w:p>
        </w:tc>
        <w:tc>
          <w:tcPr>
            <w:tcW w:w="160" w:type="dxa"/>
            <w:vAlign w:val="bottom"/>
            <w:shd w:val="clear" w:color="auto" w:fill="E6E6E6"/>
          </w:tcPr>
          <w:p>
            <w:pPr>
              <w:spacing w:after="0"/>
              <w:rPr>
                <w:sz w:val="16"/>
                <w:szCs w:val="16"/>
                <w:color w:val="auto"/>
              </w:rPr>
            </w:pPr>
          </w:p>
        </w:tc>
        <w:tc>
          <w:tcPr>
            <w:tcW w:w="54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16"/>
                <w:szCs w:val="16"/>
                <w:color w:val="auto"/>
              </w:rPr>
            </w:pPr>
          </w:p>
        </w:tc>
        <w:tc>
          <w:tcPr>
            <w:tcW w:w="160" w:type="dxa"/>
            <w:vAlign w:val="bottom"/>
            <w:shd w:val="clear" w:color="auto" w:fill="E6E6E6"/>
          </w:tcPr>
          <w:p>
            <w:pPr>
              <w:spacing w:after="0"/>
              <w:rPr>
                <w:sz w:val="16"/>
                <w:szCs w:val="16"/>
                <w:color w:val="auto"/>
              </w:rPr>
            </w:pPr>
          </w:p>
        </w:tc>
        <w:tc>
          <w:tcPr>
            <w:tcW w:w="66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16"/>
                <w:szCs w:val="16"/>
                <w:color w:val="auto"/>
              </w:rPr>
            </w:pPr>
          </w:p>
        </w:tc>
        <w:tc>
          <w:tcPr>
            <w:tcW w:w="160" w:type="dxa"/>
            <w:vAlign w:val="bottom"/>
            <w:shd w:val="clear" w:color="auto" w:fill="E6E6E6"/>
          </w:tcPr>
          <w:p>
            <w:pPr>
              <w:spacing w:after="0"/>
              <w:rPr>
                <w:sz w:val="16"/>
                <w:szCs w:val="16"/>
                <w:color w:val="auto"/>
              </w:rPr>
            </w:pPr>
          </w:p>
        </w:tc>
        <w:tc>
          <w:tcPr>
            <w:tcW w:w="800" w:type="dxa"/>
            <w:vAlign w:val="bottom"/>
            <w:vMerge w:val="restart"/>
            <w:shd w:val="clear" w:color="auto" w:fill="E6E6E6"/>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92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64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76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5"/>
        </w:trPr>
        <w:tc>
          <w:tcPr>
            <w:tcW w:w="4100" w:type="dxa"/>
            <w:vAlign w:val="bottom"/>
            <w:gridSpan w:val="2"/>
            <w:shd w:val="clear" w:color="auto" w:fill="E6E6E6"/>
          </w:tcPr>
          <w:p>
            <w:pPr>
              <w:ind w:left="140"/>
              <w:spacing w:after="0"/>
              <w:rPr>
                <w:sz w:val="20"/>
                <w:szCs w:val="20"/>
                <w:color w:val="auto"/>
              </w:rPr>
            </w:pPr>
            <w:r>
              <w:rPr>
                <w:rFonts w:ascii="Arial" w:cs="Arial" w:eastAsia="Arial" w:hAnsi="Arial"/>
                <w:sz w:val="16"/>
                <w:szCs w:val="16"/>
                <w:color w:val="auto"/>
                <w:w w:val="92"/>
              </w:rPr>
              <w:t xml:space="preserve">OCI, net of tax  </w:t>
            </w:r>
            <w:r>
              <w:rPr>
                <w:rFonts w:ascii="Arial" w:cs="Arial" w:eastAsia="Arial" w:hAnsi="Arial"/>
                <w:sz w:val="16"/>
                <w:szCs w:val="16"/>
                <w:color w:val="BDBDBD"/>
                <w:w w:val="92"/>
              </w:rPr>
              <w:t>. . . . . . . . . . . . . . . . . . . . . . . . . . . . . . . . . . . .</w:t>
            </w:r>
          </w:p>
        </w:tc>
        <w:tc>
          <w:tcPr>
            <w:tcW w:w="140" w:type="dxa"/>
            <w:vAlign w:val="bottom"/>
            <w:shd w:val="clear" w:color="auto" w:fill="E6E6E6"/>
          </w:tcPr>
          <w:p>
            <w:pPr>
              <w:spacing w:after="0"/>
              <w:rPr>
                <w:sz w:val="18"/>
                <w:szCs w:val="18"/>
                <w:color w:val="auto"/>
              </w:rPr>
            </w:pPr>
          </w:p>
        </w:tc>
        <w:tc>
          <w:tcPr>
            <w:tcW w:w="540" w:type="dxa"/>
            <w:vAlign w:val="bottom"/>
            <w:vMerge w:val="continue"/>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540" w:type="dxa"/>
            <w:vAlign w:val="bottom"/>
            <w:vMerge w:val="continue"/>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660" w:type="dxa"/>
            <w:vAlign w:val="bottom"/>
            <w:vMerge w:val="continue"/>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800" w:type="dxa"/>
            <w:vAlign w:val="bottom"/>
            <w:vMerge w:val="continue"/>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920" w:type="dxa"/>
            <w:vAlign w:val="bottom"/>
            <w:vMerge w:val="continue"/>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640" w:type="dxa"/>
            <w:vAlign w:val="bottom"/>
            <w:vMerge w:val="continue"/>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760" w:type="dxa"/>
            <w:vAlign w:val="bottom"/>
            <w:vMerge w:val="continue"/>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100" w:type="dxa"/>
            <w:vAlign w:val="bottom"/>
            <w:gridSpan w:val="2"/>
          </w:tcPr>
          <w:p>
            <w:pPr>
              <w:ind w:left="140"/>
              <w:spacing w:after="0"/>
              <w:rPr>
                <w:sz w:val="20"/>
                <w:szCs w:val="20"/>
                <w:color w:val="auto"/>
              </w:rPr>
            </w:pPr>
            <w:r>
              <w:rPr>
                <w:rFonts w:ascii="Arial" w:cs="Arial" w:eastAsia="Arial" w:hAnsi="Arial"/>
                <w:sz w:val="16"/>
                <w:szCs w:val="16"/>
                <w:color w:val="auto"/>
                <w:w w:val="93"/>
              </w:rPr>
              <w:t xml:space="preserve">Distributions to CEG, net of contributions, cash </w:t>
            </w:r>
            <w:r>
              <w:rPr>
                <w:rFonts w:ascii="Arial" w:cs="Arial" w:eastAsia="Arial" w:hAnsi="Arial"/>
                <w:sz w:val="16"/>
                <w:szCs w:val="16"/>
                <w:color w:val="BDBDBD"/>
                <w:w w:val="93"/>
              </w:rPr>
              <w:t>. . . . . . . . . .</w:t>
            </w:r>
          </w:p>
        </w:tc>
        <w:tc>
          <w:tcPr>
            <w:tcW w:w="140" w:type="dxa"/>
            <w:vAlign w:val="bottom"/>
          </w:tcPr>
          <w:p>
            <w:pPr>
              <w:spacing w:after="0"/>
              <w:rPr>
                <w:sz w:val="21"/>
                <w:szCs w:val="21"/>
                <w:color w:val="auto"/>
              </w:rPr>
            </w:pPr>
          </w:p>
        </w:tc>
        <w:tc>
          <w:tcPr>
            <w:tcW w:w="540" w:type="dxa"/>
            <w:vAlign w:val="bottom"/>
          </w:tcPr>
          <w:p>
            <w:pPr>
              <w:ind w:left="3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189"/>
        </w:trPr>
        <w:tc>
          <w:tcPr>
            <w:tcW w:w="4100" w:type="dxa"/>
            <w:vAlign w:val="bottom"/>
            <w:gridSpan w:val="2"/>
            <w:shd w:val="clear" w:color="auto" w:fill="E6E6E6"/>
          </w:tcPr>
          <w:p>
            <w:pPr>
              <w:ind w:left="140"/>
              <w:spacing w:after="0"/>
              <w:rPr>
                <w:sz w:val="20"/>
                <w:szCs w:val="20"/>
                <w:color w:val="auto"/>
              </w:rPr>
            </w:pPr>
            <w:r>
              <w:rPr>
                <w:rFonts w:ascii="Arial" w:cs="Arial" w:eastAsia="Arial" w:hAnsi="Arial"/>
                <w:sz w:val="16"/>
                <w:szCs w:val="16"/>
                <w:color w:val="auto"/>
              </w:rPr>
              <w:t>Contributions from noncontrolling interests, net of</w:t>
            </w:r>
          </w:p>
        </w:tc>
        <w:tc>
          <w:tcPr>
            <w:tcW w:w="140" w:type="dxa"/>
            <w:vAlign w:val="bottom"/>
            <w:shd w:val="clear" w:color="auto" w:fill="E6E6E6"/>
          </w:tcPr>
          <w:p>
            <w:pPr>
              <w:spacing w:after="0"/>
              <w:rPr>
                <w:sz w:val="16"/>
                <w:szCs w:val="16"/>
                <w:color w:val="auto"/>
              </w:rPr>
            </w:pPr>
          </w:p>
        </w:tc>
        <w:tc>
          <w:tcPr>
            <w:tcW w:w="540" w:type="dxa"/>
            <w:vAlign w:val="bottom"/>
            <w:vMerge w:val="restart"/>
            <w:shd w:val="clear" w:color="auto" w:fill="E6E6E6"/>
          </w:tcPr>
          <w:p>
            <w:pPr>
              <w:ind w:left="300"/>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16"/>
                <w:szCs w:val="16"/>
                <w:color w:val="auto"/>
              </w:rPr>
            </w:pPr>
          </w:p>
        </w:tc>
        <w:tc>
          <w:tcPr>
            <w:tcW w:w="160" w:type="dxa"/>
            <w:vAlign w:val="bottom"/>
            <w:shd w:val="clear" w:color="auto" w:fill="E6E6E6"/>
          </w:tcPr>
          <w:p>
            <w:pPr>
              <w:spacing w:after="0"/>
              <w:rPr>
                <w:sz w:val="16"/>
                <w:szCs w:val="16"/>
                <w:color w:val="auto"/>
              </w:rPr>
            </w:pPr>
          </w:p>
        </w:tc>
        <w:tc>
          <w:tcPr>
            <w:tcW w:w="54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16"/>
                <w:szCs w:val="16"/>
                <w:color w:val="auto"/>
              </w:rPr>
            </w:pPr>
          </w:p>
        </w:tc>
        <w:tc>
          <w:tcPr>
            <w:tcW w:w="160" w:type="dxa"/>
            <w:vAlign w:val="bottom"/>
            <w:shd w:val="clear" w:color="auto" w:fill="E6E6E6"/>
          </w:tcPr>
          <w:p>
            <w:pPr>
              <w:spacing w:after="0"/>
              <w:rPr>
                <w:sz w:val="16"/>
                <w:szCs w:val="16"/>
                <w:color w:val="auto"/>
              </w:rPr>
            </w:pPr>
          </w:p>
        </w:tc>
        <w:tc>
          <w:tcPr>
            <w:tcW w:w="66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16"/>
                <w:szCs w:val="16"/>
                <w:color w:val="auto"/>
              </w:rPr>
            </w:pPr>
          </w:p>
        </w:tc>
        <w:tc>
          <w:tcPr>
            <w:tcW w:w="160" w:type="dxa"/>
            <w:vAlign w:val="bottom"/>
            <w:shd w:val="clear" w:color="auto" w:fill="E6E6E6"/>
          </w:tcPr>
          <w:p>
            <w:pPr>
              <w:spacing w:after="0"/>
              <w:rPr>
                <w:sz w:val="16"/>
                <w:szCs w:val="16"/>
                <w:color w:val="auto"/>
              </w:rPr>
            </w:pPr>
          </w:p>
        </w:tc>
        <w:tc>
          <w:tcPr>
            <w:tcW w:w="800" w:type="dxa"/>
            <w:vAlign w:val="bottom"/>
            <w:vMerge w:val="restart"/>
            <w:shd w:val="clear" w:color="auto" w:fill="E6E6E6"/>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92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64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1,123</w:t>
            </w:r>
          </w:p>
        </w:tc>
        <w:tc>
          <w:tcPr>
            <w:tcW w:w="80" w:type="dxa"/>
            <w:vAlign w:val="bottom"/>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76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1,123</w:t>
            </w:r>
          </w:p>
        </w:tc>
        <w:tc>
          <w:tcPr>
            <w:tcW w:w="0" w:type="dxa"/>
            <w:vAlign w:val="bottom"/>
          </w:tcPr>
          <w:p>
            <w:pPr>
              <w:spacing w:after="0"/>
              <w:rPr>
                <w:sz w:val="1"/>
                <w:szCs w:val="1"/>
                <w:color w:val="auto"/>
              </w:rPr>
            </w:pPr>
          </w:p>
        </w:tc>
      </w:tr>
      <w:tr>
        <w:trPr>
          <w:trHeight w:val="220"/>
        </w:trPr>
        <w:tc>
          <w:tcPr>
            <w:tcW w:w="4100" w:type="dxa"/>
            <w:vAlign w:val="bottom"/>
            <w:gridSpan w:val="2"/>
            <w:shd w:val="clear" w:color="auto" w:fill="E6E6E6"/>
          </w:tcPr>
          <w:p>
            <w:pPr>
              <w:ind w:left="140"/>
              <w:spacing w:after="0"/>
              <w:rPr>
                <w:sz w:val="20"/>
                <w:szCs w:val="20"/>
                <w:color w:val="auto"/>
              </w:rPr>
            </w:pPr>
            <w:r>
              <w:rPr>
                <w:rFonts w:ascii="Arial" w:cs="Arial" w:eastAsia="Arial" w:hAnsi="Arial"/>
                <w:sz w:val="16"/>
                <w:szCs w:val="16"/>
                <w:color w:val="auto"/>
                <w:w w:val="91"/>
              </w:rPr>
              <w:t xml:space="preserve">distributions, cash </w:t>
            </w:r>
            <w:r>
              <w:rPr>
                <w:rFonts w:ascii="Arial" w:cs="Arial" w:eastAsia="Arial" w:hAnsi="Arial"/>
                <w:sz w:val="16"/>
                <w:szCs w:val="16"/>
                <w:color w:val="BDBDBD"/>
                <w:w w:val="91"/>
              </w:rPr>
              <w:t>. . . . . . . . . . . . . . . . . . . . . . . . . . . . . . . . . .</w:t>
            </w:r>
          </w:p>
        </w:tc>
        <w:tc>
          <w:tcPr>
            <w:tcW w:w="140" w:type="dxa"/>
            <w:vAlign w:val="bottom"/>
            <w:shd w:val="clear" w:color="auto" w:fill="E6E6E6"/>
          </w:tcPr>
          <w:p>
            <w:pPr>
              <w:spacing w:after="0"/>
              <w:rPr>
                <w:sz w:val="19"/>
                <w:szCs w:val="19"/>
                <w:color w:val="auto"/>
              </w:rPr>
            </w:pPr>
          </w:p>
        </w:tc>
        <w:tc>
          <w:tcPr>
            <w:tcW w:w="540" w:type="dxa"/>
            <w:vAlign w:val="bottom"/>
            <w:vMerge w:val="continue"/>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540" w:type="dxa"/>
            <w:vAlign w:val="bottom"/>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660" w:type="dxa"/>
            <w:vAlign w:val="bottom"/>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800" w:type="dxa"/>
            <w:vAlign w:val="bottom"/>
            <w:vMerge w:val="continue"/>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920" w:type="dxa"/>
            <w:vAlign w:val="bottom"/>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640" w:type="dxa"/>
            <w:vAlign w:val="bottom"/>
            <w:vMerge w:val="continue"/>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c>
          <w:tcPr>
            <w:tcW w:w="760" w:type="dxa"/>
            <w:vAlign w:val="bottom"/>
            <w:vMerge w:val="continue"/>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100" w:type="dxa"/>
            <w:vAlign w:val="bottom"/>
            <w:gridSpan w:val="2"/>
          </w:tcPr>
          <w:p>
            <w:pPr>
              <w:ind w:left="140"/>
              <w:spacing w:after="0"/>
              <w:rPr>
                <w:sz w:val="20"/>
                <w:szCs w:val="20"/>
                <w:color w:val="auto"/>
              </w:rPr>
            </w:pPr>
            <w:r>
              <w:rPr>
                <w:rFonts w:ascii="Arial" w:cs="Arial" w:eastAsia="Arial" w:hAnsi="Arial"/>
                <w:sz w:val="16"/>
                <w:szCs w:val="16"/>
                <w:color w:val="auto"/>
                <w:w w:val="93"/>
              </w:rPr>
              <w:t xml:space="preserve">Distributions to noncontrolling interests, non-cash </w:t>
            </w:r>
            <w:r>
              <w:rPr>
                <w:rFonts w:ascii="Arial" w:cs="Arial" w:eastAsia="Arial" w:hAnsi="Arial"/>
                <w:sz w:val="16"/>
                <w:szCs w:val="16"/>
                <w:color w:val="BDBDBD"/>
                <w:w w:val="93"/>
              </w:rPr>
              <w:t>. . . . . . . .</w:t>
            </w:r>
          </w:p>
        </w:tc>
        <w:tc>
          <w:tcPr>
            <w:tcW w:w="140" w:type="dxa"/>
            <w:vAlign w:val="bottom"/>
          </w:tcPr>
          <w:p>
            <w:pPr>
              <w:spacing w:after="0"/>
              <w:rPr>
                <w:sz w:val="21"/>
                <w:szCs w:val="21"/>
                <w:color w:val="auto"/>
              </w:rPr>
            </w:pPr>
          </w:p>
        </w:tc>
        <w:tc>
          <w:tcPr>
            <w:tcW w:w="540" w:type="dxa"/>
            <w:vAlign w:val="bottom"/>
          </w:tcPr>
          <w:p>
            <w:pPr>
              <w:ind w:left="3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59"/>
        </w:trPr>
        <w:tc>
          <w:tcPr>
            <w:tcW w:w="4100" w:type="dxa"/>
            <w:vAlign w:val="bottom"/>
            <w:gridSpan w:val="2"/>
            <w:shd w:val="clear" w:color="auto" w:fill="E6E6E6"/>
          </w:tcPr>
          <w:p>
            <w:pPr>
              <w:ind w:left="140"/>
              <w:spacing w:after="0"/>
              <w:rPr>
                <w:sz w:val="20"/>
                <w:szCs w:val="20"/>
                <w:color w:val="auto"/>
              </w:rPr>
            </w:pPr>
            <w:r>
              <w:rPr>
                <w:rFonts w:ascii="Arial" w:cs="Arial" w:eastAsia="Arial" w:hAnsi="Arial"/>
                <w:sz w:val="16"/>
                <w:szCs w:val="16"/>
                <w:color w:val="auto"/>
                <w:w w:val="91"/>
              </w:rPr>
              <w:t xml:space="preserve">Tax-related distributions </w:t>
            </w:r>
            <w:r>
              <w:rPr>
                <w:rFonts w:ascii="Arial" w:cs="Arial" w:eastAsia="Arial" w:hAnsi="Arial"/>
                <w:sz w:val="16"/>
                <w:szCs w:val="16"/>
                <w:color w:val="BDBDBD"/>
                <w:w w:val="91"/>
              </w:rPr>
              <w:t>. . . . . . . . . . . . . . . . . . . . . . . . . . . . .</w:t>
            </w:r>
          </w:p>
        </w:tc>
        <w:tc>
          <w:tcPr>
            <w:tcW w:w="140" w:type="dxa"/>
            <w:vAlign w:val="bottom"/>
            <w:shd w:val="clear" w:color="auto" w:fill="E6E6E6"/>
          </w:tcPr>
          <w:p>
            <w:pPr>
              <w:spacing w:after="0"/>
              <w:rPr>
                <w:sz w:val="22"/>
                <w:szCs w:val="22"/>
                <w:color w:val="auto"/>
              </w:rPr>
            </w:pPr>
          </w:p>
        </w:tc>
        <w:tc>
          <w:tcPr>
            <w:tcW w:w="540" w:type="dxa"/>
            <w:vAlign w:val="bottom"/>
            <w:shd w:val="clear" w:color="auto" w:fill="E6E6E6"/>
          </w:tcPr>
          <w:p>
            <w:pPr>
              <w:ind w:left="300"/>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5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6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800" w:type="dxa"/>
            <w:vAlign w:val="bottom"/>
            <w:shd w:val="clear" w:color="auto" w:fill="E6E6E6"/>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6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(21)</w:t>
            </w:r>
          </w:p>
        </w:tc>
        <w:tc>
          <w:tcPr>
            <w:tcW w:w="8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46"/>
        </w:trPr>
        <w:tc>
          <w:tcPr>
            <w:tcW w:w="4100" w:type="dxa"/>
            <w:vAlign w:val="bottom"/>
            <w:gridSpan w:val="2"/>
          </w:tcPr>
          <w:p>
            <w:pPr>
              <w:ind w:left="140"/>
              <w:spacing w:after="0"/>
              <w:rPr>
                <w:sz w:val="20"/>
                <w:szCs w:val="20"/>
                <w:color w:val="auto"/>
              </w:rPr>
            </w:pPr>
            <w:r>
              <w:rPr>
                <w:rFonts w:ascii="Arial" w:cs="Arial" w:eastAsia="Arial" w:hAnsi="Arial"/>
                <w:sz w:val="16"/>
                <w:szCs w:val="16"/>
                <w:color w:val="auto"/>
                <w:w w:val="90"/>
              </w:rPr>
              <w:t xml:space="preserve">Transfer of assets under common control </w:t>
            </w:r>
            <w:r>
              <w:rPr>
                <w:rFonts w:ascii="Arial" w:cs="Arial" w:eastAsia="Arial" w:hAnsi="Arial"/>
                <w:sz w:val="16"/>
                <w:szCs w:val="16"/>
                <w:color w:val="BDBDBD"/>
                <w:w w:val="90"/>
              </w:rPr>
              <w:t>. . . . . . . . . . . . . . . .</w:t>
            </w:r>
          </w:p>
        </w:tc>
        <w:tc>
          <w:tcPr>
            <w:tcW w:w="140" w:type="dxa"/>
            <w:vAlign w:val="bottom"/>
          </w:tcPr>
          <w:p>
            <w:pPr>
              <w:spacing w:after="0"/>
              <w:rPr>
                <w:sz w:val="21"/>
                <w:szCs w:val="21"/>
                <w:color w:val="auto"/>
              </w:rPr>
            </w:pPr>
          </w:p>
        </w:tc>
        <w:tc>
          <w:tcPr>
            <w:tcW w:w="540" w:type="dxa"/>
            <w:vAlign w:val="bottom"/>
          </w:tcPr>
          <w:p>
            <w:pPr>
              <w:ind w:left="3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348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261"/>
        </w:trPr>
        <w:tc>
          <w:tcPr>
            <w:tcW w:w="4100" w:type="dxa"/>
            <w:vAlign w:val="bottom"/>
            <w:gridSpan w:val="2"/>
            <w:shd w:val="clear" w:color="auto" w:fill="E6E6E6"/>
          </w:tcPr>
          <w:p>
            <w:pPr>
              <w:ind w:left="140"/>
              <w:spacing w:after="0"/>
              <w:rPr>
                <w:sz w:val="20"/>
                <w:szCs w:val="20"/>
                <w:color w:val="auto"/>
              </w:rPr>
            </w:pPr>
            <w:r>
              <w:rPr>
                <w:rFonts w:ascii="Arial" w:cs="Arial" w:eastAsia="Arial" w:hAnsi="Arial"/>
                <w:sz w:val="16"/>
                <w:szCs w:val="16"/>
                <w:color w:val="auto"/>
                <w:w w:val="92"/>
              </w:rPr>
              <w:t xml:space="preserve">Buyout of noncontrolling interest </w:t>
            </w:r>
            <w:r>
              <w:rPr>
                <w:rFonts w:ascii="Arial" w:cs="Arial" w:eastAsia="Arial" w:hAnsi="Arial"/>
                <w:sz w:val="16"/>
                <w:szCs w:val="16"/>
                <w:color w:val="BDBDBD"/>
                <w:w w:val="92"/>
              </w:rPr>
              <w:t>. . . . . . . . . . . . . . . . . . . . . .</w:t>
            </w:r>
          </w:p>
        </w:tc>
        <w:tc>
          <w:tcPr>
            <w:tcW w:w="140" w:type="dxa"/>
            <w:vAlign w:val="bottom"/>
            <w:shd w:val="clear" w:color="auto" w:fill="E6E6E6"/>
          </w:tcPr>
          <w:p>
            <w:pPr>
              <w:spacing w:after="0"/>
              <w:rPr>
                <w:sz w:val="22"/>
                <w:szCs w:val="22"/>
                <w:color w:val="auto"/>
              </w:rPr>
            </w:pPr>
          </w:p>
        </w:tc>
        <w:tc>
          <w:tcPr>
            <w:tcW w:w="540" w:type="dxa"/>
            <w:vAlign w:val="bottom"/>
            <w:shd w:val="clear" w:color="auto" w:fill="E6E6E6"/>
          </w:tcPr>
          <w:p>
            <w:pPr>
              <w:ind w:left="300"/>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5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6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16</w:t>
            </w:r>
          </w:p>
        </w:tc>
        <w:tc>
          <w:tcPr>
            <w:tcW w:w="8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800" w:type="dxa"/>
            <w:vAlign w:val="bottom"/>
            <w:shd w:val="clear" w:color="auto" w:fill="E6E6E6"/>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6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(26)</w:t>
            </w:r>
          </w:p>
        </w:tc>
        <w:tc>
          <w:tcPr>
            <w:tcW w:w="8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46"/>
        </w:trPr>
        <w:tc>
          <w:tcPr>
            <w:tcW w:w="4100" w:type="dxa"/>
            <w:vAlign w:val="bottom"/>
            <w:gridSpan w:val="2"/>
          </w:tcPr>
          <w:p>
            <w:pPr>
              <w:ind w:left="140"/>
              <w:spacing w:after="0"/>
              <w:rPr>
                <w:sz w:val="20"/>
                <w:szCs w:val="20"/>
                <w:color w:val="auto"/>
              </w:rPr>
            </w:pPr>
            <w:r>
              <w:rPr>
                <w:rFonts w:ascii="Arial" w:cs="Arial" w:eastAsia="Arial" w:hAnsi="Arial"/>
                <w:sz w:val="16"/>
                <w:szCs w:val="16"/>
                <w:color w:val="auto"/>
                <w:w w:val="92"/>
              </w:rPr>
              <w:t xml:space="preserve">Buyout of redeemable noncontrolling interest </w:t>
            </w:r>
            <w:r>
              <w:rPr>
                <w:rFonts w:ascii="Arial" w:cs="Arial" w:eastAsia="Arial" w:hAnsi="Arial"/>
                <w:sz w:val="16"/>
                <w:szCs w:val="16"/>
                <w:color w:val="BDBDBD"/>
                <w:w w:val="92"/>
              </w:rPr>
              <w:t>. . . . . . . . . . . .</w:t>
            </w:r>
          </w:p>
        </w:tc>
        <w:tc>
          <w:tcPr>
            <w:tcW w:w="140" w:type="dxa"/>
            <w:vAlign w:val="bottom"/>
          </w:tcPr>
          <w:p>
            <w:pPr>
              <w:spacing w:after="0"/>
              <w:rPr>
                <w:sz w:val="21"/>
                <w:szCs w:val="21"/>
                <w:color w:val="auto"/>
              </w:rPr>
            </w:pPr>
          </w:p>
        </w:tc>
        <w:tc>
          <w:tcPr>
            <w:tcW w:w="540" w:type="dxa"/>
            <w:vAlign w:val="bottom"/>
          </w:tcPr>
          <w:p>
            <w:pPr>
              <w:ind w:left="3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61"/>
        </w:trPr>
        <w:tc>
          <w:tcPr>
            <w:tcW w:w="4100" w:type="dxa"/>
            <w:vAlign w:val="bottom"/>
            <w:gridSpan w:val="2"/>
            <w:shd w:val="clear" w:color="auto" w:fill="E6E6E6"/>
          </w:tcPr>
          <w:p>
            <w:pPr>
              <w:ind w:left="140"/>
              <w:spacing w:after="0"/>
              <w:rPr>
                <w:sz w:val="20"/>
                <w:szCs w:val="20"/>
                <w:color w:val="auto"/>
              </w:rPr>
            </w:pPr>
            <w:r>
              <w:rPr>
                <w:rFonts w:ascii="Arial" w:cs="Arial" w:eastAsia="Arial" w:hAnsi="Arial"/>
                <w:sz w:val="16"/>
                <w:szCs w:val="16"/>
                <w:color w:val="auto"/>
                <w:w w:val="91"/>
              </w:rPr>
              <w:t xml:space="preserve">Non-cash adjustments for change in tax basis </w:t>
            </w:r>
            <w:r>
              <w:rPr>
                <w:rFonts w:ascii="Arial" w:cs="Arial" w:eastAsia="Arial" w:hAnsi="Arial"/>
                <w:sz w:val="16"/>
                <w:szCs w:val="16"/>
                <w:color w:val="BDBDBD"/>
                <w:w w:val="91"/>
              </w:rPr>
              <w:t>. . . . . . . . . . . .</w:t>
            </w:r>
          </w:p>
        </w:tc>
        <w:tc>
          <w:tcPr>
            <w:tcW w:w="140" w:type="dxa"/>
            <w:vAlign w:val="bottom"/>
            <w:shd w:val="clear" w:color="auto" w:fill="E6E6E6"/>
          </w:tcPr>
          <w:p>
            <w:pPr>
              <w:spacing w:after="0"/>
              <w:rPr>
                <w:sz w:val="22"/>
                <w:szCs w:val="22"/>
                <w:color w:val="auto"/>
              </w:rPr>
            </w:pPr>
          </w:p>
        </w:tc>
        <w:tc>
          <w:tcPr>
            <w:tcW w:w="540" w:type="dxa"/>
            <w:vAlign w:val="bottom"/>
            <w:shd w:val="clear" w:color="auto" w:fill="E6E6E6"/>
          </w:tcPr>
          <w:p>
            <w:pPr>
              <w:ind w:left="300"/>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5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6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800" w:type="dxa"/>
            <w:vAlign w:val="bottom"/>
            <w:shd w:val="clear" w:color="auto" w:fill="E6E6E6"/>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6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46"/>
        </w:trPr>
        <w:tc>
          <w:tcPr>
            <w:tcW w:w="4100" w:type="dxa"/>
            <w:vAlign w:val="bottom"/>
            <w:gridSpan w:val="2"/>
          </w:tcPr>
          <w:p>
            <w:pPr>
              <w:ind w:left="140"/>
              <w:spacing w:after="0"/>
              <w:rPr>
                <w:sz w:val="20"/>
                <w:szCs w:val="20"/>
                <w:color w:val="auto"/>
              </w:rPr>
            </w:pPr>
            <w:r>
              <w:rPr>
                <w:rFonts w:ascii="Arial" w:cs="Arial" w:eastAsia="Arial" w:hAnsi="Arial"/>
                <w:sz w:val="16"/>
                <w:szCs w:val="16"/>
                <w:color w:val="auto"/>
                <w:w w:val="90"/>
              </w:rPr>
              <w:t xml:space="preserve">Stock-based compensation </w:t>
            </w:r>
            <w:r>
              <w:rPr>
                <w:rFonts w:ascii="Arial" w:cs="Arial" w:eastAsia="Arial" w:hAnsi="Arial"/>
                <w:sz w:val="16"/>
                <w:szCs w:val="16"/>
                <w:color w:val="BDBDBD"/>
                <w:w w:val="90"/>
              </w:rPr>
              <w:t>. . . . . . . . . . . . . . . . . . . . . . . . . . .</w:t>
            </w:r>
          </w:p>
        </w:tc>
        <w:tc>
          <w:tcPr>
            <w:tcW w:w="140" w:type="dxa"/>
            <w:vAlign w:val="bottom"/>
          </w:tcPr>
          <w:p>
            <w:pPr>
              <w:spacing w:after="0"/>
              <w:rPr>
                <w:sz w:val="21"/>
                <w:szCs w:val="21"/>
                <w:color w:val="auto"/>
              </w:rPr>
            </w:pPr>
          </w:p>
        </w:tc>
        <w:tc>
          <w:tcPr>
            <w:tcW w:w="540" w:type="dxa"/>
            <w:vAlign w:val="bottom"/>
          </w:tcPr>
          <w:p>
            <w:pPr>
              <w:ind w:left="3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91"/>
        </w:trPr>
        <w:tc>
          <w:tcPr>
            <w:tcW w:w="4100" w:type="dxa"/>
            <w:vAlign w:val="bottom"/>
            <w:gridSpan w:val="2"/>
            <w:shd w:val="clear" w:color="auto" w:fill="E6E6E6"/>
          </w:tcPr>
          <w:p>
            <w:pPr>
              <w:ind w:left="140"/>
              <w:spacing w:after="0"/>
              <w:rPr>
                <w:sz w:val="20"/>
                <w:szCs w:val="20"/>
                <w:color w:val="auto"/>
              </w:rPr>
            </w:pPr>
            <w:r>
              <w:rPr>
                <w:rFonts w:ascii="Arial" w:cs="Arial" w:eastAsia="Arial" w:hAnsi="Arial"/>
                <w:sz w:val="16"/>
                <w:szCs w:val="16"/>
                <w:color w:val="auto"/>
              </w:rPr>
              <w:t>Common stock dividends and distributions to CEG unit</w:t>
            </w:r>
          </w:p>
        </w:tc>
        <w:tc>
          <w:tcPr>
            <w:tcW w:w="140" w:type="dxa"/>
            <w:vAlign w:val="bottom"/>
            <w:shd w:val="clear" w:color="auto" w:fill="E6E6E6"/>
          </w:tcPr>
          <w:p>
            <w:pPr>
              <w:spacing w:after="0"/>
              <w:rPr>
                <w:sz w:val="16"/>
                <w:szCs w:val="16"/>
                <w:color w:val="auto"/>
              </w:rPr>
            </w:pPr>
          </w:p>
        </w:tc>
        <w:tc>
          <w:tcPr>
            <w:tcW w:w="540" w:type="dxa"/>
            <w:vAlign w:val="bottom"/>
            <w:vMerge w:val="restart"/>
            <w:shd w:val="clear" w:color="auto" w:fill="E6E6E6"/>
          </w:tcPr>
          <w:p>
            <w:pPr>
              <w:ind w:left="300"/>
              <w:spacing w:after="0"/>
              <w:rPr>
                <w:sz w:val="20"/>
                <w:szCs w:val="20"/>
                <w:color w:val="auto"/>
              </w:rPr>
            </w:pPr>
            <w:r>
              <w:rPr>
                <w:rFonts w:ascii="Arial" w:cs="Arial" w:eastAsia="Arial" w:hAnsi="Arial"/>
                <w:sz w:val="16"/>
                <w:szCs w:val="16"/>
                <w:color w:val="auto"/>
              </w:rPr>
              <w:t>—</w:t>
            </w:r>
          </w:p>
        </w:tc>
        <w:tc>
          <w:tcPr>
            <w:tcW w:w="60" w:type="dxa"/>
            <w:vAlign w:val="bottom"/>
            <w:shd w:val="clear" w:color="auto" w:fill="E6E6E6"/>
          </w:tcPr>
          <w:p>
            <w:pPr>
              <w:spacing w:after="0"/>
              <w:rPr>
                <w:sz w:val="16"/>
                <w:szCs w:val="16"/>
                <w:color w:val="auto"/>
              </w:rPr>
            </w:pPr>
          </w:p>
        </w:tc>
        <w:tc>
          <w:tcPr>
            <w:tcW w:w="160" w:type="dxa"/>
            <w:vAlign w:val="bottom"/>
            <w:shd w:val="clear" w:color="auto" w:fill="E6E6E6"/>
          </w:tcPr>
          <w:p>
            <w:pPr>
              <w:spacing w:after="0"/>
              <w:rPr>
                <w:sz w:val="16"/>
                <w:szCs w:val="16"/>
                <w:color w:val="auto"/>
              </w:rPr>
            </w:pPr>
          </w:p>
        </w:tc>
        <w:tc>
          <w:tcPr>
            <w:tcW w:w="54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16"/>
                <w:szCs w:val="16"/>
                <w:color w:val="auto"/>
              </w:rPr>
            </w:pPr>
          </w:p>
        </w:tc>
        <w:tc>
          <w:tcPr>
            <w:tcW w:w="160" w:type="dxa"/>
            <w:vAlign w:val="bottom"/>
            <w:shd w:val="clear" w:color="auto" w:fill="E6E6E6"/>
          </w:tcPr>
          <w:p>
            <w:pPr>
              <w:spacing w:after="0"/>
              <w:rPr>
                <w:sz w:val="16"/>
                <w:szCs w:val="16"/>
                <w:color w:val="auto"/>
              </w:rPr>
            </w:pPr>
          </w:p>
        </w:tc>
        <w:tc>
          <w:tcPr>
            <w:tcW w:w="66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16"/>
                <w:szCs w:val="16"/>
                <w:color w:val="auto"/>
              </w:rPr>
            </w:pPr>
          </w:p>
        </w:tc>
        <w:tc>
          <w:tcPr>
            <w:tcW w:w="160" w:type="dxa"/>
            <w:vAlign w:val="bottom"/>
            <w:shd w:val="clear" w:color="auto" w:fill="E6E6E6"/>
          </w:tcPr>
          <w:p>
            <w:pPr>
              <w:spacing w:after="0"/>
              <w:rPr>
                <w:sz w:val="16"/>
                <w:szCs w:val="16"/>
                <w:color w:val="auto"/>
              </w:rPr>
            </w:pPr>
          </w:p>
        </w:tc>
        <w:tc>
          <w:tcPr>
            <w:tcW w:w="80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(180)</w:t>
            </w:r>
          </w:p>
        </w:tc>
        <w:tc>
          <w:tcPr>
            <w:tcW w:w="6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92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64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(131)</w:t>
            </w:r>
          </w:p>
        </w:tc>
        <w:tc>
          <w:tcPr>
            <w:tcW w:w="80" w:type="dxa"/>
            <w:vAlign w:val="bottom"/>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760" w:type="dxa"/>
            <w:vAlign w:val="bottom"/>
            <w:vMerge w:val="restart"/>
            <w:shd w:val="clear" w:color="auto" w:fill="E6E6E6"/>
          </w:tcPr>
          <w:p>
            <w:pPr>
              <w:jc w:val="right"/>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209"/>
        </w:trPr>
        <w:tc>
          <w:tcPr>
            <w:tcW w:w="4080" w:type="dxa"/>
            <w:vAlign w:val="bottom"/>
            <w:tcBorders>
              <w:bottom w:val="single" w:sz="8" w:color="E6E6E6"/>
            </w:tcBorders>
            <w:shd w:val="clear" w:color="auto" w:fill="E6E6E6"/>
          </w:tcPr>
          <w:p>
            <w:pPr>
              <w:ind w:left="140"/>
              <w:spacing w:after="0"/>
              <w:rPr>
                <w:sz w:val="20"/>
                <w:szCs w:val="20"/>
                <w:color w:val="auto"/>
              </w:rPr>
            </w:pPr>
            <w:r>
              <w:rPr>
                <w:rFonts w:ascii="Arial" w:cs="Arial" w:eastAsia="Arial" w:hAnsi="Arial"/>
                <w:sz w:val="16"/>
                <w:szCs w:val="16"/>
                <w:color w:val="auto"/>
                <w:w w:val="90"/>
              </w:rPr>
              <w:t xml:space="preserve">holders </w:t>
            </w:r>
            <w:r>
              <w:rPr>
                <w:rFonts w:ascii="Arial" w:cs="Arial" w:eastAsia="Arial" w:hAnsi="Arial"/>
                <w:sz w:val="16"/>
                <w:szCs w:val="16"/>
                <w:color w:val="BDBDBD"/>
                <w:w w:val="90"/>
              </w:rPr>
              <w:t>. . . . . . . . . . . . . . . . . . . . . . . . . . . . . . . . . . . . . . . . . . .</w:t>
            </w:r>
          </w:p>
        </w:tc>
        <w:tc>
          <w:tcPr>
            <w:tcW w:w="20" w:type="dxa"/>
            <w:vAlign w:val="bottom"/>
            <w:tcBorders>
              <w:bottom w:val="single" w:sz="8" w:color="auto"/>
            </w:tcBorders>
            <w:shd w:val="clear" w:color="auto" w:fill="E6E6E6"/>
          </w:tcPr>
          <w:p>
            <w:pPr>
              <w:spacing w:after="0"/>
              <w:rPr>
                <w:sz w:val="18"/>
                <w:szCs w:val="18"/>
                <w:color w:val="auto"/>
              </w:rPr>
            </w:pPr>
          </w:p>
        </w:tc>
        <w:tc>
          <w:tcPr>
            <w:tcW w:w="140" w:type="dxa"/>
            <w:vAlign w:val="bottom"/>
            <w:tcBorders>
              <w:bottom w:val="single" w:sz="8" w:color="auto"/>
            </w:tcBorders>
            <w:shd w:val="clear" w:color="auto" w:fill="E6E6E6"/>
          </w:tcPr>
          <w:p>
            <w:pPr>
              <w:spacing w:after="0"/>
              <w:rPr>
                <w:sz w:val="18"/>
                <w:szCs w:val="18"/>
                <w:color w:val="auto"/>
              </w:rPr>
            </w:pPr>
          </w:p>
        </w:tc>
        <w:tc>
          <w:tcPr>
            <w:tcW w:w="540" w:type="dxa"/>
            <w:vAlign w:val="bottom"/>
            <w:tcBorders>
              <w:bottom w:val="single" w:sz="8" w:color="auto"/>
            </w:tcBorders>
            <w:vMerge w:val="continue"/>
            <w:shd w:val="clear" w:color="auto" w:fill="E6E6E6"/>
          </w:tcPr>
          <w:p>
            <w:pPr>
              <w:spacing w:after="0"/>
              <w:rPr>
                <w:sz w:val="18"/>
                <w:szCs w:val="18"/>
                <w:color w:val="auto"/>
              </w:rPr>
            </w:pPr>
          </w:p>
        </w:tc>
        <w:tc>
          <w:tcPr>
            <w:tcW w:w="60" w:type="dxa"/>
            <w:vAlign w:val="bottom"/>
            <w:tcBorders>
              <w:bottom w:val="single" w:sz="8" w:color="E6E6E6"/>
            </w:tcBorders>
            <w:shd w:val="clear" w:color="auto" w:fill="E6E6E6"/>
          </w:tcPr>
          <w:p>
            <w:pPr>
              <w:spacing w:after="0"/>
              <w:rPr>
                <w:sz w:val="18"/>
                <w:szCs w:val="18"/>
                <w:color w:val="auto"/>
              </w:rPr>
            </w:pPr>
          </w:p>
        </w:tc>
        <w:tc>
          <w:tcPr>
            <w:tcW w:w="160" w:type="dxa"/>
            <w:vAlign w:val="bottom"/>
            <w:tcBorders>
              <w:bottom w:val="single" w:sz="8" w:color="auto"/>
            </w:tcBorders>
            <w:shd w:val="clear" w:color="auto" w:fill="E6E6E6"/>
          </w:tcPr>
          <w:p>
            <w:pPr>
              <w:spacing w:after="0"/>
              <w:rPr>
                <w:sz w:val="18"/>
                <w:szCs w:val="18"/>
                <w:color w:val="auto"/>
              </w:rPr>
            </w:pPr>
          </w:p>
        </w:tc>
        <w:tc>
          <w:tcPr>
            <w:tcW w:w="540" w:type="dxa"/>
            <w:vAlign w:val="bottom"/>
            <w:tcBorders>
              <w:bottom w:val="single" w:sz="8" w:color="auto"/>
            </w:tcBorders>
            <w:vMerge w:val="continue"/>
            <w:shd w:val="clear" w:color="auto" w:fill="E6E6E6"/>
          </w:tcPr>
          <w:p>
            <w:pPr>
              <w:spacing w:after="0"/>
              <w:rPr>
                <w:sz w:val="18"/>
                <w:szCs w:val="18"/>
                <w:color w:val="auto"/>
              </w:rPr>
            </w:pPr>
          </w:p>
        </w:tc>
        <w:tc>
          <w:tcPr>
            <w:tcW w:w="80" w:type="dxa"/>
            <w:vAlign w:val="bottom"/>
            <w:tcBorders>
              <w:bottom w:val="single" w:sz="8" w:color="E6E6E6"/>
            </w:tcBorders>
            <w:shd w:val="clear" w:color="auto" w:fill="E6E6E6"/>
          </w:tcPr>
          <w:p>
            <w:pPr>
              <w:spacing w:after="0"/>
              <w:rPr>
                <w:sz w:val="18"/>
                <w:szCs w:val="18"/>
                <w:color w:val="auto"/>
              </w:rPr>
            </w:pPr>
          </w:p>
        </w:tc>
        <w:tc>
          <w:tcPr>
            <w:tcW w:w="160" w:type="dxa"/>
            <w:vAlign w:val="bottom"/>
            <w:tcBorders>
              <w:bottom w:val="single" w:sz="8" w:color="auto"/>
            </w:tcBorders>
            <w:shd w:val="clear" w:color="auto" w:fill="E6E6E6"/>
          </w:tcPr>
          <w:p>
            <w:pPr>
              <w:spacing w:after="0"/>
              <w:rPr>
                <w:sz w:val="18"/>
                <w:szCs w:val="18"/>
                <w:color w:val="auto"/>
              </w:rPr>
            </w:pPr>
          </w:p>
        </w:tc>
        <w:tc>
          <w:tcPr>
            <w:tcW w:w="660" w:type="dxa"/>
            <w:vAlign w:val="bottom"/>
            <w:tcBorders>
              <w:bottom w:val="single" w:sz="8" w:color="auto"/>
            </w:tcBorders>
            <w:vMerge w:val="continue"/>
            <w:shd w:val="clear" w:color="auto" w:fill="E6E6E6"/>
          </w:tcPr>
          <w:p>
            <w:pPr>
              <w:spacing w:after="0"/>
              <w:rPr>
                <w:sz w:val="18"/>
                <w:szCs w:val="18"/>
                <w:color w:val="auto"/>
              </w:rPr>
            </w:pPr>
          </w:p>
        </w:tc>
        <w:tc>
          <w:tcPr>
            <w:tcW w:w="80" w:type="dxa"/>
            <w:vAlign w:val="bottom"/>
            <w:tcBorders>
              <w:bottom w:val="single" w:sz="8" w:color="E6E6E6"/>
            </w:tcBorders>
            <w:shd w:val="clear" w:color="auto" w:fill="E6E6E6"/>
          </w:tcPr>
          <w:p>
            <w:pPr>
              <w:spacing w:after="0"/>
              <w:rPr>
                <w:sz w:val="18"/>
                <w:szCs w:val="18"/>
                <w:color w:val="auto"/>
              </w:rPr>
            </w:pPr>
          </w:p>
        </w:tc>
        <w:tc>
          <w:tcPr>
            <w:tcW w:w="160" w:type="dxa"/>
            <w:vAlign w:val="bottom"/>
            <w:tcBorders>
              <w:bottom w:val="single" w:sz="8" w:color="auto"/>
            </w:tcBorders>
            <w:shd w:val="clear" w:color="auto" w:fill="E6E6E6"/>
          </w:tcPr>
          <w:p>
            <w:pPr>
              <w:spacing w:after="0"/>
              <w:rPr>
                <w:sz w:val="18"/>
                <w:szCs w:val="18"/>
                <w:color w:val="auto"/>
              </w:rPr>
            </w:pPr>
          </w:p>
        </w:tc>
        <w:tc>
          <w:tcPr>
            <w:tcW w:w="800" w:type="dxa"/>
            <w:vAlign w:val="bottom"/>
            <w:tcBorders>
              <w:bottom w:val="single" w:sz="8" w:color="auto"/>
            </w:tcBorders>
            <w:vMerge w:val="continue"/>
            <w:shd w:val="clear" w:color="auto" w:fill="E6E6E6"/>
          </w:tcPr>
          <w:p>
            <w:pPr>
              <w:spacing w:after="0"/>
              <w:rPr>
                <w:sz w:val="18"/>
                <w:szCs w:val="18"/>
                <w:color w:val="auto"/>
              </w:rPr>
            </w:pPr>
          </w:p>
        </w:tc>
        <w:tc>
          <w:tcPr>
            <w:tcW w:w="60" w:type="dxa"/>
            <w:vAlign w:val="bottom"/>
            <w:tcBorders>
              <w:bottom w:val="single" w:sz="8" w:color="E6E6E6"/>
            </w:tcBorders>
            <w:shd w:val="clear" w:color="auto" w:fill="E6E6E6"/>
          </w:tcPr>
          <w:p>
            <w:pPr>
              <w:spacing w:after="0"/>
              <w:rPr>
                <w:sz w:val="18"/>
                <w:szCs w:val="18"/>
                <w:color w:val="auto"/>
              </w:rPr>
            </w:pPr>
          </w:p>
        </w:tc>
        <w:tc>
          <w:tcPr>
            <w:tcW w:w="140" w:type="dxa"/>
            <w:vAlign w:val="bottom"/>
            <w:tcBorders>
              <w:bottom w:val="single" w:sz="8" w:color="auto"/>
            </w:tcBorders>
            <w:shd w:val="clear" w:color="auto" w:fill="E6E6E6"/>
          </w:tcPr>
          <w:p>
            <w:pPr>
              <w:spacing w:after="0"/>
              <w:rPr>
                <w:sz w:val="18"/>
                <w:szCs w:val="18"/>
                <w:color w:val="auto"/>
              </w:rPr>
            </w:pPr>
          </w:p>
        </w:tc>
        <w:tc>
          <w:tcPr>
            <w:tcW w:w="920" w:type="dxa"/>
            <w:vAlign w:val="bottom"/>
            <w:tcBorders>
              <w:bottom w:val="single" w:sz="8" w:color="auto"/>
            </w:tcBorders>
            <w:vMerge w:val="continue"/>
            <w:shd w:val="clear" w:color="auto" w:fill="E6E6E6"/>
          </w:tcPr>
          <w:p>
            <w:pPr>
              <w:spacing w:after="0"/>
              <w:rPr>
                <w:sz w:val="18"/>
                <w:szCs w:val="18"/>
                <w:color w:val="auto"/>
              </w:rPr>
            </w:pPr>
          </w:p>
        </w:tc>
        <w:tc>
          <w:tcPr>
            <w:tcW w:w="80" w:type="dxa"/>
            <w:vAlign w:val="bottom"/>
            <w:tcBorders>
              <w:bottom w:val="single" w:sz="8" w:color="E6E6E6"/>
            </w:tcBorders>
            <w:shd w:val="clear" w:color="auto" w:fill="E6E6E6"/>
          </w:tcPr>
          <w:p>
            <w:pPr>
              <w:spacing w:after="0"/>
              <w:rPr>
                <w:sz w:val="18"/>
                <w:szCs w:val="18"/>
                <w:color w:val="auto"/>
              </w:rPr>
            </w:pPr>
          </w:p>
        </w:tc>
        <w:tc>
          <w:tcPr>
            <w:tcW w:w="140" w:type="dxa"/>
            <w:vAlign w:val="bottom"/>
            <w:tcBorders>
              <w:bottom w:val="single" w:sz="8" w:color="auto"/>
            </w:tcBorders>
            <w:shd w:val="clear" w:color="auto" w:fill="E6E6E6"/>
          </w:tcPr>
          <w:p>
            <w:pPr>
              <w:spacing w:after="0"/>
              <w:rPr>
                <w:sz w:val="18"/>
                <w:szCs w:val="18"/>
                <w:color w:val="auto"/>
              </w:rPr>
            </w:pPr>
          </w:p>
        </w:tc>
        <w:tc>
          <w:tcPr>
            <w:tcW w:w="640" w:type="dxa"/>
            <w:vAlign w:val="bottom"/>
            <w:tcBorders>
              <w:bottom w:val="single" w:sz="8" w:color="auto"/>
            </w:tcBorders>
            <w:vMerge w:val="continue"/>
            <w:shd w:val="clear" w:color="auto" w:fill="E6E6E6"/>
          </w:tcPr>
          <w:p>
            <w:pPr>
              <w:spacing w:after="0"/>
              <w:rPr>
                <w:sz w:val="18"/>
                <w:szCs w:val="18"/>
                <w:color w:val="auto"/>
              </w:rPr>
            </w:pPr>
          </w:p>
        </w:tc>
        <w:tc>
          <w:tcPr>
            <w:tcW w:w="80" w:type="dxa"/>
            <w:vAlign w:val="bottom"/>
            <w:tcBorders>
              <w:bottom w:val="single" w:sz="8" w:color="E6E6E6"/>
            </w:tcBorders>
            <w:shd w:val="clear" w:color="auto" w:fill="E6E6E6"/>
          </w:tcPr>
          <w:p>
            <w:pPr>
              <w:spacing w:after="0"/>
              <w:rPr>
                <w:sz w:val="18"/>
                <w:szCs w:val="18"/>
                <w:color w:val="auto"/>
              </w:rPr>
            </w:pPr>
          </w:p>
        </w:tc>
        <w:tc>
          <w:tcPr>
            <w:tcW w:w="200" w:type="dxa"/>
            <w:vAlign w:val="bottom"/>
            <w:tcBorders>
              <w:bottom w:val="single" w:sz="8" w:color="auto"/>
            </w:tcBorders>
            <w:shd w:val="clear" w:color="auto" w:fill="E6E6E6"/>
          </w:tcPr>
          <w:p>
            <w:pPr>
              <w:spacing w:after="0"/>
              <w:rPr>
                <w:sz w:val="18"/>
                <w:szCs w:val="18"/>
                <w:color w:val="auto"/>
              </w:rPr>
            </w:pPr>
          </w:p>
        </w:tc>
        <w:tc>
          <w:tcPr>
            <w:tcW w:w="760" w:type="dxa"/>
            <w:vAlign w:val="bottom"/>
            <w:tcBorders>
              <w:bottom w:val="single" w:sz="8" w:color="auto"/>
            </w:tcBorders>
            <w:vMerge w:val="continue"/>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00" w:type="dxa"/>
            <w:vAlign w:val="bottom"/>
            <w:gridSpan w:val="2"/>
          </w:tcPr>
          <w:p>
            <w:pPr>
              <w:ind w:left="40"/>
              <w:spacing w:after="0"/>
              <w:rPr>
                <w:sz w:val="20"/>
                <w:szCs w:val="20"/>
                <w:color w:val="auto"/>
              </w:rPr>
            </w:pPr>
            <w:r>
              <w:rPr>
                <w:rFonts w:ascii="Arial" w:cs="Arial" w:eastAsia="Arial" w:hAnsi="Arial"/>
                <w:sz w:val="16"/>
                <w:szCs w:val="16"/>
                <w:b w:val="1"/>
                <w:bCs w:val="1"/>
                <w:color w:val="auto"/>
                <w:w w:val="91"/>
              </w:rPr>
              <w:t xml:space="preserve">Balances at December 31, 2023 </w:t>
            </w:r>
            <w:r>
              <w:rPr>
                <w:rFonts w:ascii="Arial" w:cs="Arial" w:eastAsia="Arial" w:hAnsi="Arial"/>
                <w:sz w:val="16"/>
                <w:szCs w:val="16"/>
                <w:b w:val="1"/>
                <w:bCs w:val="1"/>
                <w:color w:val="BDBDBD"/>
                <w:w w:val="91"/>
              </w:rPr>
              <w:t>. . . . . . . . . . . . . . . . . . . . . . .</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540" w:type="dxa"/>
            <w:vAlign w:val="bottom"/>
          </w:tcPr>
          <w:p>
            <w:pPr>
              <w:ind w:left="300"/>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1,732</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361</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2,893</w:t>
            </w:r>
          </w:p>
        </w:tc>
        <w:tc>
          <w:tcPr>
            <w:tcW w:w="280" w:type="dxa"/>
            <w:vAlign w:val="bottom"/>
            <w:gridSpan w:val="2"/>
          </w:tcPr>
          <w:p>
            <w:pPr>
              <w:jc w:val="right"/>
              <w:ind w:right="1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4,994</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2581910</wp:posOffset>
            </wp:positionH>
            <wp:positionV relativeFrom="paragraph">
              <wp:posOffset>-4949825</wp:posOffset>
            </wp:positionV>
            <wp:extent cx="4100830"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14">
                      <a:extLst>
                        <a:ext uri="{28A0092B-C50C-407E-A947-70E740481C1C}"/>
                      </a:extLst>
                    </a:blip>
                    <a:srcRect/>
                    <a:stretch>
                      <a:fillRect/>
                    </a:stretch>
                  </pic:blipFill>
                  <pic:spPr bwMode="auto">
                    <a:xfrm>
                      <a:off x="0" y="0"/>
                      <a:ext cx="4100830" cy="25400"/>
                    </a:xfrm>
                    <a:prstGeom prst="rect">
                      <a:avLst/>
                    </a:prstGeom>
                    <a:noFill/>
                  </pic:spPr>
                </pic:pic>
              </a:graphicData>
            </a:graphic>
          </wp:anchor>
        </w:drawing>
        <w:drawing>
          <wp:anchor simplePos="0" relativeHeight="251657728" behindDoc="1" locked="0" layoutInCell="0" allowOverlap="1">
            <wp:simplePos x="0" y="0"/>
            <wp:positionH relativeFrom="column">
              <wp:posOffset>2581910</wp:posOffset>
            </wp:positionH>
            <wp:positionV relativeFrom="paragraph">
              <wp:posOffset>-2571115</wp:posOffset>
            </wp:positionV>
            <wp:extent cx="4100830"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15">
                      <a:extLst>
                        <a:ext uri="{28A0092B-C50C-407E-A947-70E740481C1C}"/>
                      </a:extLst>
                    </a:blip>
                    <a:srcRect/>
                    <a:stretch>
                      <a:fillRect/>
                    </a:stretch>
                  </pic:blipFill>
                  <pic:spPr bwMode="auto">
                    <a:xfrm>
                      <a:off x="0" y="0"/>
                      <a:ext cx="4100830" cy="25400"/>
                    </a:xfrm>
                    <a:prstGeom prst="rect">
                      <a:avLst/>
                    </a:prstGeom>
                    <a:noFill/>
                  </pic:spPr>
                </pic:pic>
              </a:graphicData>
            </a:graphic>
          </wp:anchor>
        </w:drawing>
        <w:drawing>
          <wp:anchor simplePos="0" relativeHeight="251657728" behindDoc="1" locked="0" layoutInCell="0" allowOverlap="1">
            <wp:simplePos x="0" y="0"/>
            <wp:positionH relativeFrom="column">
              <wp:posOffset>2581910</wp:posOffset>
            </wp:positionH>
            <wp:positionV relativeFrom="paragraph">
              <wp:posOffset>-192405</wp:posOffset>
            </wp:positionV>
            <wp:extent cx="4100830"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16">
                      <a:extLst>
                        <a:ext uri="{28A0092B-C50C-407E-A947-70E740481C1C}"/>
                      </a:extLst>
                    </a:blip>
                    <a:srcRect/>
                    <a:stretch>
                      <a:fillRect/>
                    </a:stretch>
                  </pic:blipFill>
                  <pic:spPr bwMode="auto">
                    <a:xfrm>
                      <a:off x="0" y="0"/>
                      <a:ext cx="4100830" cy="25400"/>
                    </a:xfrm>
                    <a:prstGeom prst="rect">
                      <a:avLst/>
                    </a:prstGeom>
                    <a:noFill/>
                  </pic:spPr>
                </pic:pic>
              </a:graphicData>
            </a:graphic>
          </wp:anchor>
        </w:drawing>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consolidated financial statements.</w:t>
      </w:r>
    </w:p>
    <w:p>
      <w:pPr>
        <w:sectPr>
          <w:pgSz w:w="11880" w:h="15480" w:orient="portrait"/>
          <w:cols w:equalWidth="0" w:num="1">
            <w:col w:w="10500"/>
          </w:cols>
          <w:pgMar w:left="600" w:top="399"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79</w:t>
      </w:r>
    </w:p>
    <w:p>
      <w:pPr>
        <w:sectPr>
          <w:pgSz w:w="11880" w:h="15480" w:orient="portrait"/>
          <w:cols w:equalWidth="0" w:num="1">
            <w:col w:w="10500"/>
          </w:cols>
          <w:pgMar w:left="600" w:top="399" w:right="780" w:bottom="0" w:gutter="0" w:footer="0" w:header="0"/>
          <w:type w:val="continuous"/>
        </w:sectPr>
      </w:pPr>
    </w:p>
    <w:bookmarkStart w:id="81" w:name="page82"/>
    <w:bookmarkEnd w:id="81"/>
    <w:p>
      <w:pPr>
        <w:jc w:val="center"/>
        <w:spacing w:after="0"/>
        <w:rPr>
          <w:sz w:val="20"/>
          <w:szCs w:val="20"/>
          <w:color w:val="auto"/>
        </w:rPr>
      </w:pPr>
      <w:r>
        <w:rPr>
          <w:rFonts w:ascii="Arial" w:cs="Arial" w:eastAsia="Arial" w:hAnsi="Arial"/>
          <w:sz w:val="20"/>
          <w:szCs w:val="20"/>
          <w:b w:val="1"/>
          <w:bCs w:val="1"/>
          <w:color w:val="auto"/>
        </w:rPr>
        <w:t>CLEARWAY ENERGY, INC.</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 Nature of Business</w:t>
      </w:r>
    </w:p>
    <w:p>
      <w:pPr>
        <w:spacing w:after="0" w:line="195" w:lineRule="exact"/>
        <w:rPr>
          <w:sz w:val="20"/>
          <w:szCs w:val="20"/>
          <w:color w:val="auto"/>
        </w:rPr>
      </w:pPr>
    </w:p>
    <w:p>
      <w:pPr>
        <w:jc w:val="both"/>
        <w:ind w:firstLine="448"/>
        <w:spacing w:after="0" w:line="289" w:lineRule="auto"/>
        <w:rPr>
          <w:sz w:val="20"/>
          <w:szCs w:val="20"/>
          <w:color w:val="auto"/>
        </w:rPr>
      </w:pPr>
      <w:r>
        <w:rPr>
          <w:rFonts w:ascii="Arial" w:cs="Arial" w:eastAsia="Arial" w:hAnsi="Arial"/>
          <w:sz w:val="18"/>
          <w:szCs w:val="18"/>
          <w:color w:val="auto"/>
        </w:rPr>
        <w:t>Clearway Energy, Inc., together with its consolidated subsidiaries, or the Company, is a publicly-traded energy infrastructure investor with a focus on investments in clean energy and owner of modern, sustainable and long-term contracted assets across North America. The Company is sponsored by GIP and TotalEnergies through the portfolio company, Clearway Energy Group LLC, or CEG, which is equally owned by GIP and TotalEnergies. GIP is an independent infrastructure fund manager that makes equity and debt investments in infrastructure assets and businesses. TotalEnergies is a global multi-energy company. CEG is a leading developer of renewable energy infrastructure in the U.S.</w:t>
      </w:r>
    </w:p>
    <w:p>
      <w:pPr>
        <w:spacing w:after="0" w:line="116" w:lineRule="exact"/>
        <w:rPr>
          <w:sz w:val="20"/>
          <w:szCs w:val="20"/>
          <w:color w:val="auto"/>
        </w:rPr>
      </w:pPr>
    </w:p>
    <w:p>
      <w:pPr>
        <w:jc w:val="both"/>
        <w:ind w:firstLine="448"/>
        <w:spacing w:after="0" w:line="255" w:lineRule="auto"/>
        <w:rPr>
          <w:sz w:val="20"/>
          <w:szCs w:val="20"/>
          <w:color w:val="auto"/>
        </w:rPr>
      </w:pPr>
      <w:r>
        <w:rPr>
          <w:rFonts w:ascii="Arial" w:cs="Arial" w:eastAsia="Arial" w:hAnsi="Arial"/>
          <w:sz w:val="20"/>
          <w:szCs w:val="20"/>
          <w:color w:val="auto"/>
        </w:rPr>
        <w:t>The Company is one of the largest renewable energy owners in the U.S. with approximately 6,000 net MW of installed wind, solar and energy storage projects. The Company’s approximately 8,500 net MW of assets also includes approximately 2,500 net MW of environmentally-sound, highly efficient natural gas-fired generation facilities. Through this environmentally-sound, diversified and primarily contracted portfolio, the Company endeavors to provide its investors with stable and growing dividend income. The majority of the Company’s revenues are derived from long-term contractual arrangements for the output or capacity from these assets.</w:t>
      </w:r>
    </w:p>
    <w:p>
      <w:pPr>
        <w:spacing w:after="0" w:line="146" w:lineRule="exact"/>
        <w:rPr>
          <w:sz w:val="20"/>
          <w:szCs w:val="20"/>
          <w:color w:val="auto"/>
        </w:rPr>
      </w:pPr>
    </w:p>
    <w:p>
      <w:pPr>
        <w:jc w:val="both"/>
        <w:ind w:firstLine="448"/>
        <w:spacing w:after="0" w:line="257" w:lineRule="auto"/>
        <w:rPr>
          <w:sz w:val="20"/>
          <w:szCs w:val="20"/>
          <w:color w:val="auto"/>
        </w:rPr>
      </w:pPr>
      <w:r>
        <w:rPr>
          <w:rFonts w:ascii="Arial" w:cs="Arial" w:eastAsia="Arial" w:hAnsi="Arial"/>
          <w:sz w:val="20"/>
          <w:szCs w:val="20"/>
          <w:color w:val="auto"/>
        </w:rPr>
        <w:t>The Company consolidates the results of Clearway Energy LLC through its controlling interest, with CEG’s interest shown as noncontrolling interest in the consolidated financial statements. The holders of the Company’s outstanding shares of Class A and Class C common stock are entitled to dividends as declared. CEG receives its distributions from Clearway Energy LLC through its ownership of Clearway Energy LLC Class B and Class D units. From time to time, CEG may also hold shares of the Company’s Class A and/or Class C common stock.</w:t>
      </w:r>
    </w:p>
    <w:p>
      <w:pPr>
        <w:spacing w:after="0" w:line="142" w:lineRule="exact"/>
        <w:rPr>
          <w:sz w:val="20"/>
          <w:szCs w:val="20"/>
          <w:color w:val="auto"/>
        </w:rPr>
      </w:pPr>
    </w:p>
    <w:p>
      <w:pPr>
        <w:jc w:val="both"/>
        <w:ind w:firstLine="448"/>
        <w:spacing w:after="0" w:line="339" w:lineRule="auto"/>
        <w:rPr>
          <w:sz w:val="20"/>
          <w:szCs w:val="20"/>
          <w:color w:val="auto"/>
        </w:rPr>
      </w:pPr>
      <w:r>
        <w:rPr>
          <w:rFonts w:ascii="Arial" w:cs="Arial" w:eastAsia="Arial" w:hAnsi="Arial"/>
          <w:sz w:val="18"/>
          <w:szCs w:val="18"/>
          <w:color w:val="auto"/>
        </w:rPr>
        <w:t xml:space="preserve">As of December 31, 2023, the Company owned 57.90% of the economic interests of Clearway Energy LLC, with CEG owning 42.10% of the economic interests of Clearway Energy LLC. For further discussion, see Note 12, </w:t>
      </w:r>
      <w:r>
        <w:rPr>
          <w:rFonts w:ascii="Arial" w:cs="Arial" w:eastAsia="Arial" w:hAnsi="Arial"/>
          <w:sz w:val="18"/>
          <w:szCs w:val="18"/>
          <w:b w:val="1"/>
          <w:bCs w:val="1"/>
          <w:i w:val="1"/>
          <w:iCs w:val="1"/>
          <w:color w:val="auto"/>
        </w:rPr>
        <w:t>Stockholders’ Equity.</w:t>
      </w:r>
    </w:p>
    <w:p>
      <w:pPr>
        <w:sectPr>
          <w:pgSz w:w="11880" w:h="15480" w:orient="portrait"/>
          <w:cols w:equalWidth="0" w:num="1">
            <w:col w:w="10200"/>
          </w:cols>
          <w:pgMar w:left="840" w:top="404"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ectPr>
          <w:pgSz w:w="11880" w:h="15480" w:orient="portrait"/>
          <w:cols w:equalWidth="0" w:num="1">
            <w:col w:w="10200"/>
          </w:cols>
          <w:pgMar w:left="840" w:top="404" w:right="840" w:bottom="0" w:gutter="0" w:footer="0" w:header="0"/>
          <w:type w:val="continuous"/>
        </w:sectPr>
      </w:pPr>
    </w:p>
    <w:bookmarkStart w:id="82" w:name="page83"/>
    <w:bookmarkEnd w:id="82"/>
    <w:p>
      <w:pPr>
        <w:ind w:left="440"/>
        <w:spacing w:after="0"/>
        <w:rPr>
          <w:sz w:val="20"/>
          <w:szCs w:val="20"/>
          <w:color w:val="auto"/>
        </w:rPr>
      </w:pPr>
      <w:r>
        <w:rPr>
          <w:rFonts w:ascii="Arial" w:cs="Arial" w:eastAsia="Arial" w:hAnsi="Arial"/>
          <w:sz w:val="20"/>
          <w:szCs w:val="20"/>
          <w:color w:val="auto"/>
        </w:rPr>
        <w:t>The diagram below represents a summarized structure of the Company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482715" cy="47726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17">
                      <a:extLst>
                        <a:ext uri="{28A0092B-C50C-407E-A947-70E740481C1C}"/>
                      </a:extLst>
                    </a:blip>
                    <a:srcRect/>
                    <a:stretch>
                      <a:fillRect/>
                    </a:stretch>
                  </pic:blipFill>
                  <pic:spPr bwMode="auto">
                    <a:xfrm>
                      <a:off x="0" y="0"/>
                      <a:ext cx="6482715" cy="4772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 — Summary of Significant Accounting Policies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of Presentation and Principles of Consolidation</w:t>
      </w:r>
    </w:p>
    <w:p>
      <w:pPr>
        <w:spacing w:after="0" w:line="196" w:lineRule="exact"/>
        <w:rPr>
          <w:sz w:val="20"/>
          <w:szCs w:val="20"/>
          <w:color w:val="auto"/>
        </w:rPr>
      </w:pPr>
    </w:p>
    <w:p>
      <w:pPr>
        <w:jc w:val="both"/>
        <w:ind w:firstLine="448"/>
        <w:spacing w:after="0" w:line="285" w:lineRule="auto"/>
        <w:rPr>
          <w:sz w:val="20"/>
          <w:szCs w:val="20"/>
          <w:color w:val="auto"/>
        </w:rPr>
      </w:pPr>
      <w:r>
        <w:rPr>
          <w:rFonts w:ascii="Arial" w:cs="Arial" w:eastAsia="Arial" w:hAnsi="Arial"/>
          <w:sz w:val="19"/>
          <w:szCs w:val="19"/>
          <w:color w:val="auto"/>
        </w:rPr>
        <w:t>The Company’s consolidated financial statements have been prepared in accordance with GAAP. The FASB ASC is the source of authoritative GAAP to be applied by nongovernmental entities. In addition, the rules and interpretative releases of the SEC under authority of federal securities laws are also sources of authoritative GAAP for SEC registrants.</w:t>
      </w:r>
    </w:p>
    <w:p>
      <w:pPr>
        <w:spacing w:after="0" w:line="117" w:lineRule="exact"/>
        <w:rPr>
          <w:sz w:val="20"/>
          <w:szCs w:val="20"/>
          <w:color w:val="auto"/>
        </w:rPr>
      </w:pPr>
    </w:p>
    <w:p>
      <w:pPr>
        <w:jc w:val="both"/>
        <w:ind w:firstLine="448"/>
        <w:spacing w:after="0" w:line="254" w:lineRule="auto"/>
        <w:rPr>
          <w:sz w:val="20"/>
          <w:szCs w:val="20"/>
          <w:color w:val="auto"/>
        </w:rPr>
      </w:pPr>
      <w:r>
        <w:rPr>
          <w:rFonts w:ascii="Arial" w:cs="Arial" w:eastAsia="Arial" w:hAnsi="Arial"/>
          <w:sz w:val="20"/>
          <w:szCs w:val="20"/>
          <w:color w:val="auto"/>
        </w:rPr>
        <w:t xml:space="preserve">The consolidated financial statements include the Company’s accounts and operations and those of its subsidiaries in which it has a controlling financial interest. All significant intercompany transactions and balances have been eliminated in consolidation. The usual condition for a controlling financial interest is ownership of the majority of the voting interests of an entity. However, a controlling financial interest may also exist through arrangements that do not involve controlling voting interests. As such, the Company applies the guidance of ASC 810, </w:t>
      </w:r>
      <w:r>
        <w:rPr>
          <w:rFonts w:ascii="Arial" w:cs="Arial" w:eastAsia="Arial" w:hAnsi="Arial"/>
          <w:sz w:val="20"/>
          <w:szCs w:val="20"/>
          <w:b w:val="1"/>
          <w:bCs w:val="1"/>
          <w:i w:val="1"/>
          <w:iCs w:val="1"/>
          <w:color w:val="auto"/>
        </w:rPr>
        <w:t>Consolidations</w:t>
      </w:r>
      <w:r>
        <w:rPr>
          <w:rFonts w:ascii="Arial" w:cs="Arial" w:eastAsia="Arial" w:hAnsi="Arial"/>
          <w:sz w:val="20"/>
          <w:szCs w:val="20"/>
          <w:color w:val="auto"/>
        </w:rPr>
        <w:t>, to determine when an entity that is insufficiently capitalized or not controlled through its voting interests, referred to as a variable interest entity, or VIE, should be consolidated.</w:t>
      </w:r>
    </w:p>
    <w:p>
      <w:pPr>
        <w:sectPr>
          <w:pgSz w:w="11880" w:h="15480" w:orient="portrait"/>
          <w:cols w:equalWidth="0" w:num="1">
            <w:col w:w="10200"/>
          </w:cols>
          <w:pgMar w:left="840" w:top="411"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ectPr>
          <w:pgSz w:w="11880" w:h="15480" w:orient="portrait"/>
          <w:cols w:equalWidth="0" w:num="1">
            <w:col w:w="10200"/>
          </w:cols>
          <w:pgMar w:left="840" w:top="411" w:right="840" w:bottom="0" w:gutter="0" w:footer="0" w:header="0"/>
          <w:type w:val="continuous"/>
        </w:sectPr>
      </w:pPr>
    </w:p>
    <w:bookmarkStart w:id="83" w:name="page84"/>
    <w:bookmarkEnd w:id="83"/>
    <w:p>
      <w:pPr>
        <w:spacing w:after="0"/>
        <w:rPr>
          <w:sz w:val="20"/>
          <w:szCs w:val="20"/>
          <w:color w:val="auto"/>
        </w:rPr>
      </w:pPr>
      <w:r>
        <w:rPr>
          <w:rFonts w:ascii="Arial" w:cs="Arial" w:eastAsia="Arial" w:hAnsi="Arial"/>
          <w:sz w:val="20"/>
          <w:szCs w:val="20"/>
          <w:b w:val="1"/>
          <w:bCs w:val="1"/>
          <w:i w:val="1"/>
          <w:iCs w:val="1"/>
          <w:color w:val="auto"/>
        </w:rPr>
        <w:t>Cash, Cash Equivalents and Restricted Cash</w:t>
      </w:r>
    </w:p>
    <w:p>
      <w:pPr>
        <w:spacing w:after="0" w:line="196" w:lineRule="exact"/>
        <w:rPr>
          <w:sz w:val="20"/>
          <w:szCs w:val="20"/>
          <w:color w:val="auto"/>
        </w:rPr>
      </w:pPr>
    </w:p>
    <w:p>
      <w:pPr>
        <w:jc w:val="both"/>
        <w:ind w:right="60" w:firstLine="448"/>
        <w:spacing w:after="0" w:line="265" w:lineRule="auto"/>
        <w:rPr>
          <w:sz w:val="20"/>
          <w:szCs w:val="20"/>
          <w:color w:val="auto"/>
        </w:rPr>
      </w:pPr>
      <w:r>
        <w:rPr>
          <w:rFonts w:ascii="Arial" w:cs="Arial" w:eastAsia="Arial" w:hAnsi="Arial"/>
          <w:sz w:val="20"/>
          <w:szCs w:val="20"/>
          <w:color w:val="auto"/>
        </w:rPr>
        <w:t>Cash and cash equivalents include highly liquid investments with an original maturity of three months or less at the time of purchase. Cash and cash equivalents held at project subsidiaries was $125 million and $121 million as of December 31, 2023 and 2022, respectively.</w:t>
      </w:r>
    </w:p>
    <w:p>
      <w:pPr>
        <w:spacing w:after="0" w:line="134" w:lineRule="exact"/>
        <w:rPr>
          <w:sz w:val="20"/>
          <w:szCs w:val="20"/>
          <w:color w:val="auto"/>
        </w:rPr>
      </w:pPr>
    </w:p>
    <w:p>
      <w:pPr>
        <w:jc w:val="both"/>
        <w:ind w:right="60" w:firstLine="448"/>
        <w:spacing w:after="0" w:line="338"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jc w:val="right"/>
              <w:ind w:right="605"/>
              <w:spacing w:after="0"/>
              <w:rPr>
                <w:sz w:val="20"/>
                <w:szCs w:val="20"/>
                <w:color w:val="auto"/>
              </w:rPr>
            </w:pPr>
            <w:r>
              <w:rPr>
                <w:rFonts w:ascii="Arial" w:cs="Arial" w:eastAsia="Arial" w:hAnsi="Arial"/>
                <w:sz w:val="16"/>
                <w:szCs w:val="16"/>
                <w:b w:val="1"/>
                <w:bCs w:val="1"/>
                <w:color w:val="auto"/>
              </w:rPr>
              <w:t>December 31,</w:t>
            </w:r>
          </w:p>
        </w:tc>
      </w:tr>
      <w:tr>
        <w:trPr>
          <w:trHeight w:val="234"/>
        </w:trPr>
        <w:tc>
          <w:tcPr>
            <w:tcW w:w="7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05"/>
              <w:spacing w:after="0"/>
              <w:rPr>
                <w:sz w:val="20"/>
                <w:szCs w:val="20"/>
                <w:color w:val="auto"/>
              </w:rPr>
            </w:pPr>
            <w:r>
              <w:rPr>
                <w:rFonts w:ascii="Arial" w:cs="Arial" w:eastAsia="Arial" w:hAnsi="Arial"/>
                <w:sz w:val="16"/>
                <w:szCs w:val="16"/>
                <w:b w:val="1"/>
                <w:bCs w:val="1"/>
                <w:color w:val="auto"/>
                <w:w w:val="89"/>
              </w:rPr>
              <w:t>2022</w:t>
            </w:r>
          </w:p>
        </w:tc>
      </w:tr>
      <w:tr>
        <w:trPr>
          <w:trHeight w:val="236"/>
        </w:trPr>
        <w:tc>
          <w:tcPr>
            <w:tcW w:w="7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40" w:type="dxa"/>
            <w:vAlign w:val="bottom"/>
          </w:tcPr>
          <w:p>
            <w:pPr>
              <w:spacing w:after="0"/>
              <w:rPr>
                <w:sz w:val="20"/>
                <w:szCs w:val="20"/>
                <w:color w:val="auto"/>
              </w:rPr>
            </w:pPr>
          </w:p>
        </w:tc>
      </w:tr>
      <w:tr>
        <w:trPr>
          <w:trHeight w:val="306"/>
        </w:trPr>
        <w:tc>
          <w:tcPr>
            <w:tcW w:w="7720" w:type="dxa"/>
            <w:vAlign w:val="bottom"/>
            <w:shd w:val="clear" w:color="auto" w:fill="E6E6E6"/>
          </w:tcPr>
          <w:p>
            <w:pPr>
              <w:ind w:left="60"/>
              <w:spacing w:after="0"/>
              <w:rPr>
                <w:sz w:val="20"/>
                <w:szCs w:val="20"/>
                <w:color w:val="auto"/>
              </w:rPr>
            </w:pPr>
            <w:r>
              <w:rPr>
                <w:rFonts w:ascii="Arial" w:cs="Arial" w:eastAsia="Arial" w:hAnsi="Arial"/>
                <w:sz w:val="20"/>
                <w:szCs w:val="20"/>
                <w:color w:val="auto"/>
                <w:w w:val="89"/>
              </w:rPr>
              <w:t xml:space="preserve">Cash and cash equivalents  </w:t>
            </w:r>
            <w:r>
              <w:rPr>
                <w:rFonts w:ascii="Arial" w:cs="Arial" w:eastAsia="Arial" w:hAnsi="Arial"/>
                <w:sz w:val="20"/>
                <w:szCs w:val="20"/>
                <w:color w:val="BDBDBD"/>
                <w:w w:val="89"/>
              </w:rPr>
              <w:t>. . . . . . . . . . . . . . . . . . . . . . . . . . . . . . . . . . . . . . . . . . . . . . . . . . . . . . .</w:t>
            </w:r>
          </w:p>
        </w:tc>
        <w:tc>
          <w:tcPr>
            <w:tcW w:w="420" w:type="dxa"/>
            <w:vAlign w:val="bottom"/>
            <w:gridSpan w:val="2"/>
            <w:shd w:val="clear" w:color="auto" w:fill="E6E6E6"/>
          </w:tcPr>
          <w:p>
            <w:pPr>
              <w:ind w:left="40"/>
              <w:spacing w:after="0"/>
              <w:rPr>
                <w:sz w:val="20"/>
                <w:szCs w:val="20"/>
                <w:color w:val="auto"/>
              </w:rPr>
            </w:pPr>
            <w:r>
              <w:rPr>
                <w:rFonts w:ascii="Arial" w:cs="Arial" w:eastAsia="Arial" w:hAnsi="Arial"/>
                <w:sz w:val="20"/>
                <w:szCs w:val="20"/>
                <w:color w:val="BDBDBD"/>
              </w:rPr>
              <w:t xml:space="preserve">. </w:t>
            </w:r>
            <w:r>
              <w:rPr>
                <w:rFonts w:ascii="Arial" w:cs="Arial" w:eastAsia="Arial" w:hAnsi="Arial"/>
                <w:sz w:val="20"/>
                <w:szCs w:val="20"/>
                <w:color w:val="000000"/>
              </w:rPr>
              <w:t>$</w:t>
            </w: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535</w:t>
            </w:r>
          </w:p>
        </w:tc>
        <w:tc>
          <w:tcPr>
            <w:tcW w:w="460" w:type="dxa"/>
            <w:vAlign w:val="bottom"/>
            <w:gridSpan w:val="2"/>
            <w:shd w:val="clear" w:color="auto" w:fill="E6E6E6"/>
          </w:tcPr>
          <w:p>
            <w:pPr>
              <w:jc w:val="right"/>
              <w:ind w:right="240"/>
              <w:spacing w:after="0"/>
              <w:rPr>
                <w:sz w:val="20"/>
                <w:szCs w:val="20"/>
                <w:color w:val="auto"/>
              </w:rPr>
            </w:pPr>
            <w:r>
              <w:rPr>
                <w:rFonts w:ascii="Arial" w:cs="Arial" w:eastAsia="Arial" w:hAnsi="Arial"/>
                <w:sz w:val="20"/>
                <w:szCs w:val="20"/>
                <w:color w:val="auto"/>
              </w:rPr>
              <w:t>$</w:t>
            </w:r>
          </w:p>
        </w:tc>
        <w:tc>
          <w:tcPr>
            <w:tcW w:w="7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657</w:t>
            </w:r>
          </w:p>
        </w:tc>
      </w:tr>
      <w:tr>
        <w:trPr>
          <w:trHeight w:val="288"/>
        </w:trPr>
        <w:tc>
          <w:tcPr>
            <w:tcW w:w="7720" w:type="dxa"/>
            <w:vAlign w:val="bottom"/>
            <w:tcBorders>
              <w:bottom w:val="single" w:sz="8" w:color="E6E6E6"/>
            </w:tcBorders>
          </w:tcPr>
          <w:p>
            <w:pPr>
              <w:ind w:left="60"/>
              <w:spacing w:after="0"/>
              <w:rPr>
                <w:sz w:val="20"/>
                <w:szCs w:val="20"/>
                <w:color w:val="auto"/>
              </w:rPr>
            </w:pPr>
            <w:r>
              <w:rPr>
                <w:rFonts w:ascii="Arial" w:cs="Arial" w:eastAsia="Arial" w:hAnsi="Arial"/>
                <w:sz w:val="20"/>
                <w:szCs w:val="20"/>
                <w:color w:val="auto"/>
                <w:w w:val="89"/>
              </w:rPr>
              <w:t xml:space="preserve">Restricted cash </w:t>
            </w:r>
            <w:r>
              <w:rPr>
                <w:rFonts w:ascii="Arial" w:cs="Arial" w:eastAsia="Arial" w:hAnsi="Arial"/>
                <w:sz w:val="20"/>
                <w:szCs w:val="20"/>
                <w:color w:val="BDBDBD"/>
                <w:w w:val="89"/>
              </w:rPr>
              <w:t>. . . . . . . . . . . . . . . . . . . . . . . . . . . . . . . . . . . . . . . . . . . . . . . . . . . . . . . . . . . . . . . .</w:t>
            </w:r>
          </w:p>
        </w:tc>
        <w:tc>
          <w:tcPr>
            <w:tcW w:w="140" w:type="dxa"/>
            <w:vAlign w:val="bottom"/>
            <w:tcBorders>
              <w:bottom w:val="single" w:sz="8" w:color="E6E6E6"/>
            </w:tcBorders>
          </w:tcPr>
          <w:p>
            <w:pPr>
              <w:ind w:left="40"/>
              <w:spacing w:after="0"/>
              <w:rPr>
                <w:sz w:val="20"/>
                <w:szCs w:val="20"/>
                <w:color w:val="auto"/>
              </w:rPr>
            </w:pPr>
            <w:r>
              <w:rPr>
                <w:rFonts w:ascii="Arial" w:cs="Arial" w:eastAsia="Arial" w:hAnsi="Arial"/>
                <w:sz w:val="20"/>
                <w:szCs w:val="20"/>
                <w:color w:val="BDBDBD"/>
              </w:rPr>
              <w:t>.</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516</w:t>
            </w:r>
          </w:p>
        </w:tc>
        <w:tc>
          <w:tcPr>
            <w:tcW w:w="80" w:type="dxa"/>
            <w:vAlign w:val="bottom"/>
            <w:tcBorders>
              <w:bottom w:val="single" w:sz="8" w:color="E6E6E6"/>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339</w:t>
            </w:r>
          </w:p>
        </w:tc>
      </w:tr>
      <w:tr>
        <w:trPr>
          <w:trHeight w:val="286"/>
        </w:trPr>
        <w:tc>
          <w:tcPr>
            <w:tcW w:w="7720" w:type="dxa"/>
            <w:vAlign w:val="bottom"/>
            <w:shd w:val="clear" w:color="auto" w:fill="E6E6E6"/>
          </w:tcPr>
          <w:p>
            <w:pPr>
              <w:ind w:left="180"/>
              <w:spacing w:after="0"/>
              <w:rPr>
                <w:sz w:val="20"/>
                <w:szCs w:val="20"/>
                <w:color w:val="auto"/>
              </w:rPr>
            </w:pPr>
            <w:r>
              <w:rPr>
                <w:rFonts w:ascii="Arial" w:cs="Arial" w:eastAsia="Arial" w:hAnsi="Arial"/>
                <w:sz w:val="20"/>
                <w:szCs w:val="20"/>
                <w:color w:val="auto"/>
                <w:w w:val="89"/>
              </w:rPr>
              <w:t>Cash, cash equivalents and restricted cash shown in the consolidated statements of cash flows</w:t>
            </w:r>
          </w:p>
        </w:tc>
        <w:tc>
          <w:tcPr>
            <w:tcW w:w="420" w:type="dxa"/>
            <w:vAlign w:val="bottom"/>
            <w:gridSpan w:val="2"/>
            <w:shd w:val="clear" w:color="auto" w:fill="E6E6E6"/>
          </w:tcPr>
          <w:p>
            <w:pPr>
              <w:ind w:left="40"/>
              <w:spacing w:after="0"/>
              <w:rPr>
                <w:sz w:val="20"/>
                <w:szCs w:val="20"/>
                <w:color w:val="auto"/>
              </w:rPr>
            </w:pPr>
            <w:r>
              <w:rPr>
                <w:rFonts w:ascii="Arial" w:cs="Arial" w:eastAsia="Arial" w:hAnsi="Arial"/>
                <w:sz w:val="20"/>
                <w:szCs w:val="20"/>
                <w:color w:val="BDBDBD"/>
              </w:rPr>
              <w:t xml:space="preserve">. </w:t>
            </w:r>
            <w:r>
              <w:rPr>
                <w:rFonts w:ascii="Arial" w:cs="Arial" w:eastAsia="Arial" w:hAnsi="Arial"/>
                <w:sz w:val="20"/>
                <w:szCs w:val="20"/>
                <w:color w:val="000000"/>
              </w:rPr>
              <w:t>$</w:t>
            </w: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1,051</w:t>
            </w:r>
          </w:p>
        </w:tc>
        <w:tc>
          <w:tcPr>
            <w:tcW w:w="460" w:type="dxa"/>
            <w:vAlign w:val="bottom"/>
            <w:gridSpan w:val="2"/>
            <w:shd w:val="clear" w:color="auto" w:fill="E6E6E6"/>
          </w:tcPr>
          <w:p>
            <w:pPr>
              <w:jc w:val="right"/>
              <w:ind w:right="240"/>
              <w:spacing w:after="0"/>
              <w:rPr>
                <w:sz w:val="20"/>
                <w:szCs w:val="20"/>
                <w:color w:val="auto"/>
              </w:rPr>
            </w:pPr>
            <w:r>
              <w:rPr>
                <w:rFonts w:ascii="Arial" w:cs="Arial" w:eastAsia="Arial" w:hAnsi="Arial"/>
                <w:sz w:val="20"/>
                <w:szCs w:val="20"/>
                <w:color w:val="auto"/>
              </w:rPr>
              <w:t>$</w:t>
            </w:r>
          </w:p>
        </w:tc>
        <w:tc>
          <w:tcPr>
            <w:tcW w:w="7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996</w:t>
            </w:r>
          </w:p>
        </w:tc>
      </w:tr>
      <w:tr>
        <w:trPr>
          <w:trHeight w:val="27"/>
        </w:trPr>
        <w:tc>
          <w:tcPr>
            <w:tcW w:w="7720" w:type="dxa"/>
            <w:vAlign w:val="bottom"/>
            <w:tcBorders>
              <w:top w:val="single" w:sz="8" w:color="E6E6E6"/>
            </w:tcBorders>
          </w:tcPr>
          <w:p>
            <w:pPr>
              <w:spacing w:after="0"/>
              <w:rPr>
                <w:sz w:val="2"/>
                <w:szCs w:val="2"/>
                <w:color w:val="auto"/>
              </w:rPr>
            </w:pPr>
          </w:p>
        </w:tc>
        <w:tc>
          <w:tcPr>
            <w:tcW w:w="140" w:type="dxa"/>
            <w:vAlign w:val="bottom"/>
            <w:tcBorders>
              <w:top w:val="single" w:sz="8" w:color="E6E6E6"/>
            </w:tcBorders>
          </w:tcPr>
          <w:p>
            <w:pPr>
              <w:spacing w:after="0"/>
              <w:rPr>
                <w:sz w:val="2"/>
                <w:szCs w:val="2"/>
                <w:color w:val="auto"/>
              </w:rPr>
            </w:pPr>
          </w:p>
        </w:tc>
        <w:tc>
          <w:tcPr>
            <w:tcW w:w="280" w:type="dxa"/>
            <w:vAlign w:val="bottom"/>
            <w:tcBorders>
              <w:top w:val="single" w:sz="8" w:color="auto"/>
            </w:tcBorders>
            <w:shd w:val="clear" w:color="auto" w:fill="000000"/>
          </w:tcPr>
          <w:p>
            <w:pPr>
              <w:spacing w:after="0"/>
              <w:rPr>
                <w:sz w:val="2"/>
                <w:szCs w:val="2"/>
                <w:color w:val="auto"/>
              </w:rPr>
            </w:pPr>
          </w:p>
        </w:tc>
        <w:tc>
          <w:tcPr>
            <w:tcW w:w="86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E6E6E6"/>
            </w:tcBorders>
          </w:tcPr>
          <w:p>
            <w:pPr>
              <w:spacing w:after="0"/>
              <w:rPr>
                <w:sz w:val="2"/>
                <w:szCs w:val="2"/>
                <w:color w:val="auto"/>
              </w:rPr>
            </w:pPr>
          </w:p>
        </w:tc>
        <w:tc>
          <w:tcPr>
            <w:tcW w:w="380" w:type="dxa"/>
            <w:vAlign w:val="bottom"/>
            <w:tcBorders>
              <w:top w:val="single" w:sz="8" w:color="auto"/>
            </w:tcBorders>
            <w:shd w:val="clear" w:color="auto" w:fill="000000"/>
          </w:tcPr>
          <w:p>
            <w:pPr>
              <w:spacing w:after="0"/>
              <w:rPr>
                <w:sz w:val="2"/>
                <w:szCs w:val="2"/>
                <w:color w:val="auto"/>
              </w:rPr>
            </w:pPr>
          </w:p>
        </w:tc>
        <w:tc>
          <w:tcPr>
            <w:tcW w:w="740" w:type="dxa"/>
            <w:vAlign w:val="bottom"/>
            <w:tcBorders>
              <w:top w:val="single" w:sz="8" w:color="auto"/>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4979035</wp:posOffset>
            </wp:positionH>
            <wp:positionV relativeFrom="paragraph">
              <wp:posOffset>-229870</wp:posOffset>
            </wp:positionV>
            <wp:extent cx="151320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18">
                      <a:extLst>
                        <a:ext uri="{28A0092B-C50C-407E-A947-70E740481C1C}"/>
                      </a:extLst>
                    </a:blip>
                    <a:srcRect/>
                    <a:stretch>
                      <a:fillRect/>
                    </a:stretch>
                  </pic:blipFill>
                  <pic:spPr bwMode="auto">
                    <a:xfrm>
                      <a:off x="0" y="0"/>
                      <a:ext cx="1513205" cy="25400"/>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-43815</wp:posOffset>
            </wp:positionV>
            <wp:extent cx="1513205" cy="508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19">
                      <a:extLst>
                        <a:ext uri="{28A0092B-C50C-407E-A947-70E740481C1C}"/>
                      </a:extLst>
                    </a:blip>
                    <a:srcRect/>
                    <a:stretch>
                      <a:fillRect/>
                    </a:stretch>
                  </pic:blipFill>
                  <pic:spPr bwMode="auto">
                    <a:xfrm>
                      <a:off x="0" y="0"/>
                      <a:ext cx="1513205" cy="50800"/>
                    </a:xfrm>
                    <a:prstGeom prst="rect">
                      <a:avLst/>
                    </a:prstGeom>
                    <a:noFill/>
                  </pic:spPr>
                </pic:pic>
              </a:graphicData>
            </a:graphic>
          </wp:anchor>
        </w:drawing>
      </w:r>
    </w:p>
    <w:p>
      <w:pPr>
        <w:spacing w:after="0" w:line="166" w:lineRule="exact"/>
        <w:rPr>
          <w:sz w:val="20"/>
          <w:szCs w:val="20"/>
          <w:color w:val="auto"/>
        </w:rPr>
      </w:pPr>
    </w:p>
    <w:p>
      <w:pPr>
        <w:jc w:val="both"/>
        <w:ind w:right="60" w:firstLine="448"/>
        <w:spacing w:after="0" w:line="257" w:lineRule="auto"/>
        <w:rPr>
          <w:sz w:val="20"/>
          <w:szCs w:val="20"/>
          <w:color w:val="auto"/>
        </w:rPr>
      </w:pPr>
      <w:r>
        <w:rPr>
          <w:rFonts w:ascii="Arial" w:cs="Arial" w:eastAsia="Arial" w:hAnsi="Arial"/>
          <w:sz w:val="20"/>
          <w:szCs w:val="20"/>
          <w:color w:val="auto"/>
        </w:rPr>
        <w:t>Restricted cash consists primarily of funds held to satisfy the requirements of certain debt agreements and funds held within the Company’s projects that are restricted in their use. As of December 31, 2023, these restricted funds were comprised of $176 million designated to fund operating expenses, $178 million designated for current debt service payments and $85 million restricted for reserves including debt service, performance obligations and other reserves as well as capital expenditures. The remaining $77 million is held in distributions reserve accounts.</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Supplemental Cash Flow Information</w:t>
      </w:r>
    </w:p>
    <w:p>
      <w:pPr>
        <w:spacing w:after="0" w:line="196" w:lineRule="exact"/>
        <w:rPr>
          <w:sz w:val="20"/>
          <w:szCs w:val="20"/>
          <w:color w:val="auto"/>
        </w:rPr>
      </w:pPr>
    </w:p>
    <w:p>
      <w:pPr>
        <w:jc w:val="both"/>
        <w:ind w:right="60" w:firstLine="448"/>
        <w:spacing w:after="0" w:line="280" w:lineRule="auto"/>
        <w:rPr>
          <w:sz w:val="20"/>
          <w:szCs w:val="20"/>
          <w:color w:val="auto"/>
        </w:rPr>
      </w:pPr>
      <w:r>
        <w:rPr>
          <w:rFonts w:ascii="Arial" w:cs="Arial" w:eastAsia="Arial" w:hAnsi="Arial"/>
          <w:sz w:val="20"/>
          <w:szCs w:val="20"/>
          <w:color w:val="auto"/>
        </w:rPr>
        <w:t>The following table provides a disaggregation of the amounts classified as Acquisition of Drop Down Assets, net of cash acquired, shown in the consolidated statements of cash flows: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9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6"/>
          </w:tcPr>
          <w:p>
            <w:pPr>
              <w:jc w:val="center"/>
              <w:ind w:left="65"/>
              <w:spacing w:after="0"/>
              <w:rPr>
                <w:sz w:val="20"/>
                <w:szCs w:val="20"/>
                <w:color w:val="auto"/>
              </w:rPr>
            </w:pPr>
            <w:r>
              <w:rPr>
                <w:rFonts w:ascii="Arial" w:cs="Arial" w:eastAsia="Arial" w:hAnsi="Arial"/>
                <w:sz w:val="16"/>
                <w:szCs w:val="16"/>
                <w:b w:val="1"/>
                <w:bCs w:val="1"/>
                <w:color w:val="auto"/>
                <w:w w:val="90"/>
              </w:rPr>
              <w:t>Year ended December 31,</w:t>
            </w:r>
          </w:p>
        </w:tc>
        <w:tc>
          <w:tcPr>
            <w:tcW w:w="1040" w:type="dxa"/>
            <w:vAlign w:val="bottom"/>
            <w:tcBorders>
              <w:bottom w:val="single" w:sz="8" w:color="auto"/>
            </w:tcBorders>
          </w:tcPr>
          <w:p>
            <w:pPr>
              <w:spacing w:after="0"/>
              <w:rPr>
                <w:sz w:val="18"/>
                <w:szCs w:val="18"/>
                <w:color w:val="auto"/>
              </w:rPr>
            </w:pPr>
          </w:p>
        </w:tc>
      </w:tr>
      <w:tr>
        <w:trPr>
          <w:trHeight w:val="234"/>
        </w:trPr>
        <w:tc>
          <w:tcPr>
            <w:tcW w:w="596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28"/>
              <w:spacing w:after="0"/>
              <w:rPr>
                <w:sz w:val="20"/>
                <w:szCs w:val="20"/>
                <w:color w:val="auto"/>
              </w:rPr>
            </w:pPr>
            <w:r>
              <w:rPr>
                <w:rFonts w:ascii="Arial" w:cs="Arial" w:eastAsia="Arial" w:hAnsi="Arial"/>
                <w:sz w:val="16"/>
                <w:szCs w:val="16"/>
                <w:b w:val="1"/>
                <w:bCs w:val="1"/>
                <w:color w:val="auto"/>
                <w:w w:val="89"/>
              </w:rPr>
              <w:t>2022</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45"/>
              <w:spacing w:after="0"/>
              <w:rPr>
                <w:sz w:val="20"/>
                <w:szCs w:val="20"/>
                <w:color w:val="auto"/>
              </w:rPr>
            </w:pPr>
            <w:r>
              <w:rPr>
                <w:rFonts w:ascii="Arial" w:cs="Arial" w:eastAsia="Arial" w:hAnsi="Arial"/>
                <w:sz w:val="16"/>
                <w:szCs w:val="16"/>
                <w:b w:val="1"/>
                <w:bCs w:val="1"/>
                <w:color w:val="auto"/>
              </w:rPr>
              <w:t>2021</w:t>
            </w:r>
          </w:p>
        </w:tc>
      </w:tr>
      <w:tr>
        <w:trPr>
          <w:trHeight w:val="236"/>
        </w:trPr>
        <w:tc>
          <w:tcPr>
            <w:tcW w:w="59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center"/>
              <w:ind w:right="128"/>
              <w:spacing w:after="0"/>
              <w:rPr>
                <w:sz w:val="20"/>
                <w:szCs w:val="20"/>
                <w:color w:val="auto"/>
              </w:rPr>
            </w:pPr>
            <w:r>
              <w:rPr>
                <w:rFonts w:ascii="Arial" w:cs="Arial" w:eastAsia="Arial" w:hAnsi="Arial"/>
                <w:sz w:val="16"/>
                <w:szCs w:val="16"/>
                <w:b w:val="1"/>
                <w:bCs w:val="1"/>
                <w:color w:val="auto"/>
                <w:w w:val="93"/>
              </w:rPr>
              <w:t>(In millions)</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92"/>
        </w:trPr>
        <w:tc>
          <w:tcPr>
            <w:tcW w:w="5960" w:type="dxa"/>
            <w:vAlign w:val="bottom"/>
            <w:shd w:val="clear" w:color="auto" w:fill="E6E6E6"/>
          </w:tcPr>
          <w:p>
            <w:pPr>
              <w:jc w:val="right"/>
              <w:ind w:right="1"/>
              <w:spacing w:after="0"/>
              <w:rPr>
                <w:sz w:val="20"/>
                <w:szCs w:val="20"/>
                <w:color w:val="auto"/>
              </w:rPr>
            </w:pPr>
            <w:r>
              <w:rPr>
                <w:rFonts w:ascii="Arial" w:cs="Arial" w:eastAsia="Arial" w:hAnsi="Arial"/>
                <w:sz w:val="20"/>
                <w:szCs w:val="20"/>
                <w:color w:val="auto"/>
                <w:w w:val="90"/>
              </w:rPr>
              <w:t xml:space="preserve">Cash paid to acquire Drop Down Assets </w:t>
            </w:r>
            <w:r>
              <w:rPr>
                <w:rFonts w:ascii="Arial" w:cs="Arial" w:eastAsia="Arial" w:hAnsi="Arial"/>
                <w:sz w:val="20"/>
                <w:szCs w:val="20"/>
                <w:color w:val="BDBDBD"/>
                <w:w w:val="90"/>
              </w:rPr>
              <w:t>. . . . . . . . . . . . . . . . . . . . . . . . . .</w:t>
            </w:r>
          </w:p>
        </w:tc>
        <w:tc>
          <w:tcPr>
            <w:tcW w:w="900" w:type="dxa"/>
            <w:vAlign w:val="bottom"/>
            <w:shd w:val="clear" w:color="auto" w:fill="E6E6E6"/>
          </w:tcPr>
          <w:p>
            <w:pPr>
              <w:jc w:val="right"/>
              <w:ind w:right="647"/>
              <w:spacing w:after="0"/>
              <w:rPr>
                <w:sz w:val="20"/>
                <w:szCs w:val="20"/>
                <w:color w:val="auto"/>
              </w:rPr>
            </w:pPr>
            <w:r>
              <w:rPr>
                <w:rFonts w:ascii="Arial" w:cs="Arial" w:eastAsia="Arial" w:hAnsi="Arial"/>
                <w:sz w:val="20"/>
                <w:szCs w:val="20"/>
                <w:color w:val="auto"/>
              </w:rPr>
              <w:t>$</w:t>
            </w:r>
          </w:p>
        </w:tc>
        <w:tc>
          <w:tcPr>
            <w:tcW w:w="500" w:type="dxa"/>
            <w:vAlign w:val="bottom"/>
            <w:shd w:val="clear" w:color="auto" w:fill="E6E6E6"/>
          </w:tcPr>
          <w:p>
            <w:pPr>
              <w:jc w:val="right"/>
              <w:spacing w:after="0"/>
              <w:rPr>
                <w:sz w:val="20"/>
                <w:szCs w:val="20"/>
                <w:color w:val="auto"/>
              </w:rPr>
            </w:pPr>
            <w:r>
              <w:rPr>
                <w:rFonts w:ascii="Arial" w:cs="Arial" w:eastAsia="Arial" w:hAnsi="Arial"/>
                <w:sz w:val="20"/>
                <w:szCs w:val="20"/>
                <w:color w:val="auto"/>
                <w:w w:val="98"/>
              </w:rPr>
              <w:t>(173)</w:t>
            </w:r>
          </w:p>
        </w:tc>
        <w:tc>
          <w:tcPr>
            <w:tcW w:w="28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1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(71)</w:t>
            </w:r>
          </w:p>
        </w:tc>
        <w:tc>
          <w:tcPr>
            <w:tcW w:w="400" w:type="dxa"/>
            <w:vAlign w:val="bottom"/>
            <w:gridSpan w:val="2"/>
            <w:shd w:val="clear" w:color="auto" w:fill="E6E6E6"/>
          </w:tcPr>
          <w:p>
            <w:pPr>
              <w:jc w:val="right"/>
              <w:ind w:right="101"/>
              <w:spacing w:after="0"/>
              <w:rPr>
                <w:sz w:val="20"/>
                <w:szCs w:val="20"/>
                <w:color w:val="auto"/>
              </w:rPr>
            </w:pPr>
            <w:r>
              <w:rPr>
                <w:rFonts w:ascii="Arial" w:cs="Arial" w:eastAsia="Arial" w:hAnsi="Arial"/>
                <w:sz w:val="20"/>
                <w:szCs w:val="20"/>
                <w:color w:val="auto"/>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(230)</w:t>
            </w:r>
          </w:p>
        </w:tc>
      </w:tr>
      <w:tr>
        <w:trPr>
          <w:trHeight w:val="274"/>
        </w:trPr>
        <w:tc>
          <w:tcPr>
            <w:tcW w:w="5960" w:type="dxa"/>
            <w:vAlign w:val="bottom"/>
            <w:tcBorders>
              <w:bottom w:val="single" w:sz="8" w:color="E6E6E6"/>
            </w:tcBorders>
          </w:tcPr>
          <w:p>
            <w:pPr>
              <w:jc w:val="right"/>
              <w:ind w:right="21"/>
              <w:spacing w:after="0"/>
              <w:rPr>
                <w:sz w:val="20"/>
                <w:szCs w:val="20"/>
                <w:color w:val="auto"/>
              </w:rPr>
            </w:pPr>
            <w:r>
              <w:rPr>
                <w:rFonts w:ascii="Arial" w:cs="Arial" w:eastAsia="Arial" w:hAnsi="Arial"/>
                <w:sz w:val="20"/>
                <w:szCs w:val="20"/>
                <w:color w:val="auto"/>
                <w:w w:val="91"/>
              </w:rPr>
              <w:t xml:space="preserve">Cash acquired from the acquisition of Drop Down Assets </w:t>
            </w:r>
            <w:r>
              <w:rPr>
                <w:rFonts w:ascii="Arial" w:cs="Arial" w:eastAsia="Arial" w:hAnsi="Arial"/>
                <w:sz w:val="20"/>
                <w:szCs w:val="20"/>
                <w:color w:val="BDBDBD"/>
                <w:w w:val="91"/>
              </w:rPr>
              <w:t>. . . . . . . . . . . .</w:t>
            </w:r>
          </w:p>
        </w:tc>
        <w:tc>
          <w:tcPr>
            <w:tcW w:w="90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128</w:t>
            </w:r>
          </w:p>
        </w:tc>
        <w:tc>
          <w:tcPr>
            <w:tcW w:w="60" w:type="dxa"/>
            <w:vAlign w:val="bottom"/>
            <w:tcBorders>
              <w:bottom w:val="single" w:sz="8" w:color="E6E6E6"/>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E6E6E6"/>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w:t>
            </w:r>
          </w:p>
        </w:tc>
      </w:tr>
      <w:tr>
        <w:trPr>
          <w:trHeight w:val="283"/>
        </w:trPr>
        <w:tc>
          <w:tcPr>
            <w:tcW w:w="5960" w:type="dxa"/>
            <w:vAlign w:val="bottom"/>
            <w:tcBorders>
              <w:bottom w:val="single" w:sz="8" w:color="E6E6E6"/>
            </w:tcBorders>
            <w:shd w:val="clear" w:color="auto" w:fill="E6E6E6"/>
          </w:tcPr>
          <w:p>
            <w:pPr>
              <w:jc w:val="right"/>
              <w:ind w:right="21"/>
              <w:spacing w:after="0"/>
              <w:rPr>
                <w:sz w:val="20"/>
                <w:szCs w:val="20"/>
                <w:color w:val="auto"/>
              </w:rPr>
            </w:pPr>
            <w:r>
              <w:rPr>
                <w:rFonts w:ascii="Arial" w:cs="Arial" w:eastAsia="Arial" w:hAnsi="Arial"/>
                <w:sz w:val="20"/>
                <w:szCs w:val="20"/>
                <w:color w:val="auto"/>
                <w:w w:val="93"/>
              </w:rPr>
              <w:t xml:space="preserve">Acquisition of Drop Down Assets, net of cash acquired  </w:t>
            </w:r>
            <w:r>
              <w:rPr>
                <w:rFonts w:ascii="Arial" w:cs="Arial" w:eastAsia="Arial" w:hAnsi="Arial"/>
                <w:sz w:val="20"/>
                <w:szCs w:val="20"/>
                <w:color w:val="BDBDBD"/>
                <w:w w:val="93"/>
              </w:rPr>
              <w:t>. . . . . . . . . . . .</w:t>
            </w:r>
          </w:p>
        </w:tc>
        <w:tc>
          <w:tcPr>
            <w:tcW w:w="900" w:type="dxa"/>
            <w:vAlign w:val="bottom"/>
            <w:tcBorders>
              <w:bottom w:val="single" w:sz="8" w:color="auto"/>
            </w:tcBorders>
            <w:shd w:val="clear" w:color="auto" w:fill="E6E6E6"/>
          </w:tcPr>
          <w:p>
            <w:pPr>
              <w:jc w:val="right"/>
              <w:ind w:right="647"/>
              <w:spacing w:after="0"/>
              <w:rPr>
                <w:sz w:val="20"/>
                <w:szCs w:val="20"/>
                <w:color w:val="auto"/>
              </w:rPr>
            </w:pPr>
            <w:r>
              <w:rPr>
                <w:rFonts w:ascii="Arial" w:cs="Arial" w:eastAsia="Arial" w:hAnsi="Arial"/>
                <w:sz w:val="20"/>
                <w:szCs w:val="20"/>
                <w:color w:val="auto"/>
              </w:rPr>
              <w:t>$</w:t>
            </w:r>
          </w:p>
        </w:tc>
        <w:tc>
          <w:tcPr>
            <w:tcW w:w="5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(45)</w:t>
            </w:r>
          </w:p>
        </w:tc>
        <w:tc>
          <w:tcPr>
            <w:tcW w:w="6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(71)</w:t>
            </w:r>
          </w:p>
        </w:tc>
        <w:tc>
          <w:tcPr>
            <w:tcW w:w="6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jc w:val="right"/>
              <w:ind w:right="101"/>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3775710</wp:posOffset>
            </wp:positionH>
            <wp:positionV relativeFrom="paragraph">
              <wp:posOffset>-210820</wp:posOffset>
            </wp:positionV>
            <wp:extent cx="2754630"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20">
                      <a:extLst>
                        <a:ext uri="{28A0092B-C50C-407E-A947-70E740481C1C}"/>
                      </a:extLst>
                    </a:blip>
                    <a:srcRect/>
                    <a:stretch>
                      <a:fillRect/>
                    </a:stretch>
                  </pic:blipFill>
                  <pic:spPr bwMode="auto">
                    <a:xfrm>
                      <a:off x="0" y="0"/>
                      <a:ext cx="2754630" cy="25400"/>
                    </a:xfrm>
                    <a:prstGeom prst="rect">
                      <a:avLst/>
                    </a:prstGeom>
                    <a:noFill/>
                  </pic:spPr>
                </pic:pic>
              </a:graphicData>
            </a:graphic>
          </wp:anchor>
        </w:drawing>
        <w:drawing>
          <wp:anchor simplePos="0" relativeHeight="251657728" behindDoc="1" locked="0" layoutInCell="0" allowOverlap="1">
            <wp:simplePos x="0" y="0"/>
            <wp:positionH relativeFrom="column">
              <wp:posOffset>3775710</wp:posOffset>
            </wp:positionH>
            <wp:positionV relativeFrom="paragraph">
              <wp:posOffset>-43815</wp:posOffset>
            </wp:positionV>
            <wp:extent cx="2754630" cy="508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21">
                      <a:extLst>
                        <a:ext uri="{28A0092B-C50C-407E-A947-70E740481C1C}"/>
                      </a:extLst>
                    </a:blip>
                    <a:srcRect/>
                    <a:stretch>
                      <a:fillRect/>
                    </a:stretch>
                  </pic:blipFill>
                  <pic:spPr bwMode="auto">
                    <a:xfrm>
                      <a:off x="0" y="0"/>
                      <a:ext cx="2754630" cy="5080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Accounts Receivable — Trade and Allowance for Credit Losses</w:t>
      </w:r>
    </w:p>
    <w:p>
      <w:pPr>
        <w:spacing w:after="0" w:line="196" w:lineRule="exact"/>
        <w:rPr>
          <w:sz w:val="20"/>
          <w:szCs w:val="20"/>
          <w:color w:val="auto"/>
        </w:rPr>
      </w:pPr>
    </w:p>
    <w:p>
      <w:pPr>
        <w:jc w:val="both"/>
        <w:ind w:right="60" w:firstLine="448"/>
        <w:spacing w:after="0" w:line="277" w:lineRule="auto"/>
        <w:rPr>
          <w:sz w:val="20"/>
          <w:szCs w:val="20"/>
          <w:color w:val="auto"/>
        </w:rPr>
      </w:pPr>
      <w:r>
        <w:rPr>
          <w:rFonts w:ascii="Arial" w:cs="Arial" w:eastAsia="Arial" w:hAnsi="Arial"/>
          <w:sz w:val="19"/>
          <w:szCs w:val="19"/>
          <w:color w:val="auto"/>
        </w:rPr>
        <w:t>Accounts receivable — trade are reported on the consolidated balance sheet at the invoiced amount adjusted for any write-offs and the allowance for credit losses. The majority of the Company’s customers typically receive invoices monthly with payment due within 30 days. The allowance for credit losses is reviewed periodically based on amounts past due and their significance. The allowance for credit losses was immaterial as of December 31, 2023 and 2022.</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Inventory</w:t>
      </w:r>
    </w:p>
    <w:p>
      <w:pPr>
        <w:spacing w:after="0" w:line="196" w:lineRule="exact"/>
        <w:rPr>
          <w:sz w:val="20"/>
          <w:szCs w:val="20"/>
          <w:color w:val="auto"/>
        </w:rPr>
      </w:pPr>
    </w:p>
    <w:p>
      <w:pPr>
        <w:jc w:val="both"/>
        <w:ind w:right="60" w:firstLine="448"/>
        <w:spacing w:after="0" w:line="265" w:lineRule="auto"/>
        <w:rPr>
          <w:sz w:val="20"/>
          <w:szCs w:val="20"/>
          <w:color w:val="auto"/>
        </w:rPr>
      </w:pPr>
      <w:r>
        <w:rPr>
          <w:rFonts w:ascii="Arial" w:cs="Arial" w:eastAsia="Arial" w:hAnsi="Arial"/>
          <w:sz w:val="20"/>
          <w:szCs w:val="20"/>
          <w:color w:val="auto"/>
        </w:rPr>
        <w:t>Inventory consists of spare parts and is valued at weighted average cost, unless evidence indicates that the weighted average cost will not be recovered with a normal profit in the ordinary course of business. Inventory is removed when used for repairs, maintenance or capital projects.</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Property, Plant and Equipment</w:t>
      </w:r>
    </w:p>
    <w:p>
      <w:pPr>
        <w:spacing w:after="0" w:line="196" w:lineRule="exact"/>
        <w:rPr>
          <w:sz w:val="20"/>
          <w:szCs w:val="20"/>
          <w:color w:val="auto"/>
        </w:rPr>
      </w:pPr>
    </w:p>
    <w:p>
      <w:pPr>
        <w:jc w:val="both"/>
        <w:ind w:right="60" w:firstLine="448"/>
        <w:spacing w:after="0" w:line="287" w:lineRule="auto"/>
        <w:rPr>
          <w:sz w:val="20"/>
          <w:szCs w:val="20"/>
          <w:color w:val="auto"/>
        </w:rPr>
      </w:pPr>
      <w:r>
        <w:rPr>
          <w:rFonts w:ascii="Arial" w:cs="Arial" w:eastAsia="Arial" w:hAnsi="Arial"/>
          <w:sz w:val="18"/>
          <w:szCs w:val="18"/>
          <w:color w:val="auto"/>
        </w:rPr>
        <w:t xml:space="preserve">Property, plant and equipment are stated at cost, however impairment adjustments are recorded whenever events or changes in circumstances indicate that their carrying amounts may not be recoverable. Significant additions or improvements extending asset lives are capitalized as incurred, while repairs and maintenance that do not improve or extend the life of the respective asset are charged to expense as incurred. Depreciation is computed using the straight-line method over the estimated useful lives. Certain assets and their related accumulated depreciation amounts are adjusted for asset retirements and disposals with the resulting gain or loss included in cost of operations in the consolidated statements of income. For further discussion of the Company’s property, plant and equipment refer to Note 4, </w:t>
      </w:r>
      <w:r>
        <w:rPr>
          <w:rFonts w:ascii="Arial" w:cs="Arial" w:eastAsia="Arial" w:hAnsi="Arial"/>
          <w:sz w:val="18"/>
          <w:szCs w:val="18"/>
          <w:b w:val="1"/>
          <w:bCs w:val="1"/>
          <w:i w:val="1"/>
          <w:iCs w:val="1"/>
          <w:color w:val="auto"/>
        </w:rPr>
        <w:t>Property, Plant and Equipment</w:t>
      </w:r>
      <w:r>
        <w:rPr>
          <w:rFonts w:ascii="Arial" w:cs="Arial" w:eastAsia="Arial" w:hAnsi="Arial"/>
          <w:sz w:val="18"/>
          <w:szCs w:val="18"/>
          <w:color w:val="auto"/>
        </w:rPr>
        <w:t>.</w:t>
      </w:r>
    </w:p>
    <w:p>
      <w:pPr>
        <w:spacing w:after="0" w:line="118" w:lineRule="exact"/>
        <w:rPr>
          <w:sz w:val="20"/>
          <w:szCs w:val="20"/>
          <w:color w:val="auto"/>
        </w:rPr>
      </w:pPr>
    </w:p>
    <w:p>
      <w:pPr>
        <w:jc w:val="both"/>
        <w:ind w:right="60" w:firstLine="448"/>
        <w:spacing w:after="0" w:line="265" w:lineRule="auto"/>
        <w:rPr>
          <w:sz w:val="20"/>
          <w:szCs w:val="20"/>
          <w:color w:val="auto"/>
        </w:rPr>
      </w:pPr>
      <w:r>
        <w:rPr>
          <w:rFonts w:ascii="Arial" w:cs="Arial" w:eastAsia="Arial" w:hAnsi="Arial"/>
          <w:sz w:val="20"/>
          <w:szCs w:val="20"/>
          <w:color w:val="auto"/>
        </w:rPr>
        <w:t>Interest incurred on funds borrowed to finance capital projects is capitalized until the project under construction is ready for its intended use. The amount of interest capitalized for the years ended December 31, 2023, 2022 and 2021 was $36 million, $2 million and $3 million, respectively.</w:t>
      </w:r>
    </w:p>
    <w:p>
      <w:pPr>
        <w:sectPr>
          <w:pgSz w:w="11880" w:h="15480" w:orient="portrait"/>
          <w:cols w:equalWidth="0" w:num="1">
            <w:col w:w="10260"/>
          </w:cols>
          <w:pgMar w:left="840" w:top="403" w:right="780" w:bottom="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82</w:t>
      </w:r>
    </w:p>
    <w:p>
      <w:pPr>
        <w:sectPr>
          <w:pgSz w:w="11880" w:h="15480" w:orient="portrait"/>
          <w:cols w:equalWidth="0" w:num="1">
            <w:col w:w="10260"/>
          </w:cols>
          <w:pgMar w:left="840" w:top="403" w:right="780" w:bottom="0" w:gutter="0" w:footer="0" w:header="0"/>
          <w:type w:val="continuous"/>
        </w:sectPr>
      </w:pPr>
    </w:p>
    <w:bookmarkStart w:id="84" w:name="page85"/>
    <w:bookmarkEnd w:id="84"/>
    <w:p>
      <w:pPr>
        <w:jc w:val="both"/>
        <w:ind w:firstLine="448"/>
        <w:spacing w:after="0" w:line="285" w:lineRule="auto"/>
        <w:rPr>
          <w:sz w:val="20"/>
          <w:szCs w:val="20"/>
          <w:color w:val="auto"/>
        </w:rPr>
      </w:pPr>
      <w:r>
        <w:rPr>
          <w:rFonts w:ascii="Arial" w:cs="Arial" w:eastAsia="Arial" w:hAnsi="Arial"/>
          <w:sz w:val="19"/>
          <w:szCs w:val="19"/>
          <w:color w:val="auto"/>
        </w:rPr>
        <w:t>Construction in-progress represents cumulative construction costs, including the costs incurred for the purchase of major equipment and engineering costs and capitalized interest. Once the project achieves commercial operation, the Company reclassifies the amounts recorded in construction in progress to facilities and equipment.</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Asset Impairments</w:t>
      </w:r>
    </w:p>
    <w:p>
      <w:pPr>
        <w:spacing w:after="0" w:line="196" w:lineRule="exact"/>
        <w:rPr>
          <w:sz w:val="20"/>
          <w:szCs w:val="20"/>
          <w:color w:val="auto"/>
        </w:rPr>
      </w:pPr>
    </w:p>
    <w:p>
      <w:pPr>
        <w:jc w:val="both"/>
        <w:ind w:firstLine="448"/>
        <w:spacing w:after="0" w:line="287" w:lineRule="auto"/>
        <w:rPr>
          <w:sz w:val="20"/>
          <w:szCs w:val="20"/>
          <w:color w:val="auto"/>
        </w:rPr>
      </w:pPr>
      <w:r>
        <w:rPr>
          <w:rFonts w:ascii="Arial" w:cs="Arial" w:eastAsia="Arial" w:hAnsi="Arial"/>
          <w:sz w:val="18"/>
          <w:szCs w:val="18"/>
          <w:color w:val="auto"/>
        </w:rPr>
        <w:t xml:space="preserve">Long-lived assets that are held and used are reviewed for impairment whenever events or changes in circumstances indicate their carrying amounts may not be recoverable. Such reviews are performed in accordance with ASC 360, </w:t>
      </w:r>
      <w:r>
        <w:rPr>
          <w:rFonts w:ascii="Arial" w:cs="Arial" w:eastAsia="Arial" w:hAnsi="Arial"/>
          <w:sz w:val="18"/>
          <w:szCs w:val="18"/>
          <w:b w:val="1"/>
          <w:bCs w:val="1"/>
          <w:i w:val="1"/>
          <w:iCs w:val="1"/>
          <w:color w:val="auto"/>
        </w:rPr>
        <w:t>Property,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Plant and Equipment</w:t>
      </w:r>
      <w:r>
        <w:rPr>
          <w:rFonts w:ascii="Arial" w:cs="Arial" w:eastAsia="Arial" w:hAnsi="Arial"/>
          <w:sz w:val="18"/>
          <w:szCs w:val="18"/>
          <w:color w:val="auto"/>
        </w:rPr>
        <w:t>. An impairment loss is indicated if the total future estimated undiscounted cash flows expected from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asset are less than its carrying amount. An impairment charge is measured as the excess of an asset’s carrying amount over its fair value with the difference recorded in operating costs and expenses in the consolidated statements of income. Fair values are determined by a variety of valuation methods, including appraisals, sales prices of similar assets and present value techniques. For further discussion of the Company’s long-lived asset impairments, refer to Note 9, </w:t>
      </w:r>
      <w:r>
        <w:rPr>
          <w:rFonts w:ascii="Arial" w:cs="Arial" w:eastAsia="Arial" w:hAnsi="Arial"/>
          <w:sz w:val="18"/>
          <w:szCs w:val="18"/>
          <w:b w:val="1"/>
          <w:bCs w:val="1"/>
          <w:i w:val="1"/>
          <w:iCs w:val="1"/>
          <w:color w:val="auto"/>
        </w:rPr>
        <w:t>Asset Impairments</w:t>
      </w:r>
      <w:r>
        <w:rPr>
          <w:rFonts w:ascii="Arial" w:cs="Arial" w:eastAsia="Arial" w:hAnsi="Arial"/>
          <w:sz w:val="18"/>
          <w:szCs w:val="18"/>
          <w:color w:val="auto"/>
        </w:rPr>
        <w:t>.</w:t>
      </w:r>
    </w:p>
    <w:p>
      <w:pPr>
        <w:spacing w:after="0" w:line="115" w:lineRule="exact"/>
        <w:rPr>
          <w:sz w:val="20"/>
          <w:szCs w:val="20"/>
          <w:color w:val="auto"/>
        </w:rPr>
      </w:pPr>
    </w:p>
    <w:p>
      <w:pPr>
        <w:jc w:val="both"/>
        <w:ind w:firstLine="448"/>
        <w:spacing w:after="0" w:line="260" w:lineRule="auto"/>
        <w:rPr>
          <w:sz w:val="20"/>
          <w:szCs w:val="20"/>
          <w:color w:val="auto"/>
        </w:rPr>
      </w:pPr>
      <w:r>
        <w:rPr>
          <w:rFonts w:ascii="Arial" w:cs="Arial" w:eastAsia="Arial" w:hAnsi="Arial"/>
          <w:sz w:val="20"/>
          <w:szCs w:val="20"/>
          <w:color w:val="auto"/>
        </w:rPr>
        <w:t xml:space="preserve">Investments accounted for by the equity method are reviewed for impairment in accordance with ASC 323, </w:t>
      </w:r>
      <w:r>
        <w:rPr>
          <w:rFonts w:ascii="Arial" w:cs="Arial" w:eastAsia="Arial" w:hAnsi="Arial"/>
          <w:sz w:val="20"/>
          <w:szCs w:val="20"/>
          <w:b w:val="1"/>
          <w:bCs w:val="1"/>
          <w:i w:val="1"/>
          <w:iCs w:val="1"/>
          <w:color w:val="auto"/>
        </w:rPr>
        <w:t>Investments-Equity Method and Joint Ventures</w:t>
      </w:r>
      <w:r>
        <w:rPr>
          <w:rFonts w:ascii="Arial" w:cs="Arial" w:eastAsia="Arial" w:hAnsi="Arial"/>
          <w:sz w:val="20"/>
          <w:szCs w:val="20"/>
          <w:color w:val="auto"/>
        </w:rPr>
        <w:t>, which requires that a loss in value of an investment that is an other-than-temporary decline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should be recognized. The Company identifies and measures losses in the value of equity method investments based upon a comparison of fair value to carrying value.</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Debt Issuance Costs</w:t>
      </w:r>
    </w:p>
    <w:p>
      <w:pPr>
        <w:spacing w:after="0" w:line="196" w:lineRule="exact"/>
        <w:rPr>
          <w:sz w:val="20"/>
          <w:szCs w:val="20"/>
          <w:color w:val="auto"/>
        </w:rPr>
      </w:pPr>
    </w:p>
    <w:p>
      <w:pPr>
        <w:jc w:val="both"/>
        <w:ind w:firstLine="448"/>
        <w:spacing w:after="0" w:line="257" w:lineRule="auto"/>
        <w:rPr>
          <w:sz w:val="20"/>
          <w:szCs w:val="20"/>
          <w:color w:val="auto"/>
        </w:rPr>
      </w:pPr>
      <w:r>
        <w:rPr>
          <w:rFonts w:ascii="Arial" w:cs="Arial" w:eastAsia="Arial" w:hAnsi="Arial"/>
          <w:sz w:val="20"/>
          <w:szCs w:val="20"/>
          <w:color w:val="auto"/>
        </w:rPr>
        <w:t>Debt issuance costs are capitalized and amortized as interest expense on a basis which approximates the effective interest method over the term of the related debt. Debt issuance costs related to the long-term debt are presented as a direct deduction from the carrying amount of the related debt. Debt issuance costs related to the senior secured revolving credit facility line of credit are recorded as a non-current asset on the consolidated balance sheet and are amortized over the term of the credit facility.</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Intangible Assets</w:t>
      </w:r>
    </w:p>
    <w:p>
      <w:pPr>
        <w:spacing w:after="0" w:line="196" w:lineRule="exact"/>
        <w:rPr>
          <w:sz w:val="20"/>
          <w:szCs w:val="20"/>
          <w:color w:val="auto"/>
        </w:rPr>
      </w:pPr>
    </w:p>
    <w:p>
      <w:pPr>
        <w:jc w:val="both"/>
        <w:ind w:firstLine="448"/>
        <w:spacing w:after="0" w:line="277" w:lineRule="auto"/>
        <w:rPr>
          <w:sz w:val="20"/>
          <w:szCs w:val="20"/>
          <w:color w:val="auto"/>
        </w:rPr>
      </w:pPr>
      <w:r>
        <w:rPr>
          <w:rFonts w:ascii="Arial" w:cs="Arial" w:eastAsia="Arial" w:hAnsi="Arial"/>
          <w:sz w:val="19"/>
          <w:szCs w:val="19"/>
          <w:color w:val="auto"/>
        </w:rPr>
        <w:t xml:space="preserve">Intangible assets represent contractual rights held by the Company. The Company recognizes specifically identifiable intangible assets including power purchase agreements, leasehold rights, emission allowances, RECs and development rights when specific rights and contracts are acquired. These intangible assets are amortized primarily on a straight-line basis. For further discussion of the Company’s intangible assets, refer to Note 8, </w:t>
      </w:r>
      <w:r>
        <w:rPr>
          <w:rFonts w:ascii="Arial" w:cs="Arial" w:eastAsia="Arial" w:hAnsi="Arial"/>
          <w:sz w:val="19"/>
          <w:szCs w:val="19"/>
          <w:b w:val="1"/>
          <w:bCs w:val="1"/>
          <w:i w:val="1"/>
          <w:iCs w:val="1"/>
          <w:color w:val="auto"/>
        </w:rPr>
        <w:t>Intangible Assets</w:t>
      </w:r>
      <w:r>
        <w:rPr>
          <w:rFonts w:ascii="Arial" w:cs="Arial" w:eastAsia="Arial" w:hAnsi="Arial"/>
          <w:sz w:val="19"/>
          <w:szCs w:val="19"/>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 Recognition</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Revenue from Contracts with Customers</w:t>
      </w:r>
    </w:p>
    <w:p>
      <w:pPr>
        <w:spacing w:after="0" w:line="188" w:lineRule="exact"/>
        <w:rPr>
          <w:sz w:val="20"/>
          <w:szCs w:val="20"/>
          <w:color w:val="auto"/>
        </w:rPr>
      </w:pPr>
    </w:p>
    <w:p>
      <w:pPr>
        <w:jc w:val="both"/>
        <w:ind w:firstLine="448"/>
        <w:spacing w:after="0" w:line="257" w:lineRule="auto"/>
        <w:rPr>
          <w:sz w:val="20"/>
          <w:szCs w:val="20"/>
          <w:color w:val="auto"/>
        </w:rPr>
      </w:pPr>
      <w:r>
        <w:rPr>
          <w:rFonts w:ascii="Arial" w:cs="Arial" w:eastAsia="Arial" w:hAnsi="Arial"/>
          <w:sz w:val="20"/>
          <w:szCs w:val="20"/>
          <w:color w:val="auto"/>
        </w:rPr>
        <w:t xml:space="preserve">The Company applies the guidance in ASC 606, </w:t>
      </w:r>
      <w:r>
        <w:rPr>
          <w:rFonts w:ascii="Arial" w:cs="Arial" w:eastAsia="Arial" w:hAnsi="Arial"/>
          <w:sz w:val="20"/>
          <w:szCs w:val="20"/>
          <w:b w:val="1"/>
          <w:bCs w:val="1"/>
          <w:i w:val="1"/>
          <w:iCs w:val="1"/>
          <w:color w:val="auto"/>
        </w:rPr>
        <w:t>Revenue from Contracts with Customers,</w:t>
      </w:r>
      <w:r>
        <w:rPr>
          <w:rFonts w:ascii="Arial" w:cs="Arial" w:eastAsia="Arial" w:hAnsi="Arial"/>
          <w:sz w:val="20"/>
          <w:szCs w:val="20"/>
          <w:color w:val="auto"/>
        </w:rPr>
        <w:t xml:space="preserve"> or Topic 606, when recognizing revenue associated with its contracts with customers. The Company’s policies with respect to its various revenue streams are detailed below. In general, the Company applies the invoicing practical expedient to recognize revenue for the revenue streams detailed below, except in circumstances where the invoiced amount does not represent the value transferred to the customer.</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Conventional Generation Revenues</w:t>
      </w:r>
    </w:p>
    <w:p>
      <w:pPr>
        <w:spacing w:after="0" w:line="191" w:lineRule="exact"/>
        <w:rPr>
          <w:sz w:val="20"/>
          <w:szCs w:val="20"/>
          <w:color w:val="auto"/>
        </w:rPr>
      </w:pPr>
    </w:p>
    <w:p>
      <w:pPr>
        <w:jc w:val="both"/>
        <w:ind w:firstLine="448"/>
        <w:spacing w:after="0" w:line="285" w:lineRule="auto"/>
        <w:rPr>
          <w:sz w:val="20"/>
          <w:szCs w:val="20"/>
          <w:color w:val="auto"/>
        </w:rPr>
      </w:pPr>
      <w:r>
        <w:rPr>
          <w:rFonts w:ascii="Arial" w:cs="Arial" w:eastAsia="Arial" w:hAnsi="Arial"/>
          <w:sz w:val="19"/>
          <w:szCs w:val="19"/>
          <w:color w:val="auto"/>
        </w:rPr>
        <w:t>The majority of the conventional energy plants commenced merchant operations during 2023 following the expiration of the PPAs. These facilities generate revenues from selling electricity and/or RA to the California Independent System Operator and to public utility and load serving entities, as the power is delivered at the interconnection point.</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Thermal Revenues</w:t>
      </w:r>
    </w:p>
    <w:p>
      <w:pPr>
        <w:spacing w:after="0" w:line="191" w:lineRule="exact"/>
        <w:rPr>
          <w:sz w:val="20"/>
          <w:szCs w:val="20"/>
          <w:color w:val="auto"/>
        </w:rPr>
      </w:pPr>
    </w:p>
    <w:p>
      <w:pPr>
        <w:jc w:val="both"/>
        <w:ind w:firstLine="448"/>
        <w:spacing w:after="0" w:line="281" w:lineRule="auto"/>
        <w:rPr>
          <w:sz w:val="20"/>
          <w:szCs w:val="20"/>
          <w:color w:val="auto"/>
        </w:rPr>
      </w:pPr>
      <w:r>
        <w:rPr>
          <w:rFonts w:ascii="Arial" w:cs="Arial" w:eastAsia="Arial" w:hAnsi="Arial"/>
          <w:sz w:val="20"/>
          <w:szCs w:val="20"/>
          <w:color w:val="auto"/>
        </w:rPr>
        <w:t xml:space="preserve">On May 1, 2022, the Company completed the sale of 100% of its interests in the Thermal Business to KKR. For further details of the Thermal Disposition refer to Note 3, </w:t>
      </w:r>
      <w:r>
        <w:rPr>
          <w:rFonts w:ascii="Arial" w:cs="Arial" w:eastAsia="Arial" w:hAnsi="Arial"/>
          <w:sz w:val="20"/>
          <w:szCs w:val="20"/>
          <w:b w:val="1"/>
          <w:bCs w:val="1"/>
          <w:i w:val="1"/>
          <w:iCs w:val="1"/>
          <w:color w:val="auto"/>
        </w:rPr>
        <w:t>Acquisitions and Dispositions.</w:t>
      </w:r>
    </w:p>
    <w:p>
      <w:pPr>
        <w:spacing w:after="0" w:line="118" w:lineRule="exact"/>
        <w:rPr>
          <w:sz w:val="20"/>
          <w:szCs w:val="20"/>
          <w:color w:val="auto"/>
        </w:rPr>
      </w:pPr>
    </w:p>
    <w:p>
      <w:pPr>
        <w:jc w:val="both"/>
        <w:ind w:firstLine="448"/>
        <w:spacing w:after="0" w:line="269" w:lineRule="auto"/>
        <w:rPr>
          <w:sz w:val="20"/>
          <w:szCs w:val="20"/>
          <w:color w:val="auto"/>
        </w:rPr>
      </w:pPr>
      <w:r>
        <w:rPr>
          <w:rFonts w:ascii="Arial" w:cs="Arial" w:eastAsia="Arial" w:hAnsi="Arial"/>
          <w:sz w:val="19"/>
          <w:szCs w:val="19"/>
          <w:color w:val="auto"/>
        </w:rPr>
        <w:t>Prior to the Thermal Disposition, steam and chilled water revenue was recognized as the Company transferred the product to the customer, based on customer usage as determined by meter readings taken at month-end. Some locations read customer meters throughout the month and recognized estimated revenue for the period between meter read date and month-end. For thermal contracts, the Company’s performance obligation to deliver steam and chilled water was satisfied over time and revenue was recognized based on the invoiced amount. The Thermal Business subsidiaries collected and remitted state and local taxes associated with sales to their customers, as required by governmental authorities. These taxes were presented on a net basis in the consolidated statements of income.</w:t>
      </w:r>
    </w:p>
    <w:p>
      <w:pPr>
        <w:sectPr>
          <w:pgSz w:w="11880" w:h="15480" w:orient="portrait"/>
          <w:cols w:equalWidth="0" w:num="1">
            <w:col w:w="10200"/>
          </w:cols>
          <w:pgMar w:left="840" w:top="411" w:right="840" w:bottom="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ectPr>
          <w:pgSz w:w="11880" w:h="15480" w:orient="portrait"/>
          <w:cols w:equalWidth="0" w:num="1">
            <w:col w:w="10200"/>
          </w:cols>
          <w:pgMar w:left="840" w:top="411" w:right="840" w:bottom="0" w:gutter="0" w:footer="0" w:header="0"/>
          <w:type w:val="continuous"/>
        </w:sectPr>
      </w:pPr>
    </w:p>
    <w:bookmarkStart w:id="85" w:name="page86"/>
    <w:bookmarkEnd w:id="85"/>
    <w:p>
      <w:pPr>
        <w:ind w:left="440"/>
        <w:spacing w:after="0"/>
        <w:rPr>
          <w:sz w:val="20"/>
          <w:szCs w:val="20"/>
          <w:color w:val="auto"/>
        </w:rPr>
      </w:pPr>
      <w:r>
        <w:rPr>
          <w:rFonts w:ascii="Arial" w:cs="Arial" w:eastAsia="Arial" w:hAnsi="Arial"/>
          <w:sz w:val="20"/>
          <w:szCs w:val="20"/>
          <w:b w:val="1"/>
          <w:bCs w:val="1"/>
          <w:i w:val="1"/>
          <w:iCs w:val="1"/>
          <w:color w:val="auto"/>
        </w:rPr>
        <w:t>Power Purchase Agreements, or PPAs</w:t>
      </w:r>
    </w:p>
    <w:p>
      <w:pPr>
        <w:spacing w:after="0" w:line="191" w:lineRule="exact"/>
        <w:rPr>
          <w:sz w:val="20"/>
          <w:szCs w:val="20"/>
          <w:color w:val="auto"/>
        </w:rPr>
      </w:pPr>
    </w:p>
    <w:p>
      <w:pPr>
        <w:jc w:val="both"/>
        <w:ind w:firstLine="448"/>
        <w:spacing w:after="0" w:line="282" w:lineRule="auto"/>
        <w:rPr>
          <w:sz w:val="20"/>
          <w:szCs w:val="20"/>
          <w:color w:val="auto"/>
        </w:rPr>
      </w:pPr>
      <w:r>
        <w:rPr>
          <w:rFonts w:ascii="Arial" w:cs="Arial" w:eastAsia="Arial" w:hAnsi="Arial"/>
          <w:sz w:val="18"/>
          <w:szCs w:val="18"/>
          <w:color w:val="auto"/>
        </w:rPr>
        <w:t xml:space="preserve">The majority of the Company’s revenues are obtained through PPAs or similar contractual agreements. Energy, capacity and, where applicable, renewable attributes, from the majority of the Company’s renewable energy assets and certain conventional energy plants is sold through long-term PPAs and tolling agreements to a single counterparty, which is often a utility or commercial customer. Certain revenue agreements also provide for the sale of BESS capacity. As discussed above, the majority of the conventional energy plants commenced merchant operations during 2023 following the expiration of the PPAs. The majority of these PPAs are accounted for as operating leases as the Company retained its historical lease assessments and classification upon adoption of ASC 842, </w:t>
      </w:r>
      <w:r>
        <w:rPr>
          <w:rFonts w:ascii="Arial" w:cs="Arial" w:eastAsia="Arial" w:hAnsi="Arial"/>
          <w:sz w:val="18"/>
          <w:szCs w:val="18"/>
          <w:b w:val="1"/>
          <w:bCs w:val="1"/>
          <w:i w:val="1"/>
          <w:iCs w:val="1"/>
          <w:color w:val="auto"/>
        </w:rPr>
        <w:t>Leases</w:t>
      </w:r>
      <w:r>
        <w:rPr>
          <w:rFonts w:ascii="Arial" w:cs="Arial" w:eastAsia="Arial" w:hAnsi="Arial"/>
          <w:sz w:val="18"/>
          <w:szCs w:val="18"/>
          <w:color w:val="auto"/>
        </w:rPr>
        <w:t>. ASC 842 requires the minimum lease payments received to be amortized over the term of the lease and contingent rentals are recorded when the achievement of the contingency becomes probable. The Company’s BESS arrangements include variable payments not based on an index or rate and sales-type lease treatment would result in a loss at lease commencement. As a result, the Company accounts for these arrangements as operating leases under ASC 842. Judgment is required by management in determining the economic life of each generating facility, in evaluating whether certain lease provisions constitute minimum payments or represent contingent rent and other factors in determining whether a contract contains a lease and whether the lease is an operating lease or finance lease.</w:t>
      </w:r>
    </w:p>
    <w:p>
      <w:pPr>
        <w:spacing w:after="0" w:line="122" w:lineRule="exact"/>
        <w:rPr>
          <w:sz w:val="20"/>
          <w:szCs w:val="20"/>
          <w:color w:val="auto"/>
        </w:rPr>
      </w:pPr>
    </w:p>
    <w:p>
      <w:pPr>
        <w:jc w:val="both"/>
        <w:ind w:firstLine="448"/>
        <w:spacing w:after="0" w:line="277" w:lineRule="auto"/>
        <w:rPr>
          <w:sz w:val="20"/>
          <w:szCs w:val="20"/>
          <w:color w:val="auto"/>
        </w:rPr>
      </w:pPr>
      <w:r>
        <w:rPr>
          <w:rFonts w:ascii="Arial" w:cs="Arial" w:eastAsia="Arial" w:hAnsi="Arial"/>
          <w:sz w:val="19"/>
          <w:szCs w:val="19"/>
          <w:color w:val="auto"/>
        </w:rPr>
        <w:t xml:space="preserve">Certain of these PPAs have no minimum lease payments and all of the lease revenue under these PPAs is recorded as contingent rent on an actual basis when the electricity is delivered. The contingent lease revenue recognized in the years ended December 31, 2023, 2022 and 2021 was $780 million, $850 million and $741 million, respectively. See Note 17, </w:t>
      </w:r>
      <w:r>
        <w:rPr>
          <w:rFonts w:ascii="Arial" w:cs="Arial" w:eastAsia="Arial" w:hAnsi="Arial"/>
          <w:sz w:val="19"/>
          <w:szCs w:val="19"/>
          <w:b w:val="1"/>
          <w:bCs w:val="1"/>
          <w:i w:val="1"/>
          <w:iCs w:val="1"/>
          <w:color w:val="auto"/>
        </w:rPr>
        <w:t>Leases,</w:t>
      </w:r>
      <w:r>
        <w:rPr>
          <w:rFonts w:ascii="Arial" w:cs="Arial" w:eastAsia="Arial" w:hAnsi="Arial"/>
          <w:sz w:val="19"/>
          <w:szCs w:val="19"/>
          <w:color w:val="auto"/>
        </w:rPr>
        <w:t xml:space="preserve"> for additional information related to the Company’s PPAs accounted for as leases.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Renewable Energy Credits, or RECs</w:t>
      </w:r>
    </w:p>
    <w:p>
      <w:pPr>
        <w:spacing w:after="0" w:line="191" w:lineRule="exact"/>
        <w:rPr>
          <w:sz w:val="20"/>
          <w:szCs w:val="20"/>
          <w:color w:val="auto"/>
        </w:rPr>
      </w:pPr>
    </w:p>
    <w:p>
      <w:pPr>
        <w:jc w:val="both"/>
        <w:ind w:firstLine="448"/>
        <w:spacing w:after="0" w:line="285" w:lineRule="auto"/>
        <w:rPr>
          <w:sz w:val="20"/>
          <w:szCs w:val="20"/>
          <w:color w:val="auto"/>
        </w:rPr>
      </w:pPr>
      <w:r>
        <w:rPr>
          <w:rFonts w:ascii="Arial" w:cs="Arial" w:eastAsia="Arial" w:hAnsi="Arial"/>
          <w:sz w:val="19"/>
          <w:szCs w:val="19"/>
          <w:color w:val="auto"/>
        </w:rPr>
        <w:t>Renewable energy credits, or RECs, are usually sold through long-term PPAs or through REC contracts with counterparties. Revenue from the sale of self-generated RECs is recognized when the related energy is generated and simultaneously delivered even in cases where there is a certification lag as it has been deemed to be perfunctory.</w:t>
      </w:r>
    </w:p>
    <w:p>
      <w:pPr>
        <w:spacing w:after="0" w:line="117" w:lineRule="exact"/>
        <w:rPr>
          <w:sz w:val="20"/>
          <w:szCs w:val="20"/>
          <w:color w:val="auto"/>
        </w:rPr>
      </w:pPr>
    </w:p>
    <w:p>
      <w:pPr>
        <w:jc w:val="both"/>
        <w:ind w:firstLine="448"/>
        <w:spacing w:after="0" w:line="307" w:lineRule="auto"/>
        <w:rPr>
          <w:sz w:val="20"/>
          <w:szCs w:val="20"/>
          <w:color w:val="auto"/>
        </w:rPr>
      </w:pPr>
      <w:r>
        <w:rPr>
          <w:rFonts w:ascii="Arial" w:cs="Arial" w:eastAsia="Arial" w:hAnsi="Arial"/>
          <w:sz w:val="18"/>
          <w:szCs w:val="18"/>
          <w:color w:val="auto"/>
        </w:rPr>
        <w:t>In a bundled contract to sell energy, capacity and/or self-generated RECs, all performance obligations are deemed to be delivered at the same time and hence, timing of recognition of revenue for all performance obligations is the same and occurs over time. In such cases, it is often unnecessary to allocate transaction price to multiple performance obligations.</w:t>
      </w:r>
    </w:p>
    <w:p>
      <w:pPr>
        <w:spacing w:after="0" w:line="98"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Disaggregated Revenues</w:t>
      </w:r>
    </w:p>
    <w:p>
      <w:pPr>
        <w:spacing w:after="0" w:line="191" w:lineRule="exact"/>
        <w:rPr>
          <w:sz w:val="20"/>
          <w:szCs w:val="20"/>
          <w:color w:val="auto"/>
        </w:rPr>
      </w:pPr>
    </w:p>
    <w:p>
      <w:pPr>
        <w:jc w:val="both"/>
        <w:ind w:firstLine="448"/>
        <w:spacing w:after="0" w:line="280" w:lineRule="auto"/>
        <w:rPr>
          <w:sz w:val="20"/>
          <w:szCs w:val="20"/>
          <w:color w:val="auto"/>
        </w:rPr>
      </w:pPr>
      <w:r>
        <w:rPr>
          <w:rFonts w:ascii="Arial" w:cs="Arial" w:eastAsia="Arial" w:hAnsi="Arial"/>
          <w:sz w:val="20"/>
          <w:szCs w:val="20"/>
          <w:color w:val="auto"/>
        </w:rPr>
        <w:t>The following tables represent the Company’s disaggregation of revenue from contracts with customers, along with the reportable segment for each category:</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7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8"/>
          </w:tcPr>
          <w:p>
            <w:pPr>
              <w:jc w:val="right"/>
              <w:ind w:right="30"/>
              <w:spacing w:after="0"/>
              <w:rPr>
                <w:sz w:val="20"/>
                <w:szCs w:val="20"/>
                <w:color w:val="auto"/>
              </w:rPr>
            </w:pPr>
            <w:r>
              <w:rPr>
                <w:rFonts w:ascii="Arial" w:cs="Arial" w:eastAsia="Arial" w:hAnsi="Arial"/>
                <w:sz w:val="16"/>
                <w:szCs w:val="16"/>
                <w:b w:val="1"/>
                <w:bCs w:val="1"/>
                <w:color w:val="auto"/>
              </w:rPr>
              <w:t>Year ended December 31, 2023</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5720" w:type="dxa"/>
            <w:vAlign w:val="bottom"/>
            <w:vMerge w:val="restart"/>
          </w:tcPr>
          <w:p>
            <w:pPr>
              <w:jc w:val="right"/>
              <w:ind w:right="4751"/>
              <w:spacing w:after="0"/>
              <w:rPr>
                <w:sz w:val="20"/>
                <w:szCs w:val="20"/>
                <w:color w:val="auto"/>
              </w:rPr>
            </w:pPr>
            <w:r>
              <w:rPr>
                <w:rFonts w:ascii="Arial" w:cs="Arial" w:eastAsia="Arial" w:hAnsi="Arial"/>
                <w:sz w:val="16"/>
                <w:szCs w:val="16"/>
                <w:b w:val="1"/>
                <w:bCs w:val="1"/>
                <w:color w:val="auto"/>
                <w:w w:val="95"/>
              </w:rPr>
              <w:t>(In millions)</w:t>
            </w:r>
          </w:p>
        </w:tc>
        <w:tc>
          <w:tcPr>
            <w:tcW w:w="180" w:type="dxa"/>
            <w:vAlign w:val="bottom"/>
          </w:tcPr>
          <w:p>
            <w:pPr>
              <w:spacing w:after="0"/>
              <w:rPr>
                <w:sz w:val="16"/>
                <w:szCs w:val="16"/>
                <w:color w:val="auto"/>
              </w:rPr>
            </w:pPr>
          </w:p>
        </w:tc>
        <w:tc>
          <w:tcPr>
            <w:tcW w:w="1200" w:type="dxa"/>
            <w:vAlign w:val="bottom"/>
          </w:tcPr>
          <w:p>
            <w:pPr>
              <w:jc w:val="right"/>
              <w:ind w:right="153"/>
              <w:spacing w:after="0"/>
              <w:rPr>
                <w:sz w:val="20"/>
                <w:szCs w:val="20"/>
                <w:color w:val="auto"/>
              </w:rPr>
            </w:pPr>
            <w:r>
              <w:rPr>
                <w:rFonts w:ascii="Arial" w:cs="Arial" w:eastAsia="Arial" w:hAnsi="Arial"/>
                <w:sz w:val="16"/>
                <w:szCs w:val="16"/>
                <w:b w:val="1"/>
                <w:bCs w:val="1"/>
                <w:color w:val="auto"/>
                <w:w w:val="92"/>
              </w:rPr>
              <w:t>Conventional</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vMerge w:val="restart"/>
          </w:tcPr>
          <w:p>
            <w:pPr>
              <w:jc w:val="right"/>
              <w:ind w:right="191"/>
              <w:spacing w:after="0"/>
              <w:rPr>
                <w:sz w:val="20"/>
                <w:szCs w:val="20"/>
                <w:color w:val="auto"/>
              </w:rPr>
            </w:pPr>
            <w:r>
              <w:rPr>
                <w:rFonts w:ascii="Arial" w:cs="Arial" w:eastAsia="Arial" w:hAnsi="Arial"/>
                <w:sz w:val="16"/>
                <w:szCs w:val="16"/>
                <w:b w:val="1"/>
                <w:bCs w:val="1"/>
                <w:color w:val="auto"/>
                <w:w w:val="92"/>
              </w:rPr>
              <w:t>Renewables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vMerge w:val="restart"/>
          </w:tcPr>
          <w:p>
            <w:pPr>
              <w:jc w:val="right"/>
              <w:ind w:right="4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720" w:type="dxa"/>
            <w:vAlign w:val="bottom"/>
            <w:tcBorders>
              <w:bottom w:val="single" w:sz="8" w:color="E6E6E6"/>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13"/>
              <w:spacing w:after="0"/>
              <w:rPr>
                <w:sz w:val="20"/>
                <w:szCs w:val="20"/>
                <w:color w:val="auto"/>
              </w:rPr>
            </w:pPr>
            <w:r>
              <w:rPr>
                <w:rFonts w:ascii="Arial" w:cs="Arial" w:eastAsia="Arial" w:hAnsi="Arial"/>
                <w:sz w:val="16"/>
                <w:szCs w:val="16"/>
                <w:b w:val="1"/>
                <w:bCs w:val="1"/>
                <w:color w:val="auto"/>
              </w:rPr>
              <w:t>Generation</w:t>
            </w:r>
          </w:p>
        </w:tc>
        <w:tc>
          <w:tcPr>
            <w:tcW w:w="80" w:type="dxa"/>
            <w:vAlign w:val="bottom"/>
            <w:tcBorders>
              <w:bottom w:val="single" w:sz="8" w:color="E6E6E6"/>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E6E6E6"/>
            </w:tcBorders>
          </w:tcPr>
          <w:p>
            <w:pPr>
              <w:spacing w:after="0"/>
              <w:rPr>
                <w:sz w:val="18"/>
                <w:szCs w:val="18"/>
                <w:color w:val="auto"/>
              </w:rPr>
            </w:pPr>
          </w:p>
        </w:tc>
        <w:tc>
          <w:tcPr>
            <w:tcW w:w="60" w:type="dxa"/>
            <w:vAlign w:val="bottom"/>
            <w:tcBorders>
              <w:bottom w:val="single" w:sz="8" w:color="E6E6E6"/>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720" w:type="dxa"/>
            <w:vAlign w:val="bottom"/>
            <w:shd w:val="clear" w:color="auto" w:fill="E6E6E6"/>
          </w:tcPr>
          <w:p>
            <w:pPr>
              <w:jc w:val="right"/>
              <w:spacing w:after="0" w:line="244" w:lineRule="exact"/>
              <w:rPr>
                <w:sz w:val="20"/>
                <w:szCs w:val="20"/>
                <w:color w:val="auto"/>
              </w:rPr>
            </w:pPr>
            <w:r>
              <w:rPr>
                <w:rFonts w:ascii="Arial" w:cs="Arial" w:eastAsia="Arial" w:hAnsi="Arial"/>
                <w:sz w:val="18"/>
                <w:szCs w:val="18"/>
                <w:color w:val="BDBDBD"/>
                <w:w w:val="91"/>
              </w:rPr>
              <w:t>. . . . . . . . . . . . . . . . . . . . . . . . . . . . . . . . . . . . . . . . . . . . . . . .</w:t>
            </w:r>
            <w:r>
              <w:rPr>
                <w:rFonts w:ascii="Arial" w:cs="Arial" w:eastAsia="Arial" w:hAnsi="Arial"/>
                <w:sz w:val="18"/>
                <w:szCs w:val="18"/>
                <w:color w:val="000000"/>
                <w:w w:val="91"/>
              </w:rPr>
              <w:t>Energyrevenue</w:t>
            </w:r>
            <w:r>
              <w:rPr>
                <w:rFonts w:ascii="Arial" w:cs="Arial" w:eastAsia="Arial" w:hAnsi="Arial"/>
                <w:sz w:val="23"/>
                <w:szCs w:val="23"/>
                <w:color w:val="000000"/>
                <w:w w:val="91"/>
                <w:vertAlign w:val="superscript"/>
              </w:rPr>
              <w:t>(a)</w:t>
            </w:r>
          </w:p>
        </w:tc>
        <w:tc>
          <w:tcPr>
            <w:tcW w:w="1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81</w:t>
            </w:r>
          </w:p>
        </w:tc>
        <w:tc>
          <w:tcPr>
            <w:tcW w:w="300" w:type="dxa"/>
            <w:vAlign w:val="bottom"/>
            <w:gridSpan w:val="3"/>
            <w:shd w:val="clear" w:color="auto" w:fill="E6E6E6"/>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942</w:t>
            </w:r>
          </w:p>
        </w:tc>
        <w:tc>
          <w:tcPr>
            <w:tcW w:w="2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420" w:type="dxa"/>
            <w:vAlign w:val="bottom"/>
            <w:shd w:val="clear" w:color="auto" w:fill="E6E6E6"/>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54"/>
        </w:trPr>
        <w:tc>
          <w:tcPr>
            <w:tcW w:w="5720" w:type="dxa"/>
            <w:vAlign w:val="bottom"/>
          </w:tcPr>
          <w:p>
            <w:pPr>
              <w:jc w:val="right"/>
              <w:spacing w:after="0" w:line="254" w:lineRule="exact"/>
              <w:rPr>
                <w:sz w:val="20"/>
                <w:szCs w:val="20"/>
                <w:color w:val="auto"/>
              </w:rPr>
            </w:pPr>
            <w:r>
              <w:rPr>
                <w:rFonts w:ascii="Arial" w:cs="Arial" w:eastAsia="Arial" w:hAnsi="Arial"/>
                <w:sz w:val="18"/>
                <w:szCs w:val="18"/>
                <w:color w:val="auto"/>
                <w:w w:val="89"/>
              </w:rPr>
              <w:t xml:space="preserve">Capacity revenue </w:t>
            </w:r>
            <w:r>
              <w:rPr>
                <w:rFonts w:ascii="Arial" w:cs="Arial" w:eastAsia="Arial" w:hAnsi="Arial"/>
                <w:sz w:val="23"/>
                <w:szCs w:val="23"/>
                <w:color w:val="auto"/>
                <w:w w:val="89"/>
                <w:vertAlign w:val="superscript"/>
              </w:rPr>
              <w:t>(a)</w:t>
            </w:r>
            <w:r>
              <w:rPr>
                <w:rFonts w:ascii="Arial" w:cs="Arial" w:eastAsia="Arial" w:hAnsi="Arial"/>
                <w:sz w:val="18"/>
                <w:szCs w:val="18"/>
                <w:color w:val="auto"/>
                <w:w w:val="89"/>
              </w:rPr>
              <w:t xml:space="preserve">  </w:t>
            </w:r>
            <w:r>
              <w:rPr>
                <w:rFonts w:ascii="Arial" w:cs="Arial" w:eastAsia="Arial" w:hAnsi="Arial"/>
                <w:sz w:val="18"/>
                <w:szCs w:val="18"/>
                <w:color w:val="BDBDBD"/>
                <w:w w:val="89"/>
              </w:rPr>
              <w:t>. . . . . . . . . . . . . . . . . . . . . . . . . . . . . . . . . . . . . . . . . . . . . .</w:t>
            </w: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336</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54"/>
        </w:trPr>
        <w:tc>
          <w:tcPr>
            <w:tcW w:w="5720" w:type="dxa"/>
            <w:vAlign w:val="bottom"/>
            <w:shd w:val="clear" w:color="auto" w:fill="E6E6E6"/>
          </w:tcPr>
          <w:p>
            <w:pPr>
              <w:jc w:val="right"/>
              <w:spacing w:after="0" w:line="254" w:lineRule="exact"/>
              <w:rPr>
                <w:sz w:val="20"/>
                <w:szCs w:val="20"/>
                <w:color w:val="auto"/>
              </w:rPr>
            </w:pPr>
            <w:r>
              <w:rPr>
                <w:rFonts w:ascii="Arial" w:cs="Arial" w:eastAsia="Arial" w:hAnsi="Arial"/>
                <w:sz w:val="18"/>
                <w:szCs w:val="18"/>
                <w:color w:val="auto"/>
                <w:w w:val="88"/>
              </w:rPr>
              <w:t xml:space="preserve">Other revenue </w:t>
            </w:r>
            <w:r>
              <w:rPr>
                <w:rFonts w:ascii="Arial" w:cs="Arial" w:eastAsia="Arial" w:hAnsi="Arial"/>
                <w:sz w:val="23"/>
                <w:szCs w:val="23"/>
                <w:color w:val="auto"/>
                <w:w w:val="88"/>
                <w:vertAlign w:val="superscript"/>
              </w:rPr>
              <w:t>(a)</w:t>
            </w:r>
            <w:r>
              <w:rPr>
                <w:rFonts w:ascii="Arial" w:cs="Arial" w:eastAsia="Arial" w:hAnsi="Arial"/>
                <w:sz w:val="18"/>
                <w:szCs w:val="18"/>
                <w:color w:val="auto"/>
                <w:w w:val="88"/>
              </w:rPr>
              <w:t xml:space="preserve">  </w:t>
            </w:r>
            <w:r>
              <w:rPr>
                <w:rFonts w:ascii="Arial" w:cs="Arial" w:eastAsia="Arial" w:hAnsi="Arial"/>
                <w:sz w:val="18"/>
                <w:szCs w:val="18"/>
                <w:color w:val="BDBDBD"/>
                <w:w w:val="88"/>
              </w:rPr>
              <w:t>. . . . . . . . . . . . . . . . . . . . . . . . . . . . . . . . . . . . . . . . . . . . . . . . .</w:t>
            </w:r>
          </w:p>
        </w:tc>
        <w:tc>
          <w:tcPr>
            <w:tcW w:w="180" w:type="dxa"/>
            <w:vAlign w:val="bottom"/>
            <w:shd w:val="clear" w:color="auto" w:fill="E6E6E6"/>
          </w:tcPr>
          <w:p>
            <w:pPr>
              <w:spacing w:after="0"/>
              <w:rPr>
                <w:sz w:val="22"/>
                <w:szCs w:val="22"/>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1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71</w:t>
            </w:r>
          </w:p>
        </w:tc>
        <w:tc>
          <w:tcPr>
            <w:tcW w:w="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420" w:type="dxa"/>
            <w:vAlign w:val="bottom"/>
            <w:shd w:val="clear" w:color="auto" w:fill="E6E6E6"/>
          </w:tcPr>
          <w:p>
            <w:pPr>
              <w:spacing w:after="0"/>
              <w:rPr>
                <w:sz w:val="22"/>
                <w:szCs w:val="22"/>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53"/>
        </w:trPr>
        <w:tc>
          <w:tcPr>
            <w:tcW w:w="5720" w:type="dxa"/>
            <w:vAlign w:val="bottom"/>
          </w:tcPr>
          <w:p>
            <w:pPr>
              <w:jc w:val="right"/>
              <w:spacing w:after="0"/>
              <w:rPr>
                <w:sz w:val="20"/>
                <w:szCs w:val="20"/>
                <w:color w:val="auto"/>
              </w:rPr>
            </w:pPr>
            <w:r>
              <w:rPr>
                <w:rFonts w:ascii="Arial" w:cs="Arial" w:eastAsia="Arial" w:hAnsi="Arial"/>
                <w:sz w:val="18"/>
                <w:szCs w:val="18"/>
                <w:color w:val="auto"/>
                <w:w w:val="90"/>
              </w:rPr>
              <w:t xml:space="preserve">Contract amortization </w:t>
            </w:r>
            <w:r>
              <w:rPr>
                <w:rFonts w:ascii="Arial" w:cs="Arial" w:eastAsia="Arial" w:hAnsi="Arial"/>
                <w:sz w:val="18"/>
                <w:szCs w:val="18"/>
                <w:color w:val="BDBDBD"/>
                <w:w w:val="90"/>
              </w:rPr>
              <w:t>. . . . . . . . . . . . . . . . . . . . . . . . . . . . . . . . . . . . . . . . . . . . .</w:t>
            </w: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(166)</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64"/>
        </w:trPr>
        <w:tc>
          <w:tcPr>
            <w:tcW w:w="57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w w:val="91"/>
              </w:rPr>
              <w:t xml:space="preserve">Mark-to-market for economic hedges </w:t>
            </w:r>
            <w:r>
              <w:rPr>
                <w:rFonts w:ascii="Arial" w:cs="Arial" w:eastAsia="Arial" w:hAnsi="Arial"/>
                <w:sz w:val="18"/>
                <w:szCs w:val="18"/>
                <w:color w:val="BDBDBD"/>
                <w:w w:val="91"/>
              </w:rPr>
              <w:t>. . . . . . . . . . . . . . . . . . . . . . . . . . . . . . . .</w:t>
            </w:r>
          </w:p>
        </w:tc>
        <w:tc>
          <w:tcPr>
            <w:tcW w:w="180" w:type="dxa"/>
            <w:vAlign w:val="bottom"/>
            <w:tcBorders>
              <w:bottom w:val="single" w:sz="8" w:color="auto"/>
            </w:tcBorders>
            <w:shd w:val="clear" w:color="auto" w:fill="E6E6E6"/>
          </w:tcPr>
          <w:p>
            <w:pPr>
              <w:spacing w:after="0"/>
              <w:rPr>
                <w:sz w:val="22"/>
                <w:szCs w:val="22"/>
                <w:color w:val="auto"/>
              </w:rPr>
            </w:pPr>
          </w:p>
        </w:tc>
        <w:tc>
          <w:tcPr>
            <w:tcW w:w="1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auto"/>
            </w:tcBorders>
            <w:shd w:val="clear" w:color="auto" w:fill="E6E6E6"/>
          </w:tcPr>
          <w:p>
            <w:pPr>
              <w:spacing w:after="0"/>
              <w:rPr>
                <w:sz w:val="22"/>
                <w:szCs w:val="22"/>
                <w:color w:val="auto"/>
              </w:rPr>
            </w:pPr>
          </w:p>
        </w:tc>
        <w:tc>
          <w:tcPr>
            <w:tcW w:w="200" w:type="dxa"/>
            <w:vAlign w:val="bottom"/>
            <w:tcBorders>
              <w:bottom w:val="single" w:sz="8" w:color="auto"/>
            </w:tcBorders>
            <w:shd w:val="clear" w:color="auto" w:fill="E6E6E6"/>
          </w:tcPr>
          <w:p>
            <w:pPr>
              <w:spacing w:after="0"/>
              <w:rPr>
                <w:sz w:val="22"/>
                <w:szCs w:val="22"/>
                <w:color w:val="auto"/>
              </w:rPr>
            </w:pPr>
          </w:p>
        </w:tc>
        <w:tc>
          <w:tcPr>
            <w:tcW w:w="11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24</w:t>
            </w:r>
          </w:p>
        </w:tc>
        <w:tc>
          <w:tcPr>
            <w:tcW w:w="20" w:type="dxa"/>
            <w:vAlign w:val="bottom"/>
            <w:tcBorders>
              <w:bottom w:val="single" w:sz="8" w:color="auto"/>
            </w:tcBorders>
            <w:shd w:val="clear" w:color="auto" w:fill="E6E6E6"/>
          </w:tcPr>
          <w:p>
            <w:pPr>
              <w:spacing w:after="0"/>
              <w:rPr>
                <w:sz w:val="22"/>
                <w:szCs w:val="22"/>
                <w:color w:val="auto"/>
              </w:rPr>
            </w:pPr>
          </w:p>
        </w:tc>
        <w:tc>
          <w:tcPr>
            <w:tcW w:w="60" w:type="dxa"/>
            <w:vAlign w:val="bottom"/>
            <w:tcBorders>
              <w:bottom w:val="single" w:sz="8" w:color="E6E6E6"/>
            </w:tcBorders>
            <w:shd w:val="clear" w:color="auto" w:fill="E6E6E6"/>
          </w:tcPr>
          <w:p>
            <w:pPr>
              <w:spacing w:after="0"/>
              <w:rPr>
                <w:sz w:val="22"/>
                <w:szCs w:val="22"/>
                <w:color w:val="auto"/>
              </w:rPr>
            </w:pPr>
          </w:p>
        </w:tc>
        <w:tc>
          <w:tcPr>
            <w:tcW w:w="420" w:type="dxa"/>
            <w:vAlign w:val="bottom"/>
            <w:tcBorders>
              <w:bottom w:val="single" w:sz="8" w:color="auto"/>
            </w:tcBorders>
            <w:shd w:val="clear" w:color="auto" w:fill="E6E6E6"/>
          </w:tcPr>
          <w:p>
            <w:pPr>
              <w:spacing w:after="0"/>
              <w:rPr>
                <w:sz w:val="22"/>
                <w:szCs w:val="22"/>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9"/>
        </w:trPr>
        <w:tc>
          <w:tcPr>
            <w:tcW w:w="5720" w:type="dxa"/>
            <w:vAlign w:val="bottom"/>
          </w:tcPr>
          <w:p>
            <w:pPr>
              <w:jc w:val="right"/>
              <w:spacing w:after="0"/>
              <w:rPr>
                <w:sz w:val="20"/>
                <w:szCs w:val="20"/>
                <w:color w:val="auto"/>
              </w:rPr>
            </w:pPr>
            <w:r>
              <w:rPr>
                <w:rFonts w:ascii="Arial" w:cs="Arial" w:eastAsia="Arial" w:hAnsi="Arial"/>
                <w:sz w:val="18"/>
                <w:szCs w:val="18"/>
                <w:color w:val="BDBDBD"/>
                <w:w w:val="94"/>
              </w:rPr>
              <w:t>. . . . . . . . . . . . . . . . . . . . . . . . . . . . . . . . . . . . . . . . .</w:t>
            </w:r>
            <w:r>
              <w:rPr>
                <w:rFonts w:ascii="Arial" w:cs="Arial" w:eastAsia="Arial" w:hAnsi="Arial"/>
                <w:sz w:val="18"/>
                <w:szCs w:val="18"/>
                <w:color w:val="000000"/>
                <w:w w:val="94"/>
              </w:rPr>
              <w:t>Totaloperatingrevenues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58"/>
        </w:trPr>
        <w:tc>
          <w:tcPr>
            <w:tcW w:w="572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1"/>
              </w:rPr>
              <w:t xml:space="preserve">Less: Contract amortization </w:t>
            </w:r>
            <w:r>
              <w:rPr>
                <w:rFonts w:ascii="Arial" w:cs="Arial" w:eastAsia="Arial" w:hAnsi="Arial"/>
                <w:sz w:val="18"/>
                <w:szCs w:val="18"/>
                <w:color w:val="BDBDBD"/>
                <w:w w:val="91"/>
              </w:rPr>
              <w:t>. . . . . . . . . . . . . . . . . . . . . . . . . . . . . . . . . . . . . . . .</w:t>
            </w:r>
          </w:p>
        </w:tc>
        <w:tc>
          <w:tcPr>
            <w:tcW w:w="180" w:type="dxa"/>
            <w:vAlign w:val="bottom"/>
            <w:shd w:val="clear" w:color="auto" w:fill="E6E6E6"/>
          </w:tcPr>
          <w:p>
            <w:pPr>
              <w:spacing w:after="0"/>
              <w:rPr>
                <w:sz w:val="22"/>
                <w:szCs w:val="22"/>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1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166</w:t>
            </w:r>
          </w:p>
        </w:tc>
        <w:tc>
          <w:tcPr>
            <w:tcW w:w="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420" w:type="dxa"/>
            <w:vAlign w:val="bottom"/>
            <w:shd w:val="clear" w:color="auto" w:fill="E6E6E6"/>
          </w:tcPr>
          <w:p>
            <w:pPr>
              <w:spacing w:after="0"/>
              <w:rPr>
                <w:sz w:val="22"/>
                <w:szCs w:val="22"/>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47"/>
        </w:trPr>
        <w:tc>
          <w:tcPr>
            <w:tcW w:w="5720" w:type="dxa"/>
            <w:vAlign w:val="bottom"/>
          </w:tcPr>
          <w:p>
            <w:pPr>
              <w:jc w:val="right"/>
              <w:spacing w:after="0"/>
              <w:rPr>
                <w:sz w:val="20"/>
                <w:szCs w:val="20"/>
                <w:color w:val="auto"/>
              </w:rPr>
            </w:pPr>
            <w:r>
              <w:rPr>
                <w:rFonts w:ascii="Arial" w:cs="Arial" w:eastAsia="Arial" w:hAnsi="Arial"/>
                <w:sz w:val="18"/>
                <w:szCs w:val="18"/>
                <w:color w:val="auto"/>
                <w:w w:val="90"/>
              </w:rPr>
              <w:t xml:space="preserve">Less: Mark-to-market for economic hedges </w:t>
            </w:r>
            <w:r>
              <w:rPr>
                <w:rFonts w:ascii="Arial" w:cs="Arial" w:eastAsia="Arial" w:hAnsi="Arial"/>
                <w:sz w:val="18"/>
                <w:szCs w:val="18"/>
                <w:color w:val="BDBDBD"/>
                <w:w w:val="90"/>
              </w:rPr>
              <w:t>. . . . . . . . . . . . . . . . . . . . . . . . . . . .</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69"/>
        </w:trPr>
        <w:tc>
          <w:tcPr>
            <w:tcW w:w="57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w w:val="89"/>
              </w:rPr>
              <w:t xml:space="preserve">Less: Lease revenue </w:t>
            </w:r>
            <w:r>
              <w:rPr>
                <w:rFonts w:ascii="Arial" w:cs="Arial" w:eastAsia="Arial" w:hAnsi="Arial"/>
                <w:sz w:val="18"/>
                <w:szCs w:val="18"/>
                <w:color w:val="BDBDBD"/>
                <w:w w:val="89"/>
              </w:rPr>
              <w:t>. . . . . . . . . . . . . . . . . . . . . . . . . . . . . . . . . . . . . . . . . . . . . .</w:t>
            </w:r>
          </w:p>
        </w:tc>
        <w:tc>
          <w:tcPr>
            <w:tcW w:w="180" w:type="dxa"/>
            <w:vAlign w:val="bottom"/>
            <w:tcBorders>
              <w:bottom w:val="single" w:sz="8" w:color="auto"/>
            </w:tcBorders>
            <w:shd w:val="clear" w:color="auto" w:fill="E6E6E6"/>
          </w:tcPr>
          <w:p>
            <w:pPr>
              <w:spacing w:after="0"/>
              <w:rPr>
                <w:sz w:val="23"/>
                <w:szCs w:val="23"/>
                <w:color w:val="auto"/>
              </w:rPr>
            </w:pPr>
          </w:p>
        </w:tc>
        <w:tc>
          <w:tcPr>
            <w:tcW w:w="1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(274)</w:t>
            </w:r>
          </w:p>
        </w:tc>
        <w:tc>
          <w:tcPr>
            <w:tcW w:w="8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200" w:type="dxa"/>
            <w:vAlign w:val="bottom"/>
            <w:tcBorders>
              <w:bottom w:val="single" w:sz="8" w:color="auto"/>
            </w:tcBorders>
            <w:shd w:val="clear" w:color="auto" w:fill="E6E6E6"/>
          </w:tcPr>
          <w:p>
            <w:pPr>
              <w:spacing w:after="0"/>
              <w:rPr>
                <w:sz w:val="23"/>
                <w:szCs w:val="23"/>
                <w:color w:val="auto"/>
              </w:rPr>
            </w:pPr>
          </w:p>
        </w:tc>
        <w:tc>
          <w:tcPr>
            <w:tcW w:w="11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(780)</w:t>
            </w:r>
          </w:p>
        </w:tc>
        <w:tc>
          <w:tcPr>
            <w:tcW w:w="20" w:type="dxa"/>
            <w:vAlign w:val="bottom"/>
            <w:tcBorders>
              <w:bottom w:val="single" w:sz="8" w:color="auto"/>
            </w:tcBorders>
            <w:shd w:val="clear" w:color="auto" w:fill="E6E6E6"/>
          </w:tcPr>
          <w:p>
            <w:pPr>
              <w:spacing w:after="0"/>
              <w:rPr>
                <w:sz w:val="23"/>
                <w:szCs w:val="23"/>
                <w:color w:val="auto"/>
              </w:rPr>
            </w:pPr>
          </w:p>
        </w:tc>
        <w:tc>
          <w:tcPr>
            <w:tcW w:w="60" w:type="dxa"/>
            <w:vAlign w:val="bottom"/>
            <w:tcBorders>
              <w:bottom w:val="single" w:sz="8" w:color="E6E6E6"/>
            </w:tcBorders>
            <w:shd w:val="clear" w:color="auto" w:fill="E6E6E6"/>
          </w:tcPr>
          <w:p>
            <w:pPr>
              <w:spacing w:after="0"/>
              <w:rPr>
                <w:sz w:val="23"/>
                <w:szCs w:val="23"/>
                <w:color w:val="auto"/>
              </w:rPr>
            </w:pPr>
          </w:p>
        </w:tc>
        <w:tc>
          <w:tcPr>
            <w:tcW w:w="420" w:type="dxa"/>
            <w:vAlign w:val="bottom"/>
            <w:tcBorders>
              <w:bottom w:val="single" w:sz="8" w:color="auto"/>
            </w:tcBorders>
            <w:shd w:val="clear" w:color="auto" w:fill="E6E6E6"/>
          </w:tcPr>
          <w:p>
            <w:pPr>
              <w:spacing w:after="0"/>
              <w:rPr>
                <w:sz w:val="23"/>
                <w:szCs w:val="23"/>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26"/>
        </w:trPr>
        <w:tc>
          <w:tcPr>
            <w:tcW w:w="5720" w:type="dxa"/>
            <w:vAlign w:val="bottom"/>
          </w:tcPr>
          <w:p>
            <w:pPr>
              <w:jc w:val="right"/>
              <w:spacing w:after="0"/>
              <w:rPr>
                <w:sz w:val="20"/>
                <w:szCs w:val="20"/>
                <w:color w:val="auto"/>
              </w:rPr>
            </w:pPr>
            <w:r>
              <w:rPr>
                <w:rFonts w:ascii="Arial" w:cs="Arial" w:eastAsia="Arial" w:hAnsi="Arial"/>
                <w:sz w:val="18"/>
                <w:szCs w:val="18"/>
                <w:color w:val="auto"/>
                <w:w w:val="93"/>
              </w:rPr>
              <w:t xml:space="preserve">Total revenue from contracts with customers </w:t>
            </w:r>
            <w:r>
              <w:rPr>
                <w:rFonts w:ascii="Arial" w:cs="Arial" w:eastAsia="Arial" w:hAnsi="Arial"/>
                <w:sz w:val="18"/>
                <w:szCs w:val="18"/>
                <w:color w:val="BDBDBD"/>
                <w:w w:val="93"/>
              </w:rPr>
              <w:t>. . . . . . . . . . . . . . . . . . . . . . . . .</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171</w:t>
            </w:r>
          </w:p>
        </w:tc>
        <w:tc>
          <w:tcPr>
            <w:tcW w:w="3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256</w:t>
            </w:r>
          </w:p>
        </w:tc>
        <w:tc>
          <w:tcPr>
            <w:tcW w:w="500" w:type="dxa"/>
            <w:vAlign w:val="bottom"/>
            <w:gridSpan w:val="3"/>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5471795</wp:posOffset>
            </wp:positionH>
            <wp:positionV relativeFrom="paragraph">
              <wp:posOffset>-1926590</wp:posOffset>
            </wp:positionV>
            <wp:extent cx="925830"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22">
                      <a:extLst>
                        <a:ext uri="{28A0092B-C50C-407E-A947-70E740481C1C}"/>
                      </a:extLst>
                    </a:blip>
                    <a:srcRect/>
                    <a:stretch>
                      <a:fillRect/>
                    </a:stretch>
                  </pic:blipFill>
                  <pic:spPr bwMode="auto">
                    <a:xfrm>
                      <a:off x="0" y="0"/>
                      <a:ext cx="925830" cy="25400"/>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-1661160</wp:posOffset>
            </wp:positionV>
            <wp:extent cx="278320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23">
                      <a:extLst>
                        <a:ext uri="{28A0092B-C50C-407E-A947-70E740481C1C}"/>
                      </a:extLst>
                    </a:blip>
                    <a:srcRect/>
                    <a:stretch>
                      <a:fillRect/>
                    </a:stretch>
                  </pic:blipFill>
                  <pic:spPr bwMode="auto">
                    <a:xfrm>
                      <a:off x="0" y="0"/>
                      <a:ext cx="2783205" cy="25400"/>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-855345</wp:posOffset>
            </wp:positionV>
            <wp:extent cx="278320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24">
                      <a:extLst>
                        <a:ext uri="{28A0092B-C50C-407E-A947-70E740481C1C}"/>
                      </a:extLst>
                    </a:blip>
                    <a:srcRect/>
                    <a:stretch>
                      <a:fillRect/>
                    </a:stretch>
                  </pic:blipFill>
                  <pic:spPr bwMode="auto">
                    <a:xfrm>
                      <a:off x="0" y="0"/>
                      <a:ext cx="2783205" cy="25400"/>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-210820</wp:posOffset>
            </wp:positionV>
            <wp:extent cx="278320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25">
                      <a:extLst>
                        <a:ext uri="{28A0092B-C50C-407E-A947-70E740481C1C}"/>
                      </a:extLst>
                    </a:blip>
                    <a:srcRect/>
                    <a:stretch>
                      <a:fillRect/>
                    </a:stretch>
                  </pic:blipFill>
                  <pic:spPr bwMode="auto">
                    <a:xfrm>
                      <a:off x="0" y="0"/>
                      <a:ext cx="2783205" cy="254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-2540</wp:posOffset>
                </wp:positionH>
                <wp:positionV relativeFrom="paragraph">
                  <wp:posOffset>91440</wp:posOffset>
                </wp:positionV>
                <wp:extent cx="1259840" cy="0"/>
                <wp:wrapNone/>
                <wp:docPr id="161" name="Shape 1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598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61" o:spid="_x0000_s11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7.2pt" to="99pt,7.2pt" o:allowincell="f" strokecolor="#000000" strokeweight="1pt"/>
            </w:pict>
          </mc:Fallback>
        </mc:AlternateContent>
      </w:r>
    </w:p>
    <w:p>
      <w:pPr>
        <w:spacing w:after="0" w:line="134" w:lineRule="exact"/>
        <w:rPr>
          <w:sz w:val="20"/>
          <w:szCs w:val="20"/>
          <w:color w:val="auto"/>
        </w:rPr>
      </w:pPr>
    </w:p>
    <w:p>
      <w:pPr>
        <w:ind w:left="300" w:hanging="215"/>
        <w:spacing w:after="0"/>
        <w:tabs>
          <w:tab w:leader="none" w:pos="300" w:val="left"/>
        </w:tabs>
        <w:numPr>
          <w:ilvl w:val="0"/>
          <w:numId w:val="48"/>
        </w:numPr>
        <w:rPr>
          <w:rFonts w:ascii="Arial" w:cs="Arial" w:eastAsia="Arial" w:hAnsi="Arial"/>
          <w:sz w:val="25"/>
          <w:szCs w:val="25"/>
          <w:color w:val="auto"/>
          <w:vertAlign w:val="superscript"/>
        </w:rPr>
      </w:pPr>
      <w:r>
        <w:rPr>
          <w:rFonts w:ascii="Arial" w:cs="Arial" w:eastAsia="Arial" w:hAnsi="Arial"/>
          <w:sz w:val="19"/>
          <w:szCs w:val="19"/>
          <w:color w:val="auto"/>
        </w:rPr>
        <w:t xml:space="preserve">See </w:t>
      </w:r>
      <w:r>
        <w:rPr>
          <w:rFonts w:ascii="Arial" w:cs="Arial" w:eastAsia="Arial" w:hAnsi="Arial"/>
          <w:sz w:val="16"/>
          <w:szCs w:val="16"/>
          <w:color w:val="auto"/>
        </w:rPr>
        <w:t>Note 17,</w:t>
      </w:r>
      <w:r>
        <w:rPr>
          <w:rFonts w:ascii="Arial" w:cs="Arial" w:eastAsia="Arial" w:hAnsi="Arial"/>
          <w:sz w:val="19"/>
          <w:szCs w:val="19"/>
          <w:color w:val="auto"/>
        </w:rPr>
        <w:t xml:space="preserve"> </w:t>
      </w:r>
      <w:r>
        <w:rPr>
          <w:rFonts w:ascii="Arial" w:cs="Arial" w:eastAsia="Arial" w:hAnsi="Arial"/>
          <w:sz w:val="16"/>
          <w:szCs w:val="16"/>
          <w:b w:val="1"/>
          <w:bCs w:val="1"/>
          <w:i w:val="1"/>
          <w:iCs w:val="1"/>
          <w:color w:val="auto"/>
        </w:rPr>
        <w:t>Leases,</w:t>
      </w:r>
      <w:r>
        <w:rPr>
          <w:rFonts w:ascii="Arial" w:cs="Arial" w:eastAsia="Arial" w:hAnsi="Arial"/>
          <w:sz w:val="19"/>
          <w:szCs w:val="19"/>
          <w:color w:val="auto"/>
        </w:rPr>
        <w:t xml:space="preserve"> for the </w:t>
      </w:r>
      <w:r>
        <w:rPr>
          <w:rFonts w:ascii="Arial" w:cs="Arial" w:eastAsia="Arial" w:hAnsi="Arial"/>
          <w:sz w:val="16"/>
          <w:szCs w:val="16"/>
          <w:color w:val="auto"/>
        </w:rPr>
        <w:t>amounts of energy, capacity and other revenue that relate to leases and are accounted for under ASC 842.</w:t>
      </w:r>
    </w:p>
    <w:p>
      <w:pPr>
        <w:sectPr>
          <w:pgSz w:w="11880" w:h="15480" w:orient="portrait"/>
          <w:cols w:equalWidth="0" w:num="1">
            <w:col w:w="10200"/>
          </w:cols>
          <w:pgMar w:left="840" w:top="40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ectPr>
          <w:pgSz w:w="11880" w:h="15480" w:orient="portrait"/>
          <w:cols w:equalWidth="0" w:num="1">
            <w:col w:w="10200"/>
          </w:cols>
          <w:pgMar w:left="840" w:top="408" w:right="840" w:bottom="0" w:gutter="0" w:footer="0" w:header="0"/>
          <w:type w:val="continuous"/>
        </w:sectPr>
      </w:pPr>
    </w:p>
    <w:bookmarkStart w:id="86" w:name="page87"/>
    <w:bookmarkEnd w:id="86"/>
    <w:tbl>
      <w:tblPr>
        <w:tblLayout w:type="fixed"/>
        <w:tblInd w:w="0" w:type="dxa"/>
        <w:tblCellMar>
          <w:top w:w="0" w:type="dxa"/>
          <w:left w:w="0" w:type="dxa"/>
          <w:bottom w:w="0" w:type="dxa"/>
          <w:right w:w="0" w:type="dxa"/>
        </w:tblCellMar>
      </w:tblPr>
      <w:tr>
        <w:trPr>
          <w:trHeight w:val="217"/>
        </w:trPr>
        <w:tc>
          <w:tcPr>
            <w:tcW w:w="57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8"/>
          </w:tcPr>
          <w:p>
            <w:pPr>
              <w:jc w:val="right"/>
              <w:spacing w:after="0"/>
              <w:rPr>
                <w:sz w:val="20"/>
                <w:szCs w:val="20"/>
                <w:color w:val="auto"/>
              </w:rPr>
            </w:pPr>
            <w:r>
              <w:rPr>
                <w:rFonts w:ascii="Arial" w:cs="Arial" w:eastAsia="Arial" w:hAnsi="Arial"/>
                <w:sz w:val="16"/>
                <w:szCs w:val="16"/>
                <w:b w:val="1"/>
                <w:bCs w:val="1"/>
                <w:color w:val="auto"/>
              </w:rPr>
              <w:t>Year ended December 31, 2022</w:t>
            </w: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5780" w:type="dxa"/>
            <w:vAlign w:val="bottom"/>
            <w:vMerge w:val="restart"/>
          </w:tcPr>
          <w:p>
            <w:pPr>
              <w:jc w:val="right"/>
              <w:ind w:right="4710"/>
              <w:spacing w:after="0"/>
              <w:rPr>
                <w:sz w:val="20"/>
                <w:szCs w:val="20"/>
                <w:color w:val="auto"/>
              </w:rPr>
            </w:pPr>
            <w:r>
              <w:rPr>
                <w:rFonts w:ascii="Arial" w:cs="Arial" w:eastAsia="Arial" w:hAnsi="Arial"/>
                <w:sz w:val="18"/>
                <w:szCs w:val="18"/>
                <w:b w:val="1"/>
                <w:bCs w:val="1"/>
                <w:color w:val="auto"/>
                <w:w w:val="94"/>
              </w:rPr>
              <w:t>(In millions)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53"/>
              <w:spacing w:after="0"/>
              <w:rPr>
                <w:sz w:val="20"/>
                <w:szCs w:val="20"/>
                <w:color w:val="auto"/>
              </w:rPr>
            </w:pPr>
            <w:r>
              <w:rPr>
                <w:rFonts w:ascii="Arial" w:cs="Arial" w:eastAsia="Arial" w:hAnsi="Arial"/>
                <w:sz w:val="16"/>
                <w:szCs w:val="16"/>
                <w:b w:val="1"/>
                <w:bCs w:val="1"/>
                <w:color w:val="auto"/>
                <w:w w:val="88"/>
              </w:rPr>
              <w:t>Conventional</w:t>
            </w:r>
          </w:p>
        </w:tc>
        <w:tc>
          <w:tcPr>
            <w:tcW w:w="80" w:type="dxa"/>
            <w:vAlign w:val="bottom"/>
          </w:tcPr>
          <w:p>
            <w:pPr>
              <w:spacing w:after="0"/>
              <w:rPr>
                <w:sz w:val="16"/>
                <w:szCs w:val="16"/>
                <w:color w:val="auto"/>
              </w:rPr>
            </w:pPr>
          </w:p>
        </w:tc>
        <w:tc>
          <w:tcPr>
            <w:tcW w:w="1000" w:type="dxa"/>
            <w:vAlign w:val="bottom"/>
            <w:gridSpan w:val="2"/>
            <w:vMerge w:val="restart"/>
          </w:tcPr>
          <w:p>
            <w:pPr>
              <w:jc w:val="right"/>
              <w:ind w:right="10"/>
              <w:spacing w:after="0"/>
              <w:rPr>
                <w:sz w:val="20"/>
                <w:szCs w:val="20"/>
                <w:color w:val="auto"/>
              </w:rPr>
            </w:pPr>
            <w:r>
              <w:rPr>
                <w:rFonts w:ascii="Arial" w:cs="Arial" w:eastAsia="Arial" w:hAnsi="Arial"/>
                <w:sz w:val="16"/>
                <w:szCs w:val="16"/>
                <w:b w:val="1"/>
                <w:bCs w:val="1"/>
                <w:color w:val="auto"/>
                <w:w w:val="95"/>
              </w:rPr>
              <w:t>Renewables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restart"/>
          </w:tcPr>
          <w:p>
            <w:pPr>
              <w:jc w:val="right"/>
              <w:ind w:right="111"/>
              <w:spacing w:after="0"/>
              <w:rPr>
                <w:sz w:val="20"/>
                <w:szCs w:val="20"/>
                <w:color w:val="auto"/>
              </w:rPr>
            </w:pPr>
            <w:r>
              <w:rPr>
                <w:rFonts w:ascii="Arial" w:cs="Arial" w:eastAsia="Arial" w:hAnsi="Arial"/>
                <w:sz w:val="16"/>
                <w:szCs w:val="16"/>
                <w:b w:val="1"/>
                <w:bCs w:val="1"/>
                <w:color w:val="auto"/>
                <w:w w:val="96"/>
              </w:rPr>
              <w:t>Thermal</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restart"/>
          </w:tcPr>
          <w:p>
            <w:pPr>
              <w:jc w:val="right"/>
              <w:ind w:right="23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780" w:type="dxa"/>
            <w:vAlign w:val="bottom"/>
            <w:tcBorders>
              <w:bottom w:val="single" w:sz="8" w:color="E6E6E6"/>
            </w:tcBorders>
            <w:vMerge w:val="continue"/>
          </w:tcPr>
          <w:p>
            <w:pPr>
              <w:spacing w:after="0"/>
              <w:rPr>
                <w:sz w:val="18"/>
                <w:szCs w:val="18"/>
                <w:color w:val="auto"/>
              </w:rPr>
            </w:pPr>
          </w:p>
        </w:tc>
        <w:tc>
          <w:tcPr>
            <w:tcW w:w="20" w:type="dxa"/>
            <w:vAlign w:val="bottom"/>
            <w:tcBorders>
              <w:bottom w:val="single" w:sz="8" w:color="E6E6E6"/>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33"/>
              <w:spacing w:after="0"/>
              <w:rPr>
                <w:sz w:val="20"/>
                <w:szCs w:val="20"/>
                <w:color w:val="auto"/>
              </w:rPr>
            </w:pPr>
            <w:r>
              <w:rPr>
                <w:rFonts w:ascii="Arial" w:cs="Arial" w:eastAsia="Arial" w:hAnsi="Arial"/>
                <w:sz w:val="16"/>
                <w:szCs w:val="16"/>
                <w:b w:val="1"/>
                <w:bCs w:val="1"/>
                <w:color w:val="auto"/>
                <w:w w:val="97"/>
              </w:rPr>
              <w:t>Generation</w:t>
            </w:r>
          </w:p>
        </w:tc>
        <w:tc>
          <w:tcPr>
            <w:tcW w:w="80" w:type="dxa"/>
            <w:vAlign w:val="bottom"/>
            <w:tcBorders>
              <w:bottom w:val="single" w:sz="8" w:color="E6E6E6"/>
            </w:tcBorders>
          </w:tcPr>
          <w:p>
            <w:pPr>
              <w:spacing w:after="0"/>
              <w:rPr>
                <w:sz w:val="18"/>
                <w:szCs w:val="18"/>
                <w:color w:val="auto"/>
              </w:rPr>
            </w:pPr>
          </w:p>
        </w:tc>
        <w:tc>
          <w:tcPr>
            <w:tcW w:w="1000" w:type="dxa"/>
            <w:vAlign w:val="bottom"/>
            <w:tcBorders>
              <w:bottom w:val="single" w:sz="8" w:color="auto"/>
            </w:tcBorders>
            <w:gridSpan w:val="2"/>
            <w:vMerge w:val="continue"/>
          </w:tcPr>
          <w:p>
            <w:pPr>
              <w:spacing w:after="0"/>
              <w:rPr>
                <w:sz w:val="18"/>
                <w:szCs w:val="18"/>
                <w:color w:val="auto"/>
              </w:rPr>
            </w:pPr>
          </w:p>
        </w:tc>
        <w:tc>
          <w:tcPr>
            <w:tcW w:w="60" w:type="dxa"/>
            <w:vAlign w:val="bottom"/>
            <w:tcBorders>
              <w:bottom w:val="single" w:sz="8" w:color="E6E6E6"/>
            </w:tcBorders>
          </w:tcPr>
          <w:p>
            <w:pPr>
              <w:spacing w:after="0"/>
              <w:rPr>
                <w:sz w:val="18"/>
                <w:szCs w:val="18"/>
                <w:color w:val="auto"/>
              </w:rPr>
            </w:pPr>
          </w:p>
        </w:tc>
        <w:tc>
          <w:tcPr>
            <w:tcW w:w="20" w:type="dxa"/>
            <w:vAlign w:val="bottom"/>
            <w:tcBorders>
              <w:bottom w:val="single" w:sz="8" w:color="E6E6E6"/>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E6E6E6"/>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780" w:type="dxa"/>
            <w:vAlign w:val="bottom"/>
            <w:shd w:val="clear" w:color="auto" w:fill="E6E6E6"/>
          </w:tcPr>
          <w:p>
            <w:pPr>
              <w:jc w:val="right"/>
              <w:spacing w:after="0" w:line="244" w:lineRule="exact"/>
              <w:rPr>
                <w:sz w:val="20"/>
                <w:szCs w:val="20"/>
                <w:color w:val="auto"/>
              </w:rPr>
            </w:pPr>
            <w:r>
              <w:rPr>
                <w:rFonts w:ascii="Arial" w:cs="Arial" w:eastAsia="Arial" w:hAnsi="Arial"/>
                <w:sz w:val="18"/>
                <w:szCs w:val="18"/>
                <w:color w:val="BDBDBD"/>
                <w:w w:val="92"/>
              </w:rPr>
              <w:t>. . . . . . . . . . . . . . . . . . . . . . . . . . . . . . . . . . . . . . . . . . . . . . . .</w:t>
            </w:r>
            <w:r>
              <w:rPr>
                <w:rFonts w:ascii="Arial" w:cs="Arial" w:eastAsia="Arial" w:hAnsi="Arial"/>
                <w:sz w:val="18"/>
                <w:szCs w:val="18"/>
                <w:color w:val="000000"/>
                <w:w w:val="92"/>
              </w:rPr>
              <w:t>Energyrevenue</w:t>
            </w:r>
            <w:r>
              <w:rPr>
                <w:rFonts w:ascii="Arial" w:cs="Arial" w:eastAsia="Arial" w:hAnsi="Arial"/>
                <w:sz w:val="23"/>
                <w:szCs w:val="23"/>
                <w:color w:val="000000"/>
                <w:w w:val="92"/>
                <w:vertAlign w:val="superscript"/>
              </w:rPr>
              <w:t>(a)</w:t>
            </w:r>
          </w:p>
        </w:tc>
        <w:tc>
          <w:tcPr>
            <w:tcW w:w="20" w:type="dxa"/>
            <w:vAlign w:val="bottom"/>
            <w:shd w:val="clear" w:color="auto" w:fill="E6E6E6"/>
          </w:tcPr>
          <w:p>
            <w:pPr>
              <w:spacing w:after="0"/>
              <w:rPr>
                <w:sz w:val="21"/>
                <w:szCs w:val="21"/>
                <w:color w:val="auto"/>
              </w:rPr>
            </w:pPr>
          </w:p>
        </w:tc>
        <w:tc>
          <w:tcPr>
            <w:tcW w:w="12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E6E6E6"/>
          </w:tcPr>
          <w:p>
            <w:pPr>
              <w:spacing w:after="0"/>
              <w:rPr>
                <w:sz w:val="21"/>
                <w:szCs w:val="21"/>
                <w:color w:val="auto"/>
              </w:rPr>
            </w:pPr>
          </w:p>
        </w:tc>
        <w:tc>
          <w:tcPr>
            <w:tcW w:w="360" w:type="dxa"/>
            <w:vAlign w:val="bottom"/>
            <w:shd w:val="clear" w:color="auto" w:fill="E6E6E6"/>
          </w:tcPr>
          <w:p>
            <w:pPr>
              <w:jc w:val="right"/>
              <w:ind w:right="135"/>
              <w:spacing w:after="0"/>
              <w:rPr>
                <w:sz w:val="20"/>
                <w:szCs w:val="20"/>
                <w:color w:val="auto"/>
              </w:rPr>
            </w:pPr>
            <w:r>
              <w:rPr>
                <w:rFonts w:ascii="Arial" w:cs="Arial" w:eastAsia="Arial" w:hAnsi="Arial"/>
                <w:sz w:val="18"/>
                <w:szCs w:val="18"/>
                <w:color w:val="auto"/>
              </w:rPr>
              <w:t>$</w:t>
            </w:r>
          </w:p>
        </w:tc>
        <w:tc>
          <w:tcPr>
            <w:tcW w:w="6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956</w:t>
            </w:r>
          </w:p>
        </w:tc>
        <w:tc>
          <w:tcPr>
            <w:tcW w:w="6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48</w:t>
            </w:r>
          </w:p>
        </w:tc>
        <w:tc>
          <w:tcPr>
            <w:tcW w:w="80" w:type="dxa"/>
            <w:vAlign w:val="bottom"/>
            <w:shd w:val="clear" w:color="auto" w:fill="E6E6E6"/>
          </w:tcPr>
          <w:p>
            <w:pPr>
              <w:spacing w:after="0"/>
              <w:rPr>
                <w:sz w:val="21"/>
                <w:szCs w:val="21"/>
                <w:color w:val="auto"/>
              </w:rPr>
            </w:pPr>
          </w:p>
        </w:tc>
        <w:tc>
          <w:tcPr>
            <w:tcW w:w="240" w:type="dxa"/>
            <w:vAlign w:val="bottom"/>
            <w:shd w:val="clear" w:color="auto" w:fill="E6E6E6"/>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54"/>
        </w:trPr>
        <w:tc>
          <w:tcPr>
            <w:tcW w:w="5780" w:type="dxa"/>
            <w:vAlign w:val="bottom"/>
          </w:tcPr>
          <w:p>
            <w:pPr>
              <w:jc w:val="right"/>
              <w:spacing w:after="0" w:line="254" w:lineRule="exact"/>
              <w:rPr>
                <w:sz w:val="20"/>
                <w:szCs w:val="20"/>
                <w:color w:val="auto"/>
              </w:rPr>
            </w:pPr>
            <w:r>
              <w:rPr>
                <w:rFonts w:ascii="Arial" w:cs="Arial" w:eastAsia="Arial" w:hAnsi="Arial"/>
                <w:sz w:val="18"/>
                <w:szCs w:val="18"/>
                <w:color w:val="auto"/>
                <w:w w:val="89"/>
              </w:rPr>
              <w:t xml:space="preserve">Capacity revenue </w:t>
            </w:r>
            <w:r>
              <w:rPr>
                <w:rFonts w:ascii="Arial" w:cs="Arial" w:eastAsia="Arial" w:hAnsi="Arial"/>
                <w:sz w:val="23"/>
                <w:szCs w:val="23"/>
                <w:color w:val="auto"/>
                <w:w w:val="89"/>
                <w:vertAlign w:val="superscript"/>
              </w:rPr>
              <w:t>(a)</w:t>
            </w:r>
            <w:r>
              <w:rPr>
                <w:rFonts w:ascii="Arial" w:cs="Arial" w:eastAsia="Arial" w:hAnsi="Arial"/>
                <w:sz w:val="18"/>
                <w:szCs w:val="18"/>
                <w:color w:val="auto"/>
                <w:w w:val="89"/>
              </w:rPr>
              <w:t xml:space="preserve">  </w:t>
            </w:r>
            <w:r>
              <w:rPr>
                <w:rFonts w:ascii="Arial" w:cs="Arial" w:eastAsia="Arial" w:hAnsi="Arial"/>
                <w:sz w:val="18"/>
                <w:szCs w:val="18"/>
                <w:color w:val="BDBDBD"/>
                <w:w w:val="89"/>
              </w:rPr>
              <w:t>. . . . . . . . . . . . . . . . . . . . . . . . . . . . . . . . . . . . . . . . . . . . . . .</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435</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54"/>
        </w:trPr>
        <w:tc>
          <w:tcPr>
            <w:tcW w:w="578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0"/>
              </w:rPr>
              <w:t xml:space="preserve">Other revenue  </w:t>
            </w:r>
            <w:r>
              <w:rPr>
                <w:rFonts w:ascii="Arial" w:cs="Arial" w:eastAsia="Arial" w:hAnsi="Arial"/>
                <w:sz w:val="18"/>
                <w:szCs w:val="18"/>
                <w:color w:val="BDBDBD"/>
                <w:w w:val="90"/>
              </w:rPr>
              <w:t>. . . . . . . . . . . . . . . . . . . . . . . . . . . . . . . . . . . . . . . . . . . . . . . . . . .</w:t>
            </w:r>
          </w:p>
        </w:tc>
        <w:tc>
          <w:tcPr>
            <w:tcW w:w="20" w:type="dxa"/>
            <w:vAlign w:val="bottom"/>
            <w:shd w:val="clear" w:color="auto" w:fill="E6E6E6"/>
          </w:tcPr>
          <w:p>
            <w:pPr>
              <w:spacing w:after="0"/>
              <w:rPr>
                <w:sz w:val="22"/>
                <w:szCs w:val="22"/>
                <w:color w:val="auto"/>
              </w:rPr>
            </w:pPr>
          </w:p>
        </w:tc>
        <w:tc>
          <w:tcPr>
            <w:tcW w:w="120" w:type="dxa"/>
            <w:vAlign w:val="bottom"/>
            <w:shd w:val="clear" w:color="auto" w:fill="E6E6E6"/>
          </w:tcPr>
          <w:p>
            <w:pPr>
              <w:spacing w:after="0"/>
              <w:rPr>
                <w:sz w:val="22"/>
                <w:szCs w:val="22"/>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2"/>
                <w:szCs w:val="22"/>
                <w:color w:val="auto"/>
              </w:rPr>
            </w:pPr>
          </w:p>
        </w:tc>
        <w:tc>
          <w:tcPr>
            <w:tcW w:w="360" w:type="dxa"/>
            <w:vAlign w:val="bottom"/>
            <w:shd w:val="clear" w:color="auto" w:fill="E6E6E6"/>
          </w:tcPr>
          <w:p>
            <w:pPr>
              <w:spacing w:after="0"/>
              <w:rPr>
                <w:sz w:val="22"/>
                <w:szCs w:val="22"/>
                <w:color w:val="auto"/>
              </w:rPr>
            </w:pPr>
          </w:p>
        </w:tc>
        <w:tc>
          <w:tcPr>
            <w:tcW w:w="6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71</w:t>
            </w: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E6E6E6"/>
          </w:tcPr>
          <w:p>
            <w:pPr>
              <w:spacing w:after="0"/>
              <w:rPr>
                <w:sz w:val="22"/>
                <w:szCs w:val="22"/>
                <w:color w:val="auto"/>
              </w:rPr>
            </w:pPr>
          </w:p>
        </w:tc>
        <w:tc>
          <w:tcPr>
            <w:tcW w:w="240" w:type="dxa"/>
            <w:vAlign w:val="bottom"/>
            <w:shd w:val="clear" w:color="auto" w:fill="E6E6E6"/>
          </w:tcPr>
          <w:p>
            <w:pPr>
              <w:spacing w:after="0"/>
              <w:rPr>
                <w:sz w:val="22"/>
                <w:szCs w:val="22"/>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7"/>
        </w:trPr>
        <w:tc>
          <w:tcPr>
            <w:tcW w:w="5780" w:type="dxa"/>
            <w:vAlign w:val="bottom"/>
          </w:tcPr>
          <w:p>
            <w:pPr>
              <w:jc w:val="right"/>
              <w:spacing w:after="0"/>
              <w:rPr>
                <w:sz w:val="20"/>
                <w:szCs w:val="20"/>
                <w:color w:val="auto"/>
              </w:rPr>
            </w:pPr>
            <w:r>
              <w:rPr>
                <w:rFonts w:ascii="Arial" w:cs="Arial" w:eastAsia="Arial" w:hAnsi="Arial"/>
                <w:sz w:val="18"/>
                <w:szCs w:val="18"/>
                <w:color w:val="auto"/>
                <w:w w:val="90"/>
              </w:rPr>
              <w:t xml:space="preserve">Contract amortization  </w:t>
            </w:r>
            <w:r>
              <w:rPr>
                <w:rFonts w:ascii="Arial" w:cs="Arial" w:eastAsia="Arial" w:hAnsi="Arial"/>
                <w:sz w:val="18"/>
                <w:szCs w:val="18"/>
                <w:color w:val="BDBDBD"/>
                <w:w w:val="90"/>
              </w:rPr>
              <w:t>. . . . . . . . . . . . . . . . . . . . . . . . . . . . . . . . . . . . . . . . . . . . .</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(151)</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69"/>
        </w:trPr>
        <w:tc>
          <w:tcPr>
            <w:tcW w:w="57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w w:val="91"/>
              </w:rPr>
              <w:t xml:space="preserve">Mark-to-market for economic hedges </w:t>
            </w:r>
            <w:r>
              <w:rPr>
                <w:rFonts w:ascii="Arial" w:cs="Arial" w:eastAsia="Arial" w:hAnsi="Arial"/>
                <w:sz w:val="18"/>
                <w:szCs w:val="18"/>
                <w:color w:val="BDBDBD"/>
                <w:w w:val="91"/>
              </w:rPr>
              <w:t>. . . . . . . . . . . . . . . . . . . . . . . . . . . . . . . . .</w:t>
            </w:r>
          </w:p>
        </w:tc>
        <w:tc>
          <w:tcPr>
            <w:tcW w:w="20" w:type="dxa"/>
            <w:vAlign w:val="bottom"/>
            <w:tcBorders>
              <w:bottom w:val="single" w:sz="8" w:color="E6E6E6"/>
            </w:tcBorders>
            <w:shd w:val="clear" w:color="auto" w:fill="E6E6E6"/>
          </w:tcPr>
          <w:p>
            <w:pPr>
              <w:spacing w:after="0"/>
              <w:rPr>
                <w:sz w:val="23"/>
                <w:szCs w:val="23"/>
                <w:color w:val="auto"/>
              </w:rPr>
            </w:pPr>
          </w:p>
        </w:tc>
        <w:tc>
          <w:tcPr>
            <w:tcW w:w="120" w:type="dxa"/>
            <w:vAlign w:val="bottom"/>
            <w:tcBorders>
              <w:bottom w:val="single" w:sz="8" w:color="auto"/>
            </w:tcBorders>
            <w:shd w:val="clear" w:color="auto" w:fill="E6E6E6"/>
          </w:tcPr>
          <w:p>
            <w:pPr>
              <w:spacing w:after="0"/>
              <w:rPr>
                <w:sz w:val="23"/>
                <w:szCs w:val="23"/>
                <w:color w:val="auto"/>
              </w:rPr>
            </w:pPr>
          </w:p>
        </w:tc>
        <w:tc>
          <w:tcPr>
            <w:tcW w:w="10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6E6E6"/>
            </w:tcBorders>
            <w:shd w:val="clear" w:color="auto" w:fill="E6E6E6"/>
          </w:tcPr>
          <w:p>
            <w:pPr>
              <w:spacing w:after="0"/>
              <w:rPr>
                <w:sz w:val="23"/>
                <w:szCs w:val="23"/>
                <w:color w:val="auto"/>
              </w:rPr>
            </w:pPr>
          </w:p>
        </w:tc>
        <w:tc>
          <w:tcPr>
            <w:tcW w:w="360" w:type="dxa"/>
            <w:vAlign w:val="bottom"/>
            <w:tcBorders>
              <w:bottom w:val="single" w:sz="8" w:color="auto"/>
            </w:tcBorders>
            <w:shd w:val="clear" w:color="auto" w:fill="E6E6E6"/>
          </w:tcPr>
          <w:p>
            <w:pPr>
              <w:spacing w:after="0"/>
              <w:rPr>
                <w:sz w:val="23"/>
                <w:szCs w:val="23"/>
                <w:color w:val="auto"/>
              </w:rPr>
            </w:pPr>
          </w:p>
        </w:tc>
        <w:tc>
          <w:tcPr>
            <w:tcW w:w="6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(182)</w:t>
            </w:r>
          </w:p>
        </w:tc>
        <w:tc>
          <w:tcPr>
            <w:tcW w:w="6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auto"/>
            </w:tcBorders>
            <w:shd w:val="clear" w:color="auto" w:fill="E6E6E6"/>
          </w:tcPr>
          <w:p>
            <w:pPr>
              <w:spacing w:after="0"/>
              <w:rPr>
                <w:sz w:val="23"/>
                <w:szCs w:val="23"/>
                <w:color w:val="auto"/>
              </w:rPr>
            </w:pPr>
          </w:p>
        </w:tc>
        <w:tc>
          <w:tcPr>
            <w:tcW w:w="160" w:type="dxa"/>
            <w:vAlign w:val="bottom"/>
            <w:tcBorders>
              <w:bottom w:val="single" w:sz="8" w:color="auto"/>
            </w:tcBorders>
            <w:shd w:val="clear" w:color="auto" w:fill="E6E6E6"/>
          </w:tcPr>
          <w:p>
            <w:pPr>
              <w:spacing w:after="0"/>
              <w:rPr>
                <w:sz w:val="23"/>
                <w:szCs w:val="23"/>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6E6E6"/>
            </w:tcBorders>
            <w:shd w:val="clear" w:color="auto" w:fill="E6E6E6"/>
          </w:tcPr>
          <w:p>
            <w:pPr>
              <w:spacing w:after="0"/>
              <w:rPr>
                <w:sz w:val="23"/>
                <w:szCs w:val="23"/>
                <w:color w:val="auto"/>
              </w:rPr>
            </w:pPr>
          </w:p>
        </w:tc>
        <w:tc>
          <w:tcPr>
            <w:tcW w:w="240" w:type="dxa"/>
            <w:vAlign w:val="bottom"/>
            <w:tcBorders>
              <w:bottom w:val="single" w:sz="8" w:color="auto"/>
            </w:tcBorders>
            <w:shd w:val="clear" w:color="auto" w:fill="E6E6E6"/>
          </w:tcPr>
          <w:p>
            <w:pPr>
              <w:spacing w:after="0"/>
              <w:rPr>
                <w:sz w:val="23"/>
                <w:szCs w:val="23"/>
                <w:color w:val="auto"/>
              </w:rPr>
            </w:pPr>
          </w:p>
        </w:tc>
        <w:tc>
          <w:tcPr>
            <w:tcW w:w="7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1"/>
        </w:trPr>
        <w:tc>
          <w:tcPr>
            <w:tcW w:w="5780" w:type="dxa"/>
            <w:vAlign w:val="bottom"/>
          </w:tcPr>
          <w:p>
            <w:pPr>
              <w:jc w:val="right"/>
              <w:spacing w:after="0"/>
              <w:rPr>
                <w:sz w:val="20"/>
                <w:szCs w:val="20"/>
                <w:color w:val="auto"/>
              </w:rPr>
            </w:pPr>
            <w:r>
              <w:rPr>
                <w:rFonts w:ascii="Arial" w:cs="Arial" w:eastAsia="Arial" w:hAnsi="Arial"/>
                <w:sz w:val="18"/>
                <w:szCs w:val="18"/>
                <w:color w:val="BDBDBD"/>
                <w:w w:val="94"/>
              </w:rPr>
              <w:t>. . . . . . . . . . . . . . . . . . . . . . . . . . . . . . . . . . . . . . . . . .</w:t>
            </w:r>
            <w:r>
              <w:rPr>
                <w:rFonts w:ascii="Arial" w:cs="Arial" w:eastAsia="Arial" w:hAnsi="Arial"/>
                <w:sz w:val="18"/>
                <w:szCs w:val="18"/>
                <w:color w:val="000000"/>
                <w:w w:val="94"/>
              </w:rPr>
              <w:t>Totaloperatingrevenues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58"/>
        </w:trPr>
        <w:tc>
          <w:tcPr>
            <w:tcW w:w="578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0"/>
              </w:rPr>
              <w:t xml:space="preserve">Less: Contract amortization </w:t>
            </w:r>
            <w:r>
              <w:rPr>
                <w:rFonts w:ascii="Arial" w:cs="Arial" w:eastAsia="Arial" w:hAnsi="Arial"/>
                <w:sz w:val="18"/>
                <w:szCs w:val="18"/>
                <w:color w:val="BDBDBD"/>
                <w:w w:val="90"/>
              </w:rPr>
              <w:t>. . . . . . . . . . . . . . . . . . . . . . . . . . . . . . . . . . . . . . . . .</w:t>
            </w:r>
          </w:p>
        </w:tc>
        <w:tc>
          <w:tcPr>
            <w:tcW w:w="20" w:type="dxa"/>
            <w:vAlign w:val="bottom"/>
            <w:shd w:val="clear" w:color="auto" w:fill="E6E6E6"/>
          </w:tcPr>
          <w:p>
            <w:pPr>
              <w:spacing w:after="0"/>
              <w:rPr>
                <w:sz w:val="22"/>
                <w:szCs w:val="22"/>
                <w:color w:val="auto"/>
              </w:rPr>
            </w:pPr>
          </w:p>
        </w:tc>
        <w:tc>
          <w:tcPr>
            <w:tcW w:w="120" w:type="dxa"/>
            <w:vAlign w:val="bottom"/>
            <w:shd w:val="clear" w:color="auto" w:fill="E6E6E6"/>
          </w:tcPr>
          <w:p>
            <w:pPr>
              <w:spacing w:after="0"/>
              <w:rPr>
                <w:sz w:val="22"/>
                <w:szCs w:val="22"/>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E6E6E6"/>
          </w:tcPr>
          <w:p>
            <w:pPr>
              <w:spacing w:after="0"/>
              <w:rPr>
                <w:sz w:val="22"/>
                <w:szCs w:val="22"/>
                <w:color w:val="auto"/>
              </w:rPr>
            </w:pPr>
          </w:p>
        </w:tc>
        <w:tc>
          <w:tcPr>
            <w:tcW w:w="360" w:type="dxa"/>
            <w:vAlign w:val="bottom"/>
            <w:shd w:val="clear" w:color="auto" w:fill="E6E6E6"/>
          </w:tcPr>
          <w:p>
            <w:pPr>
              <w:spacing w:after="0"/>
              <w:rPr>
                <w:sz w:val="22"/>
                <w:szCs w:val="22"/>
                <w:color w:val="auto"/>
              </w:rPr>
            </w:pPr>
          </w:p>
        </w:tc>
        <w:tc>
          <w:tcPr>
            <w:tcW w:w="6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151</w:t>
            </w: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2"/>
                <w:szCs w:val="22"/>
                <w:color w:val="auto"/>
              </w:rPr>
            </w:pPr>
          </w:p>
        </w:tc>
        <w:tc>
          <w:tcPr>
            <w:tcW w:w="240" w:type="dxa"/>
            <w:vAlign w:val="bottom"/>
            <w:shd w:val="clear" w:color="auto" w:fill="E6E6E6"/>
          </w:tcPr>
          <w:p>
            <w:pPr>
              <w:spacing w:after="0"/>
              <w:rPr>
                <w:sz w:val="22"/>
                <w:szCs w:val="22"/>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47"/>
        </w:trPr>
        <w:tc>
          <w:tcPr>
            <w:tcW w:w="5780" w:type="dxa"/>
            <w:vAlign w:val="bottom"/>
          </w:tcPr>
          <w:p>
            <w:pPr>
              <w:jc w:val="right"/>
              <w:spacing w:after="0"/>
              <w:rPr>
                <w:sz w:val="20"/>
                <w:szCs w:val="20"/>
                <w:color w:val="auto"/>
              </w:rPr>
            </w:pPr>
            <w:r>
              <w:rPr>
                <w:rFonts w:ascii="Arial" w:cs="Arial" w:eastAsia="Arial" w:hAnsi="Arial"/>
                <w:sz w:val="18"/>
                <w:szCs w:val="18"/>
                <w:color w:val="auto"/>
                <w:w w:val="91"/>
              </w:rPr>
              <w:t xml:space="preserve">Less: Mark-to-market for economic hedges </w:t>
            </w:r>
            <w:r>
              <w:rPr>
                <w:rFonts w:ascii="Arial" w:cs="Arial" w:eastAsia="Arial" w:hAnsi="Arial"/>
                <w:sz w:val="18"/>
                <w:szCs w:val="18"/>
                <w:color w:val="BDBDBD"/>
                <w:w w:val="91"/>
              </w:rPr>
              <w:t>. . . . . . . . . . . . . . . . . . . . . . . . . . . .</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182</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51"/>
        </w:trPr>
        <w:tc>
          <w:tcPr>
            <w:tcW w:w="57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w w:val="89"/>
              </w:rPr>
              <w:t xml:space="preserve">Less: Lease revenue </w:t>
            </w:r>
            <w:r>
              <w:rPr>
                <w:rFonts w:ascii="Arial" w:cs="Arial" w:eastAsia="Arial" w:hAnsi="Arial"/>
                <w:sz w:val="18"/>
                <w:szCs w:val="18"/>
                <w:color w:val="BDBDBD"/>
                <w:w w:val="89"/>
              </w:rPr>
              <w:t>. . . . . . . . . . . . . . . . . . . . . . . . . . . . . . . . . . . . . . . . . . . . . . .</w:t>
            </w:r>
          </w:p>
        </w:tc>
        <w:tc>
          <w:tcPr>
            <w:tcW w:w="20" w:type="dxa"/>
            <w:vAlign w:val="bottom"/>
            <w:tcBorders>
              <w:bottom w:val="single" w:sz="8" w:color="E6E6E6"/>
            </w:tcBorders>
            <w:shd w:val="clear" w:color="auto" w:fill="E6E6E6"/>
          </w:tcPr>
          <w:p>
            <w:pPr>
              <w:spacing w:after="0"/>
              <w:rPr>
                <w:sz w:val="21"/>
                <w:szCs w:val="21"/>
                <w:color w:val="auto"/>
              </w:rPr>
            </w:pPr>
          </w:p>
        </w:tc>
        <w:tc>
          <w:tcPr>
            <w:tcW w:w="120" w:type="dxa"/>
            <w:vAlign w:val="bottom"/>
            <w:tcBorders>
              <w:bottom w:val="single" w:sz="8" w:color="auto"/>
            </w:tcBorders>
            <w:shd w:val="clear" w:color="auto" w:fill="E6E6E6"/>
          </w:tcPr>
          <w:p>
            <w:pPr>
              <w:spacing w:after="0"/>
              <w:rPr>
                <w:sz w:val="21"/>
                <w:szCs w:val="21"/>
                <w:color w:val="auto"/>
              </w:rPr>
            </w:pPr>
          </w:p>
        </w:tc>
        <w:tc>
          <w:tcPr>
            <w:tcW w:w="10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(441)</w:t>
            </w:r>
          </w:p>
        </w:tc>
        <w:tc>
          <w:tcPr>
            <w:tcW w:w="80" w:type="dxa"/>
            <w:vAlign w:val="bottom"/>
            <w:tcBorders>
              <w:bottom w:val="single" w:sz="8" w:color="E6E6E6"/>
            </w:tcBorders>
            <w:shd w:val="clear" w:color="auto" w:fill="E6E6E6"/>
          </w:tcPr>
          <w:p>
            <w:pPr>
              <w:spacing w:after="0"/>
              <w:rPr>
                <w:sz w:val="21"/>
                <w:szCs w:val="21"/>
                <w:color w:val="auto"/>
              </w:rPr>
            </w:pPr>
          </w:p>
        </w:tc>
        <w:tc>
          <w:tcPr>
            <w:tcW w:w="360" w:type="dxa"/>
            <w:vAlign w:val="bottom"/>
            <w:tcBorders>
              <w:bottom w:val="single" w:sz="8" w:color="auto"/>
            </w:tcBorders>
            <w:shd w:val="clear" w:color="auto" w:fill="E6E6E6"/>
          </w:tcPr>
          <w:p>
            <w:pPr>
              <w:spacing w:after="0"/>
              <w:rPr>
                <w:sz w:val="21"/>
                <w:szCs w:val="21"/>
                <w:color w:val="auto"/>
              </w:rPr>
            </w:pPr>
          </w:p>
        </w:tc>
        <w:tc>
          <w:tcPr>
            <w:tcW w:w="6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(809)</w:t>
            </w:r>
          </w:p>
        </w:tc>
        <w:tc>
          <w:tcPr>
            <w:tcW w:w="6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auto"/>
            </w:tcBorders>
            <w:shd w:val="clear" w:color="auto" w:fill="E6E6E6"/>
          </w:tcPr>
          <w:p>
            <w:pPr>
              <w:spacing w:after="0"/>
              <w:rPr>
                <w:sz w:val="21"/>
                <w:szCs w:val="21"/>
                <w:color w:val="auto"/>
              </w:rPr>
            </w:pPr>
          </w:p>
        </w:tc>
        <w:tc>
          <w:tcPr>
            <w:tcW w:w="160" w:type="dxa"/>
            <w:vAlign w:val="bottom"/>
            <w:tcBorders>
              <w:bottom w:val="single" w:sz="8" w:color="auto"/>
            </w:tcBorders>
            <w:shd w:val="clear" w:color="auto" w:fill="E6E6E6"/>
          </w:tcPr>
          <w:p>
            <w:pPr>
              <w:spacing w:after="0"/>
              <w:rPr>
                <w:sz w:val="21"/>
                <w:szCs w:val="21"/>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E6E6E6"/>
            </w:tcBorders>
            <w:shd w:val="clear" w:color="auto" w:fill="E6E6E6"/>
          </w:tcPr>
          <w:p>
            <w:pPr>
              <w:spacing w:after="0"/>
              <w:rPr>
                <w:sz w:val="21"/>
                <w:szCs w:val="21"/>
                <w:color w:val="auto"/>
              </w:rPr>
            </w:pPr>
          </w:p>
        </w:tc>
        <w:tc>
          <w:tcPr>
            <w:tcW w:w="240" w:type="dxa"/>
            <w:vAlign w:val="bottom"/>
            <w:tcBorders>
              <w:bottom w:val="single" w:sz="8" w:color="auto"/>
            </w:tcBorders>
            <w:shd w:val="clear" w:color="auto" w:fill="E6E6E6"/>
          </w:tcPr>
          <w:p>
            <w:pPr>
              <w:spacing w:after="0"/>
              <w:rPr>
                <w:sz w:val="21"/>
                <w:szCs w:val="21"/>
                <w:color w:val="auto"/>
              </w:rPr>
            </w:pPr>
          </w:p>
        </w:tc>
        <w:tc>
          <w:tcPr>
            <w:tcW w:w="7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44"/>
        </w:trPr>
        <w:tc>
          <w:tcPr>
            <w:tcW w:w="5780" w:type="dxa"/>
            <w:vAlign w:val="bottom"/>
          </w:tcPr>
          <w:p>
            <w:pPr>
              <w:jc w:val="right"/>
              <w:spacing w:after="0"/>
              <w:rPr>
                <w:sz w:val="20"/>
                <w:szCs w:val="20"/>
                <w:color w:val="auto"/>
              </w:rPr>
            </w:pPr>
            <w:r>
              <w:rPr>
                <w:rFonts w:ascii="Arial" w:cs="Arial" w:eastAsia="Arial" w:hAnsi="Arial"/>
                <w:sz w:val="18"/>
                <w:szCs w:val="18"/>
                <w:color w:val="auto"/>
                <w:w w:val="92"/>
              </w:rPr>
              <w:t xml:space="preserve">Total revenue from contracts with customers </w:t>
            </w:r>
            <w:r>
              <w:rPr>
                <w:rFonts w:ascii="Arial" w:cs="Arial" w:eastAsia="Arial" w:hAnsi="Arial"/>
                <w:sz w:val="18"/>
                <w:szCs w:val="18"/>
                <w:color w:val="BDBDBD"/>
                <w:w w:val="92"/>
              </w:rPr>
              <w:t>. . . . . . . . . . . . . . . . . . . . . . . . . .</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35"/>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220</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76</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5831840</wp:posOffset>
            </wp:positionH>
            <wp:positionV relativeFrom="paragraph">
              <wp:posOffset>-1926590</wp:posOffset>
            </wp:positionV>
            <wp:extent cx="660400"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26">
                      <a:extLst>
                        <a:ext uri="{28A0092B-C50C-407E-A947-70E740481C1C}"/>
                      </a:extLst>
                    </a:blip>
                    <a:srcRect/>
                    <a:stretch>
                      <a:fillRect/>
                    </a:stretch>
                  </pic:blipFill>
                  <pic:spPr bwMode="auto">
                    <a:xfrm>
                      <a:off x="0" y="0"/>
                      <a:ext cx="660400" cy="25400"/>
                    </a:xfrm>
                    <a:prstGeom prst="rect">
                      <a:avLst/>
                    </a:prstGeom>
                    <a:noFill/>
                  </pic:spPr>
                </pic:pic>
              </a:graphicData>
            </a:graphic>
          </wp:anchor>
        </w:drawing>
        <w:drawing>
          <wp:anchor simplePos="0" relativeHeight="251657728" behindDoc="1" locked="0" layoutInCell="0" allowOverlap="1">
            <wp:simplePos x="0" y="0"/>
            <wp:positionH relativeFrom="column">
              <wp:posOffset>3652520</wp:posOffset>
            </wp:positionH>
            <wp:positionV relativeFrom="paragraph">
              <wp:posOffset>-1661160</wp:posOffset>
            </wp:positionV>
            <wp:extent cx="284035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27">
                      <a:extLst>
                        <a:ext uri="{28A0092B-C50C-407E-A947-70E740481C1C}"/>
                      </a:extLst>
                    </a:blip>
                    <a:srcRect/>
                    <a:stretch>
                      <a:fillRect/>
                    </a:stretch>
                  </pic:blipFill>
                  <pic:spPr bwMode="auto">
                    <a:xfrm>
                      <a:off x="0" y="0"/>
                      <a:ext cx="2840355" cy="25400"/>
                    </a:xfrm>
                    <a:prstGeom prst="rect">
                      <a:avLst/>
                    </a:prstGeom>
                    <a:noFill/>
                  </pic:spPr>
                </pic:pic>
              </a:graphicData>
            </a:graphic>
          </wp:anchor>
        </w:drawing>
        <w:drawing>
          <wp:anchor simplePos="0" relativeHeight="251657728" behindDoc="1" locked="0" layoutInCell="0" allowOverlap="1">
            <wp:simplePos x="0" y="0"/>
            <wp:positionH relativeFrom="column">
              <wp:posOffset>3652520</wp:posOffset>
            </wp:positionH>
            <wp:positionV relativeFrom="paragraph">
              <wp:posOffset>-855345</wp:posOffset>
            </wp:positionV>
            <wp:extent cx="284035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28">
                      <a:extLst>
                        <a:ext uri="{28A0092B-C50C-407E-A947-70E740481C1C}"/>
                      </a:extLst>
                    </a:blip>
                    <a:srcRect/>
                    <a:stretch>
                      <a:fillRect/>
                    </a:stretch>
                  </pic:blipFill>
                  <pic:spPr bwMode="auto">
                    <a:xfrm>
                      <a:off x="0" y="0"/>
                      <a:ext cx="2840355" cy="25400"/>
                    </a:xfrm>
                    <a:prstGeom prst="rect">
                      <a:avLst/>
                    </a:prstGeom>
                    <a:noFill/>
                  </pic:spPr>
                </pic:pic>
              </a:graphicData>
            </a:graphic>
          </wp:anchor>
        </w:drawing>
        <w:drawing>
          <wp:anchor simplePos="0" relativeHeight="251657728" behindDoc="1" locked="0" layoutInCell="0" allowOverlap="1">
            <wp:simplePos x="0" y="0"/>
            <wp:positionH relativeFrom="column">
              <wp:posOffset>3652520</wp:posOffset>
            </wp:positionH>
            <wp:positionV relativeFrom="paragraph">
              <wp:posOffset>-210820</wp:posOffset>
            </wp:positionV>
            <wp:extent cx="284035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29">
                      <a:extLst>
                        <a:ext uri="{28A0092B-C50C-407E-A947-70E740481C1C}"/>
                      </a:extLst>
                    </a:blip>
                    <a:srcRect/>
                    <a:stretch>
                      <a:fillRect/>
                    </a:stretch>
                  </pic:blipFill>
                  <pic:spPr bwMode="auto">
                    <a:xfrm>
                      <a:off x="0" y="0"/>
                      <a:ext cx="2840355" cy="254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-2540</wp:posOffset>
                </wp:positionH>
                <wp:positionV relativeFrom="paragraph">
                  <wp:posOffset>91440</wp:posOffset>
                </wp:positionV>
                <wp:extent cx="1259840" cy="0"/>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598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66" o:spid="_x0000_s11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7.2pt" to="99pt,7.2pt" o:allowincell="f" strokecolor="#000000" strokeweight="1pt"/>
            </w:pict>
          </mc:Fallback>
        </mc:AlternateContent>
      </w:r>
    </w:p>
    <w:p>
      <w:pPr>
        <w:spacing w:after="0" w:line="128" w:lineRule="exact"/>
        <w:rPr>
          <w:sz w:val="20"/>
          <w:szCs w:val="20"/>
          <w:color w:val="auto"/>
        </w:rPr>
      </w:pPr>
    </w:p>
    <w:p>
      <w:pPr>
        <w:ind w:left="300" w:hanging="215"/>
        <w:spacing w:after="0"/>
        <w:tabs>
          <w:tab w:leader="none" w:pos="300" w:val="left"/>
        </w:tabs>
        <w:numPr>
          <w:ilvl w:val="0"/>
          <w:numId w:val="49"/>
        </w:numPr>
        <w:rPr>
          <w:rFonts w:ascii="Arial" w:cs="Arial" w:eastAsia="Arial" w:hAnsi="Arial"/>
          <w:sz w:val="25"/>
          <w:szCs w:val="25"/>
          <w:color w:val="auto"/>
          <w:vertAlign w:val="superscript"/>
        </w:rPr>
      </w:pPr>
      <w:r>
        <w:rPr>
          <w:rFonts w:ascii="Arial" w:cs="Arial" w:eastAsia="Arial" w:hAnsi="Arial"/>
          <w:sz w:val="17"/>
          <w:szCs w:val="17"/>
          <w:color w:val="auto"/>
        </w:rPr>
        <w:t xml:space="preserve">See Note 17, </w:t>
      </w:r>
      <w:r>
        <w:rPr>
          <w:rFonts w:ascii="Arial" w:cs="Arial" w:eastAsia="Arial" w:hAnsi="Arial"/>
          <w:sz w:val="17"/>
          <w:szCs w:val="17"/>
          <w:b w:val="1"/>
          <w:bCs w:val="1"/>
          <w:i w:val="1"/>
          <w:iCs w:val="1"/>
          <w:color w:val="auto"/>
        </w:rPr>
        <w:t>Leases</w:t>
      </w:r>
      <w:r>
        <w:rPr>
          <w:rFonts w:ascii="Arial" w:cs="Arial" w:eastAsia="Arial" w:hAnsi="Arial"/>
          <w:sz w:val="17"/>
          <w:szCs w:val="17"/>
          <w:color w:val="auto"/>
        </w:rPr>
        <w:t>, for the amounts of energy and capacity revenue that relate to leases and are accounted for under ASC 842.</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7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8"/>
          </w:tcPr>
          <w:p>
            <w:pPr>
              <w:jc w:val="right"/>
              <w:spacing w:after="0"/>
              <w:rPr>
                <w:sz w:val="20"/>
                <w:szCs w:val="20"/>
                <w:color w:val="auto"/>
              </w:rPr>
            </w:pPr>
            <w:r>
              <w:rPr>
                <w:rFonts w:ascii="Arial" w:cs="Arial" w:eastAsia="Arial" w:hAnsi="Arial"/>
                <w:sz w:val="16"/>
                <w:szCs w:val="16"/>
                <w:b w:val="1"/>
                <w:bCs w:val="1"/>
                <w:color w:val="auto"/>
              </w:rPr>
              <w:t>Year ended December 31, 2021</w:t>
            </w: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5780" w:type="dxa"/>
            <w:vAlign w:val="bottom"/>
            <w:vMerge w:val="restart"/>
          </w:tcPr>
          <w:p>
            <w:pPr>
              <w:jc w:val="right"/>
              <w:ind w:right="4811"/>
              <w:spacing w:after="0"/>
              <w:rPr>
                <w:sz w:val="20"/>
                <w:szCs w:val="20"/>
                <w:color w:val="auto"/>
              </w:rPr>
            </w:pPr>
            <w:r>
              <w:rPr>
                <w:rFonts w:ascii="Arial" w:cs="Arial" w:eastAsia="Arial" w:hAnsi="Arial"/>
                <w:sz w:val="16"/>
                <w:szCs w:val="16"/>
                <w:b w:val="1"/>
                <w:bCs w:val="1"/>
                <w:color w:val="auto"/>
                <w:w w:val="95"/>
              </w:rPr>
              <w:t>(In millions)</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right"/>
              <w:ind w:right="54"/>
              <w:spacing w:after="0" w:line="125" w:lineRule="exact"/>
              <w:rPr>
                <w:sz w:val="20"/>
                <w:szCs w:val="20"/>
                <w:color w:val="auto"/>
              </w:rPr>
            </w:pPr>
            <w:r>
              <w:rPr>
                <w:rFonts w:ascii="Arial" w:cs="Arial" w:eastAsia="Arial" w:hAnsi="Arial"/>
                <w:sz w:val="14"/>
                <w:szCs w:val="14"/>
                <w:b w:val="1"/>
                <w:bCs w:val="1"/>
                <w:color w:val="auto"/>
              </w:rPr>
              <w:t>Conventional</w:t>
            </w:r>
          </w:p>
        </w:tc>
        <w:tc>
          <w:tcPr>
            <w:tcW w:w="80" w:type="dxa"/>
            <w:vAlign w:val="bottom"/>
          </w:tcPr>
          <w:p>
            <w:pPr>
              <w:spacing w:after="0"/>
              <w:rPr>
                <w:sz w:val="10"/>
                <w:szCs w:val="10"/>
                <w:color w:val="auto"/>
              </w:rPr>
            </w:pPr>
          </w:p>
        </w:tc>
        <w:tc>
          <w:tcPr>
            <w:tcW w:w="1000" w:type="dxa"/>
            <w:vAlign w:val="bottom"/>
            <w:gridSpan w:val="2"/>
            <w:vMerge w:val="restart"/>
          </w:tcPr>
          <w:p>
            <w:pPr>
              <w:jc w:val="right"/>
              <w:ind w:right="10"/>
              <w:spacing w:after="0"/>
              <w:rPr>
                <w:sz w:val="20"/>
                <w:szCs w:val="20"/>
                <w:color w:val="auto"/>
              </w:rPr>
            </w:pPr>
            <w:r>
              <w:rPr>
                <w:rFonts w:ascii="Arial" w:cs="Arial" w:eastAsia="Arial" w:hAnsi="Arial"/>
                <w:sz w:val="16"/>
                <w:szCs w:val="16"/>
                <w:b w:val="1"/>
                <w:bCs w:val="1"/>
                <w:color w:val="auto"/>
                <w:w w:val="95"/>
              </w:rPr>
              <w:t>Renewables</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restart"/>
          </w:tcPr>
          <w:p>
            <w:pPr>
              <w:jc w:val="right"/>
              <w:ind w:right="111"/>
              <w:spacing w:after="0"/>
              <w:rPr>
                <w:sz w:val="20"/>
                <w:szCs w:val="20"/>
                <w:color w:val="auto"/>
              </w:rPr>
            </w:pPr>
            <w:r>
              <w:rPr>
                <w:rFonts w:ascii="Arial" w:cs="Arial" w:eastAsia="Arial" w:hAnsi="Arial"/>
                <w:sz w:val="16"/>
                <w:szCs w:val="16"/>
                <w:b w:val="1"/>
                <w:bCs w:val="1"/>
                <w:color w:val="auto"/>
                <w:w w:val="96"/>
              </w:rPr>
              <w:t>Thermal</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vMerge w:val="restart"/>
          </w:tcPr>
          <w:p>
            <w:pPr>
              <w:jc w:val="right"/>
              <w:ind w:right="23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780" w:type="dxa"/>
            <w:vAlign w:val="bottom"/>
            <w:tcBorders>
              <w:bottom w:val="single" w:sz="8" w:color="E6E6E6"/>
            </w:tcBorders>
            <w:vMerge w:val="continue"/>
          </w:tcPr>
          <w:p>
            <w:pPr>
              <w:spacing w:after="0"/>
              <w:rPr>
                <w:sz w:val="18"/>
                <w:szCs w:val="18"/>
                <w:color w:val="auto"/>
              </w:rPr>
            </w:pPr>
          </w:p>
        </w:tc>
        <w:tc>
          <w:tcPr>
            <w:tcW w:w="20" w:type="dxa"/>
            <w:vAlign w:val="bottom"/>
            <w:tcBorders>
              <w:bottom w:val="single" w:sz="8" w:color="E6E6E6"/>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34"/>
              <w:spacing w:after="0"/>
              <w:rPr>
                <w:sz w:val="20"/>
                <w:szCs w:val="20"/>
                <w:color w:val="auto"/>
              </w:rPr>
            </w:pPr>
            <w:r>
              <w:rPr>
                <w:rFonts w:ascii="Arial" w:cs="Arial" w:eastAsia="Arial" w:hAnsi="Arial"/>
                <w:sz w:val="16"/>
                <w:szCs w:val="16"/>
                <w:b w:val="1"/>
                <w:bCs w:val="1"/>
                <w:color w:val="auto"/>
                <w:w w:val="97"/>
              </w:rPr>
              <w:t>Generation</w:t>
            </w:r>
          </w:p>
        </w:tc>
        <w:tc>
          <w:tcPr>
            <w:tcW w:w="80" w:type="dxa"/>
            <w:vAlign w:val="bottom"/>
            <w:tcBorders>
              <w:bottom w:val="single" w:sz="8" w:color="E6E6E6"/>
            </w:tcBorders>
          </w:tcPr>
          <w:p>
            <w:pPr>
              <w:spacing w:after="0"/>
              <w:rPr>
                <w:sz w:val="18"/>
                <w:szCs w:val="18"/>
                <w:color w:val="auto"/>
              </w:rPr>
            </w:pPr>
          </w:p>
        </w:tc>
        <w:tc>
          <w:tcPr>
            <w:tcW w:w="1000" w:type="dxa"/>
            <w:vAlign w:val="bottom"/>
            <w:tcBorders>
              <w:bottom w:val="single" w:sz="8" w:color="auto"/>
            </w:tcBorders>
            <w:gridSpan w:val="2"/>
            <w:vMerge w:val="continue"/>
          </w:tcPr>
          <w:p>
            <w:pPr>
              <w:spacing w:after="0"/>
              <w:rPr>
                <w:sz w:val="18"/>
                <w:szCs w:val="18"/>
                <w:color w:val="auto"/>
              </w:rPr>
            </w:pPr>
          </w:p>
        </w:tc>
        <w:tc>
          <w:tcPr>
            <w:tcW w:w="60" w:type="dxa"/>
            <w:vAlign w:val="bottom"/>
            <w:tcBorders>
              <w:bottom w:val="single" w:sz="8" w:color="E6E6E6"/>
            </w:tcBorders>
          </w:tcPr>
          <w:p>
            <w:pPr>
              <w:spacing w:after="0"/>
              <w:rPr>
                <w:sz w:val="18"/>
                <w:szCs w:val="18"/>
                <w:color w:val="auto"/>
              </w:rPr>
            </w:pPr>
          </w:p>
        </w:tc>
        <w:tc>
          <w:tcPr>
            <w:tcW w:w="20" w:type="dxa"/>
            <w:vAlign w:val="bottom"/>
            <w:tcBorders>
              <w:bottom w:val="single" w:sz="8" w:color="E6E6E6"/>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E6E6E6"/>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780" w:type="dxa"/>
            <w:vAlign w:val="bottom"/>
            <w:shd w:val="clear" w:color="auto" w:fill="E6E6E6"/>
          </w:tcPr>
          <w:p>
            <w:pPr>
              <w:jc w:val="right"/>
              <w:spacing w:after="0" w:line="244" w:lineRule="exact"/>
              <w:rPr>
                <w:sz w:val="20"/>
                <w:szCs w:val="20"/>
                <w:color w:val="auto"/>
              </w:rPr>
            </w:pPr>
            <w:r>
              <w:rPr>
                <w:rFonts w:ascii="Arial" w:cs="Arial" w:eastAsia="Arial" w:hAnsi="Arial"/>
                <w:sz w:val="18"/>
                <w:szCs w:val="18"/>
                <w:color w:val="BDBDBD"/>
                <w:w w:val="92"/>
              </w:rPr>
              <w:t>. . . . . . . . . . . . . . . . . . . . . . . . . . . . . . . . . . . . . . . . . . . . . . . .</w:t>
            </w:r>
            <w:r>
              <w:rPr>
                <w:rFonts w:ascii="Arial" w:cs="Arial" w:eastAsia="Arial" w:hAnsi="Arial"/>
                <w:sz w:val="18"/>
                <w:szCs w:val="18"/>
                <w:color w:val="000000"/>
                <w:w w:val="92"/>
              </w:rPr>
              <w:t>Energyrevenue</w:t>
            </w:r>
            <w:r>
              <w:rPr>
                <w:rFonts w:ascii="Arial" w:cs="Arial" w:eastAsia="Arial" w:hAnsi="Arial"/>
                <w:sz w:val="23"/>
                <w:szCs w:val="23"/>
                <w:color w:val="000000"/>
                <w:w w:val="92"/>
                <w:vertAlign w:val="superscript"/>
              </w:rPr>
              <w:t>(a)</w:t>
            </w:r>
          </w:p>
        </w:tc>
        <w:tc>
          <w:tcPr>
            <w:tcW w:w="20" w:type="dxa"/>
            <w:vAlign w:val="bottom"/>
            <w:shd w:val="clear" w:color="auto" w:fill="E6E6E6"/>
          </w:tcPr>
          <w:p>
            <w:pPr>
              <w:spacing w:after="0"/>
              <w:rPr>
                <w:sz w:val="21"/>
                <w:szCs w:val="21"/>
                <w:color w:val="auto"/>
              </w:rPr>
            </w:pPr>
          </w:p>
        </w:tc>
        <w:tc>
          <w:tcPr>
            <w:tcW w:w="12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E6E6E6"/>
          </w:tcPr>
          <w:p>
            <w:pPr>
              <w:spacing w:after="0"/>
              <w:rPr>
                <w:sz w:val="21"/>
                <w:szCs w:val="21"/>
                <w:color w:val="auto"/>
              </w:rPr>
            </w:pPr>
          </w:p>
        </w:tc>
        <w:tc>
          <w:tcPr>
            <w:tcW w:w="360" w:type="dxa"/>
            <w:vAlign w:val="bottom"/>
            <w:shd w:val="clear" w:color="auto" w:fill="E6E6E6"/>
          </w:tcPr>
          <w:p>
            <w:pPr>
              <w:jc w:val="right"/>
              <w:ind w:right="135"/>
              <w:spacing w:after="0"/>
              <w:rPr>
                <w:sz w:val="20"/>
                <w:szCs w:val="20"/>
                <w:color w:val="auto"/>
              </w:rPr>
            </w:pPr>
            <w:r>
              <w:rPr>
                <w:rFonts w:ascii="Arial" w:cs="Arial" w:eastAsia="Arial" w:hAnsi="Arial"/>
                <w:sz w:val="18"/>
                <w:szCs w:val="18"/>
                <w:color w:val="auto"/>
              </w:rPr>
              <w:t>$</w:t>
            </w:r>
          </w:p>
        </w:tc>
        <w:tc>
          <w:tcPr>
            <w:tcW w:w="6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784</w:t>
            </w:r>
          </w:p>
        </w:tc>
        <w:tc>
          <w:tcPr>
            <w:tcW w:w="6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122</w:t>
            </w:r>
          </w:p>
        </w:tc>
        <w:tc>
          <w:tcPr>
            <w:tcW w:w="80" w:type="dxa"/>
            <w:vAlign w:val="bottom"/>
            <w:shd w:val="clear" w:color="auto" w:fill="E6E6E6"/>
          </w:tcPr>
          <w:p>
            <w:pPr>
              <w:spacing w:after="0"/>
              <w:rPr>
                <w:sz w:val="21"/>
                <w:szCs w:val="21"/>
                <w:color w:val="auto"/>
              </w:rPr>
            </w:pPr>
          </w:p>
        </w:tc>
        <w:tc>
          <w:tcPr>
            <w:tcW w:w="240" w:type="dxa"/>
            <w:vAlign w:val="bottom"/>
            <w:shd w:val="clear" w:color="auto" w:fill="E6E6E6"/>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54"/>
        </w:trPr>
        <w:tc>
          <w:tcPr>
            <w:tcW w:w="5780" w:type="dxa"/>
            <w:vAlign w:val="bottom"/>
          </w:tcPr>
          <w:p>
            <w:pPr>
              <w:jc w:val="right"/>
              <w:spacing w:after="0" w:line="254" w:lineRule="exact"/>
              <w:rPr>
                <w:sz w:val="20"/>
                <w:szCs w:val="20"/>
                <w:color w:val="auto"/>
              </w:rPr>
            </w:pPr>
            <w:r>
              <w:rPr>
                <w:rFonts w:ascii="Arial" w:cs="Arial" w:eastAsia="Arial" w:hAnsi="Arial"/>
                <w:sz w:val="18"/>
                <w:szCs w:val="18"/>
                <w:color w:val="auto"/>
                <w:w w:val="89"/>
              </w:rPr>
              <w:t xml:space="preserve">Capacity revenue </w:t>
            </w:r>
            <w:r>
              <w:rPr>
                <w:rFonts w:ascii="Arial" w:cs="Arial" w:eastAsia="Arial" w:hAnsi="Arial"/>
                <w:sz w:val="23"/>
                <w:szCs w:val="23"/>
                <w:color w:val="auto"/>
                <w:w w:val="89"/>
                <w:vertAlign w:val="superscript"/>
              </w:rPr>
              <w:t>(a)</w:t>
            </w:r>
            <w:r>
              <w:rPr>
                <w:rFonts w:ascii="Arial" w:cs="Arial" w:eastAsia="Arial" w:hAnsi="Arial"/>
                <w:sz w:val="18"/>
                <w:szCs w:val="18"/>
                <w:color w:val="auto"/>
                <w:w w:val="89"/>
              </w:rPr>
              <w:t xml:space="preserve">  </w:t>
            </w:r>
            <w:r>
              <w:rPr>
                <w:rFonts w:ascii="Arial" w:cs="Arial" w:eastAsia="Arial" w:hAnsi="Arial"/>
                <w:sz w:val="18"/>
                <w:szCs w:val="18"/>
                <w:color w:val="BDBDBD"/>
                <w:w w:val="89"/>
              </w:rPr>
              <w:t>. . . . . . . . . . . . . . . . . . . . . . . . . . . . . . . . . . . . . . . . . . . . . . .</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455</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54"/>
        </w:trPr>
        <w:tc>
          <w:tcPr>
            <w:tcW w:w="578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0"/>
              </w:rPr>
              <w:t xml:space="preserve">Other revenue  </w:t>
            </w:r>
            <w:r>
              <w:rPr>
                <w:rFonts w:ascii="Arial" w:cs="Arial" w:eastAsia="Arial" w:hAnsi="Arial"/>
                <w:sz w:val="18"/>
                <w:szCs w:val="18"/>
                <w:color w:val="BDBDBD"/>
                <w:w w:val="90"/>
              </w:rPr>
              <w:t>. . . . . . . . . . . . . . . . . . . . . . . . . . . . . . . . . . . . . . . . . . . . . . . . . . .</w:t>
            </w:r>
          </w:p>
        </w:tc>
        <w:tc>
          <w:tcPr>
            <w:tcW w:w="20" w:type="dxa"/>
            <w:vAlign w:val="bottom"/>
            <w:shd w:val="clear" w:color="auto" w:fill="E6E6E6"/>
          </w:tcPr>
          <w:p>
            <w:pPr>
              <w:spacing w:after="0"/>
              <w:rPr>
                <w:sz w:val="22"/>
                <w:szCs w:val="22"/>
                <w:color w:val="auto"/>
              </w:rPr>
            </w:pPr>
          </w:p>
        </w:tc>
        <w:tc>
          <w:tcPr>
            <w:tcW w:w="120" w:type="dxa"/>
            <w:vAlign w:val="bottom"/>
            <w:shd w:val="clear" w:color="auto" w:fill="E6E6E6"/>
          </w:tcPr>
          <w:p>
            <w:pPr>
              <w:spacing w:after="0"/>
              <w:rPr>
                <w:sz w:val="22"/>
                <w:szCs w:val="22"/>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2"/>
                <w:szCs w:val="22"/>
                <w:color w:val="auto"/>
              </w:rPr>
            </w:pPr>
          </w:p>
        </w:tc>
        <w:tc>
          <w:tcPr>
            <w:tcW w:w="360" w:type="dxa"/>
            <w:vAlign w:val="bottom"/>
            <w:shd w:val="clear" w:color="auto" w:fill="E6E6E6"/>
          </w:tcPr>
          <w:p>
            <w:pPr>
              <w:spacing w:after="0"/>
              <w:rPr>
                <w:sz w:val="22"/>
                <w:szCs w:val="22"/>
                <w:color w:val="auto"/>
              </w:rPr>
            </w:pPr>
          </w:p>
        </w:tc>
        <w:tc>
          <w:tcPr>
            <w:tcW w:w="6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60</w:t>
            </w: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E6E6E6"/>
          </w:tcPr>
          <w:p>
            <w:pPr>
              <w:spacing w:after="0"/>
              <w:rPr>
                <w:sz w:val="22"/>
                <w:szCs w:val="22"/>
                <w:color w:val="auto"/>
              </w:rPr>
            </w:pPr>
          </w:p>
        </w:tc>
        <w:tc>
          <w:tcPr>
            <w:tcW w:w="240" w:type="dxa"/>
            <w:vAlign w:val="bottom"/>
            <w:shd w:val="clear" w:color="auto" w:fill="E6E6E6"/>
          </w:tcPr>
          <w:p>
            <w:pPr>
              <w:spacing w:after="0"/>
              <w:rPr>
                <w:sz w:val="22"/>
                <w:szCs w:val="22"/>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7"/>
        </w:trPr>
        <w:tc>
          <w:tcPr>
            <w:tcW w:w="5780" w:type="dxa"/>
            <w:vAlign w:val="bottom"/>
          </w:tcPr>
          <w:p>
            <w:pPr>
              <w:jc w:val="right"/>
              <w:spacing w:after="0"/>
              <w:rPr>
                <w:sz w:val="20"/>
                <w:szCs w:val="20"/>
                <w:color w:val="auto"/>
              </w:rPr>
            </w:pPr>
            <w:r>
              <w:rPr>
                <w:rFonts w:ascii="Arial" w:cs="Arial" w:eastAsia="Arial" w:hAnsi="Arial"/>
                <w:sz w:val="18"/>
                <w:szCs w:val="18"/>
                <w:color w:val="auto"/>
                <w:w w:val="90"/>
              </w:rPr>
              <w:t xml:space="preserve">Contract amortization  </w:t>
            </w:r>
            <w:r>
              <w:rPr>
                <w:rFonts w:ascii="Arial" w:cs="Arial" w:eastAsia="Arial" w:hAnsi="Arial"/>
                <w:sz w:val="18"/>
                <w:szCs w:val="18"/>
                <w:color w:val="BDBDBD"/>
                <w:w w:val="90"/>
              </w:rPr>
              <w:t>. . . . . . . . . . . . . . . . . . . . . . . . . . . . . . . . . . . . . . . . . . . . .</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69"/>
        </w:trPr>
        <w:tc>
          <w:tcPr>
            <w:tcW w:w="57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w w:val="91"/>
              </w:rPr>
              <w:t xml:space="preserve">Mark-to-market for economic hedges </w:t>
            </w:r>
            <w:r>
              <w:rPr>
                <w:rFonts w:ascii="Arial" w:cs="Arial" w:eastAsia="Arial" w:hAnsi="Arial"/>
                <w:sz w:val="18"/>
                <w:szCs w:val="18"/>
                <w:color w:val="BDBDBD"/>
                <w:w w:val="91"/>
              </w:rPr>
              <w:t>. . . . . . . . . . . . . . . . . . . . . . . . . . . . . . . . .</w:t>
            </w:r>
          </w:p>
        </w:tc>
        <w:tc>
          <w:tcPr>
            <w:tcW w:w="20" w:type="dxa"/>
            <w:vAlign w:val="bottom"/>
            <w:tcBorders>
              <w:bottom w:val="single" w:sz="8" w:color="E6E6E6"/>
            </w:tcBorders>
            <w:shd w:val="clear" w:color="auto" w:fill="E6E6E6"/>
          </w:tcPr>
          <w:p>
            <w:pPr>
              <w:spacing w:after="0"/>
              <w:rPr>
                <w:sz w:val="23"/>
                <w:szCs w:val="23"/>
                <w:color w:val="auto"/>
              </w:rPr>
            </w:pPr>
          </w:p>
        </w:tc>
        <w:tc>
          <w:tcPr>
            <w:tcW w:w="120" w:type="dxa"/>
            <w:vAlign w:val="bottom"/>
            <w:tcBorders>
              <w:bottom w:val="single" w:sz="8" w:color="auto"/>
            </w:tcBorders>
            <w:shd w:val="clear" w:color="auto" w:fill="E6E6E6"/>
          </w:tcPr>
          <w:p>
            <w:pPr>
              <w:spacing w:after="0"/>
              <w:rPr>
                <w:sz w:val="23"/>
                <w:szCs w:val="23"/>
                <w:color w:val="auto"/>
              </w:rPr>
            </w:pPr>
          </w:p>
        </w:tc>
        <w:tc>
          <w:tcPr>
            <w:tcW w:w="10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6E6E6"/>
            </w:tcBorders>
            <w:shd w:val="clear" w:color="auto" w:fill="E6E6E6"/>
          </w:tcPr>
          <w:p>
            <w:pPr>
              <w:spacing w:after="0"/>
              <w:rPr>
                <w:sz w:val="23"/>
                <w:szCs w:val="23"/>
                <w:color w:val="auto"/>
              </w:rPr>
            </w:pPr>
          </w:p>
        </w:tc>
        <w:tc>
          <w:tcPr>
            <w:tcW w:w="360" w:type="dxa"/>
            <w:vAlign w:val="bottom"/>
            <w:tcBorders>
              <w:bottom w:val="single" w:sz="8" w:color="auto"/>
            </w:tcBorders>
            <w:shd w:val="clear" w:color="auto" w:fill="E6E6E6"/>
          </w:tcPr>
          <w:p>
            <w:pPr>
              <w:spacing w:after="0"/>
              <w:rPr>
                <w:sz w:val="23"/>
                <w:szCs w:val="23"/>
                <w:color w:val="auto"/>
              </w:rPr>
            </w:pPr>
          </w:p>
        </w:tc>
        <w:tc>
          <w:tcPr>
            <w:tcW w:w="6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(87)</w:t>
            </w:r>
          </w:p>
        </w:tc>
        <w:tc>
          <w:tcPr>
            <w:tcW w:w="6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auto"/>
            </w:tcBorders>
            <w:shd w:val="clear" w:color="auto" w:fill="E6E6E6"/>
          </w:tcPr>
          <w:p>
            <w:pPr>
              <w:spacing w:after="0"/>
              <w:rPr>
                <w:sz w:val="23"/>
                <w:szCs w:val="23"/>
                <w:color w:val="auto"/>
              </w:rPr>
            </w:pPr>
          </w:p>
        </w:tc>
        <w:tc>
          <w:tcPr>
            <w:tcW w:w="160" w:type="dxa"/>
            <w:vAlign w:val="bottom"/>
            <w:tcBorders>
              <w:bottom w:val="single" w:sz="8" w:color="auto"/>
            </w:tcBorders>
            <w:shd w:val="clear" w:color="auto" w:fill="E6E6E6"/>
          </w:tcPr>
          <w:p>
            <w:pPr>
              <w:spacing w:after="0"/>
              <w:rPr>
                <w:sz w:val="23"/>
                <w:szCs w:val="23"/>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6E6E6"/>
            </w:tcBorders>
            <w:shd w:val="clear" w:color="auto" w:fill="E6E6E6"/>
          </w:tcPr>
          <w:p>
            <w:pPr>
              <w:spacing w:after="0"/>
              <w:rPr>
                <w:sz w:val="23"/>
                <w:szCs w:val="23"/>
                <w:color w:val="auto"/>
              </w:rPr>
            </w:pPr>
          </w:p>
        </w:tc>
        <w:tc>
          <w:tcPr>
            <w:tcW w:w="240" w:type="dxa"/>
            <w:vAlign w:val="bottom"/>
            <w:tcBorders>
              <w:bottom w:val="single" w:sz="8" w:color="auto"/>
            </w:tcBorders>
            <w:shd w:val="clear" w:color="auto" w:fill="E6E6E6"/>
          </w:tcPr>
          <w:p>
            <w:pPr>
              <w:spacing w:after="0"/>
              <w:rPr>
                <w:sz w:val="23"/>
                <w:szCs w:val="23"/>
                <w:color w:val="auto"/>
              </w:rPr>
            </w:pPr>
          </w:p>
        </w:tc>
        <w:tc>
          <w:tcPr>
            <w:tcW w:w="7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1"/>
        </w:trPr>
        <w:tc>
          <w:tcPr>
            <w:tcW w:w="5780" w:type="dxa"/>
            <w:vAlign w:val="bottom"/>
          </w:tcPr>
          <w:p>
            <w:pPr>
              <w:jc w:val="right"/>
              <w:spacing w:after="0"/>
              <w:rPr>
                <w:sz w:val="20"/>
                <w:szCs w:val="20"/>
                <w:color w:val="auto"/>
              </w:rPr>
            </w:pPr>
            <w:r>
              <w:rPr>
                <w:rFonts w:ascii="Arial" w:cs="Arial" w:eastAsia="Arial" w:hAnsi="Arial"/>
                <w:sz w:val="18"/>
                <w:szCs w:val="18"/>
                <w:color w:val="BDBDBD"/>
                <w:w w:val="94"/>
              </w:rPr>
              <w:t>. . . . . . . . . . . . . . . . . . . . . . . . . . . . . . . . . . . . . . . . . .</w:t>
            </w:r>
            <w:r>
              <w:rPr>
                <w:rFonts w:ascii="Arial" w:cs="Arial" w:eastAsia="Arial" w:hAnsi="Arial"/>
                <w:sz w:val="18"/>
                <w:szCs w:val="18"/>
                <w:color w:val="000000"/>
                <w:w w:val="94"/>
              </w:rPr>
              <w:t>Totaloperatingrevenues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58"/>
        </w:trPr>
        <w:tc>
          <w:tcPr>
            <w:tcW w:w="578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0"/>
              </w:rPr>
              <w:t xml:space="preserve">Less: Contract amortization </w:t>
            </w:r>
            <w:r>
              <w:rPr>
                <w:rFonts w:ascii="Arial" w:cs="Arial" w:eastAsia="Arial" w:hAnsi="Arial"/>
                <w:sz w:val="18"/>
                <w:szCs w:val="18"/>
                <w:color w:val="BDBDBD"/>
                <w:w w:val="90"/>
              </w:rPr>
              <w:t>. . . . . . . . . . . . . . . . . . . . . . . . . . . . . . . . . . . . . . . . .</w:t>
            </w:r>
          </w:p>
        </w:tc>
        <w:tc>
          <w:tcPr>
            <w:tcW w:w="20" w:type="dxa"/>
            <w:vAlign w:val="bottom"/>
            <w:shd w:val="clear" w:color="auto" w:fill="E6E6E6"/>
          </w:tcPr>
          <w:p>
            <w:pPr>
              <w:spacing w:after="0"/>
              <w:rPr>
                <w:sz w:val="22"/>
                <w:szCs w:val="22"/>
                <w:color w:val="auto"/>
              </w:rPr>
            </w:pPr>
          </w:p>
        </w:tc>
        <w:tc>
          <w:tcPr>
            <w:tcW w:w="120" w:type="dxa"/>
            <w:vAlign w:val="bottom"/>
            <w:shd w:val="clear" w:color="auto" w:fill="E6E6E6"/>
          </w:tcPr>
          <w:p>
            <w:pPr>
              <w:spacing w:after="0"/>
              <w:rPr>
                <w:sz w:val="22"/>
                <w:szCs w:val="22"/>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E6E6E6"/>
          </w:tcPr>
          <w:p>
            <w:pPr>
              <w:spacing w:after="0"/>
              <w:rPr>
                <w:sz w:val="22"/>
                <w:szCs w:val="22"/>
                <w:color w:val="auto"/>
              </w:rPr>
            </w:pPr>
          </w:p>
        </w:tc>
        <w:tc>
          <w:tcPr>
            <w:tcW w:w="360" w:type="dxa"/>
            <w:vAlign w:val="bottom"/>
            <w:shd w:val="clear" w:color="auto" w:fill="E6E6E6"/>
          </w:tcPr>
          <w:p>
            <w:pPr>
              <w:spacing w:after="0"/>
              <w:rPr>
                <w:sz w:val="22"/>
                <w:szCs w:val="22"/>
                <w:color w:val="auto"/>
              </w:rPr>
            </w:pPr>
          </w:p>
        </w:tc>
        <w:tc>
          <w:tcPr>
            <w:tcW w:w="6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118</w:t>
            </w: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E6E6E6"/>
          </w:tcPr>
          <w:p>
            <w:pPr>
              <w:spacing w:after="0"/>
              <w:rPr>
                <w:sz w:val="22"/>
                <w:szCs w:val="22"/>
                <w:color w:val="auto"/>
              </w:rPr>
            </w:pPr>
          </w:p>
        </w:tc>
        <w:tc>
          <w:tcPr>
            <w:tcW w:w="240" w:type="dxa"/>
            <w:vAlign w:val="bottom"/>
            <w:shd w:val="clear" w:color="auto" w:fill="E6E6E6"/>
          </w:tcPr>
          <w:p>
            <w:pPr>
              <w:spacing w:after="0"/>
              <w:rPr>
                <w:sz w:val="22"/>
                <w:szCs w:val="22"/>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47"/>
        </w:trPr>
        <w:tc>
          <w:tcPr>
            <w:tcW w:w="5780" w:type="dxa"/>
            <w:vAlign w:val="bottom"/>
          </w:tcPr>
          <w:p>
            <w:pPr>
              <w:jc w:val="right"/>
              <w:spacing w:after="0"/>
              <w:rPr>
                <w:sz w:val="20"/>
                <w:szCs w:val="20"/>
                <w:color w:val="auto"/>
              </w:rPr>
            </w:pPr>
            <w:r>
              <w:rPr>
                <w:rFonts w:ascii="Arial" w:cs="Arial" w:eastAsia="Arial" w:hAnsi="Arial"/>
                <w:sz w:val="18"/>
                <w:szCs w:val="18"/>
                <w:color w:val="auto"/>
                <w:w w:val="91"/>
              </w:rPr>
              <w:t xml:space="preserve">Less: Mark-to-market for economic hedges </w:t>
            </w:r>
            <w:r>
              <w:rPr>
                <w:rFonts w:ascii="Arial" w:cs="Arial" w:eastAsia="Arial" w:hAnsi="Arial"/>
                <w:sz w:val="18"/>
                <w:szCs w:val="18"/>
                <w:color w:val="BDBDBD"/>
                <w:w w:val="91"/>
              </w:rPr>
              <w:t>. . . . . . . . . . . . . . . . . . . . . . . . . . . .</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51"/>
        </w:trPr>
        <w:tc>
          <w:tcPr>
            <w:tcW w:w="57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w w:val="89"/>
              </w:rPr>
              <w:t xml:space="preserve">Less: Lease revenue </w:t>
            </w:r>
            <w:r>
              <w:rPr>
                <w:rFonts w:ascii="Arial" w:cs="Arial" w:eastAsia="Arial" w:hAnsi="Arial"/>
                <w:sz w:val="18"/>
                <w:szCs w:val="18"/>
                <w:color w:val="BDBDBD"/>
                <w:w w:val="89"/>
              </w:rPr>
              <w:t>. . . . . . . . . . . . . . . . . . . . . . . . . . . . . . . . . . . . . . . . . . . . . . .</w:t>
            </w:r>
          </w:p>
        </w:tc>
        <w:tc>
          <w:tcPr>
            <w:tcW w:w="20" w:type="dxa"/>
            <w:vAlign w:val="bottom"/>
            <w:tcBorders>
              <w:bottom w:val="single" w:sz="8" w:color="E6E6E6"/>
            </w:tcBorders>
            <w:shd w:val="clear" w:color="auto" w:fill="E6E6E6"/>
          </w:tcPr>
          <w:p>
            <w:pPr>
              <w:spacing w:after="0"/>
              <w:rPr>
                <w:sz w:val="21"/>
                <w:szCs w:val="21"/>
                <w:color w:val="auto"/>
              </w:rPr>
            </w:pPr>
          </w:p>
        </w:tc>
        <w:tc>
          <w:tcPr>
            <w:tcW w:w="120" w:type="dxa"/>
            <w:vAlign w:val="bottom"/>
            <w:tcBorders>
              <w:bottom w:val="single" w:sz="8" w:color="auto"/>
            </w:tcBorders>
            <w:shd w:val="clear" w:color="auto" w:fill="E6E6E6"/>
          </w:tcPr>
          <w:p>
            <w:pPr>
              <w:spacing w:after="0"/>
              <w:rPr>
                <w:sz w:val="21"/>
                <w:szCs w:val="21"/>
                <w:color w:val="auto"/>
              </w:rPr>
            </w:pPr>
          </w:p>
        </w:tc>
        <w:tc>
          <w:tcPr>
            <w:tcW w:w="10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(464)</w:t>
            </w:r>
          </w:p>
        </w:tc>
        <w:tc>
          <w:tcPr>
            <w:tcW w:w="80" w:type="dxa"/>
            <w:vAlign w:val="bottom"/>
            <w:tcBorders>
              <w:bottom w:val="single" w:sz="8" w:color="E6E6E6"/>
            </w:tcBorders>
            <w:shd w:val="clear" w:color="auto" w:fill="E6E6E6"/>
          </w:tcPr>
          <w:p>
            <w:pPr>
              <w:spacing w:after="0"/>
              <w:rPr>
                <w:sz w:val="21"/>
                <w:szCs w:val="21"/>
                <w:color w:val="auto"/>
              </w:rPr>
            </w:pPr>
          </w:p>
        </w:tc>
        <w:tc>
          <w:tcPr>
            <w:tcW w:w="360" w:type="dxa"/>
            <w:vAlign w:val="bottom"/>
            <w:tcBorders>
              <w:bottom w:val="single" w:sz="8" w:color="auto"/>
            </w:tcBorders>
            <w:shd w:val="clear" w:color="auto" w:fill="E6E6E6"/>
          </w:tcPr>
          <w:p>
            <w:pPr>
              <w:spacing w:after="0"/>
              <w:rPr>
                <w:sz w:val="21"/>
                <w:szCs w:val="21"/>
                <w:color w:val="auto"/>
              </w:rPr>
            </w:pPr>
          </w:p>
        </w:tc>
        <w:tc>
          <w:tcPr>
            <w:tcW w:w="6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(716)</w:t>
            </w:r>
          </w:p>
        </w:tc>
        <w:tc>
          <w:tcPr>
            <w:tcW w:w="6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auto"/>
            </w:tcBorders>
            <w:shd w:val="clear" w:color="auto" w:fill="E6E6E6"/>
          </w:tcPr>
          <w:p>
            <w:pPr>
              <w:spacing w:after="0"/>
              <w:rPr>
                <w:sz w:val="21"/>
                <w:szCs w:val="21"/>
                <w:color w:val="auto"/>
              </w:rPr>
            </w:pPr>
          </w:p>
        </w:tc>
        <w:tc>
          <w:tcPr>
            <w:tcW w:w="160" w:type="dxa"/>
            <w:vAlign w:val="bottom"/>
            <w:tcBorders>
              <w:bottom w:val="single" w:sz="8" w:color="auto"/>
            </w:tcBorders>
            <w:shd w:val="clear" w:color="auto" w:fill="E6E6E6"/>
          </w:tcPr>
          <w:p>
            <w:pPr>
              <w:spacing w:after="0"/>
              <w:rPr>
                <w:sz w:val="21"/>
                <w:szCs w:val="21"/>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E6E6E6"/>
            </w:tcBorders>
            <w:shd w:val="clear" w:color="auto" w:fill="E6E6E6"/>
          </w:tcPr>
          <w:p>
            <w:pPr>
              <w:spacing w:after="0"/>
              <w:rPr>
                <w:sz w:val="21"/>
                <w:szCs w:val="21"/>
                <w:color w:val="auto"/>
              </w:rPr>
            </w:pPr>
          </w:p>
        </w:tc>
        <w:tc>
          <w:tcPr>
            <w:tcW w:w="240" w:type="dxa"/>
            <w:vAlign w:val="bottom"/>
            <w:tcBorders>
              <w:bottom w:val="single" w:sz="8" w:color="auto"/>
            </w:tcBorders>
            <w:shd w:val="clear" w:color="auto" w:fill="E6E6E6"/>
          </w:tcPr>
          <w:p>
            <w:pPr>
              <w:spacing w:after="0"/>
              <w:rPr>
                <w:sz w:val="21"/>
                <w:szCs w:val="21"/>
                <w:color w:val="auto"/>
              </w:rPr>
            </w:pPr>
          </w:p>
        </w:tc>
        <w:tc>
          <w:tcPr>
            <w:tcW w:w="7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44"/>
        </w:trPr>
        <w:tc>
          <w:tcPr>
            <w:tcW w:w="5780" w:type="dxa"/>
            <w:vAlign w:val="bottom"/>
          </w:tcPr>
          <w:p>
            <w:pPr>
              <w:jc w:val="right"/>
              <w:spacing w:after="0"/>
              <w:rPr>
                <w:sz w:val="20"/>
                <w:szCs w:val="20"/>
                <w:color w:val="auto"/>
              </w:rPr>
            </w:pPr>
            <w:r>
              <w:rPr>
                <w:rFonts w:ascii="Arial" w:cs="Arial" w:eastAsia="Arial" w:hAnsi="Arial"/>
                <w:sz w:val="18"/>
                <w:szCs w:val="18"/>
                <w:color w:val="auto"/>
                <w:w w:val="92"/>
              </w:rPr>
              <w:t xml:space="preserve">Total revenue from contracts with customers </w:t>
            </w:r>
            <w:r>
              <w:rPr>
                <w:rFonts w:ascii="Arial" w:cs="Arial" w:eastAsia="Arial" w:hAnsi="Arial"/>
                <w:sz w:val="18"/>
                <w:szCs w:val="18"/>
                <w:color w:val="BDBDBD"/>
                <w:w w:val="92"/>
              </w:rPr>
              <w:t>. . . . . . . . . . . . . . . . . . . . . . . . . .</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35"/>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130</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205</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5831840</wp:posOffset>
            </wp:positionH>
            <wp:positionV relativeFrom="paragraph">
              <wp:posOffset>-1888490</wp:posOffset>
            </wp:positionV>
            <wp:extent cx="660400"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30">
                      <a:extLst>
                        <a:ext uri="{28A0092B-C50C-407E-A947-70E740481C1C}"/>
                      </a:extLst>
                    </a:blip>
                    <a:srcRect/>
                    <a:stretch>
                      <a:fillRect/>
                    </a:stretch>
                  </pic:blipFill>
                  <pic:spPr bwMode="auto">
                    <a:xfrm>
                      <a:off x="0" y="0"/>
                      <a:ext cx="660400" cy="25400"/>
                    </a:xfrm>
                    <a:prstGeom prst="rect">
                      <a:avLst/>
                    </a:prstGeom>
                    <a:noFill/>
                  </pic:spPr>
                </pic:pic>
              </a:graphicData>
            </a:graphic>
          </wp:anchor>
        </w:drawing>
        <w:drawing>
          <wp:anchor simplePos="0" relativeHeight="251657728" behindDoc="1" locked="0" layoutInCell="0" allowOverlap="1">
            <wp:simplePos x="0" y="0"/>
            <wp:positionH relativeFrom="column">
              <wp:posOffset>3652520</wp:posOffset>
            </wp:positionH>
            <wp:positionV relativeFrom="paragraph">
              <wp:posOffset>-1661160</wp:posOffset>
            </wp:positionV>
            <wp:extent cx="284035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31">
                      <a:extLst>
                        <a:ext uri="{28A0092B-C50C-407E-A947-70E740481C1C}"/>
                      </a:extLst>
                    </a:blip>
                    <a:srcRect/>
                    <a:stretch>
                      <a:fillRect/>
                    </a:stretch>
                  </pic:blipFill>
                  <pic:spPr bwMode="auto">
                    <a:xfrm>
                      <a:off x="0" y="0"/>
                      <a:ext cx="2840355" cy="25400"/>
                    </a:xfrm>
                    <a:prstGeom prst="rect">
                      <a:avLst/>
                    </a:prstGeom>
                    <a:noFill/>
                  </pic:spPr>
                </pic:pic>
              </a:graphicData>
            </a:graphic>
          </wp:anchor>
        </w:drawing>
        <w:drawing>
          <wp:anchor simplePos="0" relativeHeight="251657728" behindDoc="1" locked="0" layoutInCell="0" allowOverlap="1">
            <wp:simplePos x="0" y="0"/>
            <wp:positionH relativeFrom="column">
              <wp:posOffset>3652520</wp:posOffset>
            </wp:positionH>
            <wp:positionV relativeFrom="paragraph">
              <wp:posOffset>-855345</wp:posOffset>
            </wp:positionV>
            <wp:extent cx="284035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32">
                      <a:extLst>
                        <a:ext uri="{28A0092B-C50C-407E-A947-70E740481C1C}"/>
                      </a:extLst>
                    </a:blip>
                    <a:srcRect/>
                    <a:stretch>
                      <a:fillRect/>
                    </a:stretch>
                  </pic:blipFill>
                  <pic:spPr bwMode="auto">
                    <a:xfrm>
                      <a:off x="0" y="0"/>
                      <a:ext cx="2840355" cy="25400"/>
                    </a:xfrm>
                    <a:prstGeom prst="rect">
                      <a:avLst/>
                    </a:prstGeom>
                    <a:noFill/>
                  </pic:spPr>
                </pic:pic>
              </a:graphicData>
            </a:graphic>
          </wp:anchor>
        </w:drawing>
        <w:drawing>
          <wp:anchor simplePos="0" relativeHeight="251657728" behindDoc="1" locked="0" layoutInCell="0" allowOverlap="1">
            <wp:simplePos x="0" y="0"/>
            <wp:positionH relativeFrom="column">
              <wp:posOffset>3652520</wp:posOffset>
            </wp:positionH>
            <wp:positionV relativeFrom="paragraph">
              <wp:posOffset>-210820</wp:posOffset>
            </wp:positionV>
            <wp:extent cx="284035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33">
                      <a:extLst>
                        <a:ext uri="{28A0092B-C50C-407E-A947-70E740481C1C}"/>
                      </a:extLst>
                    </a:blip>
                    <a:srcRect/>
                    <a:stretch>
                      <a:fillRect/>
                    </a:stretch>
                  </pic:blipFill>
                  <pic:spPr bwMode="auto">
                    <a:xfrm>
                      <a:off x="0" y="0"/>
                      <a:ext cx="2840355" cy="254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-2540</wp:posOffset>
                </wp:positionH>
                <wp:positionV relativeFrom="paragraph">
                  <wp:posOffset>91440</wp:posOffset>
                </wp:positionV>
                <wp:extent cx="1259840" cy="0"/>
                <wp:wrapNone/>
                <wp:docPr id="171" name="Shape 1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598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71" o:spid="_x0000_s11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7.2pt" to="99pt,7.2pt" o:allowincell="f" strokecolor="#000000" strokeweight="1pt"/>
            </w:pict>
          </mc:Fallback>
        </mc:AlternateContent>
      </w:r>
    </w:p>
    <w:p>
      <w:pPr>
        <w:spacing w:after="0" w:line="128" w:lineRule="exact"/>
        <w:rPr>
          <w:sz w:val="20"/>
          <w:szCs w:val="20"/>
          <w:color w:val="auto"/>
        </w:rPr>
      </w:pPr>
    </w:p>
    <w:p>
      <w:pPr>
        <w:ind w:left="300" w:hanging="215"/>
        <w:spacing w:after="0"/>
        <w:tabs>
          <w:tab w:leader="none" w:pos="300" w:val="left"/>
        </w:tabs>
        <w:numPr>
          <w:ilvl w:val="0"/>
          <w:numId w:val="50"/>
        </w:numPr>
        <w:rPr>
          <w:rFonts w:ascii="Arial" w:cs="Arial" w:eastAsia="Arial" w:hAnsi="Arial"/>
          <w:sz w:val="25"/>
          <w:szCs w:val="25"/>
          <w:color w:val="auto"/>
          <w:vertAlign w:val="superscript"/>
        </w:rPr>
      </w:pPr>
      <w:r>
        <w:rPr>
          <w:rFonts w:ascii="Arial" w:cs="Arial" w:eastAsia="Arial" w:hAnsi="Arial"/>
          <w:sz w:val="17"/>
          <w:szCs w:val="17"/>
          <w:color w:val="auto"/>
        </w:rPr>
        <w:t xml:space="preserve">See Note 17, </w:t>
      </w:r>
      <w:r>
        <w:rPr>
          <w:rFonts w:ascii="Arial" w:cs="Arial" w:eastAsia="Arial" w:hAnsi="Arial"/>
          <w:sz w:val="17"/>
          <w:szCs w:val="17"/>
          <w:b w:val="1"/>
          <w:bCs w:val="1"/>
          <w:i w:val="1"/>
          <w:iCs w:val="1"/>
          <w:color w:val="auto"/>
        </w:rPr>
        <w:t>Leases</w:t>
      </w:r>
      <w:r>
        <w:rPr>
          <w:rFonts w:ascii="Arial" w:cs="Arial" w:eastAsia="Arial" w:hAnsi="Arial"/>
          <w:sz w:val="17"/>
          <w:szCs w:val="17"/>
          <w:color w:val="auto"/>
        </w:rPr>
        <w:t>, for the amounts of energy and capacity revenue that relate to leases and are accounted for under ASC 842.</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Contract Amortization</w:t>
      </w:r>
    </w:p>
    <w:p>
      <w:pPr>
        <w:spacing w:after="0" w:line="191" w:lineRule="exact"/>
        <w:rPr>
          <w:sz w:val="20"/>
          <w:szCs w:val="20"/>
          <w:color w:val="auto"/>
        </w:rPr>
      </w:pPr>
    </w:p>
    <w:p>
      <w:pPr>
        <w:jc w:val="both"/>
        <w:ind w:firstLine="448"/>
        <w:spacing w:after="0" w:line="259" w:lineRule="auto"/>
        <w:rPr>
          <w:sz w:val="20"/>
          <w:szCs w:val="20"/>
          <w:color w:val="auto"/>
        </w:rPr>
      </w:pPr>
      <w:r>
        <w:rPr>
          <w:rFonts w:ascii="Arial" w:cs="Arial" w:eastAsia="Arial" w:hAnsi="Arial"/>
          <w:sz w:val="20"/>
          <w:szCs w:val="20"/>
          <w:color w:val="auto"/>
        </w:rPr>
        <w:t>Assets and liabilities recognized from power sales agreements assumed through acquisitions relating to the sale of electric capacity and energy in future periods arising from differences in contract and market prices are amortized to revenue over the term of each underlying contract based on actual generation and/or contracted volumes or on a straight-line basis, where applicable.</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Contract Balances</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reflects the contract assets and liabilities included on the Company’s consolidated balance sheets: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20" w:type="dxa"/>
            <w:vAlign w:val="bottom"/>
            <w:tcBorders>
              <w:bottom w:val="single" w:sz="8" w:color="E6E6E6"/>
            </w:tcBorders>
          </w:tcPr>
          <w:p>
            <w:pPr>
              <w:jc w:val="right"/>
              <w:ind w:right="5853"/>
              <w:spacing w:after="0"/>
              <w:rPr>
                <w:sz w:val="20"/>
                <w:szCs w:val="20"/>
                <w:color w:val="auto"/>
              </w:rPr>
            </w:pPr>
            <w:r>
              <w:rPr>
                <w:rFonts w:ascii="Arial" w:cs="Arial" w:eastAsia="Arial" w:hAnsi="Arial"/>
                <w:sz w:val="16"/>
                <w:szCs w:val="16"/>
                <w:b w:val="1"/>
                <w:bCs w:val="1"/>
                <w:color w:val="auto"/>
                <w:w w:val="95"/>
              </w:rPr>
              <w:t>(In millions)</w:t>
            </w: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3"/>
              <w:spacing w:after="0"/>
              <w:rPr>
                <w:sz w:val="20"/>
                <w:szCs w:val="20"/>
                <w:color w:val="auto"/>
              </w:rPr>
            </w:pPr>
            <w:r>
              <w:rPr>
                <w:rFonts w:ascii="Arial" w:cs="Arial" w:eastAsia="Arial" w:hAnsi="Arial"/>
                <w:sz w:val="16"/>
                <w:szCs w:val="16"/>
                <w:b w:val="1"/>
                <w:bCs w:val="1"/>
                <w:color w:val="auto"/>
                <w:w w:val="88"/>
              </w:rPr>
              <w:t>December 31, 2023</w:t>
            </w:r>
          </w:p>
        </w:tc>
        <w:tc>
          <w:tcPr>
            <w:tcW w:w="60" w:type="dxa"/>
            <w:vAlign w:val="bottom"/>
            <w:tcBorders>
              <w:bottom w:val="single" w:sz="8" w:color="E6E6E6"/>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73"/>
              <w:spacing w:after="0"/>
              <w:rPr>
                <w:sz w:val="20"/>
                <w:szCs w:val="20"/>
                <w:color w:val="auto"/>
              </w:rPr>
            </w:pPr>
            <w:r>
              <w:rPr>
                <w:rFonts w:ascii="Arial" w:cs="Arial" w:eastAsia="Arial" w:hAnsi="Arial"/>
                <w:sz w:val="16"/>
                <w:szCs w:val="16"/>
                <w:b w:val="1"/>
                <w:bCs w:val="1"/>
                <w:color w:val="auto"/>
                <w:w w:val="87"/>
              </w:rPr>
              <w:t>December 31, 2022</w:t>
            </w:r>
          </w:p>
        </w:tc>
      </w:tr>
      <w:tr>
        <w:trPr>
          <w:trHeight w:val="244"/>
        </w:trPr>
        <w:tc>
          <w:tcPr>
            <w:tcW w:w="6820" w:type="dxa"/>
            <w:vAlign w:val="bottom"/>
            <w:shd w:val="clear" w:color="auto" w:fill="E6E6E6"/>
          </w:tcPr>
          <w:p>
            <w:pPr>
              <w:jc w:val="right"/>
              <w:ind w:right="53"/>
              <w:spacing w:after="0"/>
              <w:rPr>
                <w:sz w:val="20"/>
                <w:szCs w:val="20"/>
                <w:color w:val="auto"/>
              </w:rPr>
            </w:pPr>
            <w:r>
              <w:rPr>
                <w:rFonts w:ascii="Arial" w:cs="Arial" w:eastAsia="Arial" w:hAnsi="Arial"/>
                <w:sz w:val="18"/>
                <w:szCs w:val="18"/>
                <w:color w:val="BDBDBD"/>
                <w:w w:val="95"/>
              </w:rPr>
              <w:t>. . . . . . . . . . . . . . . . . . . . . . . . . . . . . . . .</w:t>
            </w:r>
            <w:r>
              <w:rPr>
                <w:rFonts w:ascii="Arial" w:cs="Arial" w:eastAsia="Arial" w:hAnsi="Arial"/>
                <w:sz w:val="18"/>
                <w:szCs w:val="18"/>
                <w:color w:val="000000"/>
                <w:w w:val="95"/>
              </w:rPr>
              <w:t>Accountsreceivable,net-Contractswithcustomers</w:t>
            </w:r>
          </w:p>
        </w:tc>
        <w:tc>
          <w:tcPr>
            <w:tcW w:w="1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66</w:t>
            </w:r>
          </w:p>
        </w:tc>
        <w:tc>
          <w:tcPr>
            <w:tcW w:w="60" w:type="dxa"/>
            <w:vAlign w:val="bottom"/>
            <w:shd w:val="clear" w:color="auto" w:fill="E6E6E6"/>
          </w:tcPr>
          <w:p>
            <w:pPr>
              <w:spacing w:after="0"/>
              <w:rPr>
                <w:sz w:val="21"/>
                <w:szCs w:val="21"/>
                <w:color w:val="auto"/>
              </w:rPr>
            </w:pPr>
          </w:p>
        </w:tc>
        <w:tc>
          <w:tcPr>
            <w:tcW w:w="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37</w:t>
            </w:r>
          </w:p>
        </w:tc>
      </w:tr>
      <w:tr>
        <w:trPr>
          <w:trHeight w:val="244"/>
        </w:trPr>
        <w:tc>
          <w:tcPr>
            <w:tcW w:w="6820" w:type="dxa"/>
            <w:vAlign w:val="bottom"/>
            <w:tcBorders>
              <w:bottom w:val="single" w:sz="8" w:color="E6E6E6"/>
            </w:tcBorders>
          </w:tcPr>
          <w:p>
            <w:pPr>
              <w:jc w:val="right"/>
              <w:ind w:right="53"/>
              <w:spacing w:after="0"/>
              <w:rPr>
                <w:sz w:val="20"/>
                <w:szCs w:val="20"/>
                <w:color w:val="auto"/>
              </w:rPr>
            </w:pPr>
            <w:r>
              <w:rPr>
                <w:rFonts w:ascii="Arial" w:cs="Arial" w:eastAsia="Arial" w:hAnsi="Arial"/>
                <w:sz w:val="18"/>
                <w:szCs w:val="18"/>
                <w:color w:val="auto"/>
                <w:w w:val="89"/>
              </w:rPr>
              <w:t xml:space="preserve">Accounts receivable, net - Leases </w:t>
            </w:r>
            <w:r>
              <w:rPr>
                <w:rFonts w:ascii="Arial" w:cs="Arial" w:eastAsia="Arial" w:hAnsi="Arial"/>
                <w:sz w:val="18"/>
                <w:szCs w:val="18"/>
                <w:color w:val="BDBDBD"/>
                <w:w w:val="89"/>
              </w:rPr>
              <w:t>. . . . . . . . . . . . . . . . . . . . . . . . . . . . . . . . . . . . . . . . . . . . . . .</w:t>
            </w: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60" w:type="dxa"/>
            <w:vAlign w:val="bottom"/>
            <w:tcBorders>
              <w:bottom w:val="single" w:sz="8" w:color="E6E6E6"/>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r>
      <w:tr>
        <w:trPr>
          <w:trHeight w:val="254"/>
        </w:trPr>
        <w:tc>
          <w:tcPr>
            <w:tcW w:w="6820" w:type="dxa"/>
            <w:vAlign w:val="bottom"/>
            <w:tcBorders>
              <w:bottom w:val="single" w:sz="8" w:color="E6E6E6"/>
            </w:tcBorders>
            <w:shd w:val="clear" w:color="auto" w:fill="E6E6E6"/>
          </w:tcPr>
          <w:p>
            <w:pPr>
              <w:jc w:val="right"/>
              <w:ind w:right="53"/>
              <w:spacing w:after="0"/>
              <w:rPr>
                <w:sz w:val="20"/>
                <w:szCs w:val="20"/>
                <w:color w:val="auto"/>
              </w:rPr>
            </w:pPr>
            <w:r>
              <w:rPr>
                <w:rFonts w:ascii="Arial" w:cs="Arial" w:eastAsia="Arial" w:hAnsi="Arial"/>
                <w:sz w:val="18"/>
                <w:szCs w:val="18"/>
                <w:color w:val="BDBDBD"/>
                <w:w w:val="95"/>
              </w:rPr>
              <w:t>. . . . . . . . . . . . . . . . . . . . . . . . . . . . . . . . . . . . . . . . . . . . . . . .</w:t>
            </w:r>
            <w:r>
              <w:rPr>
                <w:rFonts w:ascii="Arial" w:cs="Arial" w:eastAsia="Arial" w:hAnsi="Arial"/>
                <w:sz w:val="18"/>
                <w:szCs w:val="18"/>
                <w:color w:val="000000"/>
                <w:w w:val="95"/>
              </w:rPr>
              <w:t>Totalaccountsreceivable,net</w:t>
            </w:r>
          </w:p>
        </w:tc>
        <w:tc>
          <w:tcPr>
            <w:tcW w:w="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171</w:t>
            </w:r>
          </w:p>
        </w:tc>
        <w:tc>
          <w:tcPr>
            <w:tcW w:w="60" w:type="dxa"/>
            <w:vAlign w:val="bottom"/>
            <w:tcBorders>
              <w:bottom w:val="single" w:sz="8" w:color="E6E6E6"/>
            </w:tcBorders>
            <w:shd w:val="clear" w:color="auto" w:fill="E6E6E6"/>
          </w:tcPr>
          <w:p>
            <w:pPr>
              <w:spacing w:after="0"/>
              <w:rPr>
                <w:sz w:val="22"/>
                <w:szCs w:val="22"/>
                <w:color w:val="auto"/>
              </w:rPr>
            </w:pPr>
          </w:p>
        </w:tc>
        <w:tc>
          <w:tcPr>
            <w:tcW w:w="1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4315460</wp:posOffset>
            </wp:positionH>
            <wp:positionV relativeFrom="paragraph">
              <wp:posOffset>-514350</wp:posOffset>
            </wp:positionV>
            <wp:extent cx="210121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34">
                      <a:extLst>
                        <a:ext uri="{28A0092B-C50C-407E-A947-70E740481C1C}"/>
                      </a:extLst>
                    </a:blip>
                    <a:srcRect/>
                    <a:stretch>
                      <a:fillRect/>
                    </a:stretch>
                  </pic:blipFill>
                  <pic:spPr bwMode="auto">
                    <a:xfrm>
                      <a:off x="0" y="0"/>
                      <a:ext cx="2101215" cy="25400"/>
                    </a:xfrm>
                    <a:prstGeom prst="rect">
                      <a:avLst/>
                    </a:prstGeom>
                    <a:noFill/>
                  </pic:spPr>
                </pic:pic>
              </a:graphicData>
            </a:graphic>
          </wp:anchor>
        </w:drawing>
        <w:drawing>
          <wp:anchor simplePos="0" relativeHeight="251657728" behindDoc="1" locked="0" layoutInCell="0" allowOverlap="1">
            <wp:simplePos x="0" y="0"/>
            <wp:positionH relativeFrom="column">
              <wp:posOffset>4315460</wp:posOffset>
            </wp:positionH>
            <wp:positionV relativeFrom="paragraph">
              <wp:posOffset>-192405</wp:posOffset>
            </wp:positionV>
            <wp:extent cx="210121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35">
                      <a:extLst>
                        <a:ext uri="{28A0092B-C50C-407E-A947-70E740481C1C}"/>
                      </a:extLst>
                    </a:blip>
                    <a:srcRect/>
                    <a:stretch>
                      <a:fillRect/>
                    </a:stretch>
                  </pic:blipFill>
                  <pic:spPr bwMode="auto">
                    <a:xfrm>
                      <a:off x="0" y="0"/>
                      <a:ext cx="2101215" cy="25400"/>
                    </a:xfrm>
                    <a:prstGeom prst="rect">
                      <a:avLst/>
                    </a:prstGeom>
                    <a:noFill/>
                  </pic:spPr>
                </pic:pic>
              </a:graphicData>
            </a:graphic>
          </wp:anchor>
        </w:drawing>
        <w:drawing>
          <wp:anchor simplePos="0" relativeHeight="251657728" behindDoc="1" locked="0" layoutInCell="0" allowOverlap="1">
            <wp:simplePos x="0" y="0"/>
            <wp:positionH relativeFrom="column">
              <wp:posOffset>4315460</wp:posOffset>
            </wp:positionH>
            <wp:positionV relativeFrom="paragraph">
              <wp:posOffset>-43815</wp:posOffset>
            </wp:positionV>
            <wp:extent cx="2101215" cy="508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36">
                      <a:extLst>
                        <a:ext uri="{28A0092B-C50C-407E-A947-70E740481C1C}"/>
                      </a:extLst>
                    </a:blip>
                    <a:srcRect/>
                    <a:stretch>
                      <a:fillRect/>
                    </a:stretch>
                  </pic:blipFill>
                  <pic:spPr bwMode="auto">
                    <a:xfrm>
                      <a:off x="0" y="0"/>
                      <a:ext cx="2101215" cy="5080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Derivative Financial Instruments</w:t>
      </w:r>
    </w:p>
    <w:p>
      <w:pPr>
        <w:spacing w:after="0" w:line="193" w:lineRule="exact"/>
        <w:rPr>
          <w:sz w:val="20"/>
          <w:szCs w:val="20"/>
          <w:color w:val="auto"/>
        </w:rPr>
      </w:pPr>
    </w:p>
    <w:p>
      <w:pPr>
        <w:jc w:val="both"/>
        <w:ind w:firstLine="448"/>
        <w:spacing w:after="0" w:line="274" w:lineRule="auto"/>
        <w:rPr>
          <w:sz w:val="20"/>
          <w:szCs w:val="20"/>
          <w:color w:val="auto"/>
        </w:rPr>
      </w:pPr>
      <w:r>
        <w:rPr>
          <w:rFonts w:ascii="Arial" w:cs="Arial" w:eastAsia="Arial" w:hAnsi="Arial"/>
          <w:sz w:val="19"/>
          <w:szCs w:val="19"/>
          <w:color w:val="auto"/>
        </w:rPr>
        <w:t xml:space="preserve">The Company accounts for derivative financial instruments under ASC 815, </w:t>
      </w:r>
      <w:r>
        <w:rPr>
          <w:rFonts w:ascii="Arial" w:cs="Arial" w:eastAsia="Arial" w:hAnsi="Arial"/>
          <w:sz w:val="19"/>
          <w:szCs w:val="19"/>
          <w:b w:val="1"/>
          <w:bCs w:val="1"/>
          <w:i w:val="1"/>
          <w:iCs w:val="1"/>
          <w:color w:val="auto"/>
        </w:rPr>
        <w:t>Derivatives and Hedging</w:t>
      </w:r>
      <w:r>
        <w:rPr>
          <w:rFonts w:ascii="Arial" w:cs="Arial" w:eastAsia="Arial" w:hAnsi="Arial"/>
          <w:sz w:val="19"/>
          <w:szCs w:val="19"/>
          <w:color w:val="auto"/>
        </w:rPr>
        <w:t>, or ASC 815, which requires the Company to record all derivatives on the balance sheet at fair value unless they qualify for a NPNS exception. Changes in the fair value of non-hedge derivatives are immediately recognized in earnings. Changes in the fair value of derivatives accounted for as hedges, if elected for hedge accounting, are deferred and recorded as a component of accumulated OCI until the hedged transactions occur and are recognized in earnings.</w:t>
      </w:r>
    </w:p>
    <w:p>
      <w:pPr>
        <w:sectPr>
          <w:pgSz w:w="11880" w:h="15480" w:orient="portrait"/>
          <w:cols w:equalWidth="0" w:num="1">
            <w:col w:w="10200"/>
          </w:cols>
          <w:pgMar w:left="840" w:top="50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ectPr>
          <w:pgSz w:w="11880" w:h="15480" w:orient="portrait"/>
          <w:cols w:equalWidth="0" w:num="1">
            <w:col w:w="10200"/>
          </w:cols>
          <w:pgMar w:left="840" w:top="500" w:right="840" w:bottom="0" w:gutter="0" w:footer="0" w:header="0"/>
          <w:type w:val="continuous"/>
        </w:sectPr>
      </w:pPr>
    </w:p>
    <w:bookmarkStart w:id="87" w:name="page88"/>
    <w:bookmarkEnd w:id="87"/>
    <w:p>
      <w:pPr>
        <w:jc w:val="both"/>
        <w:ind w:firstLine="448"/>
        <w:spacing w:after="0" w:line="266" w:lineRule="auto"/>
        <w:rPr>
          <w:sz w:val="20"/>
          <w:szCs w:val="20"/>
          <w:color w:val="auto"/>
        </w:rPr>
      </w:pPr>
      <w:r>
        <w:rPr>
          <w:rFonts w:ascii="Arial" w:cs="Arial" w:eastAsia="Arial" w:hAnsi="Arial"/>
          <w:sz w:val="19"/>
          <w:szCs w:val="19"/>
          <w:color w:val="auto"/>
        </w:rPr>
        <w:t>The Company’s primary derivative financial instruments are interest rate instruments used to mitigate variability in earnings due to fluctuations in interest rates and energy-related instruments used to mitigate variability in earnings due to fluctuations in power market prices or natural gas market prices for conventional facilities. Certain derivative contracts contain provisions providing the counterparties a lien on specific assets as collateral. On an ongoing basis, the Company qualitatively assesses the effectiveness of its derivatives that are designated as hedges for accounting purposes in order to determine that each derivative continues to be highly effective in offsetting changes in cash flows of hedged items. If necessary, the Company will perform an analysis to measure the statistical correlation between the derivative and the associated hedged item to determine the effectiveness of such a contract designated as a hedge. The Company will discontinue hedge accounting if it is determined that the hedge is no longer effective. In this case, the gain or loss previously deferred in accumulated OCI would be frozen until the underlying hedged item is delivered unless the transaction being hedged is no longer probable of occurring in which case the amount in accumulated OCI would be immediately reclassified into earnings. If the derivative financial instrument is terminated, the effective portion of this derivative deferred in accumulated OCI will be frozen until the underlying hedged item is delivered.</w:t>
      </w:r>
    </w:p>
    <w:p>
      <w:pPr>
        <w:spacing w:after="0" w:line="135" w:lineRule="exact"/>
        <w:rPr>
          <w:sz w:val="20"/>
          <w:szCs w:val="20"/>
          <w:color w:val="auto"/>
        </w:rPr>
      </w:pPr>
    </w:p>
    <w:p>
      <w:pPr>
        <w:jc w:val="both"/>
        <w:ind w:firstLine="448"/>
        <w:spacing w:after="0" w:line="257" w:lineRule="auto"/>
        <w:rPr>
          <w:sz w:val="20"/>
          <w:szCs w:val="20"/>
          <w:color w:val="auto"/>
        </w:rPr>
      </w:pPr>
      <w:r>
        <w:rPr>
          <w:rFonts w:ascii="Arial" w:cs="Arial" w:eastAsia="Arial" w:hAnsi="Arial"/>
          <w:sz w:val="20"/>
          <w:szCs w:val="20"/>
          <w:color w:val="auto"/>
        </w:rPr>
        <w:t>Revenues and expenses on contracts that qualify for the NPNS exception are recognized when the underlying physical transaction is delivered. While these contracts are considered derivative financial instruments under ASC 815, they are not recorded at fair value, but on an accrual basis of accounting. If it is determined that a transaction designated as NPNS no longer meets the scope exception, the fair value of the related contract is recorded on the balance sheet and immediately recognized through earnings.</w:t>
      </w:r>
    </w:p>
    <w:p>
      <w:pPr>
        <w:spacing w:after="0" w:line="142" w:lineRule="exact"/>
        <w:rPr>
          <w:sz w:val="20"/>
          <w:szCs w:val="20"/>
          <w:color w:val="auto"/>
        </w:rPr>
      </w:pPr>
    </w:p>
    <w:p>
      <w:pPr>
        <w:jc w:val="both"/>
        <w:ind w:firstLine="448"/>
        <w:spacing w:after="0" w:line="338" w:lineRule="auto"/>
        <w:rPr>
          <w:sz w:val="20"/>
          <w:szCs w:val="20"/>
          <w:color w:val="auto"/>
        </w:rPr>
      </w:pPr>
      <w:r>
        <w:rPr>
          <w:rFonts w:ascii="Arial" w:cs="Arial" w:eastAsia="Arial" w:hAnsi="Arial"/>
          <w:sz w:val="18"/>
          <w:szCs w:val="18"/>
          <w:color w:val="auto"/>
        </w:rPr>
        <w:t>Cash flows from derivative financial instruments, including derivatives designated as cash flow hedges and derivatives not designated as cash flow hedges, are classified as operating activities in the consolidated statements of cash flows.</w:t>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Concentrations of Credit Risk</w:t>
      </w:r>
    </w:p>
    <w:p>
      <w:pPr>
        <w:spacing w:after="0" w:line="196" w:lineRule="exact"/>
        <w:rPr>
          <w:sz w:val="20"/>
          <w:szCs w:val="20"/>
          <w:color w:val="auto"/>
        </w:rPr>
      </w:pPr>
    </w:p>
    <w:p>
      <w:pPr>
        <w:jc w:val="both"/>
        <w:ind w:firstLine="448"/>
        <w:spacing w:after="0" w:line="287" w:lineRule="auto"/>
        <w:rPr>
          <w:sz w:val="20"/>
          <w:szCs w:val="20"/>
          <w:color w:val="auto"/>
        </w:rPr>
      </w:pPr>
      <w:r>
        <w:rPr>
          <w:rFonts w:ascii="Arial" w:cs="Arial" w:eastAsia="Arial" w:hAnsi="Arial"/>
          <w:sz w:val="18"/>
          <w:szCs w:val="18"/>
          <w:color w:val="auto"/>
        </w:rPr>
        <w:t xml:space="preserve">Financial instruments which potentially subject the Company to concentrations of credit risk consist primarily of accounts receivable — trade and derivative financial instruments, which are concentrated within entities engaged in the energy and financial industries. These industry concentrations may impact the overall exposure to credit risk, either positively or negatively, in that the customers may be similarly affected by changes in economic, industry or other conditions. In addition, many of the Company’s projects have only one customer. See Item 1A, Risk Factors, </w:t>
      </w:r>
      <w:r>
        <w:rPr>
          <w:rFonts w:ascii="Arial" w:cs="Arial" w:eastAsia="Arial" w:hAnsi="Arial"/>
          <w:sz w:val="18"/>
          <w:szCs w:val="18"/>
          <w:b w:val="1"/>
          <w:bCs w:val="1"/>
          <w:i w:val="1"/>
          <w:iCs w:val="1"/>
          <w:color w:val="auto"/>
        </w:rPr>
        <w:t>Risks Related to the Company’s Business,</w:t>
      </w:r>
      <w:r>
        <w:rPr>
          <w:rFonts w:ascii="Arial" w:cs="Arial" w:eastAsia="Arial" w:hAnsi="Arial"/>
          <w:sz w:val="18"/>
          <w:szCs w:val="18"/>
          <w:color w:val="auto"/>
        </w:rPr>
        <w:t xml:space="preserve"> for a discussion on the Company’s dependence on major customers. See Note 6, </w:t>
      </w:r>
      <w:r>
        <w:rPr>
          <w:rFonts w:ascii="Arial" w:cs="Arial" w:eastAsia="Arial" w:hAnsi="Arial"/>
          <w:sz w:val="18"/>
          <w:szCs w:val="18"/>
          <w:b w:val="1"/>
          <w:bCs w:val="1"/>
          <w:i w:val="1"/>
          <w:iCs w:val="1"/>
          <w:color w:val="auto"/>
        </w:rPr>
        <w:t>Fair Value of Financial Instruments,</w:t>
      </w:r>
      <w:r>
        <w:rPr>
          <w:rFonts w:ascii="Arial" w:cs="Arial" w:eastAsia="Arial" w:hAnsi="Arial"/>
          <w:sz w:val="18"/>
          <w:szCs w:val="18"/>
          <w:color w:val="auto"/>
        </w:rPr>
        <w:t xml:space="preserve"> for a further discussion of derivative concentrations and Note 13, </w:t>
      </w:r>
      <w:r>
        <w:rPr>
          <w:rFonts w:ascii="Arial" w:cs="Arial" w:eastAsia="Arial" w:hAnsi="Arial"/>
          <w:sz w:val="18"/>
          <w:szCs w:val="18"/>
          <w:b w:val="1"/>
          <w:bCs w:val="1"/>
          <w:i w:val="1"/>
          <w:iCs w:val="1"/>
          <w:color w:val="auto"/>
        </w:rPr>
        <w:t>Segment Reporting</w:t>
      </w:r>
      <w:r>
        <w:rPr>
          <w:rFonts w:ascii="Arial" w:cs="Arial" w:eastAsia="Arial" w:hAnsi="Arial"/>
          <w:sz w:val="18"/>
          <w:szCs w:val="18"/>
          <w:color w:val="auto"/>
        </w:rPr>
        <w:t>, for concentration of counterparties.</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Fair Value of Financial Instruments</w:t>
      </w:r>
    </w:p>
    <w:p>
      <w:pPr>
        <w:spacing w:after="0" w:line="196" w:lineRule="exact"/>
        <w:rPr>
          <w:sz w:val="20"/>
          <w:szCs w:val="20"/>
          <w:color w:val="auto"/>
        </w:rPr>
      </w:pPr>
    </w:p>
    <w:p>
      <w:pPr>
        <w:jc w:val="both"/>
        <w:ind w:firstLine="448"/>
        <w:spacing w:after="0" w:line="259" w:lineRule="auto"/>
        <w:rPr>
          <w:sz w:val="20"/>
          <w:szCs w:val="20"/>
          <w:color w:val="auto"/>
        </w:rPr>
      </w:pPr>
      <w:r>
        <w:rPr>
          <w:rFonts w:ascii="Arial" w:cs="Arial" w:eastAsia="Arial" w:hAnsi="Arial"/>
          <w:sz w:val="20"/>
          <w:szCs w:val="20"/>
          <w:color w:val="auto"/>
        </w:rPr>
        <w:t xml:space="preserve">The carrying amount of cash and cash equivalents, restricted cash, accounts receivable — trade, note receivable — affiliate, accounts payable — trade, account payable — affiliates and accrued expenses and other current liabilities approximate fair value because of the short-term maturity of these instruments. See Note 6, </w:t>
      </w:r>
      <w:r>
        <w:rPr>
          <w:rFonts w:ascii="Arial" w:cs="Arial" w:eastAsia="Arial" w:hAnsi="Arial"/>
          <w:sz w:val="20"/>
          <w:szCs w:val="20"/>
          <w:b w:val="1"/>
          <w:bCs w:val="1"/>
          <w:i w:val="1"/>
          <w:iCs w:val="1"/>
          <w:color w:val="auto"/>
        </w:rPr>
        <w:t>Fair Value of Financial Instruments,</w:t>
      </w:r>
      <w:r>
        <w:rPr>
          <w:rFonts w:ascii="Arial" w:cs="Arial" w:eastAsia="Arial" w:hAnsi="Arial"/>
          <w:sz w:val="20"/>
          <w:szCs w:val="20"/>
          <w:color w:val="auto"/>
        </w:rPr>
        <w:t xml:space="preserve"> for a further discussion of fair value of financial instruments.</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Asset Retirement Obligations</w:t>
      </w:r>
    </w:p>
    <w:p>
      <w:pPr>
        <w:spacing w:after="0" w:line="193" w:lineRule="exact"/>
        <w:rPr>
          <w:sz w:val="20"/>
          <w:szCs w:val="20"/>
          <w:color w:val="auto"/>
        </w:rPr>
      </w:pPr>
    </w:p>
    <w:p>
      <w:pPr>
        <w:jc w:val="both"/>
        <w:ind w:firstLine="448"/>
        <w:spacing w:after="0" w:line="256" w:lineRule="auto"/>
        <w:rPr>
          <w:sz w:val="20"/>
          <w:szCs w:val="20"/>
          <w:color w:val="auto"/>
        </w:rPr>
      </w:pPr>
      <w:r>
        <w:rPr>
          <w:rFonts w:ascii="Arial" w:cs="Arial" w:eastAsia="Arial" w:hAnsi="Arial"/>
          <w:sz w:val="20"/>
          <w:szCs w:val="20"/>
          <w:color w:val="auto"/>
        </w:rPr>
        <w:t xml:space="preserve">Asset retirement obligations, or AROs, are accounted for in accordance with ASC 410-20, </w:t>
      </w:r>
      <w:r>
        <w:rPr>
          <w:rFonts w:ascii="Arial" w:cs="Arial" w:eastAsia="Arial" w:hAnsi="Arial"/>
          <w:sz w:val="20"/>
          <w:szCs w:val="20"/>
          <w:b w:val="1"/>
          <w:bCs w:val="1"/>
          <w:i w:val="1"/>
          <w:iCs w:val="1"/>
          <w:color w:val="auto"/>
        </w:rPr>
        <w:t>Asset Retirement Obligations,</w:t>
      </w:r>
      <w:r>
        <w:rPr>
          <w:rFonts w:ascii="Arial" w:cs="Arial" w:eastAsia="Arial" w:hAnsi="Arial"/>
          <w:sz w:val="20"/>
          <w:szCs w:val="20"/>
          <w:color w:val="auto"/>
        </w:rPr>
        <w:t xml:space="preserve"> or ASC 410-20. Retirement obligations associated with long-lived assets included within the scope of ASC 410-20 are those for which a legal obligation exists under enacted laws, statutes, and written or oral contracts, including obligations arising under the doctrine of promissory estoppel, and for which the timing and/or method of settlement may be conditional on a future event. ASC 410-20 requires an entity to recognize the fair value of a liability for an ARO in the period in which it is incurred and a reasonable estimate of fair value can be made.</w:t>
      </w:r>
    </w:p>
    <w:p>
      <w:pPr>
        <w:spacing w:after="0" w:line="143" w:lineRule="exact"/>
        <w:rPr>
          <w:sz w:val="20"/>
          <w:szCs w:val="20"/>
          <w:color w:val="auto"/>
        </w:rPr>
      </w:pPr>
    </w:p>
    <w:p>
      <w:pPr>
        <w:jc w:val="both"/>
        <w:ind w:firstLine="448"/>
        <w:spacing w:after="0" w:line="271" w:lineRule="auto"/>
        <w:rPr>
          <w:sz w:val="20"/>
          <w:szCs w:val="20"/>
          <w:color w:val="auto"/>
        </w:rPr>
      </w:pPr>
      <w:r>
        <w:rPr>
          <w:rFonts w:ascii="Arial" w:cs="Arial" w:eastAsia="Arial" w:hAnsi="Arial"/>
          <w:sz w:val="19"/>
          <w:szCs w:val="19"/>
          <w:color w:val="auto"/>
        </w:rPr>
        <w:t>Upon initial recognition of a liability for an ARO, other than when an ARO is assumed in an acquisition of the related long-lived asset, the asset retirement cost is capitalized by increasing the carrying amount of the related long-lived asset by the same amount. Over time, the liability is accreted to its future value, while the capitalized cost is depreciated over the useful life of the related asset. The Company’s AROs are primarily related to the future dismantlement of equipment on leased property and environmental obligations related to site closures and fuel storage facilities. The Company records AROs as part of other non-current liabilities on its consolidated balance sheet.</w:t>
      </w:r>
    </w:p>
    <w:p>
      <w:pPr>
        <w:sectPr>
          <w:pgSz w:w="11880" w:h="15480" w:orient="portrait"/>
          <w:cols w:equalWidth="0" w:num="1">
            <w:col w:w="10200"/>
          </w:cols>
          <w:pgMar w:left="840" w:top="411"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ectPr>
          <w:pgSz w:w="11880" w:h="15480" w:orient="portrait"/>
          <w:cols w:equalWidth="0" w:num="1">
            <w:col w:w="10200"/>
          </w:cols>
          <w:pgMar w:left="840" w:top="411" w:right="840" w:bottom="0" w:gutter="0" w:footer="0" w:header="0"/>
          <w:type w:val="continuous"/>
        </w:sectPr>
      </w:pPr>
    </w:p>
    <w:bookmarkStart w:id="88" w:name="page89"/>
    <w:bookmarkEnd w:id="88"/>
    <w:p>
      <w:pPr>
        <w:ind w:left="440"/>
        <w:spacing w:after="0"/>
        <w:rPr>
          <w:sz w:val="20"/>
          <w:szCs w:val="20"/>
          <w:color w:val="auto"/>
        </w:rPr>
      </w:pPr>
      <w:r>
        <w:rPr>
          <w:rFonts w:ascii="Arial" w:cs="Arial" w:eastAsia="Arial" w:hAnsi="Arial"/>
          <w:sz w:val="20"/>
          <w:szCs w:val="20"/>
          <w:color w:val="auto"/>
        </w:rPr>
        <w:t>The following table represents the balance of ARO obligations, along with the related activity:</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8720" w:type="dxa"/>
            <w:vAlign w:val="bottom"/>
            <w:shd w:val="clear" w:color="auto" w:fill="E6E6E6"/>
          </w:tcPr>
          <w:p>
            <w:pPr>
              <w:jc w:val="right"/>
              <w:spacing w:after="0"/>
              <w:rPr>
                <w:sz w:val="20"/>
                <w:szCs w:val="20"/>
                <w:color w:val="auto"/>
              </w:rPr>
            </w:pPr>
            <w:r>
              <w:rPr>
                <w:rFonts w:ascii="Arial" w:cs="Arial" w:eastAsia="Arial" w:hAnsi="Arial"/>
                <w:sz w:val="20"/>
                <w:szCs w:val="20"/>
                <w:b w:val="1"/>
                <w:bCs w:val="1"/>
                <w:color w:val="auto"/>
                <w:w w:val="90"/>
              </w:rPr>
              <w:t xml:space="preserve">Balance as of December 31, 2022 </w:t>
            </w:r>
            <w:r>
              <w:rPr>
                <w:rFonts w:ascii="Arial" w:cs="Arial" w:eastAsia="Arial" w:hAnsi="Arial"/>
                <w:sz w:val="20"/>
                <w:szCs w:val="20"/>
                <w:b w:val="1"/>
                <w:bCs w:val="1"/>
                <w:color w:val="BDBDBD"/>
                <w:w w:val="90"/>
              </w:rPr>
              <w:t>. . . . . . . . . . . . . . . . . . . . . . . . . . . . . . . . . . . . . . . . . . . . . . . . . . . . . . . . . .</w:t>
            </w:r>
          </w:p>
        </w:tc>
        <w:tc>
          <w:tcPr>
            <w:tcW w:w="620" w:type="dxa"/>
            <w:vAlign w:val="bottom"/>
            <w:shd w:val="clear" w:color="auto" w:fill="E6E6E6"/>
          </w:tcPr>
          <w:p>
            <w:pPr>
              <w:jc w:val="right"/>
              <w:ind w:right="381"/>
              <w:spacing w:after="0"/>
              <w:rPr>
                <w:sz w:val="20"/>
                <w:szCs w:val="20"/>
                <w:color w:val="auto"/>
              </w:rPr>
            </w:pPr>
            <w:r>
              <w:rPr>
                <w:rFonts w:ascii="Arial" w:cs="Arial" w:eastAsia="Arial" w:hAnsi="Arial"/>
                <w:sz w:val="20"/>
                <w:szCs w:val="20"/>
                <w:color w:val="auto"/>
              </w:rPr>
              <w:t>$</w:t>
            </w: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157</w:t>
            </w:r>
          </w:p>
        </w:tc>
      </w:tr>
      <w:tr>
        <w:trPr>
          <w:trHeight w:val="292"/>
        </w:trPr>
        <w:tc>
          <w:tcPr>
            <w:tcW w:w="8720" w:type="dxa"/>
            <w:vAlign w:val="bottom"/>
          </w:tcPr>
          <w:p>
            <w:pPr>
              <w:jc w:val="right"/>
              <w:spacing w:after="0"/>
              <w:rPr>
                <w:sz w:val="20"/>
                <w:szCs w:val="20"/>
                <w:color w:val="auto"/>
              </w:rPr>
            </w:pPr>
            <w:r>
              <w:rPr>
                <w:rFonts w:ascii="Arial" w:cs="Arial" w:eastAsia="Arial" w:hAnsi="Arial"/>
                <w:sz w:val="20"/>
                <w:szCs w:val="20"/>
                <w:color w:val="auto"/>
                <w:w w:val="91"/>
              </w:rPr>
              <w:t xml:space="preserve">Revisions in estimated cash flows </w:t>
            </w:r>
            <w:r>
              <w:rPr>
                <w:rFonts w:ascii="Arial" w:cs="Arial" w:eastAsia="Arial" w:hAnsi="Arial"/>
                <w:sz w:val="20"/>
                <w:szCs w:val="20"/>
                <w:color w:val="BDBDBD"/>
                <w:w w:val="91"/>
              </w:rPr>
              <w:t>. . . . . . . . . . . . . . . . . . . . . . . . . . . . . . . . . . . . . . . . . . . . . . . . . . . . . . . . . .</w:t>
            </w:r>
          </w:p>
        </w:tc>
        <w:tc>
          <w:tcPr>
            <w:tcW w:w="6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305"/>
        </w:trPr>
        <w:tc>
          <w:tcPr>
            <w:tcW w:w="8720" w:type="dxa"/>
            <w:vAlign w:val="bottom"/>
            <w:shd w:val="clear" w:color="auto" w:fill="E6E6E6"/>
          </w:tcPr>
          <w:p>
            <w:pPr>
              <w:jc w:val="right"/>
              <w:spacing w:after="0"/>
              <w:rPr>
                <w:sz w:val="20"/>
                <w:szCs w:val="20"/>
                <w:color w:val="auto"/>
              </w:rPr>
            </w:pPr>
            <w:r>
              <w:rPr>
                <w:rFonts w:ascii="Arial" w:cs="Arial" w:eastAsia="Arial" w:hAnsi="Arial"/>
                <w:sz w:val="20"/>
                <w:szCs w:val="20"/>
                <w:color w:val="auto"/>
                <w:w w:val="92"/>
              </w:rPr>
              <w:t xml:space="preserve">Liabilities incurred  </w:t>
            </w:r>
            <w:r>
              <w:rPr>
                <w:rFonts w:ascii="Arial" w:cs="Arial" w:eastAsia="Arial" w:hAnsi="Arial"/>
                <w:sz w:val="20"/>
                <w:szCs w:val="20"/>
                <w:color w:val="BDBDBD"/>
                <w:w w:val="92"/>
              </w:rPr>
              <w:t>. . . . . . . . . . . . . . . . . . . . . . . . . . . . . . . . . . . . . . . . . . . . . . . . . . . . . . . . . . . . . . . . . . . . .</w:t>
            </w:r>
          </w:p>
        </w:tc>
        <w:tc>
          <w:tcPr>
            <w:tcW w:w="620" w:type="dxa"/>
            <w:vAlign w:val="bottom"/>
            <w:shd w:val="clear" w:color="auto" w:fill="E6E6E6"/>
          </w:tcPr>
          <w:p>
            <w:pPr>
              <w:spacing w:after="0"/>
              <w:rPr>
                <w:sz w:val="24"/>
                <w:szCs w:val="24"/>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67</w:t>
            </w:r>
          </w:p>
        </w:tc>
      </w:tr>
      <w:tr>
        <w:trPr>
          <w:trHeight w:val="289"/>
        </w:trPr>
        <w:tc>
          <w:tcPr>
            <w:tcW w:w="8720" w:type="dxa"/>
            <w:vAlign w:val="bottom"/>
            <w:tcBorders>
              <w:bottom w:val="single" w:sz="8" w:color="E6E6E6"/>
            </w:tcBorders>
          </w:tcPr>
          <w:p>
            <w:pPr>
              <w:jc w:val="right"/>
              <w:spacing w:after="0"/>
              <w:rPr>
                <w:sz w:val="20"/>
                <w:szCs w:val="20"/>
                <w:color w:val="auto"/>
              </w:rPr>
            </w:pPr>
            <w:r>
              <w:rPr>
                <w:rFonts w:ascii="Arial" w:cs="Arial" w:eastAsia="Arial" w:hAnsi="Arial"/>
                <w:sz w:val="20"/>
                <w:szCs w:val="20"/>
                <w:color w:val="auto"/>
                <w:w w:val="91"/>
              </w:rPr>
              <w:t xml:space="preserve">Accretion expense </w:t>
            </w:r>
            <w:r>
              <w:rPr>
                <w:rFonts w:ascii="Arial" w:cs="Arial" w:eastAsia="Arial" w:hAnsi="Arial"/>
                <w:sz w:val="20"/>
                <w:szCs w:val="20"/>
                <w:color w:val="BDBDBD"/>
                <w:w w:val="91"/>
              </w:rPr>
              <w:t>. . . . . . . . . . . . . . . . . . . . . . . . . . . . . . . . . . . . . . . . . . . . . . . . . . . . . . . . . . . . . . . . . . . . . .</w:t>
            </w:r>
          </w:p>
        </w:tc>
        <w:tc>
          <w:tcPr>
            <w:tcW w:w="6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w:t>
            </w:r>
          </w:p>
        </w:tc>
      </w:tr>
      <w:tr>
        <w:trPr>
          <w:trHeight w:val="298"/>
        </w:trPr>
        <w:tc>
          <w:tcPr>
            <w:tcW w:w="87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b w:val="1"/>
                <w:bCs w:val="1"/>
                <w:color w:val="auto"/>
                <w:w w:val="90"/>
              </w:rPr>
              <w:t xml:space="preserve">Balance as of December 31, 2023 </w:t>
            </w:r>
            <w:r>
              <w:rPr>
                <w:rFonts w:ascii="Arial" w:cs="Arial" w:eastAsia="Arial" w:hAnsi="Arial"/>
                <w:sz w:val="20"/>
                <w:szCs w:val="20"/>
                <w:b w:val="1"/>
                <w:bCs w:val="1"/>
                <w:color w:val="BDBDBD"/>
                <w:w w:val="90"/>
              </w:rPr>
              <w:t>. . . . . . . . . . . . . . . . . . . . . . . . . . . . . . . . . . . . . . . . . . . . . . . . . . . . . . . . . .</w:t>
            </w:r>
          </w:p>
        </w:tc>
        <w:tc>
          <w:tcPr>
            <w:tcW w:w="620" w:type="dxa"/>
            <w:vAlign w:val="bottom"/>
            <w:tcBorders>
              <w:bottom w:val="single" w:sz="8" w:color="auto"/>
            </w:tcBorders>
            <w:shd w:val="clear" w:color="auto" w:fill="E6E6E6"/>
          </w:tcPr>
          <w:p>
            <w:pPr>
              <w:jc w:val="right"/>
              <w:ind w:right="381"/>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-220345</wp:posOffset>
            </wp:positionV>
            <wp:extent cx="972820"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37">
                      <a:extLst>
                        <a:ext uri="{28A0092B-C50C-407E-A947-70E740481C1C}"/>
                      </a:extLst>
                    </a:blip>
                    <a:srcRect/>
                    <a:stretch>
                      <a:fillRect/>
                    </a:stretch>
                  </pic:blipFill>
                  <pic:spPr bwMode="auto">
                    <a:xfrm>
                      <a:off x="0" y="0"/>
                      <a:ext cx="972820" cy="25400"/>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-43815</wp:posOffset>
            </wp:positionV>
            <wp:extent cx="973455" cy="508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38">
                      <a:extLst>
                        <a:ext uri="{28A0092B-C50C-407E-A947-70E740481C1C}"/>
                      </a:extLst>
                    </a:blip>
                    <a:srcRect/>
                    <a:stretch>
                      <a:fillRect/>
                    </a:stretch>
                  </pic:blipFill>
                  <pic:spPr bwMode="auto">
                    <a:xfrm>
                      <a:off x="0" y="0"/>
                      <a:ext cx="973455" cy="5080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Guarantees</w:t>
      </w:r>
    </w:p>
    <w:p>
      <w:pPr>
        <w:spacing w:after="0" w:line="196" w:lineRule="exact"/>
        <w:rPr>
          <w:sz w:val="20"/>
          <w:szCs w:val="20"/>
          <w:color w:val="auto"/>
        </w:rPr>
      </w:pPr>
    </w:p>
    <w:p>
      <w:pPr>
        <w:jc w:val="both"/>
        <w:ind w:firstLine="448"/>
        <w:spacing w:after="0" w:line="267" w:lineRule="auto"/>
        <w:rPr>
          <w:sz w:val="20"/>
          <w:szCs w:val="20"/>
          <w:color w:val="auto"/>
        </w:rPr>
      </w:pPr>
      <w:r>
        <w:rPr>
          <w:rFonts w:ascii="Arial" w:cs="Arial" w:eastAsia="Arial" w:hAnsi="Arial"/>
          <w:sz w:val="19"/>
          <w:szCs w:val="19"/>
          <w:color w:val="auto"/>
        </w:rPr>
        <w:t>The Company enters into various contracts that include indemnification and guarantee provisions as a routine part of its business activities. Examples of these contracts include operation and maintenance agreements, service agreements, commercial sales arrangements and other types of contractual agreements with vendors and other third parties as well as affiliates. These contracts generally indemnify the counterparty for tax, environmental liability, litigation and other matters as well as breaches of representations, warranties and covenants set forth in these agreements. Because many of the guarantees and indemnities the Company issues to third parties and affiliates do not limit the amount or duration of its obligations to perform under them, there exists a risk that the Company may have obligations in excess of the amounts agreed upon in the contracts mentioned above. For those guarantees and indemnities that do not limit the liability exposure, the Company may not be able to estimate what the liability would be, until a claim is made for payment or performance, due to the contingent nature of these contracts.</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Investments Accounted for by the Equity Method</w:t>
      </w:r>
    </w:p>
    <w:p>
      <w:pPr>
        <w:spacing w:after="0" w:line="196" w:lineRule="exact"/>
        <w:rPr>
          <w:sz w:val="20"/>
          <w:szCs w:val="20"/>
          <w:color w:val="auto"/>
        </w:rPr>
      </w:pPr>
    </w:p>
    <w:p>
      <w:pPr>
        <w:jc w:val="both"/>
        <w:ind w:firstLine="448"/>
        <w:spacing w:after="0" w:line="285" w:lineRule="auto"/>
        <w:rPr>
          <w:sz w:val="20"/>
          <w:szCs w:val="20"/>
          <w:color w:val="auto"/>
        </w:rPr>
      </w:pPr>
      <w:r>
        <w:rPr>
          <w:rFonts w:ascii="Arial" w:cs="Arial" w:eastAsia="Arial" w:hAnsi="Arial"/>
          <w:sz w:val="18"/>
          <w:szCs w:val="18"/>
          <w:color w:val="auto"/>
        </w:rPr>
        <w:t xml:space="preserve">The Company has investments in various energy projects accounted for by the equity method, several of which are VIEs, where the Company is not a primary beneficiary, as described in Note 5, </w:t>
      </w:r>
      <w:r>
        <w:rPr>
          <w:rFonts w:ascii="Arial" w:cs="Arial" w:eastAsia="Arial" w:hAnsi="Arial"/>
          <w:sz w:val="18"/>
          <w:szCs w:val="18"/>
          <w:b w:val="1"/>
          <w:bCs w:val="1"/>
          <w:i w:val="1"/>
          <w:iCs w:val="1"/>
          <w:color w:val="auto"/>
        </w:rPr>
        <w:t>Investments Accounted for by the Equity Method and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Variable Interest Entities</w:t>
      </w:r>
      <w:r>
        <w:rPr>
          <w:rFonts w:ascii="Arial" w:cs="Arial" w:eastAsia="Arial" w:hAnsi="Arial"/>
          <w:sz w:val="18"/>
          <w:szCs w:val="18"/>
          <w:color w:val="auto"/>
        </w:rPr>
        <w:t>. The equity method of accounting is applied to these investments in affiliates because the ownership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structure prevents the Company from exercising a controlling influence over the operating and financial policies of the projects. Under this method, equity in pre-tax income or losses of the investments is reflected as equity in earnings of unconsolidated affiliates. Distributions from equity method investments that represent earnings on the Company’s investment are included within cash flows from operating activities and distributions from equity method investments that represent a return of the Company’s investment are included within cash flows from investing activities.</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Sale-Leaseback Arrangements</w:t>
      </w:r>
    </w:p>
    <w:p>
      <w:pPr>
        <w:spacing w:after="0" w:line="196" w:lineRule="exact"/>
        <w:rPr>
          <w:sz w:val="20"/>
          <w:szCs w:val="20"/>
          <w:color w:val="auto"/>
        </w:rPr>
      </w:pPr>
    </w:p>
    <w:p>
      <w:pPr>
        <w:jc w:val="both"/>
        <w:ind w:firstLine="448"/>
        <w:spacing w:after="0" w:line="254" w:lineRule="auto"/>
        <w:rPr>
          <w:sz w:val="20"/>
          <w:szCs w:val="20"/>
          <w:color w:val="auto"/>
        </w:rPr>
      </w:pPr>
      <w:r>
        <w:rPr>
          <w:rFonts w:ascii="Arial" w:cs="Arial" w:eastAsia="Arial" w:hAnsi="Arial"/>
          <w:sz w:val="20"/>
          <w:szCs w:val="20"/>
          <w:color w:val="auto"/>
        </w:rPr>
        <w:t xml:space="preserve">The Company is party to sale-leaseback arrangements that provide for the sale of certain assets to a third-party and simultaneous leaseback to the Company. In accordance with ASC 840-40, </w:t>
      </w:r>
      <w:r>
        <w:rPr>
          <w:rFonts w:ascii="Arial" w:cs="Arial" w:eastAsia="Arial" w:hAnsi="Arial"/>
          <w:sz w:val="20"/>
          <w:szCs w:val="20"/>
          <w:b w:val="1"/>
          <w:bCs w:val="1"/>
          <w:i w:val="1"/>
          <w:iCs w:val="1"/>
          <w:color w:val="auto"/>
        </w:rPr>
        <w:t>Sale-Leaseback Transactions</w:t>
      </w:r>
      <w:r>
        <w:rPr>
          <w:rFonts w:ascii="Arial" w:cs="Arial" w:eastAsia="Arial" w:hAnsi="Arial"/>
          <w:sz w:val="20"/>
          <w:szCs w:val="20"/>
          <w:color w:val="auto"/>
        </w:rPr>
        <w:t>, if the seller-lessee retains, through the leaseback, substantially all of the benefits and risks incident to the ownership of the property sold, the sale-leaseback transaction is accounted for as a financing arrangement. An example of this type of continuing involvement would include an option to repurchase the assets or the buyer-lessor having the option to sell the assets back to the Company. This provision is included in most of the Company’s sale-leaseback arrangements. As such, the Company accounts for these arrangements as financings.</w:t>
      </w:r>
    </w:p>
    <w:p>
      <w:pPr>
        <w:spacing w:after="0" w:line="147" w:lineRule="exact"/>
        <w:rPr>
          <w:sz w:val="20"/>
          <w:szCs w:val="20"/>
          <w:color w:val="auto"/>
        </w:rPr>
      </w:pPr>
    </w:p>
    <w:p>
      <w:pPr>
        <w:jc w:val="both"/>
        <w:ind w:firstLine="448"/>
        <w:spacing w:after="0" w:line="269" w:lineRule="auto"/>
        <w:rPr>
          <w:sz w:val="20"/>
          <w:szCs w:val="20"/>
          <w:color w:val="auto"/>
        </w:rPr>
      </w:pPr>
      <w:r>
        <w:rPr>
          <w:rFonts w:ascii="Arial" w:cs="Arial" w:eastAsia="Arial" w:hAnsi="Arial"/>
          <w:sz w:val="19"/>
          <w:szCs w:val="19"/>
          <w:color w:val="auto"/>
        </w:rPr>
        <w:t>Under the financing method, the Company does not recognize as income any of the sale proceeds received from the lessor that contractually constitutes payment to acquire the assets subject to these arrangements. Instead, the sale proceeds received are accounted for as financing obligations and leaseback payments made by the Company are allocated between interest expense and a reduction to the financing obligation. Interest on the financing obligation is calculated using the Company’s incremental borrowing rate at the inception of the arrangement on the outstanding financing obligation. Judgment is required to determine the appropriate borrowing rate for the arrangement and in determining any gain or loss on the transaction that would be recorded either at the end of or over the lease term.</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Taxes</w:t>
      </w:r>
    </w:p>
    <w:p>
      <w:pPr>
        <w:spacing w:after="0" w:line="193" w:lineRule="exact"/>
        <w:rPr>
          <w:sz w:val="20"/>
          <w:szCs w:val="20"/>
          <w:color w:val="auto"/>
        </w:rPr>
      </w:pPr>
    </w:p>
    <w:p>
      <w:pPr>
        <w:jc w:val="both"/>
        <w:ind w:firstLine="448"/>
        <w:spacing w:after="0" w:line="266" w:lineRule="auto"/>
        <w:rPr>
          <w:sz w:val="20"/>
          <w:szCs w:val="20"/>
          <w:color w:val="auto"/>
        </w:rPr>
      </w:pPr>
      <w:r>
        <w:rPr>
          <w:rFonts w:ascii="Arial" w:cs="Arial" w:eastAsia="Arial" w:hAnsi="Arial"/>
          <w:sz w:val="20"/>
          <w:szCs w:val="20"/>
          <w:color w:val="auto"/>
        </w:rPr>
        <w:t xml:space="preserve">The Company accounts for income taxes using the liability method in accordance with ASC 740, </w:t>
      </w:r>
      <w:r>
        <w:rPr>
          <w:rFonts w:ascii="Arial" w:cs="Arial" w:eastAsia="Arial" w:hAnsi="Arial"/>
          <w:sz w:val="20"/>
          <w:szCs w:val="20"/>
          <w:b w:val="1"/>
          <w:bCs w:val="1"/>
          <w:i w:val="1"/>
          <w:iCs w:val="1"/>
          <w:color w:val="auto"/>
        </w:rPr>
        <w:t>Income Taxes</w:t>
      </w:r>
      <w:r>
        <w:rPr>
          <w:rFonts w:ascii="Arial" w:cs="Arial" w:eastAsia="Arial" w:hAnsi="Arial"/>
          <w:sz w:val="20"/>
          <w:szCs w:val="20"/>
          <w:color w:val="auto"/>
        </w:rPr>
        <w:t>, or ASC 740, which requires that the Company use the asset and liability method of accounting for deferred income taxes and provide deferred income taxes for all significant temporary differences.</w:t>
      </w:r>
    </w:p>
    <w:p>
      <w:pPr>
        <w:sectPr>
          <w:pgSz w:w="11880" w:h="15480" w:orient="portrait"/>
          <w:cols w:equalWidth="0" w:num="1">
            <w:col w:w="10200"/>
          </w:cols>
          <w:pgMar w:left="840" w:top="411"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ectPr>
          <w:pgSz w:w="11880" w:h="15480" w:orient="portrait"/>
          <w:cols w:equalWidth="0" w:num="1">
            <w:col w:w="10200"/>
          </w:cols>
          <w:pgMar w:left="840" w:top="411" w:right="840" w:bottom="0" w:gutter="0" w:footer="0" w:header="0"/>
          <w:type w:val="continuous"/>
        </w:sectPr>
      </w:pPr>
    </w:p>
    <w:bookmarkStart w:id="89" w:name="page90"/>
    <w:bookmarkEnd w:id="89"/>
    <w:p>
      <w:pPr>
        <w:ind w:left="440"/>
        <w:spacing w:after="0"/>
        <w:rPr>
          <w:sz w:val="20"/>
          <w:szCs w:val="20"/>
          <w:color w:val="auto"/>
        </w:rPr>
      </w:pPr>
      <w:r>
        <w:rPr>
          <w:rFonts w:ascii="Arial" w:cs="Arial" w:eastAsia="Arial" w:hAnsi="Arial"/>
          <w:sz w:val="20"/>
          <w:szCs w:val="20"/>
          <w:color w:val="auto"/>
        </w:rPr>
        <w:t>The Company has two categories of income tax expense or benefit — current and deferred, as follows:</w:t>
      </w:r>
    </w:p>
    <w:p>
      <w:pPr>
        <w:spacing w:after="0" w:line="188" w:lineRule="exact"/>
        <w:rPr>
          <w:sz w:val="20"/>
          <w:szCs w:val="20"/>
          <w:color w:val="auto"/>
        </w:rPr>
      </w:pPr>
    </w:p>
    <w:p>
      <w:pPr>
        <w:ind w:left="720" w:hanging="366"/>
        <w:spacing w:after="0"/>
        <w:tabs>
          <w:tab w:leader="none" w:pos="720" w:val="left"/>
        </w:tabs>
        <w:numPr>
          <w:ilvl w:val="0"/>
          <w:numId w:val="51"/>
        </w:numPr>
        <w:rPr>
          <w:rFonts w:ascii="Arial" w:cs="Arial" w:eastAsia="Arial" w:hAnsi="Arial"/>
          <w:sz w:val="19"/>
          <w:szCs w:val="19"/>
          <w:color w:val="auto"/>
        </w:rPr>
      </w:pPr>
      <w:r>
        <w:rPr>
          <w:rFonts w:ascii="Arial" w:cs="Arial" w:eastAsia="Arial" w:hAnsi="Arial"/>
          <w:sz w:val="19"/>
          <w:szCs w:val="19"/>
          <w:color w:val="auto"/>
        </w:rPr>
        <w:t>Current income tax expense or benefit consists solely of current taxes payable less applicable tax credits, and</w:t>
      </w:r>
    </w:p>
    <w:p>
      <w:pPr>
        <w:spacing w:after="0" w:line="80" w:lineRule="exact"/>
        <w:rPr>
          <w:rFonts w:ascii="Arial" w:cs="Arial" w:eastAsia="Arial" w:hAnsi="Arial"/>
          <w:sz w:val="19"/>
          <w:szCs w:val="19"/>
          <w:color w:val="auto"/>
        </w:rPr>
      </w:pPr>
    </w:p>
    <w:p>
      <w:pPr>
        <w:ind w:left="720" w:hanging="366"/>
        <w:spacing w:after="0" w:line="280" w:lineRule="auto"/>
        <w:tabs>
          <w:tab w:leader="none" w:pos="720" w:val="left"/>
        </w:tabs>
        <w:numPr>
          <w:ilvl w:val="0"/>
          <w:numId w:val="51"/>
        </w:numPr>
        <w:rPr>
          <w:rFonts w:ascii="Arial" w:cs="Arial" w:eastAsia="Arial" w:hAnsi="Arial"/>
          <w:sz w:val="20"/>
          <w:szCs w:val="20"/>
          <w:color w:val="auto"/>
        </w:rPr>
      </w:pPr>
      <w:r>
        <w:rPr>
          <w:rFonts w:ascii="Arial" w:cs="Arial" w:eastAsia="Arial" w:hAnsi="Arial"/>
          <w:sz w:val="20"/>
          <w:szCs w:val="20"/>
          <w:color w:val="auto"/>
        </w:rPr>
        <w:t>Deferred income tax expense or benefit is the change in the net deferred income tax asset or liability, excluding amounts charged or credited to accumulated other comprehensive income (loss).</w:t>
      </w:r>
    </w:p>
    <w:p>
      <w:pPr>
        <w:spacing w:after="0" w:line="120" w:lineRule="exact"/>
        <w:rPr>
          <w:sz w:val="20"/>
          <w:szCs w:val="20"/>
          <w:color w:val="auto"/>
        </w:rPr>
      </w:pPr>
    </w:p>
    <w:p>
      <w:pPr>
        <w:jc w:val="both"/>
        <w:ind w:firstLine="448"/>
        <w:spacing w:after="0" w:line="267" w:lineRule="auto"/>
        <w:rPr>
          <w:sz w:val="20"/>
          <w:szCs w:val="20"/>
          <w:color w:val="auto"/>
        </w:rPr>
      </w:pPr>
      <w:r>
        <w:rPr>
          <w:rFonts w:ascii="Arial" w:cs="Arial" w:eastAsia="Arial" w:hAnsi="Arial"/>
          <w:sz w:val="19"/>
          <w:szCs w:val="19"/>
          <w:color w:val="auto"/>
        </w:rPr>
        <w:t>The Company reports some of its revenues and expenses differently for financial statement purposes than for income tax return purposes, resulting in temporary and permanent differences between the Company’s financial statements and income tax returns. The tax effects of such temporary differences are recorded as either deferred income tax assets or deferred income tax liabilities in the Company’s consolidated balance sheets. The Company measures its deferred income tax assets and deferred income tax liabilities using income tax rates that are currently in effect. The Company believes it is more likely than not that the results of future operations will generate sufficient taxable income which includes the future reversal of existing taxable temporary differences to realize deferred tax assets, net of valuation allowances. In arriving at this conclusion to utilize projections of future profit before tax in its estimate of future taxable income, the Company considered the profit before tax generated in recent years. A valuation allowance is recorded to reduce the net deferred tax assets to an amount that is more-likely-than-not to be realized.</w:t>
      </w:r>
    </w:p>
    <w:p>
      <w:pPr>
        <w:spacing w:after="0" w:line="136" w:lineRule="exact"/>
        <w:rPr>
          <w:sz w:val="20"/>
          <w:szCs w:val="20"/>
          <w:color w:val="auto"/>
        </w:rPr>
      </w:pPr>
    </w:p>
    <w:p>
      <w:pPr>
        <w:jc w:val="both"/>
        <w:ind w:firstLine="448"/>
        <w:spacing w:after="0" w:line="277" w:lineRule="auto"/>
        <w:rPr>
          <w:sz w:val="20"/>
          <w:szCs w:val="20"/>
          <w:color w:val="auto"/>
        </w:rPr>
      </w:pPr>
      <w:r>
        <w:rPr>
          <w:rFonts w:ascii="Arial" w:cs="Arial" w:eastAsia="Arial" w:hAnsi="Arial"/>
          <w:sz w:val="19"/>
          <w:szCs w:val="19"/>
          <w:color w:val="auto"/>
        </w:rPr>
        <w:t>The Company accounts for uncertain tax positions in accordance with ASC 740, which applies to all tax positions related to income taxes. Under ASC 740, tax benefits are recognized when it is more-likely-than-not that a tax position will be sustained upon examination by the authorities. The benefit recognized from a position that has surpassed the more-likely-than-not threshold is the largest amount of benefit that is more than 50% likely to be realized upon settlement.</w:t>
      </w:r>
    </w:p>
    <w:p>
      <w:pPr>
        <w:spacing w:after="0" w:line="123" w:lineRule="exact"/>
        <w:rPr>
          <w:sz w:val="20"/>
          <w:szCs w:val="20"/>
          <w:color w:val="auto"/>
        </w:rPr>
      </w:pPr>
    </w:p>
    <w:p>
      <w:pPr>
        <w:jc w:val="both"/>
        <w:ind w:firstLine="448"/>
        <w:spacing w:after="0" w:line="311" w:lineRule="auto"/>
        <w:rPr>
          <w:sz w:val="20"/>
          <w:szCs w:val="20"/>
          <w:color w:val="auto"/>
        </w:rPr>
      </w:pPr>
      <w:r>
        <w:rPr>
          <w:rFonts w:ascii="Arial" w:cs="Arial" w:eastAsia="Arial" w:hAnsi="Arial"/>
          <w:sz w:val="19"/>
          <w:szCs w:val="19"/>
          <w:color w:val="auto"/>
        </w:rPr>
        <w:t xml:space="preserve">In accordance with ASC 740 and as discussed further in Note 14, </w:t>
      </w:r>
      <w:r>
        <w:rPr>
          <w:rFonts w:ascii="Arial" w:cs="Arial" w:eastAsia="Arial" w:hAnsi="Arial"/>
          <w:sz w:val="19"/>
          <w:szCs w:val="19"/>
          <w:b w:val="1"/>
          <w:bCs w:val="1"/>
          <w:i w:val="1"/>
          <w:iCs w:val="1"/>
          <w:color w:val="auto"/>
        </w:rPr>
        <w:t>Income Taxes</w:t>
      </w:r>
      <w:r>
        <w:rPr>
          <w:rFonts w:ascii="Arial" w:cs="Arial" w:eastAsia="Arial" w:hAnsi="Arial"/>
          <w:sz w:val="19"/>
          <w:szCs w:val="19"/>
          <w:color w:val="auto"/>
        </w:rPr>
        <w:t>, changes to existing net deferred tax assets, valuation allowances, or changes to uncertain tax benefits, are recorded to income tax expense.</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Asset Acquisitions</w:t>
      </w:r>
    </w:p>
    <w:p>
      <w:pPr>
        <w:spacing w:after="0" w:line="193" w:lineRule="exact"/>
        <w:rPr>
          <w:sz w:val="20"/>
          <w:szCs w:val="20"/>
          <w:color w:val="auto"/>
        </w:rPr>
      </w:pPr>
    </w:p>
    <w:p>
      <w:pPr>
        <w:jc w:val="both"/>
        <w:ind w:firstLine="448"/>
        <w:spacing w:after="0" w:line="289" w:lineRule="auto"/>
        <w:rPr>
          <w:sz w:val="20"/>
          <w:szCs w:val="20"/>
          <w:color w:val="auto"/>
        </w:rPr>
      </w:pPr>
      <w:r>
        <w:rPr>
          <w:rFonts w:ascii="Arial" w:cs="Arial" w:eastAsia="Arial" w:hAnsi="Arial"/>
          <w:sz w:val="18"/>
          <w:szCs w:val="18"/>
          <w:color w:val="auto"/>
        </w:rPr>
        <w:t xml:space="preserve">The Company accounts for its acquisitions in accordance with ASC 805, </w:t>
      </w:r>
      <w:r>
        <w:rPr>
          <w:rFonts w:ascii="Arial" w:cs="Arial" w:eastAsia="Arial" w:hAnsi="Arial"/>
          <w:sz w:val="18"/>
          <w:szCs w:val="18"/>
          <w:b w:val="1"/>
          <w:bCs w:val="1"/>
          <w:i w:val="1"/>
          <w:iCs w:val="1"/>
          <w:color w:val="auto"/>
        </w:rPr>
        <w:t>Business Combinations,</w:t>
      </w:r>
      <w:r>
        <w:rPr>
          <w:rFonts w:ascii="Arial" w:cs="Arial" w:eastAsia="Arial" w:hAnsi="Arial"/>
          <w:sz w:val="18"/>
          <w:szCs w:val="18"/>
          <w:color w:val="auto"/>
        </w:rPr>
        <w:t xml:space="preserve"> or ASC 805. For third-party acquisitions, ASC 805 requires an acquirer to recognize and measure in its financial statements the identifiable assets acquired, the liabilities assumed and any noncontrolling interest in the acquiree at fair value at the acquisition date. No goodwill is recognized, and excess purchase price or negative goodwill are allocated to the acquired assets on a relative fair value basis. For acquisitions that relate to entities under common control, the difference between the cash paid and historical value of the entities’ equity is recorded as a distribution/contribution from/to CEG with the offset to noncontrolling interest.</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Tax Equity Arrangements</w:t>
      </w:r>
    </w:p>
    <w:p>
      <w:pPr>
        <w:spacing w:after="0" w:line="196" w:lineRule="exact"/>
        <w:rPr>
          <w:sz w:val="20"/>
          <w:szCs w:val="20"/>
          <w:color w:val="auto"/>
        </w:rPr>
      </w:pPr>
    </w:p>
    <w:p>
      <w:pPr>
        <w:jc w:val="both"/>
        <w:ind w:firstLine="448"/>
        <w:spacing w:after="0" w:line="280" w:lineRule="auto"/>
        <w:rPr>
          <w:sz w:val="20"/>
          <w:szCs w:val="20"/>
          <w:color w:val="auto"/>
        </w:rPr>
      </w:pPr>
      <w:r>
        <w:rPr>
          <w:rFonts w:ascii="Arial" w:cs="Arial" w:eastAsia="Arial" w:hAnsi="Arial"/>
          <w:sz w:val="18"/>
          <w:szCs w:val="18"/>
          <w:color w:val="auto"/>
        </w:rPr>
        <w:t>Certain portions of the Company’s redeemable noncontrolling interest in subsidiaries and noncontrolling interest represent third-party interests in the net assets under certain tax equity arrangements, which are consolidated by the Company, that have been entered into to finance the cost of solar and wind facilities eligible for certain tax credits. The Company has determined that the provisions in the contractual agreements of these structures represent substantive profit sharing arrangements. Further, the Company has determined that the appropriate methodology for calculating the redeemable noncontrolling interest and noncontrolling interest that reflects the substantive profit sharing arrangements is a balance sheet approach utilizing the hypothetical liquidation at book value, or HLBV, method. Under the HLBV method, the amounts reported as redeemable noncontrolling interest and noncontrolling interest represent the amounts the investors to the tax equity arrangements would hypothetically receive at each balance sheet date under the liquidation provisions of the contractual agreements, assuming the net assets of the funding structures were liquidated at their recorded amounts determined in accordance with GAAP. The investors’ interests in the results of operations of the funding structures are determined as the difference in redeemable noncontrolling interest and noncontrolling interest at the start and end of each reporting period, after taking into account any capital transactions between the structures and the funds’ investors. The calculations utilized to apply the HLBV method include estimated calculations of taxable income or losses for each reporting period. In addition, in certain circumstances, the Company and its partners in the tax equity arrangements agree that certain tax benefits are to be utilized outside of the tax equity arrangements, which may result in differences in the amount an investor would hypothetically receive at the initial balance sheet date calculated strictly in accordance with related contractual agreements. These differences are recognized in the consolidated statements of income using a systematic and rational method over the period during which the investor is expected to achieve its target return.</w:t>
      </w:r>
    </w:p>
    <w:p>
      <w:pPr>
        <w:sectPr>
          <w:pgSz w:w="11880" w:h="15480" w:orient="portrait"/>
          <w:cols w:equalWidth="0" w:num="1">
            <w:col w:w="10200"/>
          </w:cols>
          <w:pgMar w:left="840" w:top="411"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ectPr>
          <w:pgSz w:w="11880" w:h="15480" w:orient="portrait"/>
          <w:cols w:equalWidth="0" w:num="1">
            <w:col w:w="10200"/>
          </w:cols>
          <w:pgMar w:left="840" w:top="411" w:right="840" w:bottom="0" w:gutter="0" w:footer="0" w:header="0"/>
          <w:type w:val="continuous"/>
        </w:sectPr>
      </w:pPr>
    </w:p>
    <w:bookmarkStart w:id="90" w:name="page91"/>
    <w:bookmarkEnd w:id="90"/>
    <w:p>
      <w:pPr>
        <w:spacing w:after="0"/>
        <w:rPr>
          <w:sz w:val="20"/>
          <w:szCs w:val="20"/>
          <w:color w:val="auto"/>
        </w:rPr>
      </w:pPr>
      <w:r>
        <w:rPr>
          <w:rFonts w:ascii="Arial" w:cs="Arial" w:eastAsia="Arial" w:hAnsi="Arial"/>
          <w:sz w:val="20"/>
          <w:szCs w:val="20"/>
          <w:b w:val="1"/>
          <w:bCs w:val="1"/>
          <w:i w:val="1"/>
          <w:iCs w:val="1"/>
          <w:color w:val="auto"/>
        </w:rPr>
        <w:t>Redeemable Noncontrolling Interest</w:t>
      </w:r>
    </w:p>
    <w:p>
      <w:pPr>
        <w:spacing w:after="0" w:line="196" w:lineRule="exact"/>
        <w:rPr>
          <w:sz w:val="20"/>
          <w:szCs w:val="20"/>
          <w:color w:val="auto"/>
        </w:rPr>
      </w:pPr>
    </w:p>
    <w:p>
      <w:pPr>
        <w:jc w:val="both"/>
        <w:ind w:firstLine="448"/>
        <w:spacing w:after="0" w:line="273" w:lineRule="auto"/>
        <w:rPr>
          <w:sz w:val="20"/>
          <w:szCs w:val="20"/>
          <w:color w:val="auto"/>
        </w:rPr>
      </w:pPr>
      <w:r>
        <w:rPr>
          <w:rFonts w:ascii="Arial" w:cs="Arial" w:eastAsia="Arial" w:hAnsi="Arial"/>
          <w:sz w:val="19"/>
          <w:szCs w:val="19"/>
          <w:color w:val="auto"/>
        </w:rPr>
        <w:t xml:space="preserve">To the extent that a third party has the right to redeem their interests for cash or other assets, the Company has included the noncontrolling interest attributable to the third party as a component of temporary equity in the mezzanine section of the consolidated balance sheet. During the fourth quarter of 2023, the Company repurchased a partner’s equity interest, as further described in Note 5, </w:t>
      </w:r>
      <w:r>
        <w:rPr>
          <w:rFonts w:ascii="Arial" w:cs="Arial" w:eastAsia="Arial" w:hAnsi="Arial"/>
          <w:sz w:val="19"/>
          <w:szCs w:val="19"/>
          <w:b w:val="1"/>
          <w:bCs w:val="1"/>
          <w:i w:val="1"/>
          <w:iCs w:val="1"/>
          <w:color w:val="auto"/>
        </w:rPr>
        <w:t>Investments Accounted for by the Equity Method and Variable Interest Entities</w:t>
      </w:r>
      <w:r>
        <w:rPr>
          <w:rFonts w:ascii="Arial" w:cs="Arial" w:eastAsia="Arial" w:hAnsi="Arial"/>
          <w:sz w:val="19"/>
          <w:szCs w:val="19"/>
          <w:color w:val="auto"/>
        </w:rPr>
        <w:t>. The following table reflects the changes in the Company’s redeemable noncontrolling interest balance: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8360" w:type="dxa"/>
            <w:vAlign w:val="bottom"/>
            <w:tcBorders>
              <w:bottom w:val="single" w:sz="8" w:color="E6E6E6"/>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322"/>
              <w:spacing w:after="0"/>
              <w:rPr>
                <w:sz w:val="20"/>
                <w:szCs w:val="20"/>
                <w:color w:val="auto"/>
              </w:rPr>
            </w:pPr>
            <w:r>
              <w:rPr>
                <w:rFonts w:ascii="Arial" w:cs="Arial" w:eastAsia="Arial" w:hAnsi="Arial"/>
                <w:sz w:val="18"/>
                <w:szCs w:val="18"/>
                <w:b w:val="1"/>
                <w:bCs w:val="1"/>
                <w:color w:val="auto"/>
              </w:rPr>
              <w:t>(In millions)</w:t>
            </w:r>
          </w:p>
        </w:tc>
      </w:tr>
      <w:tr>
        <w:trPr>
          <w:trHeight w:val="289"/>
        </w:trPr>
        <w:tc>
          <w:tcPr>
            <w:tcW w:w="8360" w:type="dxa"/>
            <w:vAlign w:val="bottom"/>
            <w:shd w:val="clear" w:color="auto" w:fill="E6E6E6"/>
          </w:tcPr>
          <w:p>
            <w:pPr>
              <w:jc w:val="right"/>
              <w:ind w:right="21"/>
              <w:spacing w:after="0"/>
              <w:rPr>
                <w:sz w:val="20"/>
                <w:szCs w:val="20"/>
                <w:color w:val="auto"/>
              </w:rPr>
            </w:pPr>
            <w:r>
              <w:rPr>
                <w:rFonts w:ascii="Arial" w:cs="Arial" w:eastAsia="Arial" w:hAnsi="Arial"/>
                <w:sz w:val="20"/>
                <w:szCs w:val="20"/>
                <w:b w:val="1"/>
                <w:bCs w:val="1"/>
                <w:color w:val="auto"/>
                <w:w w:val="89"/>
              </w:rPr>
              <w:t xml:space="preserve">Balance at December 31, 2021  </w:t>
            </w:r>
            <w:r>
              <w:rPr>
                <w:rFonts w:ascii="Arial" w:cs="Arial" w:eastAsia="Arial" w:hAnsi="Arial"/>
                <w:sz w:val="20"/>
                <w:szCs w:val="20"/>
                <w:b w:val="1"/>
                <w:bCs w:val="1"/>
                <w:color w:val="BDBDBD"/>
                <w:w w:val="89"/>
              </w:rPr>
              <w:t>. . . . . . . . . . . . . . . . . . . . . . . . . . . . . . . . . . . . . . . . . . . . . . . . . . . . . . . .</w:t>
            </w:r>
          </w:p>
        </w:tc>
        <w:tc>
          <w:tcPr>
            <w:tcW w:w="320" w:type="dxa"/>
            <w:vAlign w:val="bottom"/>
            <w:shd w:val="clear" w:color="auto" w:fill="E6E6E6"/>
          </w:tcPr>
          <w:p>
            <w:pPr>
              <w:jc w:val="right"/>
              <w:ind w:right="61"/>
              <w:spacing w:after="0"/>
              <w:rPr>
                <w:sz w:val="20"/>
                <w:szCs w:val="20"/>
                <w:color w:val="auto"/>
              </w:rPr>
            </w:pPr>
            <w:r>
              <w:rPr>
                <w:rFonts w:ascii="Arial" w:cs="Arial" w:eastAsia="Arial" w:hAnsi="Arial"/>
                <w:sz w:val="20"/>
                <w:szCs w:val="20"/>
                <w:color w:val="auto"/>
              </w:rPr>
              <w:t>$</w:t>
            </w:r>
          </w:p>
        </w:tc>
        <w:tc>
          <w:tcPr>
            <w:tcW w:w="15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r>
      <w:tr>
        <w:trPr>
          <w:trHeight w:val="292"/>
        </w:trPr>
        <w:tc>
          <w:tcPr>
            <w:tcW w:w="8360" w:type="dxa"/>
            <w:vAlign w:val="bottom"/>
          </w:tcPr>
          <w:p>
            <w:pPr>
              <w:jc w:val="right"/>
              <w:ind w:right="21"/>
              <w:spacing w:after="0"/>
              <w:rPr>
                <w:sz w:val="20"/>
                <w:szCs w:val="20"/>
                <w:color w:val="auto"/>
              </w:rPr>
            </w:pPr>
            <w:r>
              <w:rPr>
                <w:rFonts w:ascii="Arial" w:cs="Arial" w:eastAsia="Arial" w:hAnsi="Arial"/>
                <w:sz w:val="20"/>
                <w:szCs w:val="20"/>
                <w:color w:val="auto"/>
                <w:w w:val="92"/>
              </w:rPr>
              <w:t xml:space="preserve">Cash distributions to redeemable noncontrolling interests </w:t>
            </w:r>
            <w:r>
              <w:rPr>
                <w:rFonts w:ascii="Arial" w:cs="Arial" w:eastAsia="Arial" w:hAnsi="Arial"/>
                <w:sz w:val="20"/>
                <w:szCs w:val="20"/>
                <w:color w:val="BDBDBD"/>
                <w:w w:val="92"/>
              </w:rPr>
              <w:t>. . . . . . . . . . . . . . . . . . . . . . . . . . . . . . . . . . .</w:t>
            </w:r>
          </w:p>
        </w:tc>
        <w:tc>
          <w:tcPr>
            <w:tcW w:w="3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314"/>
        </w:trPr>
        <w:tc>
          <w:tcPr>
            <w:tcW w:w="8360" w:type="dxa"/>
            <w:vAlign w:val="bottom"/>
            <w:tcBorders>
              <w:bottom w:val="single" w:sz="8" w:color="E6E6E6"/>
            </w:tcBorders>
            <w:shd w:val="clear" w:color="auto" w:fill="E6E6E6"/>
          </w:tcPr>
          <w:p>
            <w:pPr>
              <w:jc w:val="right"/>
              <w:ind w:right="21"/>
              <w:spacing w:after="0"/>
              <w:rPr>
                <w:sz w:val="20"/>
                <w:szCs w:val="20"/>
                <w:color w:val="auto"/>
              </w:rPr>
            </w:pPr>
            <w:r>
              <w:rPr>
                <w:rFonts w:ascii="Arial" w:cs="Arial" w:eastAsia="Arial" w:hAnsi="Arial"/>
                <w:sz w:val="20"/>
                <w:szCs w:val="20"/>
                <w:color w:val="auto"/>
                <w:w w:val="92"/>
              </w:rPr>
              <w:t xml:space="preserve">Comprehensive income attributable to redeemable noncontrolling interests </w:t>
            </w:r>
            <w:r>
              <w:rPr>
                <w:rFonts w:ascii="Arial" w:cs="Arial" w:eastAsia="Arial" w:hAnsi="Arial"/>
                <w:sz w:val="20"/>
                <w:szCs w:val="20"/>
                <w:color w:val="BDBDBD"/>
                <w:w w:val="92"/>
              </w:rPr>
              <w:t>. . . . . . . . . . . . . . . . . . . . .</w:t>
            </w:r>
          </w:p>
        </w:tc>
        <w:tc>
          <w:tcPr>
            <w:tcW w:w="320" w:type="dxa"/>
            <w:vAlign w:val="bottom"/>
            <w:tcBorders>
              <w:bottom w:val="single" w:sz="8" w:color="auto"/>
            </w:tcBorders>
            <w:shd w:val="clear" w:color="auto" w:fill="E6E6E6"/>
          </w:tcPr>
          <w:p>
            <w:pPr>
              <w:spacing w:after="0"/>
              <w:rPr>
                <w:sz w:val="24"/>
                <w:szCs w:val="24"/>
                <w:color w:val="auto"/>
              </w:rPr>
            </w:pPr>
          </w:p>
        </w:tc>
        <w:tc>
          <w:tcPr>
            <w:tcW w:w="15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11</w:t>
            </w:r>
          </w:p>
        </w:tc>
      </w:tr>
      <w:tr>
        <w:trPr>
          <w:trHeight w:val="263"/>
        </w:trPr>
        <w:tc>
          <w:tcPr>
            <w:tcW w:w="8360" w:type="dxa"/>
            <w:vAlign w:val="bottom"/>
          </w:tcPr>
          <w:p>
            <w:pPr>
              <w:jc w:val="right"/>
              <w:ind w:right="21"/>
              <w:spacing w:after="0"/>
              <w:rPr>
                <w:sz w:val="20"/>
                <w:szCs w:val="20"/>
                <w:color w:val="auto"/>
              </w:rPr>
            </w:pPr>
            <w:r>
              <w:rPr>
                <w:rFonts w:ascii="Arial" w:cs="Arial" w:eastAsia="Arial" w:hAnsi="Arial"/>
                <w:sz w:val="20"/>
                <w:szCs w:val="20"/>
                <w:b w:val="1"/>
                <w:bCs w:val="1"/>
                <w:color w:val="auto"/>
                <w:w w:val="89"/>
              </w:rPr>
              <w:t xml:space="preserve">Balance at December 31, 2022  </w:t>
            </w:r>
            <w:r>
              <w:rPr>
                <w:rFonts w:ascii="Arial" w:cs="Arial" w:eastAsia="Arial" w:hAnsi="Arial"/>
                <w:sz w:val="20"/>
                <w:szCs w:val="20"/>
                <w:b w:val="1"/>
                <w:bCs w:val="1"/>
                <w:color w:val="BDBDBD"/>
                <w:w w:val="89"/>
              </w:rPr>
              <w:t>. . . . . . . . . . . . . . . . . . . . . . . . . . . . . . . . . . . . . . . . . . . . . . . . . . . . . . . .</w:t>
            </w:r>
          </w:p>
        </w:tc>
        <w:tc>
          <w:tcPr>
            <w:tcW w:w="3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305"/>
        </w:trPr>
        <w:tc>
          <w:tcPr>
            <w:tcW w:w="8360" w:type="dxa"/>
            <w:vAlign w:val="bottom"/>
            <w:shd w:val="clear" w:color="auto" w:fill="E6E6E6"/>
          </w:tcPr>
          <w:p>
            <w:pPr>
              <w:jc w:val="right"/>
              <w:ind w:right="21"/>
              <w:spacing w:after="0"/>
              <w:rPr>
                <w:sz w:val="20"/>
                <w:szCs w:val="20"/>
                <w:color w:val="auto"/>
              </w:rPr>
            </w:pPr>
            <w:r>
              <w:rPr>
                <w:rFonts w:ascii="Arial" w:cs="Arial" w:eastAsia="Arial" w:hAnsi="Arial"/>
                <w:sz w:val="20"/>
                <w:szCs w:val="20"/>
                <w:color w:val="auto"/>
                <w:w w:val="92"/>
              </w:rPr>
              <w:t xml:space="preserve">Cash distributions to redeemable noncontrolling interests </w:t>
            </w:r>
            <w:r>
              <w:rPr>
                <w:rFonts w:ascii="Arial" w:cs="Arial" w:eastAsia="Arial" w:hAnsi="Arial"/>
                <w:sz w:val="20"/>
                <w:szCs w:val="20"/>
                <w:color w:val="BDBDBD"/>
                <w:w w:val="92"/>
              </w:rPr>
              <w:t>. . . . . . . . . . . . . . . . . . . . . . . . . . . . . . . . . . .</w:t>
            </w:r>
          </w:p>
        </w:tc>
        <w:tc>
          <w:tcPr>
            <w:tcW w:w="320" w:type="dxa"/>
            <w:vAlign w:val="bottom"/>
            <w:shd w:val="clear" w:color="auto" w:fill="E6E6E6"/>
          </w:tcPr>
          <w:p>
            <w:pPr>
              <w:spacing w:after="0"/>
              <w:rPr>
                <w:sz w:val="24"/>
                <w:szCs w:val="24"/>
                <w:color w:val="auto"/>
              </w:rPr>
            </w:pPr>
          </w:p>
        </w:tc>
        <w:tc>
          <w:tcPr>
            <w:tcW w:w="15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w:t>
            </w:r>
          </w:p>
        </w:tc>
      </w:tr>
      <w:tr>
        <w:trPr>
          <w:trHeight w:val="292"/>
        </w:trPr>
        <w:tc>
          <w:tcPr>
            <w:tcW w:w="8360" w:type="dxa"/>
            <w:vAlign w:val="bottom"/>
          </w:tcPr>
          <w:p>
            <w:pPr>
              <w:jc w:val="right"/>
              <w:ind w:right="21"/>
              <w:spacing w:after="0"/>
              <w:rPr>
                <w:sz w:val="20"/>
                <w:szCs w:val="20"/>
                <w:color w:val="auto"/>
              </w:rPr>
            </w:pPr>
            <w:r>
              <w:rPr>
                <w:rFonts w:ascii="Arial" w:cs="Arial" w:eastAsia="Arial" w:hAnsi="Arial"/>
                <w:sz w:val="20"/>
                <w:szCs w:val="20"/>
                <w:color w:val="auto"/>
                <w:w w:val="92"/>
              </w:rPr>
              <w:t xml:space="preserve">Comprehensive income attributable to redeemable noncontrolling interests </w:t>
            </w:r>
            <w:r>
              <w:rPr>
                <w:rFonts w:ascii="Arial" w:cs="Arial" w:eastAsia="Arial" w:hAnsi="Arial"/>
                <w:sz w:val="20"/>
                <w:szCs w:val="20"/>
                <w:color w:val="BDBDBD"/>
                <w:w w:val="92"/>
              </w:rPr>
              <w:t>. . . . . . . . . . . . . . . . . . . . .</w:t>
            </w:r>
          </w:p>
        </w:tc>
        <w:tc>
          <w:tcPr>
            <w:tcW w:w="3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313"/>
        </w:trPr>
        <w:tc>
          <w:tcPr>
            <w:tcW w:w="8360" w:type="dxa"/>
            <w:vAlign w:val="bottom"/>
            <w:tcBorders>
              <w:bottom w:val="single" w:sz="8" w:color="E6E6E6"/>
            </w:tcBorders>
            <w:shd w:val="clear" w:color="auto" w:fill="E6E6E6"/>
          </w:tcPr>
          <w:p>
            <w:pPr>
              <w:jc w:val="right"/>
              <w:ind w:right="21"/>
              <w:spacing w:after="0"/>
              <w:rPr>
                <w:sz w:val="20"/>
                <w:szCs w:val="20"/>
                <w:color w:val="auto"/>
              </w:rPr>
            </w:pPr>
            <w:r>
              <w:rPr>
                <w:rFonts w:ascii="Arial" w:cs="Arial" w:eastAsia="Arial" w:hAnsi="Arial"/>
                <w:sz w:val="20"/>
                <w:szCs w:val="20"/>
                <w:color w:val="auto"/>
                <w:w w:val="91"/>
              </w:rPr>
              <w:t xml:space="preserve">Repurchase of redeemable noncontrolling interest </w:t>
            </w:r>
            <w:r>
              <w:rPr>
                <w:rFonts w:ascii="Arial" w:cs="Arial" w:eastAsia="Arial" w:hAnsi="Arial"/>
                <w:sz w:val="20"/>
                <w:szCs w:val="20"/>
                <w:color w:val="BDBDBD"/>
                <w:w w:val="91"/>
              </w:rPr>
              <w:t>. . . . . . . . . . . . . . . . . . . . . . . . . . . . . . . . . . . . . . . . .</w:t>
            </w:r>
          </w:p>
        </w:tc>
        <w:tc>
          <w:tcPr>
            <w:tcW w:w="320" w:type="dxa"/>
            <w:vAlign w:val="bottom"/>
            <w:tcBorders>
              <w:bottom w:val="single" w:sz="8" w:color="auto"/>
            </w:tcBorders>
            <w:shd w:val="clear" w:color="auto" w:fill="E6E6E6"/>
          </w:tcPr>
          <w:p>
            <w:pPr>
              <w:spacing w:after="0"/>
              <w:rPr>
                <w:sz w:val="24"/>
                <w:szCs w:val="24"/>
                <w:color w:val="auto"/>
              </w:rPr>
            </w:pPr>
          </w:p>
        </w:tc>
        <w:tc>
          <w:tcPr>
            <w:tcW w:w="15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(20)</w:t>
            </w:r>
          </w:p>
        </w:tc>
      </w:tr>
      <w:tr>
        <w:trPr>
          <w:trHeight w:val="240"/>
        </w:trPr>
        <w:tc>
          <w:tcPr>
            <w:tcW w:w="8360" w:type="dxa"/>
            <w:vAlign w:val="bottom"/>
          </w:tcPr>
          <w:p>
            <w:pPr>
              <w:jc w:val="right"/>
              <w:ind w:right="21"/>
              <w:spacing w:after="0"/>
              <w:rPr>
                <w:sz w:val="20"/>
                <w:szCs w:val="20"/>
                <w:color w:val="auto"/>
              </w:rPr>
            </w:pPr>
            <w:r>
              <w:rPr>
                <w:rFonts w:ascii="Arial" w:cs="Arial" w:eastAsia="Arial" w:hAnsi="Arial"/>
                <w:sz w:val="20"/>
                <w:szCs w:val="20"/>
                <w:b w:val="1"/>
                <w:bCs w:val="1"/>
                <w:color w:val="auto"/>
                <w:w w:val="89"/>
              </w:rPr>
              <w:t xml:space="preserve">Balance at December 31, 2023  </w:t>
            </w:r>
            <w:r>
              <w:rPr>
                <w:rFonts w:ascii="Arial" w:cs="Arial" w:eastAsia="Arial" w:hAnsi="Arial"/>
                <w:sz w:val="20"/>
                <w:szCs w:val="20"/>
                <w:b w:val="1"/>
                <w:bCs w:val="1"/>
                <w:color w:val="BDBDBD"/>
                <w:w w:val="89"/>
              </w:rPr>
              <w:t>. . . . . . . . . . . . . . . . . . . . . . . . . . . . . . . . . . . . . . . . . . . . . . . . . . . . . . . .</w:t>
            </w:r>
          </w:p>
        </w:tc>
        <w:tc>
          <w:tcPr>
            <w:tcW w:w="32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w:t>
            </w:r>
          </w:p>
        </w:tc>
      </w:tr>
      <w:tr>
        <w:trPr>
          <w:trHeight w:val="20"/>
        </w:trPr>
        <w:tc>
          <w:tcPr>
            <w:tcW w:w="8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5301615</wp:posOffset>
            </wp:positionH>
            <wp:positionV relativeFrom="paragraph">
              <wp:posOffset>-1547495</wp:posOffset>
            </wp:positionV>
            <wp:extent cx="1191260"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39">
                      <a:extLst>
                        <a:ext uri="{28A0092B-C50C-407E-A947-70E740481C1C}"/>
                      </a:extLst>
                    </a:blip>
                    <a:srcRect/>
                    <a:stretch>
                      <a:fillRect/>
                    </a:stretch>
                  </pic:blipFill>
                  <pic:spPr bwMode="auto">
                    <a:xfrm>
                      <a:off x="0" y="0"/>
                      <a:ext cx="1191260" cy="25400"/>
                    </a:xfrm>
                    <a:prstGeom prst="rect">
                      <a:avLst/>
                    </a:prstGeom>
                    <a:noFill/>
                  </pic:spPr>
                </pic:pic>
              </a:graphicData>
            </a:graphic>
          </wp:anchor>
        </w:drawing>
        <w:drawing>
          <wp:anchor simplePos="0" relativeHeight="251657728" behindDoc="1" locked="0" layoutInCell="0" allowOverlap="1">
            <wp:simplePos x="0" y="0"/>
            <wp:positionH relativeFrom="column">
              <wp:posOffset>5301615</wp:posOffset>
            </wp:positionH>
            <wp:positionV relativeFrom="paragraph">
              <wp:posOffset>-978535</wp:posOffset>
            </wp:positionV>
            <wp:extent cx="1191260"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40">
                      <a:extLst>
                        <a:ext uri="{28A0092B-C50C-407E-A947-70E740481C1C}"/>
                      </a:extLst>
                    </a:blip>
                    <a:srcRect/>
                    <a:stretch>
                      <a:fillRect/>
                    </a:stretch>
                  </pic:blipFill>
                  <pic:spPr bwMode="auto">
                    <a:xfrm>
                      <a:off x="0" y="0"/>
                      <a:ext cx="1191260" cy="25400"/>
                    </a:xfrm>
                    <a:prstGeom prst="rect">
                      <a:avLst/>
                    </a:prstGeom>
                    <a:noFill/>
                  </pic:spPr>
                </pic:pic>
              </a:graphicData>
            </a:graphic>
          </wp:anchor>
        </w:drawing>
        <w:drawing>
          <wp:anchor simplePos="0" relativeHeight="251657728" behindDoc="1" locked="0" layoutInCell="0" allowOverlap="1">
            <wp:simplePos x="0" y="0"/>
            <wp:positionH relativeFrom="column">
              <wp:posOffset>5301615</wp:posOffset>
            </wp:positionH>
            <wp:positionV relativeFrom="paragraph">
              <wp:posOffset>-220345</wp:posOffset>
            </wp:positionV>
            <wp:extent cx="1191260"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41">
                      <a:extLst>
                        <a:ext uri="{28A0092B-C50C-407E-A947-70E740481C1C}"/>
                      </a:extLst>
                    </a:blip>
                    <a:srcRect/>
                    <a:stretch>
                      <a:fillRect/>
                    </a:stretch>
                  </pic:blipFill>
                  <pic:spPr bwMode="auto">
                    <a:xfrm>
                      <a:off x="0" y="0"/>
                      <a:ext cx="1191260" cy="2540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Use of Estimates</w:t>
      </w:r>
    </w:p>
    <w:p>
      <w:pPr>
        <w:spacing w:after="0" w:line="196" w:lineRule="exact"/>
        <w:rPr>
          <w:sz w:val="20"/>
          <w:szCs w:val="20"/>
          <w:color w:val="auto"/>
        </w:rPr>
      </w:pPr>
    </w:p>
    <w:p>
      <w:pPr>
        <w:jc w:val="both"/>
        <w:ind w:firstLine="448"/>
        <w:spacing w:after="0" w:line="277" w:lineRule="auto"/>
        <w:rPr>
          <w:sz w:val="20"/>
          <w:szCs w:val="20"/>
          <w:color w:val="auto"/>
        </w:rPr>
      </w:pPr>
      <w:r>
        <w:rPr>
          <w:rFonts w:ascii="Arial" w:cs="Arial" w:eastAsia="Arial" w:hAnsi="Arial"/>
          <w:sz w:val="19"/>
          <w:szCs w:val="19"/>
          <w:color w:val="auto"/>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They also impact the reported amounts of net earnings during the reporting periods. Actual results could be different from these estimates.</w:t>
      </w:r>
    </w:p>
    <w:p>
      <w:pPr>
        <w:spacing w:after="0" w:line="126" w:lineRule="exact"/>
        <w:rPr>
          <w:sz w:val="20"/>
          <w:szCs w:val="20"/>
          <w:color w:val="auto"/>
        </w:rPr>
      </w:pPr>
    </w:p>
    <w:p>
      <w:pPr>
        <w:jc w:val="both"/>
        <w:ind w:firstLine="448"/>
        <w:spacing w:after="0" w:line="289" w:lineRule="auto"/>
        <w:rPr>
          <w:sz w:val="20"/>
          <w:szCs w:val="20"/>
          <w:color w:val="auto"/>
        </w:rPr>
      </w:pPr>
      <w:r>
        <w:rPr>
          <w:rFonts w:ascii="Arial" w:cs="Arial" w:eastAsia="Arial" w:hAnsi="Arial"/>
          <w:sz w:val="18"/>
          <w:szCs w:val="18"/>
          <w:color w:val="auto"/>
        </w:rPr>
        <w:t>In recording transactions and balances resulting from business operations, the Company uses estimates based on the best information available. Estimates are used for such items as plant depreciable lives, tax provisions, uncollectible accounts, AROs, acquisition accounting, fair value of financial instruments and legal costs incurred in connection with recorded loss contingencies, among others. In addition, estimates are used to test long-lived assets for impairment and to determine the fair value of impaired assets. As better information becomes available or actual amounts are determinable, the recorded estimates are revised. Consequently, operating results can be affected by revisions to prior accounting estimates.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Reclassification</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20"/>
          <w:szCs w:val="20"/>
          <w:color w:val="auto"/>
        </w:rPr>
        <w:t>Certain prior year amounts have been reclassified for comparative purposes.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Recently Adopted Accounting Standards</w:t>
      </w:r>
    </w:p>
    <w:p>
      <w:pPr>
        <w:spacing w:after="0" w:line="193" w:lineRule="exact"/>
        <w:rPr>
          <w:sz w:val="20"/>
          <w:szCs w:val="20"/>
          <w:color w:val="auto"/>
        </w:rPr>
      </w:pPr>
    </w:p>
    <w:p>
      <w:pPr>
        <w:jc w:val="both"/>
        <w:ind w:firstLine="448"/>
        <w:spacing w:after="0" w:line="284" w:lineRule="auto"/>
        <w:rPr>
          <w:sz w:val="20"/>
          <w:szCs w:val="20"/>
          <w:color w:val="auto"/>
        </w:rPr>
      </w:pPr>
      <w:r>
        <w:rPr>
          <w:rFonts w:ascii="Arial" w:cs="Arial" w:eastAsia="Arial" w:hAnsi="Arial"/>
          <w:sz w:val="18"/>
          <w:szCs w:val="18"/>
          <w:color w:val="auto"/>
        </w:rPr>
        <w:t xml:space="preserve">In March 2020, the FASB issued ASU No. 2020-4, </w:t>
      </w:r>
      <w:r>
        <w:rPr>
          <w:rFonts w:ascii="Arial" w:cs="Arial" w:eastAsia="Arial" w:hAnsi="Arial"/>
          <w:sz w:val="18"/>
          <w:szCs w:val="18"/>
          <w:b w:val="1"/>
          <w:bCs w:val="1"/>
          <w:i w:val="1"/>
          <w:iCs w:val="1"/>
          <w:color w:val="auto"/>
        </w:rPr>
        <w:t>Facilitation of the Effects of Reference Rate Reform on Financial</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Reporting</w:t>
      </w:r>
      <w:r>
        <w:rPr>
          <w:rFonts w:ascii="Arial" w:cs="Arial" w:eastAsia="Arial" w:hAnsi="Arial"/>
          <w:sz w:val="18"/>
          <w:szCs w:val="18"/>
          <w:color w:val="auto"/>
        </w:rPr>
        <w:t>. The amendments provide for optional expedients and exceptions for applying GAAP to contracts, hedging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relationships and other transactions affected by reference rate reform if certain criteria are met. These amendments apply only to contracts that reference LIBOR or another reference rate expected to be discontinued because of reference rate reform, which affects certain of the Company’s debt and interest rate swap agreements. The guidance is effective for all entities as of March 12, 2020 through December 31, 2022. In December 2022, the FASB issued ASU No. 2022-6, </w:t>
      </w:r>
      <w:r>
        <w:rPr>
          <w:rFonts w:ascii="Arial" w:cs="Arial" w:eastAsia="Arial" w:hAnsi="Arial"/>
          <w:sz w:val="18"/>
          <w:szCs w:val="18"/>
          <w:b w:val="1"/>
          <w:bCs w:val="1"/>
          <w:i w:val="1"/>
          <w:iCs w:val="1"/>
          <w:color w:val="auto"/>
        </w:rPr>
        <w:t>Deferral of the Sunset Date of</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Reference Rate Reform</w:t>
      </w:r>
      <w:r>
        <w:rPr>
          <w:rFonts w:ascii="Arial" w:cs="Arial" w:eastAsia="Arial" w:hAnsi="Arial"/>
          <w:sz w:val="18"/>
          <w:szCs w:val="18"/>
          <w:color w:val="auto"/>
        </w:rPr>
        <w:t>, to extend the end of the transition period to December 31, 2024. As of December 31, 2023, all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contracts that previously used LIBOR as a reference rate were amended and the Company elected to apply the practical expedient to certain modified cash flow interest rate swap and debt agreements. The adoption did not have a material impact on the Company’s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Recent Accounting Standards Not Yet Adopted</w:t>
      </w:r>
    </w:p>
    <w:p>
      <w:pPr>
        <w:spacing w:after="0" w:line="193" w:lineRule="exact"/>
        <w:rPr>
          <w:sz w:val="20"/>
          <w:szCs w:val="20"/>
          <w:color w:val="auto"/>
        </w:rPr>
      </w:pPr>
    </w:p>
    <w:p>
      <w:pPr>
        <w:jc w:val="both"/>
        <w:ind w:firstLine="448"/>
        <w:spacing w:after="0" w:line="269" w:lineRule="auto"/>
        <w:rPr>
          <w:sz w:val="20"/>
          <w:szCs w:val="20"/>
          <w:color w:val="auto"/>
        </w:rPr>
      </w:pPr>
      <w:r>
        <w:rPr>
          <w:rFonts w:ascii="Arial" w:cs="Arial" w:eastAsia="Arial" w:hAnsi="Arial"/>
          <w:sz w:val="19"/>
          <w:szCs w:val="19"/>
          <w:color w:val="auto"/>
        </w:rPr>
        <w:t xml:space="preserve">In November 2023, the FASB issued ASU No. 2023-7, </w:t>
      </w:r>
      <w:r>
        <w:rPr>
          <w:rFonts w:ascii="Arial" w:cs="Arial" w:eastAsia="Arial" w:hAnsi="Arial"/>
          <w:sz w:val="19"/>
          <w:szCs w:val="19"/>
          <w:b w:val="1"/>
          <w:bCs w:val="1"/>
          <w:i w:val="1"/>
          <w:iCs w:val="1"/>
          <w:color w:val="auto"/>
        </w:rPr>
        <w:t>Segment Reporting (Topic 280): Improvements to Reportable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Segment Disclosures</w:t>
      </w:r>
      <w:r>
        <w:rPr>
          <w:rFonts w:ascii="Arial" w:cs="Arial" w:eastAsia="Arial" w:hAnsi="Arial"/>
          <w:sz w:val="19"/>
          <w:szCs w:val="19"/>
          <w:color w:val="auto"/>
        </w:rPr>
        <w:t>. The amendment improves reportable segment disclosure requirements, primarily through enhanced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disclosures about significant segment expense categories and details regarding information utilized to assess segment performance. Additionally, the amendment increases the frequency of disclosures by requiring Topic 280 to be applied to interim financial statements. This guidance will be applied retrospectively and is effective for annual reporting periods in fiscal years beginning after December 15, 2023, and interim reporting periods in fiscal years beginning after December 31, 2024. As of December 31, 2023, the Company has not elected to early adopt the standard and is evaluating the effect of the new guidance on its consolidated financial statements.</w:t>
      </w:r>
    </w:p>
    <w:p>
      <w:pPr>
        <w:sectPr>
          <w:pgSz w:w="11880" w:h="15480" w:orient="portrait"/>
          <w:cols w:equalWidth="0" w:num="1">
            <w:col w:w="10200"/>
          </w:cols>
          <w:pgMar w:left="840" w:top="403" w:right="840" w:bottom="0"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ectPr>
          <w:pgSz w:w="11880" w:h="15480" w:orient="portrait"/>
          <w:cols w:equalWidth="0" w:num="1">
            <w:col w:w="10200"/>
          </w:cols>
          <w:pgMar w:left="840" w:top="403" w:right="840" w:bottom="0" w:gutter="0" w:footer="0" w:header="0"/>
          <w:type w:val="continuous"/>
        </w:sectPr>
      </w:pPr>
    </w:p>
    <w:bookmarkStart w:id="91" w:name="page92"/>
    <w:bookmarkEnd w:id="91"/>
    <w:p>
      <w:pPr>
        <w:jc w:val="both"/>
        <w:ind w:firstLine="448"/>
        <w:spacing w:after="0" w:line="272" w:lineRule="auto"/>
        <w:rPr>
          <w:sz w:val="20"/>
          <w:szCs w:val="20"/>
          <w:color w:val="auto"/>
        </w:rPr>
      </w:pPr>
      <w:r>
        <w:rPr>
          <w:rFonts w:ascii="Arial" w:cs="Arial" w:eastAsia="Arial" w:hAnsi="Arial"/>
          <w:sz w:val="19"/>
          <w:szCs w:val="19"/>
          <w:color w:val="auto"/>
        </w:rPr>
        <w:t xml:space="preserve">In December 2023, the FASB issued ASU No. 2023-9, </w:t>
      </w:r>
      <w:r>
        <w:rPr>
          <w:rFonts w:ascii="Arial" w:cs="Arial" w:eastAsia="Arial" w:hAnsi="Arial"/>
          <w:sz w:val="19"/>
          <w:szCs w:val="19"/>
          <w:b w:val="1"/>
          <w:bCs w:val="1"/>
          <w:i w:val="1"/>
          <w:iCs w:val="1"/>
          <w:color w:val="auto"/>
        </w:rPr>
        <w:t>Income Taxes (Topic 740): Improvements to Income Tax</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Disclosures</w:t>
      </w:r>
      <w:r>
        <w:rPr>
          <w:rFonts w:ascii="Arial" w:cs="Arial" w:eastAsia="Arial" w:hAnsi="Arial"/>
          <w:sz w:val="19"/>
          <w:szCs w:val="19"/>
          <w:color w:val="auto"/>
        </w:rPr>
        <w:t>. The amendment improves income tax disclosure requirements requiring public entities, on an annual basis,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provide disclosure of defined categories in the income tax rate reconciliation, as well as disclosure of income taxes paid disaggregated by jurisdiction. This guidance will be applied prospectively and is effective for annual reporting periods in fiscal years beginning after December 15, 2024. As of December 31, 2023, the Company has not elected to early adopt the standard and is evaluating the effect of the new guidance on its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3 — Acquisitions and Dispositions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Acquisitions</w:t>
      </w:r>
    </w:p>
    <w:p>
      <w:pPr>
        <w:spacing w:after="0" w:line="193" w:lineRule="exact"/>
        <w:rPr>
          <w:sz w:val="20"/>
          <w:szCs w:val="20"/>
          <w:color w:val="auto"/>
        </w:rPr>
      </w:pPr>
    </w:p>
    <w:p>
      <w:pPr>
        <w:jc w:val="both"/>
        <w:ind w:firstLine="448"/>
        <w:spacing w:after="0" w:line="260" w:lineRule="auto"/>
        <w:rPr>
          <w:sz w:val="20"/>
          <w:szCs w:val="20"/>
          <w:color w:val="auto"/>
        </w:rPr>
      </w:pPr>
      <w:r>
        <w:rPr>
          <w:rFonts w:ascii="Arial" w:cs="Arial" w:eastAsia="Arial" w:hAnsi="Arial"/>
          <w:sz w:val="20"/>
          <w:szCs w:val="20"/>
          <w:color w:val="auto"/>
        </w:rPr>
        <w:t xml:space="preserve">As further described in Note 2, </w:t>
      </w:r>
      <w:r>
        <w:rPr>
          <w:rFonts w:ascii="Arial" w:cs="Arial" w:eastAsia="Arial" w:hAnsi="Arial"/>
          <w:sz w:val="20"/>
          <w:szCs w:val="20"/>
          <w:b w:val="1"/>
          <w:bCs w:val="1"/>
          <w:i w:val="1"/>
          <w:iCs w:val="1"/>
          <w:color w:val="auto"/>
        </w:rPr>
        <w:t>Summary of Significant Accounting Policies</w:t>
      </w:r>
      <w:r>
        <w:rPr>
          <w:rFonts w:ascii="Arial" w:cs="Arial" w:eastAsia="Arial" w:hAnsi="Arial"/>
          <w:sz w:val="20"/>
          <w:szCs w:val="20"/>
          <w:color w:val="auto"/>
        </w:rPr>
        <w:t>, the Company records the assets acquired and liabilities assumed at acquisition-date fair value, except in the case of acquisitions under common control by CEG, for which assets acquired and liabilities assumed are recorded at historical cost on the acquisition date, which in certain circumstances represent the acquired cost.</w:t>
      </w:r>
    </w:p>
    <w:p>
      <w:pPr>
        <w:spacing w:after="0" w:line="136" w:lineRule="exact"/>
        <w:rPr>
          <w:sz w:val="20"/>
          <w:szCs w:val="20"/>
          <w:color w:val="auto"/>
        </w:rPr>
      </w:pPr>
    </w:p>
    <w:p>
      <w:pPr>
        <w:jc w:val="both"/>
        <w:ind w:firstLine="448"/>
        <w:spacing w:after="0" w:line="281" w:lineRule="auto"/>
        <w:rPr>
          <w:sz w:val="20"/>
          <w:szCs w:val="20"/>
          <w:color w:val="auto"/>
        </w:rPr>
      </w:pPr>
      <w:r>
        <w:rPr>
          <w:rFonts w:ascii="Arial" w:cs="Arial" w:eastAsia="Arial" w:hAnsi="Arial"/>
          <w:sz w:val="18"/>
          <w:szCs w:val="18"/>
          <w:b w:val="1"/>
          <w:bCs w:val="1"/>
          <w:i w:val="1"/>
          <w:iCs w:val="1"/>
          <w:color w:val="auto"/>
        </w:rPr>
        <w:t xml:space="preserve">Texas Solar Nova 1 Drop Down </w:t>
      </w:r>
      <w:r>
        <w:rPr>
          <w:rFonts w:ascii="Arial" w:cs="Arial" w:eastAsia="Arial" w:hAnsi="Arial"/>
          <w:sz w:val="18"/>
          <w:szCs w:val="18"/>
          <w:color w:val="auto"/>
        </w:rPr>
        <w:t>— On December 28, 2023, the Company, through its indirect subsidiary, Lighthouse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Renewable Holdco 2 LLC, acquired TSN1 BL Borrower Holdco LLC, the indirect owner of Texas Solar Nova 1, a 252 MW solar project that is located in Kent County, Texas, from Clearway Renew for cash consideration of $23 million. Lighthouse Renewable Holdco 2 LLC is a partnership between the Company and a cash equity investor. The cash equity investor also contributed cash consideration of $109 million to acquire their portion of the acquired entity. TSN1 BL Borrower Holdco LLC consolidates as primary beneficiary, TSN1 TE Holdco LLC, a tax equity fund that owns the Texas Solar Nova 1 solar project, as further described in Note 5, </w:t>
      </w:r>
      <w:r>
        <w:rPr>
          <w:rFonts w:ascii="Arial" w:cs="Arial" w:eastAsia="Arial" w:hAnsi="Arial"/>
          <w:sz w:val="18"/>
          <w:szCs w:val="18"/>
          <w:b w:val="1"/>
          <w:bCs w:val="1"/>
          <w:i w:val="1"/>
          <w:iCs w:val="1"/>
          <w:color w:val="auto"/>
        </w:rPr>
        <w:t>Investments Accounted for by the Equity Method and Variable Interest Entities</w:t>
      </w:r>
      <w:r>
        <w:rPr>
          <w:rFonts w:ascii="Arial" w:cs="Arial" w:eastAsia="Arial" w:hAnsi="Arial"/>
          <w:sz w:val="18"/>
          <w:szCs w:val="18"/>
          <w:color w:val="auto"/>
        </w:rPr>
        <w:t xml:space="preserve">. Texas Solar Nova 1 has an 18-year PPA with an investment-grade counterparty that commenced in January 2024. The Texas Solar Nova 1 operations are reflected in the Company’s Renewables segment and the acquisition was funded with existing sources of liquidity. The acquisition was determined to be an asset acquisition and the Company consolidates Texas Solar Nova 1 on a prospective basis in its financial statements. The assets and liabilities transferred to the Company relate to interests under common control and were recorded at historical cost in accordance with ASC 805-50, </w:t>
      </w:r>
      <w:r>
        <w:rPr>
          <w:rFonts w:ascii="Arial" w:cs="Arial" w:eastAsia="Arial" w:hAnsi="Arial"/>
          <w:sz w:val="18"/>
          <w:szCs w:val="18"/>
          <w:b w:val="1"/>
          <w:bCs w:val="1"/>
          <w:i w:val="1"/>
          <w:iCs w:val="1"/>
          <w:color w:val="auto"/>
        </w:rPr>
        <w:t>Business Combinations - Related Issues</w:t>
      </w:r>
      <w:r>
        <w:rPr>
          <w:rFonts w:ascii="Arial" w:cs="Arial" w:eastAsia="Arial" w:hAnsi="Arial"/>
          <w:sz w:val="18"/>
          <w:szCs w:val="18"/>
          <w:color w:val="auto"/>
        </w:rPr>
        <w:t>. The sum of the cash paid of $23 million and the historical cost of the Company’s net liabilities assumed of $6 million was recorded as an adjustment to CEG’s noncontrolling interest balance. In addition, the Company reflected the entire $23 million of the Company’s purchase price, which was contributed back to the Company by CEG to pay down the acquired long-term debt, in the line item distributions to CEG, net of contributions in the consolidated statements of stockholders’ equity.</w:t>
      </w:r>
    </w:p>
    <w:p>
      <w:pPr>
        <w:spacing w:after="0" w:line="127" w:lineRule="exact"/>
        <w:rPr>
          <w:sz w:val="20"/>
          <w:szCs w:val="20"/>
          <w:color w:val="auto"/>
        </w:rPr>
      </w:pPr>
    </w:p>
    <w:p>
      <w:pPr>
        <w:jc w:val="both"/>
        <w:ind w:firstLine="448"/>
        <w:spacing w:after="0" w:line="280" w:lineRule="auto"/>
        <w:rPr>
          <w:sz w:val="20"/>
          <w:szCs w:val="20"/>
          <w:color w:val="auto"/>
        </w:rPr>
      </w:pPr>
      <w:r>
        <w:rPr>
          <w:rFonts w:ascii="Arial" w:cs="Arial" w:eastAsia="Arial" w:hAnsi="Arial"/>
          <w:sz w:val="20"/>
          <w:szCs w:val="20"/>
          <w:color w:val="auto"/>
        </w:rPr>
        <w:t>The following is a summary of assets and liabilities transferred in connection with the acquisition as of December 28, 2023:</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8360" w:type="dxa"/>
            <w:vAlign w:val="bottom"/>
            <w:tcBorders>
              <w:bottom w:val="single" w:sz="8" w:color="E6E6E6"/>
            </w:tcBorders>
          </w:tcPr>
          <w:p>
            <w:pPr>
              <w:jc w:val="right"/>
              <w:ind w:right="7281"/>
              <w:spacing w:after="0"/>
              <w:rPr>
                <w:sz w:val="20"/>
                <w:szCs w:val="20"/>
                <w:color w:val="auto"/>
              </w:rPr>
            </w:pPr>
            <w:r>
              <w:rPr>
                <w:rFonts w:ascii="Arial" w:cs="Arial" w:eastAsia="Arial" w:hAnsi="Arial"/>
                <w:sz w:val="18"/>
                <w:szCs w:val="18"/>
                <w:b w:val="1"/>
                <w:bCs w:val="1"/>
                <w:color w:val="auto"/>
                <w:w w:val="94"/>
              </w:rPr>
              <w:t>(In millions)</w:t>
            </w:r>
          </w:p>
        </w:tc>
        <w:tc>
          <w:tcPr>
            <w:tcW w:w="1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61"/>
              <w:spacing w:after="0"/>
              <w:rPr>
                <w:sz w:val="20"/>
                <w:szCs w:val="20"/>
                <w:color w:val="auto"/>
              </w:rPr>
            </w:pPr>
            <w:r>
              <w:rPr>
                <w:rFonts w:ascii="Arial" w:cs="Arial" w:eastAsia="Arial" w:hAnsi="Arial"/>
                <w:sz w:val="18"/>
                <w:szCs w:val="18"/>
                <w:b w:val="1"/>
                <w:bCs w:val="1"/>
                <w:color w:val="auto"/>
                <w:w w:val="89"/>
              </w:rPr>
              <w:t>Texas Solar Nova 1</w:t>
            </w:r>
          </w:p>
        </w:tc>
      </w:tr>
      <w:tr>
        <w:trPr>
          <w:trHeight w:val="288"/>
        </w:trPr>
        <w:tc>
          <w:tcPr>
            <w:tcW w:w="8360" w:type="dxa"/>
            <w:vAlign w:val="bottom"/>
            <w:shd w:val="clear" w:color="auto" w:fill="E6E6E6"/>
          </w:tcPr>
          <w:p>
            <w:pPr>
              <w:jc w:val="right"/>
              <w:ind w:right="41"/>
              <w:spacing w:after="0"/>
              <w:rPr>
                <w:sz w:val="20"/>
                <w:szCs w:val="20"/>
                <w:color w:val="auto"/>
              </w:rPr>
            </w:pPr>
            <w:r>
              <w:rPr>
                <w:rFonts w:ascii="Arial" w:cs="Arial" w:eastAsia="Arial" w:hAnsi="Arial"/>
                <w:sz w:val="20"/>
                <w:szCs w:val="20"/>
                <w:color w:val="auto"/>
                <w:w w:val="91"/>
              </w:rPr>
              <w:t xml:space="preserve">Cash </w:t>
            </w:r>
            <w:r>
              <w:rPr>
                <w:rFonts w:ascii="Arial" w:cs="Arial" w:eastAsia="Arial" w:hAnsi="Arial"/>
                <w:sz w:val="20"/>
                <w:szCs w:val="20"/>
                <w:color w:val="BDBDBD"/>
                <w:w w:val="91"/>
              </w:rPr>
              <w:t>. . . . . . . . . . . . . . . . . . . . . . . . . . . . . . . . . . . . . . . . . . . . . . . . . . . . . . . . . . . . . . . . . . . . . . . . . . . .</w:t>
            </w:r>
          </w:p>
        </w:tc>
        <w:tc>
          <w:tcPr>
            <w:tcW w:w="1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6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w:t>
            </w:r>
          </w:p>
        </w:tc>
      </w:tr>
      <w:tr>
        <w:trPr>
          <w:trHeight w:val="292"/>
        </w:trPr>
        <w:tc>
          <w:tcPr>
            <w:tcW w:w="8360" w:type="dxa"/>
            <w:vAlign w:val="bottom"/>
          </w:tcPr>
          <w:p>
            <w:pPr>
              <w:jc w:val="right"/>
              <w:ind w:right="41"/>
              <w:spacing w:after="0"/>
              <w:rPr>
                <w:sz w:val="20"/>
                <w:szCs w:val="20"/>
                <w:color w:val="auto"/>
              </w:rPr>
            </w:pPr>
            <w:r>
              <w:rPr>
                <w:rFonts w:ascii="Arial" w:cs="Arial" w:eastAsia="Arial" w:hAnsi="Arial"/>
                <w:sz w:val="20"/>
                <w:szCs w:val="20"/>
                <w:color w:val="auto"/>
                <w:w w:val="92"/>
              </w:rPr>
              <w:t xml:space="preserve">Property, plant and equipment </w:t>
            </w:r>
            <w:r>
              <w:rPr>
                <w:rFonts w:ascii="Arial" w:cs="Arial" w:eastAsia="Arial" w:hAnsi="Arial"/>
                <w:sz w:val="20"/>
                <w:szCs w:val="20"/>
                <w:color w:val="BDBDBD"/>
                <w:w w:val="92"/>
              </w:rPr>
              <w:t>. . . . . . . . . . . . . . . . . . . . . . . . . . . . . . . . . . . . . . . . . . . . . . . . . . . . . . . .</w:t>
            </w:r>
          </w:p>
        </w:tc>
        <w:tc>
          <w:tcPr>
            <w:tcW w:w="18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362</w:t>
            </w:r>
          </w:p>
        </w:tc>
      </w:tr>
      <w:tr>
        <w:trPr>
          <w:trHeight w:val="305"/>
        </w:trPr>
        <w:tc>
          <w:tcPr>
            <w:tcW w:w="8360" w:type="dxa"/>
            <w:vAlign w:val="bottom"/>
            <w:shd w:val="clear" w:color="auto" w:fill="E6E6E6"/>
          </w:tcPr>
          <w:p>
            <w:pPr>
              <w:jc w:val="right"/>
              <w:ind w:right="41"/>
              <w:spacing w:after="0"/>
              <w:rPr>
                <w:sz w:val="20"/>
                <w:szCs w:val="20"/>
                <w:color w:val="auto"/>
              </w:rPr>
            </w:pPr>
            <w:r>
              <w:rPr>
                <w:rFonts w:ascii="Arial" w:cs="Arial" w:eastAsia="Arial" w:hAnsi="Arial"/>
                <w:sz w:val="20"/>
                <w:szCs w:val="20"/>
                <w:color w:val="auto"/>
                <w:w w:val="91"/>
              </w:rPr>
              <w:t xml:space="preserve">Right-of-use assets, net </w:t>
            </w:r>
            <w:r>
              <w:rPr>
                <w:rFonts w:ascii="Arial" w:cs="Arial" w:eastAsia="Arial" w:hAnsi="Arial"/>
                <w:sz w:val="20"/>
                <w:szCs w:val="20"/>
                <w:color w:val="BDBDBD"/>
                <w:w w:val="91"/>
              </w:rPr>
              <w:t>. . . . . . . . . . . . . . . . . . . . . . . . . . . . . . . . . . . . . . . . . . . . . . . . . . . . . . . . . . . . . .</w:t>
            </w:r>
          </w:p>
        </w:tc>
        <w:tc>
          <w:tcPr>
            <w:tcW w:w="180" w:type="dxa"/>
            <w:vAlign w:val="bottom"/>
            <w:shd w:val="clear" w:color="auto" w:fill="E6E6E6"/>
          </w:tcPr>
          <w:p>
            <w:pPr>
              <w:spacing w:after="0"/>
              <w:rPr>
                <w:sz w:val="24"/>
                <w:szCs w:val="24"/>
                <w:color w:val="auto"/>
              </w:rPr>
            </w:pPr>
          </w:p>
        </w:tc>
        <w:tc>
          <w:tcPr>
            <w:tcW w:w="16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21</w:t>
            </w:r>
          </w:p>
        </w:tc>
      </w:tr>
      <w:tr>
        <w:trPr>
          <w:trHeight w:val="292"/>
        </w:trPr>
        <w:tc>
          <w:tcPr>
            <w:tcW w:w="8360" w:type="dxa"/>
            <w:vAlign w:val="bottom"/>
          </w:tcPr>
          <w:p>
            <w:pPr>
              <w:jc w:val="right"/>
              <w:ind w:right="41"/>
              <w:spacing w:after="0"/>
              <w:rPr>
                <w:sz w:val="20"/>
                <w:szCs w:val="20"/>
                <w:color w:val="auto"/>
              </w:rPr>
            </w:pPr>
            <w:r>
              <w:rPr>
                <w:rFonts w:ascii="Arial" w:cs="Arial" w:eastAsia="Arial" w:hAnsi="Arial"/>
                <w:sz w:val="20"/>
                <w:szCs w:val="20"/>
                <w:color w:val="auto"/>
                <w:w w:val="91"/>
              </w:rPr>
              <w:t xml:space="preserve">Derivative assets </w:t>
            </w:r>
            <w:r>
              <w:rPr>
                <w:rFonts w:ascii="Arial" w:cs="Arial" w:eastAsia="Arial" w:hAnsi="Arial"/>
                <w:sz w:val="20"/>
                <w:szCs w:val="20"/>
                <w:color w:val="BDBDBD"/>
                <w:w w:val="91"/>
              </w:rPr>
              <w:t>. . . . . . . . . . . . . . . . . . . . . . . . . . . . . . . . . . . . . . . . . . . . . . . . . . . . . . . . . . . . . . . . . . .</w:t>
            </w:r>
          </w:p>
        </w:tc>
        <w:tc>
          <w:tcPr>
            <w:tcW w:w="18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95"/>
        </w:trPr>
        <w:tc>
          <w:tcPr>
            <w:tcW w:w="8360" w:type="dxa"/>
            <w:vAlign w:val="bottom"/>
            <w:tcBorders>
              <w:bottom w:val="single" w:sz="8" w:color="E6E6E6"/>
            </w:tcBorders>
            <w:shd w:val="clear" w:color="auto" w:fill="E6E6E6"/>
          </w:tcPr>
          <w:p>
            <w:pPr>
              <w:jc w:val="right"/>
              <w:ind w:right="41"/>
              <w:spacing w:after="0"/>
              <w:rPr>
                <w:sz w:val="20"/>
                <w:szCs w:val="20"/>
                <w:color w:val="auto"/>
              </w:rPr>
            </w:pPr>
            <w:r>
              <w:rPr>
                <w:rFonts w:ascii="Arial" w:cs="Arial" w:eastAsia="Arial" w:hAnsi="Arial"/>
                <w:sz w:val="20"/>
                <w:szCs w:val="20"/>
                <w:color w:val="auto"/>
                <w:w w:val="91"/>
              </w:rPr>
              <w:t xml:space="preserve">Other non-current assets </w:t>
            </w:r>
            <w:r>
              <w:rPr>
                <w:rFonts w:ascii="Arial" w:cs="Arial" w:eastAsia="Arial" w:hAnsi="Arial"/>
                <w:sz w:val="20"/>
                <w:szCs w:val="20"/>
                <w:color w:val="BDBDBD"/>
                <w:w w:val="91"/>
              </w:rPr>
              <w:t>. . . . . . . . . . . . . . . . . . . . . . . . . . . . . . . . . . . . . . . . . . . . . . . . . . . . . . . . . . . . .</w:t>
            </w:r>
          </w:p>
        </w:tc>
        <w:tc>
          <w:tcPr>
            <w:tcW w:w="180" w:type="dxa"/>
            <w:vAlign w:val="bottom"/>
            <w:tcBorders>
              <w:bottom w:val="single" w:sz="8" w:color="auto"/>
            </w:tcBorders>
            <w:shd w:val="clear" w:color="auto" w:fill="E6E6E6"/>
          </w:tcPr>
          <w:p>
            <w:pPr>
              <w:spacing w:after="0"/>
              <w:rPr>
                <w:sz w:val="24"/>
                <w:szCs w:val="24"/>
                <w:color w:val="auto"/>
              </w:rPr>
            </w:pPr>
          </w:p>
        </w:tc>
        <w:tc>
          <w:tcPr>
            <w:tcW w:w="16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6</w:t>
            </w:r>
          </w:p>
        </w:tc>
      </w:tr>
      <w:tr>
        <w:trPr>
          <w:trHeight w:val="282"/>
        </w:trPr>
        <w:tc>
          <w:tcPr>
            <w:tcW w:w="8360" w:type="dxa"/>
            <w:vAlign w:val="bottom"/>
          </w:tcPr>
          <w:p>
            <w:pPr>
              <w:jc w:val="right"/>
              <w:ind w:right="41"/>
              <w:spacing w:after="0"/>
              <w:rPr>
                <w:sz w:val="20"/>
                <w:szCs w:val="20"/>
                <w:color w:val="auto"/>
              </w:rPr>
            </w:pPr>
            <w:r>
              <w:rPr>
                <w:rFonts w:ascii="Arial" w:cs="Arial" w:eastAsia="Arial" w:hAnsi="Arial"/>
                <w:sz w:val="20"/>
                <w:szCs w:val="20"/>
                <w:color w:val="auto"/>
                <w:w w:val="92"/>
              </w:rPr>
              <w:t xml:space="preserve">Total assets acquired  </w:t>
            </w:r>
            <w:r>
              <w:rPr>
                <w:rFonts w:ascii="Arial" w:cs="Arial" w:eastAsia="Arial" w:hAnsi="Arial"/>
                <w:sz w:val="20"/>
                <w:szCs w:val="20"/>
                <w:color w:val="BDBDBD"/>
                <w:w w:val="92"/>
              </w:rPr>
              <w:t>. . . . . . . . . . . . . . . . . . . . . . . . . . . . . . . . . . . . . . . . . . . . . . . . . . . . . . . . . . . . . .</w:t>
            </w:r>
          </w:p>
        </w:tc>
        <w:tc>
          <w:tcPr>
            <w:tcW w:w="18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396</w:t>
            </w:r>
          </w:p>
        </w:tc>
      </w:tr>
      <w:tr>
        <w:trPr>
          <w:trHeight w:val="305"/>
        </w:trPr>
        <w:tc>
          <w:tcPr>
            <w:tcW w:w="836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660" w:type="dxa"/>
            <w:vAlign w:val="bottom"/>
            <w:shd w:val="clear" w:color="auto" w:fill="E6E6E6"/>
          </w:tcPr>
          <w:p>
            <w:pPr>
              <w:spacing w:after="0"/>
              <w:rPr>
                <w:sz w:val="24"/>
                <w:szCs w:val="24"/>
                <w:color w:val="auto"/>
              </w:rPr>
            </w:pPr>
          </w:p>
        </w:tc>
      </w:tr>
      <w:tr>
        <w:trPr>
          <w:trHeight w:val="299"/>
        </w:trPr>
        <w:tc>
          <w:tcPr>
            <w:tcW w:w="8360" w:type="dxa"/>
            <w:vAlign w:val="bottom"/>
          </w:tcPr>
          <w:p>
            <w:pPr>
              <w:jc w:val="right"/>
              <w:ind w:right="41"/>
              <w:spacing w:after="0"/>
              <w:rPr>
                <w:sz w:val="20"/>
                <w:szCs w:val="20"/>
                <w:color w:val="auto"/>
              </w:rPr>
            </w:pPr>
            <w:r>
              <w:rPr>
                <w:rFonts w:ascii="Arial" w:cs="Arial" w:eastAsia="Arial" w:hAnsi="Arial"/>
                <w:sz w:val="20"/>
                <w:szCs w:val="20"/>
                <w:color w:val="auto"/>
                <w:w w:val="90"/>
              </w:rPr>
              <w:t xml:space="preserve">Long-term debt </w:t>
            </w:r>
            <w:r>
              <w:rPr>
                <w:rFonts w:ascii="Arial" w:cs="Arial" w:eastAsia="Arial" w:hAnsi="Arial"/>
                <w:sz w:val="25"/>
                <w:szCs w:val="25"/>
                <w:color w:val="auto"/>
                <w:w w:val="90"/>
                <w:vertAlign w:val="superscript"/>
              </w:rPr>
              <w:t>(a)</w:t>
            </w:r>
            <w:r>
              <w:rPr>
                <w:rFonts w:ascii="Arial" w:cs="Arial" w:eastAsia="Arial" w:hAnsi="Arial"/>
                <w:sz w:val="20"/>
                <w:szCs w:val="20"/>
                <w:color w:val="auto"/>
                <w:w w:val="90"/>
              </w:rPr>
              <w:t xml:space="preserve">  </w:t>
            </w:r>
            <w:r>
              <w:rPr>
                <w:rFonts w:ascii="Arial" w:cs="Arial" w:eastAsia="Arial" w:hAnsi="Arial"/>
                <w:sz w:val="20"/>
                <w:szCs w:val="20"/>
                <w:color w:val="BDBDBD"/>
                <w:w w:val="90"/>
              </w:rPr>
              <w:t>. . . . . . . . . . . . . . . . . . . . . . . . . . . . . . . . . . . . . . . . . . . . . . . . . . . . . . . . . . . . . . . . . .</w:t>
            </w:r>
          </w:p>
        </w:tc>
        <w:tc>
          <w:tcPr>
            <w:tcW w:w="18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349</w:t>
            </w:r>
          </w:p>
        </w:tc>
      </w:tr>
      <w:tr>
        <w:trPr>
          <w:trHeight w:val="299"/>
        </w:trPr>
        <w:tc>
          <w:tcPr>
            <w:tcW w:w="8360" w:type="dxa"/>
            <w:vAlign w:val="bottom"/>
            <w:shd w:val="clear" w:color="auto" w:fill="E6E6E6"/>
          </w:tcPr>
          <w:p>
            <w:pPr>
              <w:jc w:val="right"/>
              <w:ind w:right="41"/>
              <w:spacing w:after="0"/>
              <w:rPr>
                <w:sz w:val="20"/>
                <w:szCs w:val="20"/>
                <w:color w:val="auto"/>
              </w:rPr>
            </w:pPr>
            <w:r>
              <w:rPr>
                <w:rFonts w:ascii="Arial" w:cs="Arial" w:eastAsia="Arial" w:hAnsi="Arial"/>
                <w:sz w:val="20"/>
                <w:szCs w:val="20"/>
                <w:color w:val="auto"/>
                <w:w w:val="92"/>
              </w:rPr>
              <w:t xml:space="preserve">Long-term lease liabilities  </w:t>
            </w:r>
            <w:r>
              <w:rPr>
                <w:rFonts w:ascii="Arial" w:cs="Arial" w:eastAsia="Arial" w:hAnsi="Arial"/>
                <w:sz w:val="20"/>
                <w:szCs w:val="20"/>
                <w:color w:val="BDBDBD"/>
                <w:w w:val="92"/>
              </w:rPr>
              <w:t>. . . . . . . . . . . . . . . . . . . . . . . . . . . . . . . . . . . . . . . . . . . . . . . . . . . . . . . . . . .</w:t>
            </w:r>
          </w:p>
        </w:tc>
        <w:tc>
          <w:tcPr>
            <w:tcW w:w="180" w:type="dxa"/>
            <w:vAlign w:val="bottom"/>
            <w:shd w:val="clear" w:color="auto" w:fill="E6E6E6"/>
          </w:tcPr>
          <w:p>
            <w:pPr>
              <w:spacing w:after="0"/>
              <w:rPr>
                <w:sz w:val="24"/>
                <w:szCs w:val="24"/>
                <w:color w:val="auto"/>
              </w:rPr>
            </w:pPr>
          </w:p>
        </w:tc>
        <w:tc>
          <w:tcPr>
            <w:tcW w:w="16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19</w:t>
            </w:r>
          </w:p>
        </w:tc>
      </w:tr>
      <w:tr>
        <w:trPr>
          <w:trHeight w:val="288"/>
        </w:trPr>
        <w:tc>
          <w:tcPr>
            <w:tcW w:w="8360" w:type="dxa"/>
            <w:vAlign w:val="bottom"/>
            <w:tcBorders>
              <w:bottom w:val="single" w:sz="8" w:color="E6E6E6"/>
            </w:tcBorders>
          </w:tcPr>
          <w:p>
            <w:pPr>
              <w:jc w:val="right"/>
              <w:ind w:right="41"/>
              <w:spacing w:after="0"/>
              <w:rPr>
                <w:sz w:val="20"/>
                <w:szCs w:val="20"/>
                <w:color w:val="auto"/>
              </w:rPr>
            </w:pPr>
            <w:r>
              <w:rPr>
                <w:rFonts w:ascii="Arial" w:cs="Arial" w:eastAsia="Arial" w:hAnsi="Arial"/>
                <w:sz w:val="20"/>
                <w:szCs w:val="20"/>
                <w:color w:val="auto"/>
                <w:w w:val="92"/>
              </w:rPr>
              <w:t xml:space="preserve">Other current and non-current liabilities </w:t>
            </w:r>
            <w:r>
              <w:rPr>
                <w:rFonts w:ascii="Arial" w:cs="Arial" w:eastAsia="Arial" w:hAnsi="Arial"/>
                <w:sz w:val="20"/>
                <w:szCs w:val="20"/>
                <w:color w:val="BDBDBD"/>
                <w:w w:val="92"/>
              </w:rPr>
              <w:t>. . . . . . . . . . . . . . . . . . . . . . . . . . . . . . . . . . . . . . . . . . . . . . . . .</w:t>
            </w: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w:t>
            </w:r>
          </w:p>
        </w:tc>
      </w:tr>
      <w:tr>
        <w:trPr>
          <w:trHeight w:val="279"/>
        </w:trPr>
        <w:tc>
          <w:tcPr>
            <w:tcW w:w="8360" w:type="dxa"/>
            <w:vAlign w:val="bottom"/>
            <w:tcBorders>
              <w:bottom w:val="single" w:sz="8" w:color="E6E6E6"/>
            </w:tcBorders>
            <w:shd w:val="clear" w:color="auto" w:fill="E6E6E6"/>
          </w:tcPr>
          <w:p>
            <w:pPr>
              <w:jc w:val="right"/>
              <w:ind w:right="41"/>
              <w:spacing w:after="0"/>
              <w:rPr>
                <w:sz w:val="20"/>
                <w:szCs w:val="20"/>
                <w:color w:val="auto"/>
              </w:rPr>
            </w:pPr>
            <w:r>
              <w:rPr>
                <w:rFonts w:ascii="Arial" w:cs="Arial" w:eastAsia="Arial" w:hAnsi="Arial"/>
                <w:sz w:val="20"/>
                <w:szCs w:val="20"/>
                <w:color w:val="auto"/>
                <w:w w:val="93"/>
              </w:rPr>
              <w:t xml:space="preserve">Total liabilities assumed </w:t>
            </w:r>
            <w:r>
              <w:rPr>
                <w:rFonts w:ascii="Arial" w:cs="Arial" w:eastAsia="Arial" w:hAnsi="Arial"/>
                <w:sz w:val="20"/>
                <w:szCs w:val="20"/>
                <w:color w:val="BDBDBD"/>
                <w:w w:val="93"/>
              </w:rPr>
              <w:t>. . . . . . . . . . . . . . . . . . . . . . . . . . . . . . . . . . . . . . . . . . . . . . . . . . . . . . . . . . . .</w:t>
            </w:r>
          </w:p>
        </w:tc>
        <w:tc>
          <w:tcPr>
            <w:tcW w:w="180" w:type="dxa"/>
            <w:vAlign w:val="bottom"/>
            <w:tcBorders>
              <w:bottom w:val="single" w:sz="8" w:color="auto"/>
            </w:tcBorders>
            <w:shd w:val="clear" w:color="auto" w:fill="E6E6E6"/>
          </w:tcPr>
          <w:p>
            <w:pPr>
              <w:spacing w:after="0"/>
              <w:rPr>
                <w:sz w:val="24"/>
                <w:szCs w:val="24"/>
                <w:color w:val="auto"/>
              </w:rPr>
            </w:pPr>
          </w:p>
        </w:tc>
        <w:tc>
          <w:tcPr>
            <w:tcW w:w="16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402</w:t>
            </w:r>
          </w:p>
        </w:tc>
      </w:tr>
      <w:tr>
        <w:trPr>
          <w:trHeight w:val="274"/>
        </w:trPr>
        <w:tc>
          <w:tcPr>
            <w:tcW w:w="8360" w:type="dxa"/>
            <w:vAlign w:val="bottom"/>
          </w:tcPr>
          <w:p>
            <w:pPr>
              <w:jc w:val="right"/>
              <w:ind w:right="41"/>
              <w:spacing w:after="0"/>
              <w:rPr>
                <w:sz w:val="20"/>
                <w:szCs w:val="20"/>
                <w:color w:val="auto"/>
              </w:rPr>
            </w:pPr>
            <w:r>
              <w:rPr>
                <w:rFonts w:ascii="Arial" w:cs="Arial" w:eastAsia="Arial" w:hAnsi="Arial"/>
                <w:sz w:val="20"/>
                <w:szCs w:val="20"/>
                <w:color w:val="auto"/>
                <w:w w:val="93"/>
              </w:rPr>
              <w:t xml:space="preserve">Net liabilities assumed </w:t>
            </w:r>
            <w:r>
              <w:rPr>
                <w:rFonts w:ascii="Arial" w:cs="Arial" w:eastAsia="Arial" w:hAnsi="Arial"/>
                <w:sz w:val="20"/>
                <w:szCs w:val="20"/>
                <w:color w:val="BDBDBD"/>
                <w:w w:val="93"/>
              </w:rPr>
              <w:t>. . . . . . . . . . . . . . . . . . . . . . . . . . . . . . . . . . . . . . . . . . . . . . . . . . . . . . . . . . . . .</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w:t>
            </w:r>
          </w:p>
        </w:tc>
      </w:tr>
      <w:tr>
        <w:trPr>
          <w:trHeight w:val="20"/>
        </w:trPr>
        <w:tc>
          <w:tcPr>
            <w:tcW w:w="8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5292090</wp:posOffset>
            </wp:positionH>
            <wp:positionV relativeFrom="paragraph">
              <wp:posOffset>-2315210</wp:posOffset>
            </wp:positionV>
            <wp:extent cx="120078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42">
                      <a:extLst>
                        <a:ext uri="{28A0092B-C50C-407E-A947-70E740481C1C}"/>
                      </a:extLst>
                    </a:blip>
                    <a:srcRect/>
                    <a:stretch>
                      <a:fillRect/>
                    </a:stretch>
                  </pic:blipFill>
                  <pic:spPr bwMode="auto">
                    <a:xfrm>
                      <a:off x="0" y="0"/>
                      <a:ext cx="1200785" cy="25400"/>
                    </a:xfrm>
                    <a:prstGeom prst="rect">
                      <a:avLst/>
                    </a:prstGeom>
                    <a:noFill/>
                  </pic:spPr>
                </pic:pic>
              </a:graphicData>
            </a:graphic>
          </wp:anchor>
        </w:drawing>
        <w:drawing>
          <wp:anchor simplePos="0" relativeHeight="251657728" behindDoc="1" locked="0" layoutInCell="0" allowOverlap="1">
            <wp:simplePos x="0" y="0"/>
            <wp:positionH relativeFrom="column">
              <wp:posOffset>5292090</wp:posOffset>
            </wp:positionH>
            <wp:positionV relativeFrom="paragraph">
              <wp:posOffset>-1367155</wp:posOffset>
            </wp:positionV>
            <wp:extent cx="120078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43">
                      <a:extLst>
                        <a:ext uri="{28A0092B-C50C-407E-A947-70E740481C1C}"/>
                      </a:extLst>
                    </a:blip>
                    <a:srcRect/>
                    <a:stretch>
                      <a:fillRect/>
                    </a:stretch>
                  </pic:blipFill>
                  <pic:spPr bwMode="auto">
                    <a:xfrm>
                      <a:off x="0" y="0"/>
                      <a:ext cx="1200785" cy="25400"/>
                    </a:xfrm>
                    <a:prstGeom prst="rect">
                      <a:avLst/>
                    </a:prstGeom>
                    <a:noFill/>
                  </pic:spPr>
                </pic:pic>
              </a:graphicData>
            </a:graphic>
          </wp:anchor>
        </w:drawing>
        <w:drawing>
          <wp:anchor simplePos="0" relativeHeight="251657728" behindDoc="1" locked="0" layoutInCell="0" allowOverlap="1">
            <wp:simplePos x="0" y="0"/>
            <wp:positionH relativeFrom="column">
              <wp:posOffset>5292090</wp:posOffset>
            </wp:positionH>
            <wp:positionV relativeFrom="paragraph">
              <wp:posOffset>-419735</wp:posOffset>
            </wp:positionV>
            <wp:extent cx="120078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44">
                      <a:extLst>
                        <a:ext uri="{28A0092B-C50C-407E-A947-70E740481C1C}"/>
                      </a:extLst>
                    </a:blip>
                    <a:srcRect/>
                    <a:stretch>
                      <a:fillRect/>
                    </a:stretch>
                  </pic:blipFill>
                  <pic:spPr bwMode="auto">
                    <a:xfrm>
                      <a:off x="0" y="0"/>
                      <a:ext cx="1200785" cy="25400"/>
                    </a:xfrm>
                    <a:prstGeom prst="rect">
                      <a:avLst/>
                    </a:prstGeom>
                    <a:noFill/>
                  </pic:spPr>
                </pic:pic>
              </a:graphicData>
            </a:graphic>
          </wp:anchor>
        </w:drawing>
        <w:drawing>
          <wp:anchor simplePos="0" relativeHeight="251657728" behindDoc="1" locked="0" layoutInCell="0" allowOverlap="1">
            <wp:simplePos x="0" y="0"/>
            <wp:positionH relativeFrom="column">
              <wp:posOffset>5292090</wp:posOffset>
            </wp:positionH>
            <wp:positionV relativeFrom="paragraph">
              <wp:posOffset>-229870</wp:posOffset>
            </wp:positionV>
            <wp:extent cx="120078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45">
                      <a:extLst>
                        <a:ext uri="{28A0092B-C50C-407E-A947-70E740481C1C}"/>
                      </a:extLst>
                    </a:blip>
                    <a:srcRect/>
                    <a:stretch>
                      <a:fillRect/>
                    </a:stretch>
                  </pic:blipFill>
                  <pic:spPr bwMode="auto">
                    <a:xfrm>
                      <a:off x="0" y="0"/>
                      <a:ext cx="1200785" cy="254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-2540</wp:posOffset>
                </wp:positionH>
                <wp:positionV relativeFrom="paragraph">
                  <wp:posOffset>91440</wp:posOffset>
                </wp:positionV>
                <wp:extent cx="1259840" cy="0"/>
                <wp:wrapNone/>
                <wp:docPr id="184" name="Shape 1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598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84" o:spid="_x0000_s12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7.2pt" to="99pt,7.2pt" o:allowincell="f" strokecolor="#000000" strokeweight="1pt"/>
            </w:pict>
          </mc:Fallback>
        </mc:AlternateContent>
      </w:r>
    </w:p>
    <w:p>
      <w:pPr>
        <w:spacing w:after="0" w:line="201" w:lineRule="exact"/>
        <w:rPr>
          <w:sz w:val="20"/>
          <w:szCs w:val="20"/>
          <w:color w:val="auto"/>
        </w:rPr>
      </w:pPr>
    </w:p>
    <w:p>
      <w:pPr>
        <w:ind w:left="80" w:firstLine="5"/>
        <w:spacing w:after="0" w:line="208" w:lineRule="auto"/>
        <w:tabs>
          <w:tab w:leader="none" w:pos="354" w:val="left"/>
        </w:tabs>
        <w:numPr>
          <w:ilvl w:val="0"/>
          <w:numId w:val="52"/>
        </w:numPr>
        <w:rPr>
          <w:rFonts w:ascii="Arial" w:cs="Arial" w:eastAsia="Arial" w:hAnsi="Arial"/>
          <w:sz w:val="26"/>
          <w:szCs w:val="26"/>
          <w:color w:val="auto"/>
          <w:vertAlign w:val="superscript"/>
        </w:rPr>
      </w:pPr>
      <w:r>
        <w:rPr>
          <w:rFonts w:ascii="Arial" w:cs="Arial" w:eastAsia="Arial" w:hAnsi="Arial"/>
          <w:sz w:val="16"/>
          <w:szCs w:val="16"/>
          <w:color w:val="auto"/>
        </w:rPr>
        <w:t xml:space="preserve">Includes a $90 million construction loan, $109 million sponsor equity bridge loan and $151 million tax equity bridge loan, offset by $1 million in unamortized debt issuance costs. See Note 10, </w:t>
      </w:r>
      <w:r>
        <w:rPr>
          <w:rFonts w:ascii="Arial" w:cs="Arial" w:eastAsia="Arial" w:hAnsi="Arial"/>
          <w:sz w:val="16"/>
          <w:szCs w:val="16"/>
          <w:b w:val="1"/>
          <w:bCs w:val="1"/>
          <w:i w:val="1"/>
          <w:iCs w:val="1"/>
          <w:color w:val="auto"/>
        </w:rPr>
        <w:t>Long-term Debt,</w:t>
      </w:r>
      <w:r>
        <w:rPr>
          <w:rFonts w:ascii="Arial" w:cs="Arial" w:eastAsia="Arial" w:hAnsi="Arial"/>
          <w:sz w:val="16"/>
          <w:szCs w:val="16"/>
          <w:color w:val="auto"/>
        </w:rPr>
        <w:t xml:space="preserve"> for further discussion of the long-term debt assumed in the acquisition.</w:t>
      </w:r>
    </w:p>
    <w:p>
      <w:pPr>
        <w:sectPr>
          <w:pgSz w:w="11880" w:h="15480" w:orient="portrait"/>
          <w:cols w:equalWidth="0" w:num="1">
            <w:col w:w="10200"/>
          </w:cols>
          <w:pgMar w:left="840" w:top="40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ectPr>
          <w:pgSz w:w="11880" w:h="15480" w:orient="portrait"/>
          <w:cols w:equalWidth="0" w:num="1">
            <w:col w:w="10200"/>
          </w:cols>
          <w:pgMar w:left="840" w:top="408" w:right="840" w:bottom="0" w:gutter="0" w:footer="0" w:header="0"/>
          <w:type w:val="continuous"/>
        </w:sectPr>
      </w:pPr>
    </w:p>
    <w:bookmarkStart w:id="92" w:name="page93"/>
    <w:bookmarkEnd w:id="92"/>
    <w:p>
      <w:pPr>
        <w:jc w:val="both"/>
        <w:ind w:firstLine="448"/>
        <w:spacing w:after="0" w:line="280" w:lineRule="auto"/>
        <w:rPr>
          <w:sz w:val="20"/>
          <w:szCs w:val="20"/>
          <w:color w:val="auto"/>
        </w:rPr>
      </w:pPr>
      <w:r>
        <w:rPr>
          <w:rFonts w:ascii="Arial" w:cs="Arial" w:eastAsia="Arial" w:hAnsi="Arial"/>
          <w:sz w:val="18"/>
          <w:szCs w:val="18"/>
          <w:b w:val="1"/>
          <w:bCs w:val="1"/>
          <w:i w:val="1"/>
          <w:iCs w:val="1"/>
          <w:color w:val="auto"/>
        </w:rPr>
        <w:t xml:space="preserve">Rosamond Central BESS Drop Down </w:t>
      </w:r>
      <w:r>
        <w:rPr>
          <w:rFonts w:ascii="Arial" w:cs="Arial" w:eastAsia="Arial" w:hAnsi="Arial"/>
          <w:sz w:val="18"/>
          <w:szCs w:val="18"/>
          <w:color w:val="auto"/>
        </w:rPr>
        <w:t>— On December 1, 2023, the Rosamond Central solar project acquired a 147 MW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BESS project that is co-located at the Rosamond Central solar facility from Clearway Renew for initial cash consideration of $70 million, $16 million of which was funded by the Company with the remaining $54 million funded through contributions from the cash equity investor in Rosie TargetCo LLC and the tax equity investor in Rosie TE HoldCo LLC. At substantial completion, which is expected to occur in the first half of 2024, the Company estimates it will pay an additional $279 million to Clearway Renew, $61 million of which will be funded by the Company with the remaining $218 million to be funded through contributions from the cash equity and tax equity investors. In order to facilitate and fund the construction of the BESS project, Rosie Class B LLC, the indirect owner of the Rosamond Central solar project, utilizing the proceeds from borrowings received under the refinanced debt facility, issued a loan to Clearway Renew that is included in note receivable — affiliate on the Company’s consolidated balance sheet, as further discussed in Note 10, </w:t>
      </w:r>
      <w:r>
        <w:rPr>
          <w:rFonts w:ascii="Arial" w:cs="Arial" w:eastAsia="Arial" w:hAnsi="Arial"/>
          <w:sz w:val="18"/>
          <w:szCs w:val="18"/>
          <w:b w:val="1"/>
          <w:bCs w:val="1"/>
          <w:i w:val="1"/>
          <w:iCs w:val="1"/>
          <w:color w:val="auto"/>
        </w:rPr>
        <w:t>Long-term Debt</w:t>
      </w:r>
      <w:r>
        <w:rPr>
          <w:rFonts w:ascii="Arial" w:cs="Arial" w:eastAsia="Arial" w:hAnsi="Arial"/>
          <w:sz w:val="18"/>
          <w:szCs w:val="18"/>
          <w:color w:val="auto"/>
        </w:rPr>
        <w:t xml:space="preserve">, and also made equity contributions to Rosie BESS Devco LLC, or Rosie Central BESS, which is an investment accounted for under the equity method of accounting, as further discussed in Note 5, </w:t>
      </w:r>
      <w:r>
        <w:rPr>
          <w:rFonts w:ascii="Arial" w:cs="Arial" w:eastAsia="Arial" w:hAnsi="Arial"/>
          <w:sz w:val="18"/>
          <w:szCs w:val="18"/>
          <w:b w:val="1"/>
          <w:bCs w:val="1"/>
          <w:i w:val="1"/>
          <w:iCs w:val="1"/>
          <w:color w:val="auto"/>
        </w:rPr>
        <w:t>Investments Accounted for by the Equity Method and Variable Interest Entities</w:t>
      </w:r>
      <w:r>
        <w:rPr>
          <w:rFonts w:ascii="Arial" w:cs="Arial" w:eastAsia="Arial" w:hAnsi="Arial"/>
          <w:sz w:val="18"/>
          <w:szCs w:val="18"/>
          <w:color w:val="auto"/>
        </w:rPr>
        <w:t xml:space="preserve">. The BESS project has a PPA for capacity with an investment-grade utility that has a 15-year contract duration that commences when the project reaches commercial operations, which is expected to occur in the first half of 2024. The Rosamond Central BESS operations are reflected in the Company’s Renewables segment and the Company’s portion of the initial consideration was funded with existing sources of liquidity. The acquisition was determined to be an asset acquisition and the Company consolidates the Rosamond Central BESS project net assets on a prospective basis in its financial statements. The assets and liabilities transferred to the Company relate to interests under common control and were recorded at historical cost in accordance with ASC 805-50, </w:t>
      </w:r>
      <w:r>
        <w:rPr>
          <w:rFonts w:ascii="Arial" w:cs="Arial" w:eastAsia="Arial" w:hAnsi="Arial"/>
          <w:sz w:val="18"/>
          <w:szCs w:val="18"/>
          <w:b w:val="1"/>
          <w:bCs w:val="1"/>
          <w:i w:val="1"/>
          <w:iCs w:val="1"/>
          <w:color w:val="auto"/>
        </w:rPr>
        <w:t>Business Combinations - Related Issues</w:t>
      </w:r>
      <w:r>
        <w:rPr>
          <w:rFonts w:ascii="Arial" w:cs="Arial" w:eastAsia="Arial" w:hAnsi="Arial"/>
          <w:sz w:val="18"/>
          <w:szCs w:val="18"/>
          <w:color w:val="auto"/>
        </w:rPr>
        <w:t>. The difference between the historical cost of the Company’s net assets acquired of $266 million and the cash paid of $70 million was recorded as an adjustment to CEG’s noncontrolling interest balance.</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assets and liabilities transferred in connection with the acquisition as of December 1, 2023:</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8120" w:type="dxa"/>
            <w:vAlign w:val="bottom"/>
            <w:tcBorders>
              <w:bottom w:val="single" w:sz="8" w:color="E6E6E6"/>
            </w:tcBorders>
          </w:tcPr>
          <w:p>
            <w:pPr>
              <w:jc w:val="right"/>
              <w:ind w:right="7042"/>
              <w:spacing w:after="0"/>
              <w:rPr>
                <w:sz w:val="20"/>
                <w:szCs w:val="20"/>
                <w:color w:val="auto"/>
              </w:rPr>
            </w:pPr>
            <w:r>
              <w:rPr>
                <w:rFonts w:ascii="Arial" w:cs="Arial" w:eastAsia="Arial" w:hAnsi="Arial"/>
                <w:sz w:val="18"/>
                <w:szCs w:val="18"/>
                <w:b w:val="1"/>
                <w:bCs w:val="1"/>
                <w:color w:val="auto"/>
                <w:w w:val="94"/>
              </w:rPr>
              <w:t>(In millions)</w:t>
            </w:r>
          </w:p>
        </w:tc>
        <w:tc>
          <w:tcPr>
            <w:tcW w:w="2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Rosamond Central BESS</w:t>
            </w:r>
          </w:p>
        </w:tc>
      </w:tr>
      <w:tr>
        <w:trPr>
          <w:trHeight w:val="279"/>
        </w:trPr>
        <w:tc>
          <w:tcPr>
            <w:tcW w:w="8120" w:type="dxa"/>
            <w:vAlign w:val="bottom"/>
            <w:tcBorders>
              <w:bottom w:val="single" w:sz="8" w:color="E6E6E6"/>
            </w:tcBorders>
            <w:shd w:val="clear" w:color="auto" w:fill="E6E6E6"/>
          </w:tcPr>
          <w:p>
            <w:pPr>
              <w:jc w:val="right"/>
              <w:ind w:right="2"/>
              <w:spacing w:after="0" w:line="278" w:lineRule="exact"/>
              <w:rPr>
                <w:sz w:val="20"/>
                <w:szCs w:val="20"/>
                <w:color w:val="auto"/>
              </w:rPr>
            </w:pPr>
            <w:r>
              <w:rPr>
                <w:rFonts w:ascii="Arial" w:cs="Arial" w:eastAsia="Arial" w:hAnsi="Arial"/>
                <w:sz w:val="20"/>
                <w:szCs w:val="20"/>
                <w:color w:val="BDBDBD"/>
                <w:w w:val="94"/>
              </w:rPr>
              <w:t>. . . . . . . . . . . . . . . . . . . . . . . . . . . . . . . . . . . . . . . . . . . . . . . . . . . .</w:t>
            </w:r>
            <w:r>
              <w:rPr>
                <w:rFonts w:ascii="Arial" w:cs="Arial" w:eastAsia="Arial" w:hAnsi="Arial"/>
                <w:sz w:val="20"/>
                <w:szCs w:val="20"/>
                <w:color w:val="000000"/>
                <w:w w:val="94"/>
              </w:rPr>
              <w:t>Property,plantandequipment</w:t>
            </w:r>
            <w:r>
              <w:rPr>
                <w:rFonts w:ascii="Arial" w:cs="Arial" w:eastAsia="Arial" w:hAnsi="Arial"/>
                <w:sz w:val="25"/>
                <w:szCs w:val="25"/>
                <w:color w:val="000000"/>
                <w:w w:val="94"/>
                <w:vertAlign w:val="superscript"/>
              </w:rPr>
              <w:t>(a)</w:t>
            </w:r>
          </w:p>
        </w:tc>
        <w:tc>
          <w:tcPr>
            <w:tcW w:w="940" w:type="dxa"/>
            <w:vAlign w:val="bottom"/>
            <w:tcBorders>
              <w:bottom w:val="single" w:sz="8" w:color="auto"/>
            </w:tcBorders>
            <w:shd w:val="clear" w:color="auto" w:fill="E6E6E6"/>
          </w:tcPr>
          <w:p>
            <w:pPr>
              <w:jc w:val="right"/>
              <w:ind w:right="684"/>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275</w:t>
            </w:r>
          </w:p>
        </w:tc>
      </w:tr>
      <w:tr>
        <w:trPr>
          <w:trHeight w:val="282"/>
        </w:trPr>
        <w:tc>
          <w:tcPr>
            <w:tcW w:w="8120" w:type="dxa"/>
            <w:vAlign w:val="bottom"/>
          </w:tcPr>
          <w:p>
            <w:pPr>
              <w:jc w:val="right"/>
              <w:ind w:right="2"/>
              <w:spacing w:after="0"/>
              <w:rPr>
                <w:sz w:val="20"/>
                <w:szCs w:val="20"/>
                <w:color w:val="auto"/>
              </w:rPr>
            </w:pPr>
            <w:r>
              <w:rPr>
                <w:rFonts w:ascii="Arial" w:cs="Arial" w:eastAsia="Arial" w:hAnsi="Arial"/>
                <w:sz w:val="20"/>
                <w:szCs w:val="20"/>
                <w:color w:val="auto"/>
                <w:w w:val="93"/>
              </w:rPr>
              <w:t xml:space="preserve">Total assets acquired </w:t>
            </w:r>
            <w:r>
              <w:rPr>
                <w:rFonts w:ascii="Arial" w:cs="Arial" w:eastAsia="Arial" w:hAnsi="Arial"/>
                <w:sz w:val="20"/>
                <w:szCs w:val="20"/>
                <w:color w:val="BDBDBD"/>
                <w:w w:val="93"/>
              </w:rPr>
              <w:t>. . . . . . . . . . . . . . . . . . . . . . . . . . . . . . . . . . . . . . . . . . . . . . . . . . . . . . . . . . . .</w:t>
            </w:r>
          </w:p>
        </w:tc>
        <w:tc>
          <w:tcPr>
            <w:tcW w:w="9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275</w:t>
            </w:r>
          </w:p>
        </w:tc>
      </w:tr>
      <w:tr>
        <w:trPr>
          <w:trHeight w:val="320"/>
        </w:trPr>
        <w:tc>
          <w:tcPr>
            <w:tcW w:w="8120" w:type="dxa"/>
            <w:vAlign w:val="bottom"/>
            <w:shd w:val="clear" w:color="auto" w:fill="E6E6E6"/>
          </w:tcPr>
          <w:p>
            <w:pPr>
              <w:spacing w:after="0"/>
              <w:rPr>
                <w:sz w:val="24"/>
                <w:szCs w:val="24"/>
                <w:color w:val="auto"/>
              </w:rPr>
            </w:pPr>
          </w:p>
        </w:tc>
        <w:tc>
          <w:tcPr>
            <w:tcW w:w="940" w:type="dxa"/>
            <w:vAlign w:val="bottom"/>
            <w:shd w:val="clear" w:color="auto" w:fill="E6E6E6"/>
          </w:tcPr>
          <w:p>
            <w:pPr>
              <w:spacing w:after="0"/>
              <w:rPr>
                <w:sz w:val="24"/>
                <w:szCs w:val="24"/>
                <w:color w:val="auto"/>
              </w:rPr>
            </w:pPr>
          </w:p>
        </w:tc>
        <w:tc>
          <w:tcPr>
            <w:tcW w:w="1140" w:type="dxa"/>
            <w:vAlign w:val="bottom"/>
            <w:shd w:val="clear" w:color="auto" w:fill="E6E6E6"/>
          </w:tcPr>
          <w:p>
            <w:pPr>
              <w:spacing w:after="0"/>
              <w:rPr>
                <w:sz w:val="24"/>
                <w:szCs w:val="24"/>
                <w:color w:val="auto"/>
              </w:rPr>
            </w:pPr>
          </w:p>
        </w:tc>
      </w:tr>
      <w:tr>
        <w:trPr>
          <w:trHeight w:val="288"/>
        </w:trPr>
        <w:tc>
          <w:tcPr>
            <w:tcW w:w="8120" w:type="dxa"/>
            <w:vAlign w:val="bottom"/>
            <w:tcBorders>
              <w:bottom w:val="single" w:sz="8" w:color="E6E6E6"/>
            </w:tcBorders>
          </w:tcPr>
          <w:p>
            <w:pPr>
              <w:jc w:val="right"/>
              <w:ind w:right="22"/>
              <w:spacing w:after="0"/>
              <w:rPr>
                <w:sz w:val="20"/>
                <w:szCs w:val="20"/>
                <w:color w:val="auto"/>
              </w:rPr>
            </w:pPr>
            <w:r>
              <w:rPr>
                <w:rFonts w:ascii="Arial" w:cs="Arial" w:eastAsia="Arial" w:hAnsi="Arial"/>
                <w:sz w:val="20"/>
                <w:szCs w:val="20"/>
                <w:color w:val="auto"/>
                <w:w w:val="92"/>
              </w:rPr>
              <w:t xml:space="preserve">Other current and non-current liabilities  </w:t>
            </w:r>
            <w:r>
              <w:rPr>
                <w:rFonts w:ascii="Arial" w:cs="Arial" w:eastAsia="Arial" w:hAnsi="Arial"/>
                <w:sz w:val="20"/>
                <w:szCs w:val="20"/>
                <w:color w:val="BDBDBD"/>
                <w:w w:val="92"/>
              </w:rPr>
              <w:t>. . . . . . . . . . . . . . . . . . . . . . . . . . . . . . . . . . . . . . . . . . . . . .</w:t>
            </w:r>
          </w:p>
        </w:tc>
        <w:tc>
          <w:tcPr>
            <w:tcW w:w="9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w:t>
            </w:r>
          </w:p>
        </w:tc>
      </w:tr>
      <w:tr>
        <w:trPr>
          <w:trHeight w:val="279"/>
        </w:trPr>
        <w:tc>
          <w:tcPr>
            <w:tcW w:w="8120" w:type="dxa"/>
            <w:vAlign w:val="bottom"/>
            <w:tcBorders>
              <w:bottom w:val="single" w:sz="8" w:color="E6E6E6"/>
            </w:tcBorders>
            <w:shd w:val="clear" w:color="auto" w:fill="E6E6E6"/>
          </w:tcPr>
          <w:p>
            <w:pPr>
              <w:jc w:val="right"/>
              <w:ind w:right="2"/>
              <w:spacing w:after="0"/>
              <w:rPr>
                <w:sz w:val="20"/>
                <w:szCs w:val="20"/>
                <w:color w:val="auto"/>
              </w:rPr>
            </w:pPr>
            <w:r>
              <w:rPr>
                <w:rFonts w:ascii="Arial" w:cs="Arial" w:eastAsia="Arial" w:hAnsi="Arial"/>
                <w:sz w:val="20"/>
                <w:szCs w:val="20"/>
                <w:color w:val="auto"/>
                <w:w w:val="93"/>
              </w:rPr>
              <w:t xml:space="preserve">Total liabilities assumed </w:t>
            </w:r>
            <w:r>
              <w:rPr>
                <w:rFonts w:ascii="Arial" w:cs="Arial" w:eastAsia="Arial" w:hAnsi="Arial"/>
                <w:sz w:val="20"/>
                <w:szCs w:val="20"/>
                <w:color w:val="BDBDBD"/>
                <w:w w:val="93"/>
              </w:rPr>
              <w:t>. . . . . . . . . . . . . . . . . . . . . . . . . . . . . . . . . . . . . . . . . . . . . . . . . . . . . . . . . .</w:t>
            </w:r>
          </w:p>
        </w:tc>
        <w:tc>
          <w:tcPr>
            <w:tcW w:w="940" w:type="dxa"/>
            <w:vAlign w:val="bottom"/>
            <w:tcBorders>
              <w:bottom w:val="single" w:sz="8" w:color="auto"/>
            </w:tcBorders>
            <w:shd w:val="clear" w:color="auto" w:fill="E6E6E6"/>
          </w:tcPr>
          <w:p>
            <w:pPr>
              <w:spacing w:after="0"/>
              <w:rPr>
                <w:sz w:val="24"/>
                <w:szCs w:val="24"/>
                <w:color w:val="auto"/>
              </w:rPr>
            </w:pPr>
          </w:p>
        </w:tc>
        <w:tc>
          <w:tcPr>
            <w:tcW w:w="1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9</w:t>
            </w:r>
          </w:p>
        </w:tc>
      </w:tr>
      <w:tr>
        <w:trPr>
          <w:trHeight w:val="259"/>
        </w:trPr>
        <w:tc>
          <w:tcPr>
            <w:tcW w:w="8120" w:type="dxa"/>
            <w:vAlign w:val="bottom"/>
          </w:tcPr>
          <w:p>
            <w:pPr>
              <w:jc w:val="right"/>
              <w:ind w:right="2"/>
              <w:spacing w:after="0"/>
              <w:rPr>
                <w:sz w:val="20"/>
                <w:szCs w:val="20"/>
                <w:color w:val="auto"/>
              </w:rPr>
            </w:pPr>
            <w:r>
              <w:rPr>
                <w:rFonts w:ascii="Arial" w:cs="Arial" w:eastAsia="Arial" w:hAnsi="Arial"/>
                <w:sz w:val="20"/>
                <w:szCs w:val="20"/>
                <w:color w:val="auto"/>
                <w:w w:val="92"/>
              </w:rPr>
              <w:t xml:space="preserve">Net assets acquired </w:t>
            </w:r>
            <w:r>
              <w:rPr>
                <w:rFonts w:ascii="Arial" w:cs="Arial" w:eastAsia="Arial" w:hAnsi="Arial"/>
                <w:sz w:val="20"/>
                <w:szCs w:val="20"/>
                <w:color w:val="BDBDBD"/>
                <w:w w:val="92"/>
              </w:rPr>
              <w:t>. . . . . . . . . . . . . . . . . . . . . . . . . . . . . . . . . . . . . . . . . . . . . . . . . . . . . . . . . . . . . .</w:t>
            </w:r>
          </w:p>
        </w:tc>
        <w:tc>
          <w:tcPr>
            <w:tcW w:w="940" w:type="dxa"/>
            <w:vAlign w:val="bottom"/>
            <w:tcBorders>
              <w:bottom w:val="single" w:sz="8" w:color="auto"/>
            </w:tcBorders>
          </w:tcPr>
          <w:p>
            <w:pPr>
              <w:jc w:val="right"/>
              <w:ind w:right="684"/>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266</w:t>
            </w:r>
          </w:p>
        </w:tc>
      </w:tr>
      <w:tr>
        <w:trPr>
          <w:trHeight w:val="20"/>
        </w:trPr>
        <w:tc>
          <w:tcPr>
            <w:tcW w:w="8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5149850</wp:posOffset>
            </wp:positionH>
            <wp:positionV relativeFrom="paragraph">
              <wp:posOffset>-1177925</wp:posOffset>
            </wp:positionV>
            <wp:extent cx="134302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46">
                      <a:extLst>
                        <a:ext uri="{28A0092B-C50C-407E-A947-70E740481C1C}"/>
                      </a:extLst>
                    </a:blip>
                    <a:srcRect/>
                    <a:stretch>
                      <a:fillRect/>
                    </a:stretch>
                  </pic:blipFill>
                  <pic:spPr bwMode="auto">
                    <a:xfrm>
                      <a:off x="0" y="0"/>
                      <a:ext cx="1343025" cy="25400"/>
                    </a:xfrm>
                    <a:prstGeom prst="rect">
                      <a:avLst/>
                    </a:prstGeom>
                    <a:noFill/>
                  </pic:spPr>
                </pic:pic>
              </a:graphicData>
            </a:graphic>
          </wp:anchor>
        </w:drawing>
        <w:drawing>
          <wp:anchor simplePos="0" relativeHeight="251657728" behindDoc="1" locked="0" layoutInCell="0" allowOverlap="1">
            <wp:simplePos x="0" y="0"/>
            <wp:positionH relativeFrom="column">
              <wp:posOffset>5149850</wp:posOffset>
            </wp:positionH>
            <wp:positionV relativeFrom="paragraph">
              <wp:posOffset>-988060</wp:posOffset>
            </wp:positionV>
            <wp:extent cx="134302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47">
                      <a:extLst>
                        <a:ext uri="{28A0092B-C50C-407E-A947-70E740481C1C}"/>
                      </a:extLst>
                    </a:blip>
                    <a:srcRect/>
                    <a:stretch>
                      <a:fillRect/>
                    </a:stretch>
                  </pic:blipFill>
                  <pic:spPr bwMode="auto">
                    <a:xfrm>
                      <a:off x="0" y="0"/>
                      <a:ext cx="1343025" cy="25400"/>
                    </a:xfrm>
                    <a:prstGeom prst="rect">
                      <a:avLst/>
                    </a:prstGeom>
                    <a:noFill/>
                  </pic:spPr>
                </pic:pic>
              </a:graphicData>
            </a:graphic>
          </wp:anchor>
        </w:drawing>
        <w:drawing>
          <wp:anchor simplePos="0" relativeHeight="251657728" behindDoc="1" locked="0" layoutInCell="0" allowOverlap="1">
            <wp:simplePos x="0" y="0"/>
            <wp:positionH relativeFrom="column">
              <wp:posOffset>5149850</wp:posOffset>
            </wp:positionH>
            <wp:positionV relativeFrom="paragraph">
              <wp:posOffset>-410210</wp:posOffset>
            </wp:positionV>
            <wp:extent cx="134302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48">
                      <a:extLst>
                        <a:ext uri="{28A0092B-C50C-407E-A947-70E740481C1C}"/>
                      </a:extLst>
                    </a:blip>
                    <a:srcRect/>
                    <a:stretch>
                      <a:fillRect/>
                    </a:stretch>
                  </pic:blipFill>
                  <pic:spPr bwMode="auto">
                    <a:xfrm>
                      <a:off x="0" y="0"/>
                      <a:ext cx="1343025" cy="25400"/>
                    </a:xfrm>
                    <a:prstGeom prst="rect">
                      <a:avLst/>
                    </a:prstGeom>
                    <a:noFill/>
                  </pic:spPr>
                </pic:pic>
              </a:graphicData>
            </a:graphic>
          </wp:anchor>
        </w:drawing>
        <w:drawing>
          <wp:anchor simplePos="0" relativeHeight="251657728" behindDoc="1" locked="0" layoutInCell="0" allowOverlap="1">
            <wp:simplePos x="0" y="0"/>
            <wp:positionH relativeFrom="column">
              <wp:posOffset>5149850</wp:posOffset>
            </wp:positionH>
            <wp:positionV relativeFrom="paragraph">
              <wp:posOffset>-220345</wp:posOffset>
            </wp:positionV>
            <wp:extent cx="134302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49">
                      <a:extLst>
                        <a:ext uri="{28A0092B-C50C-407E-A947-70E740481C1C}"/>
                      </a:extLst>
                    </a:blip>
                    <a:srcRect/>
                    <a:stretch>
                      <a:fillRect/>
                    </a:stretch>
                  </pic:blipFill>
                  <pic:spPr bwMode="auto">
                    <a:xfrm>
                      <a:off x="0" y="0"/>
                      <a:ext cx="1343025" cy="254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-2540</wp:posOffset>
                </wp:positionH>
                <wp:positionV relativeFrom="paragraph">
                  <wp:posOffset>91440</wp:posOffset>
                </wp:positionV>
                <wp:extent cx="1259840" cy="0"/>
                <wp:wrapNone/>
                <wp:docPr id="189" name="Shape 1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598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89" o:spid="_x0000_s12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7.2pt" to="99pt,7.2pt" o:allowincell="f" strokecolor="#000000" strokeweight="1pt"/>
            </w:pict>
          </mc:Fallback>
        </mc:AlternateContent>
      </w:r>
    </w:p>
    <w:p>
      <w:pPr>
        <w:spacing w:after="0" w:line="111" w:lineRule="exact"/>
        <w:rPr>
          <w:sz w:val="20"/>
          <w:szCs w:val="20"/>
          <w:color w:val="auto"/>
        </w:rPr>
      </w:pPr>
    </w:p>
    <w:p>
      <w:pPr>
        <w:ind w:left="300" w:hanging="215"/>
        <w:spacing w:after="0"/>
        <w:tabs>
          <w:tab w:leader="none" w:pos="300" w:val="left"/>
        </w:tabs>
        <w:numPr>
          <w:ilvl w:val="0"/>
          <w:numId w:val="53"/>
        </w:numPr>
        <w:rPr>
          <w:rFonts w:ascii="Arial" w:cs="Arial" w:eastAsia="Arial" w:hAnsi="Arial"/>
          <w:sz w:val="26"/>
          <w:szCs w:val="26"/>
          <w:color w:val="auto"/>
          <w:vertAlign w:val="superscript"/>
        </w:rPr>
      </w:pPr>
      <w:r>
        <w:rPr>
          <w:rFonts w:ascii="Arial" w:cs="Arial" w:eastAsia="Arial" w:hAnsi="Arial"/>
          <w:sz w:val="16"/>
          <w:szCs w:val="16"/>
          <w:color w:val="auto"/>
        </w:rPr>
        <w:t>Includes Construction in progress of $272 million.</w:t>
      </w:r>
    </w:p>
    <w:p>
      <w:pPr>
        <w:spacing w:after="0" w:line="296" w:lineRule="exact"/>
        <w:rPr>
          <w:sz w:val="20"/>
          <w:szCs w:val="20"/>
          <w:color w:val="auto"/>
        </w:rPr>
      </w:pPr>
    </w:p>
    <w:p>
      <w:pPr>
        <w:jc w:val="both"/>
        <w:ind w:firstLine="448"/>
        <w:spacing w:after="0" w:line="280" w:lineRule="auto"/>
        <w:rPr>
          <w:sz w:val="20"/>
          <w:szCs w:val="20"/>
          <w:color w:val="auto"/>
        </w:rPr>
      </w:pPr>
      <w:r>
        <w:rPr>
          <w:rFonts w:ascii="Arial" w:cs="Arial" w:eastAsia="Arial" w:hAnsi="Arial"/>
          <w:sz w:val="18"/>
          <w:szCs w:val="18"/>
          <w:b w:val="1"/>
          <w:bCs w:val="1"/>
          <w:i w:val="1"/>
          <w:iCs w:val="1"/>
          <w:color w:val="auto"/>
        </w:rPr>
        <w:t xml:space="preserve">Victory Pass and Arica Drop Down </w:t>
      </w:r>
      <w:r>
        <w:rPr>
          <w:rFonts w:ascii="Arial" w:cs="Arial" w:eastAsia="Arial" w:hAnsi="Arial"/>
          <w:sz w:val="18"/>
          <w:szCs w:val="18"/>
          <w:color w:val="auto"/>
        </w:rPr>
        <w:t>— On October 31, 2023, the Company, through its indirect subsidiary, VP-Arica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Parent Holdco LLC, acquired the Class A membership interests in VP-Arica TargetCo LLC, a partnership and the indirect owner of Victory Pass, a 200 MW solar project that is paired with 50 MW of energy storage, and Arica, a 263 MW solar project that is paired with 136 MW of energy storage, which are both currently under construction in Riverside, California, from Clearway Renew for initial cash consideration of $46 million. Simultaneously, a cash equity investor acquired the Class B membership interests in VP-Arica TargetCo LLC from Clearway Renew for initial cash consideration of $87 million. At substantial completion, which is expected to occur in the first half of 2024, the Company estimates it will pay an additional $182 million to Clearway Renew and the cash equity investor will contribute an additional $347 million. VP-Arica TargetCo LLC consolidates as primary beneficiary, VP-Arica TE Holdco LLC, a tax equity fund that owns the Victory Pass and Arica solar projects, as further described in Note 5, </w:t>
      </w:r>
      <w:r>
        <w:rPr>
          <w:rFonts w:ascii="Arial" w:cs="Arial" w:eastAsia="Arial" w:hAnsi="Arial"/>
          <w:sz w:val="18"/>
          <w:szCs w:val="18"/>
          <w:b w:val="1"/>
          <w:bCs w:val="1"/>
          <w:i w:val="1"/>
          <w:iCs w:val="1"/>
          <w:color w:val="auto"/>
        </w:rPr>
        <w:t>Investments Accounted for by the Equity Method and Variable Interest Entities</w:t>
      </w:r>
      <w:r>
        <w:rPr>
          <w:rFonts w:ascii="Arial" w:cs="Arial" w:eastAsia="Arial" w:hAnsi="Arial"/>
          <w:sz w:val="18"/>
          <w:szCs w:val="18"/>
          <w:color w:val="auto"/>
        </w:rPr>
        <w:t xml:space="preserve">. Victory Pass and Arica each have PPAs with investment-grade counterparties that have a 15-year and 14-year weighted average contract duration, respectively, that commence when the underlying operating assets reach commercial operations, which is expected to occur in the first half of 2024. The Victory Pass and Arica operations are reflected in the Company’s Renewables segment and the acquisition was funded with existing sources of liquidity. The acquisition was determined to be an asset acquisition and the Company consolidates Victory Pass and Arica on a prospective basis in its financial statements. The assets and liabilities transferred to the Company relate to interests under common control and were recorded at historical cost in accordance with ASC 805-50, </w:t>
      </w:r>
      <w:r>
        <w:rPr>
          <w:rFonts w:ascii="Arial" w:cs="Arial" w:eastAsia="Arial" w:hAnsi="Arial"/>
          <w:sz w:val="18"/>
          <w:szCs w:val="18"/>
          <w:b w:val="1"/>
          <w:bCs w:val="1"/>
          <w:i w:val="1"/>
          <w:iCs w:val="1"/>
          <w:color w:val="auto"/>
        </w:rPr>
        <w:t>Business Combinations - Related Issues</w:t>
      </w:r>
      <w:r>
        <w:rPr>
          <w:rFonts w:ascii="Arial" w:cs="Arial" w:eastAsia="Arial" w:hAnsi="Arial"/>
          <w:sz w:val="18"/>
          <w:szCs w:val="18"/>
          <w:color w:val="auto"/>
        </w:rPr>
        <w:t>. The sum of the cash paid of $46 million and the historical cost of the Company’s net liabilities assumed of $1 million was recorded as an adjustment to CEG’s noncontrolling interest balance. In addition, the Company reflected the entire $46 million of the Company’s purchase price, which was contributed back to the Company by CEG to pay down the acquired long-term debt, in the line item distributions to CEG, net of contributions in the consolidated statements of stockholders’ equity.</w:t>
      </w:r>
    </w:p>
    <w:p>
      <w:pPr>
        <w:sectPr>
          <w:pgSz w:w="11880" w:h="15480" w:orient="portrait"/>
          <w:cols w:equalWidth="0" w:num="1">
            <w:col w:w="10200"/>
          </w:cols>
          <w:pgMar w:left="840" w:top="406"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ectPr>
          <w:pgSz w:w="11880" w:h="15480" w:orient="portrait"/>
          <w:cols w:equalWidth="0" w:num="1">
            <w:col w:w="10200"/>
          </w:cols>
          <w:pgMar w:left="840" w:top="406" w:right="840" w:bottom="0" w:gutter="0" w:footer="0" w:header="0"/>
          <w:type w:val="continuous"/>
        </w:sectPr>
      </w:pPr>
    </w:p>
    <w:bookmarkStart w:id="93" w:name="page94"/>
    <w:bookmarkEnd w:id="93"/>
    <w:p>
      <w:pPr>
        <w:ind w:left="440"/>
        <w:spacing w:after="0"/>
        <w:rPr>
          <w:sz w:val="20"/>
          <w:szCs w:val="20"/>
          <w:color w:val="auto"/>
        </w:rPr>
      </w:pPr>
      <w:r>
        <w:rPr>
          <w:rFonts w:ascii="Arial" w:cs="Arial" w:eastAsia="Arial" w:hAnsi="Arial"/>
          <w:sz w:val="18"/>
          <w:szCs w:val="18"/>
          <w:color w:val="auto"/>
        </w:rPr>
        <w:t>The following is a summary of assets and liabilities transferred in connection with the acquisition as of October 31, 2023:</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8300" w:type="dxa"/>
            <w:vAlign w:val="bottom"/>
            <w:tcBorders>
              <w:bottom w:val="single" w:sz="8" w:color="E6E6E6"/>
            </w:tcBorders>
          </w:tcPr>
          <w:p>
            <w:pPr>
              <w:jc w:val="right"/>
              <w:ind w:right="7221"/>
              <w:spacing w:after="0"/>
              <w:rPr>
                <w:sz w:val="20"/>
                <w:szCs w:val="20"/>
                <w:color w:val="auto"/>
              </w:rPr>
            </w:pPr>
            <w:r>
              <w:rPr>
                <w:rFonts w:ascii="Arial" w:cs="Arial" w:eastAsia="Arial" w:hAnsi="Arial"/>
                <w:sz w:val="18"/>
                <w:szCs w:val="18"/>
                <w:b w:val="1"/>
                <w:bCs w:val="1"/>
                <w:color w:val="auto"/>
                <w:w w:val="94"/>
              </w:rPr>
              <w:t>(In millions)</w:t>
            </w:r>
          </w:p>
        </w:tc>
        <w:tc>
          <w:tcPr>
            <w:tcW w:w="1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Victory Pass and Arica</w:t>
            </w:r>
          </w:p>
        </w:tc>
      </w:tr>
      <w:tr>
        <w:trPr>
          <w:trHeight w:val="289"/>
        </w:trPr>
        <w:tc>
          <w:tcPr>
            <w:tcW w:w="8300" w:type="dxa"/>
            <w:vAlign w:val="bottom"/>
            <w:shd w:val="clear" w:color="auto" w:fill="E6E6E6"/>
          </w:tcPr>
          <w:p>
            <w:pPr>
              <w:jc w:val="right"/>
              <w:ind w:right="21"/>
              <w:spacing w:after="0"/>
              <w:rPr>
                <w:sz w:val="20"/>
                <w:szCs w:val="20"/>
                <w:color w:val="auto"/>
              </w:rPr>
            </w:pPr>
            <w:r>
              <w:rPr>
                <w:rFonts w:ascii="Arial" w:cs="Arial" w:eastAsia="Arial" w:hAnsi="Arial"/>
                <w:sz w:val="20"/>
                <w:szCs w:val="20"/>
                <w:color w:val="auto"/>
                <w:w w:val="91"/>
              </w:rPr>
              <w:t xml:space="preserve">Cash </w:t>
            </w:r>
            <w:r>
              <w:rPr>
                <w:rFonts w:ascii="Arial" w:cs="Arial" w:eastAsia="Arial" w:hAnsi="Arial"/>
                <w:sz w:val="20"/>
                <w:szCs w:val="20"/>
                <w:color w:val="BDBDBD"/>
                <w:w w:val="91"/>
              </w:rPr>
              <w:t>. . . . . . . . . . . . . . . . . . . . . . . . . . . . . . . . . . . . . . . . . . . . . . . . . . . . . . . . . . . . . . . . . . . . . . . . . . . .</w:t>
            </w:r>
          </w:p>
        </w:tc>
        <w:tc>
          <w:tcPr>
            <w:tcW w:w="840" w:type="dxa"/>
            <w:vAlign w:val="bottom"/>
            <w:shd w:val="clear" w:color="auto" w:fill="E6E6E6"/>
          </w:tcPr>
          <w:p>
            <w:pPr>
              <w:jc w:val="right"/>
              <w:ind w:right="584"/>
              <w:spacing w:after="0"/>
              <w:rPr>
                <w:sz w:val="20"/>
                <w:szCs w:val="20"/>
                <w:color w:val="auto"/>
              </w:rPr>
            </w:pPr>
            <w:r>
              <w:rPr>
                <w:rFonts w:ascii="Arial" w:cs="Arial" w:eastAsia="Arial" w:hAnsi="Arial"/>
                <w:sz w:val="20"/>
                <w:szCs w:val="20"/>
                <w:color w:val="auto"/>
              </w:rPr>
              <w:t>$</w:t>
            </w:r>
          </w:p>
        </w:tc>
        <w:tc>
          <w:tcPr>
            <w:tcW w:w="10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w:t>
            </w:r>
          </w:p>
        </w:tc>
      </w:tr>
      <w:tr>
        <w:trPr>
          <w:trHeight w:val="298"/>
        </w:trPr>
        <w:tc>
          <w:tcPr>
            <w:tcW w:w="8300" w:type="dxa"/>
            <w:vAlign w:val="bottom"/>
          </w:tcPr>
          <w:p>
            <w:pPr>
              <w:jc w:val="right"/>
              <w:ind w:right="21"/>
              <w:spacing w:after="0"/>
              <w:rPr>
                <w:sz w:val="20"/>
                <w:szCs w:val="20"/>
                <w:color w:val="auto"/>
              </w:rPr>
            </w:pPr>
            <w:r>
              <w:rPr>
                <w:rFonts w:ascii="Arial" w:cs="Arial" w:eastAsia="Arial" w:hAnsi="Arial"/>
                <w:sz w:val="20"/>
                <w:szCs w:val="20"/>
                <w:color w:val="auto"/>
                <w:w w:val="91"/>
              </w:rPr>
              <w:t xml:space="preserve">Property, plant and equipment </w:t>
            </w:r>
            <w:r>
              <w:rPr>
                <w:rFonts w:ascii="Arial" w:cs="Arial" w:eastAsia="Arial" w:hAnsi="Arial"/>
                <w:sz w:val="25"/>
                <w:szCs w:val="25"/>
                <w:color w:val="auto"/>
                <w:w w:val="91"/>
                <w:vertAlign w:val="superscript"/>
              </w:rPr>
              <w:t>(a)</w:t>
            </w:r>
            <w:r>
              <w:rPr>
                <w:rFonts w:ascii="Arial" w:cs="Arial" w:eastAsia="Arial" w:hAnsi="Arial"/>
                <w:sz w:val="20"/>
                <w:szCs w:val="20"/>
                <w:color w:val="auto"/>
                <w:w w:val="91"/>
              </w:rPr>
              <w:t xml:space="preserve"> </w:t>
            </w:r>
            <w:r>
              <w:rPr>
                <w:rFonts w:ascii="Arial" w:cs="Arial" w:eastAsia="Arial" w:hAnsi="Arial"/>
                <w:sz w:val="20"/>
                <w:szCs w:val="20"/>
                <w:color w:val="BDBDBD"/>
                <w:w w:val="91"/>
              </w:rPr>
              <w:t>. . . . . . . . . . . . . . . . . . . . . . . . . . . . . . . . . . . . . . . . . . . . . . . . . . . . . .</w:t>
            </w:r>
          </w:p>
        </w:tc>
        <w:tc>
          <w:tcPr>
            <w:tcW w:w="8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937</w:t>
            </w:r>
          </w:p>
        </w:tc>
      </w:tr>
      <w:tr>
        <w:trPr>
          <w:trHeight w:val="298"/>
        </w:trPr>
        <w:tc>
          <w:tcPr>
            <w:tcW w:w="8300" w:type="dxa"/>
            <w:vAlign w:val="bottom"/>
            <w:shd w:val="clear" w:color="auto" w:fill="E6E6E6"/>
          </w:tcPr>
          <w:p>
            <w:pPr>
              <w:jc w:val="right"/>
              <w:ind w:right="21"/>
              <w:spacing w:after="0"/>
              <w:rPr>
                <w:sz w:val="20"/>
                <w:szCs w:val="20"/>
                <w:color w:val="auto"/>
              </w:rPr>
            </w:pPr>
            <w:r>
              <w:rPr>
                <w:rFonts w:ascii="Arial" w:cs="Arial" w:eastAsia="Arial" w:hAnsi="Arial"/>
                <w:sz w:val="20"/>
                <w:szCs w:val="20"/>
                <w:color w:val="auto"/>
                <w:w w:val="91"/>
              </w:rPr>
              <w:t xml:space="preserve">Right-of-use assets, net </w:t>
            </w:r>
            <w:r>
              <w:rPr>
                <w:rFonts w:ascii="Arial" w:cs="Arial" w:eastAsia="Arial" w:hAnsi="Arial"/>
                <w:sz w:val="20"/>
                <w:szCs w:val="20"/>
                <w:color w:val="BDBDBD"/>
                <w:w w:val="91"/>
              </w:rPr>
              <w:t>. . . . . . . . . . . . . . . . . . . . . . . . . . . . . . . . . . . . . . . . . . . . . . . . . . . . . . . . . . . . .</w:t>
            </w:r>
          </w:p>
        </w:tc>
        <w:tc>
          <w:tcPr>
            <w:tcW w:w="840" w:type="dxa"/>
            <w:vAlign w:val="bottom"/>
            <w:shd w:val="clear" w:color="auto" w:fill="E6E6E6"/>
          </w:tcPr>
          <w:p>
            <w:pPr>
              <w:spacing w:after="0"/>
              <w:rPr>
                <w:sz w:val="24"/>
                <w:szCs w:val="24"/>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w:t>
            </w:r>
          </w:p>
        </w:tc>
      </w:tr>
      <w:tr>
        <w:trPr>
          <w:trHeight w:val="292"/>
        </w:trPr>
        <w:tc>
          <w:tcPr>
            <w:tcW w:w="8300" w:type="dxa"/>
            <w:vAlign w:val="bottom"/>
          </w:tcPr>
          <w:p>
            <w:pPr>
              <w:jc w:val="right"/>
              <w:ind w:right="21"/>
              <w:spacing w:after="0"/>
              <w:rPr>
                <w:sz w:val="20"/>
                <w:szCs w:val="20"/>
                <w:color w:val="auto"/>
              </w:rPr>
            </w:pPr>
            <w:r>
              <w:rPr>
                <w:rFonts w:ascii="Arial" w:cs="Arial" w:eastAsia="Arial" w:hAnsi="Arial"/>
                <w:sz w:val="20"/>
                <w:szCs w:val="20"/>
                <w:color w:val="auto"/>
                <w:w w:val="92"/>
              </w:rPr>
              <w:t xml:space="preserve">Derivative assets </w:t>
            </w:r>
            <w:r>
              <w:rPr>
                <w:rFonts w:ascii="Arial" w:cs="Arial" w:eastAsia="Arial" w:hAnsi="Arial"/>
                <w:sz w:val="20"/>
                <w:szCs w:val="20"/>
                <w:color w:val="BDBDBD"/>
                <w:w w:val="92"/>
              </w:rPr>
              <w:t>. . . . . . . . . . . . . . . . . . . . . . . . . . . . . . . . . . . . . . . . . . . . . . . . . . . . . . . . . . . . . . . . . .</w:t>
            </w:r>
          </w:p>
        </w:tc>
        <w:tc>
          <w:tcPr>
            <w:tcW w:w="8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95"/>
        </w:trPr>
        <w:tc>
          <w:tcPr>
            <w:tcW w:w="8300" w:type="dxa"/>
            <w:vAlign w:val="bottom"/>
            <w:tcBorders>
              <w:bottom w:val="single" w:sz="8" w:color="E6E6E6"/>
            </w:tcBorders>
            <w:shd w:val="clear" w:color="auto" w:fill="E6E6E6"/>
          </w:tcPr>
          <w:p>
            <w:pPr>
              <w:jc w:val="right"/>
              <w:ind w:right="21"/>
              <w:spacing w:after="0"/>
              <w:rPr>
                <w:sz w:val="20"/>
                <w:szCs w:val="20"/>
                <w:color w:val="auto"/>
              </w:rPr>
            </w:pPr>
            <w:r>
              <w:rPr>
                <w:rFonts w:ascii="Arial" w:cs="Arial" w:eastAsia="Arial" w:hAnsi="Arial"/>
                <w:sz w:val="20"/>
                <w:szCs w:val="20"/>
                <w:color w:val="auto"/>
                <w:w w:val="91"/>
              </w:rPr>
              <w:t xml:space="preserve">Other non-current assets  </w:t>
            </w:r>
            <w:r>
              <w:rPr>
                <w:rFonts w:ascii="Arial" w:cs="Arial" w:eastAsia="Arial" w:hAnsi="Arial"/>
                <w:sz w:val="20"/>
                <w:szCs w:val="20"/>
                <w:color w:val="BDBDBD"/>
                <w:w w:val="91"/>
              </w:rPr>
              <w:t>. . . . . . . . . . . . . . . . . . . . . . . . . . . . . . . . . . . . . . . . . . . . . . . . . . . . . . . . . . . .</w:t>
            </w:r>
          </w:p>
        </w:tc>
        <w:tc>
          <w:tcPr>
            <w:tcW w:w="840" w:type="dxa"/>
            <w:vAlign w:val="bottom"/>
            <w:tcBorders>
              <w:bottom w:val="single" w:sz="8" w:color="auto"/>
            </w:tcBorders>
            <w:shd w:val="clear" w:color="auto" w:fill="E6E6E6"/>
          </w:tcPr>
          <w:p>
            <w:pPr>
              <w:spacing w:after="0"/>
              <w:rPr>
                <w:sz w:val="24"/>
                <w:szCs w:val="24"/>
                <w:color w:val="auto"/>
              </w:rPr>
            </w:pPr>
          </w:p>
        </w:tc>
        <w:tc>
          <w:tcPr>
            <w:tcW w:w="10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6</w:t>
            </w:r>
          </w:p>
        </w:tc>
      </w:tr>
      <w:tr>
        <w:trPr>
          <w:trHeight w:val="282"/>
        </w:trPr>
        <w:tc>
          <w:tcPr>
            <w:tcW w:w="8300" w:type="dxa"/>
            <w:vAlign w:val="bottom"/>
          </w:tcPr>
          <w:p>
            <w:pPr>
              <w:jc w:val="right"/>
              <w:ind w:right="21"/>
              <w:spacing w:after="0"/>
              <w:rPr>
                <w:sz w:val="20"/>
                <w:szCs w:val="20"/>
                <w:color w:val="auto"/>
              </w:rPr>
            </w:pPr>
            <w:r>
              <w:rPr>
                <w:rFonts w:ascii="Arial" w:cs="Arial" w:eastAsia="Arial" w:hAnsi="Arial"/>
                <w:sz w:val="20"/>
                <w:szCs w:val="20"/>
                <w:color w:val="auto"/>
                <w:w w:val="92"/>
              </w:rPr>
              <w:t xml:space="preserve">Total assets acquired </w:t>
            </w:r>
            <w:r>
              <w:rPr>
                <w:rFonts w:ascii="Arial" w:cs="Arial" w:eastAsia="Arial" w:hAnsi="Arial"/>
                <w:sz w:val="20"/>
                <w:szCs w:val="20"/>
                <w:color w:val="BDBDBD"/>
                <w:w w:val="92"/>
              </w:rPr>
              <w:t>. . . . . . . . . . . . . . . . . . . . . . . . . . . . . . . . . . . . . . . . . . . . . . . . . . . . . . . . . . . . . .</w:t>
            </w:r>
          </w:p>
        </w:tc>
        <w:tc>
          <w:tcPr>
            <w:tcW w:w="8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949</w:t>
            </w:r>
          </w:p>
        </w:tc>
      </w:tr>
      <w:tr>
        <w:trPr>
          <w:trHeight w:val="305"/>
        </w:trPr>
        <w:tc>
          <w:tcPr>
            <w:tcW w:w="8300" w:type="dxa"/>
            <w:vAlign w:val="bottom"/>
            <w:shd w:val="clear" w:color="auto" w:fill="E6E6E6"/>
          </w:tcPr>
          <w:p>
            <w:pPr>
              <w:spacing w:after="0"/>
              <w:rPr>
                <w:sz w:val="24"/>
                <w:szCs w:val="24"/>
                <w:color w:val="auto"/>
              </w:rPr>
            </w:pPr>
          </w:p>
        </w:tc>
        <w:tc>
          <w:tcPr>
            <w:tcW w:w="840" w:type="dxa"/>
            <w:vAlign w:val="bottom"/>
            <w:shd w:val="clear" w:color="auto" w:fill="E6E6E6"/>
          </w:tcPr>
          <w:p>
            <w:pPr>
              <w:spacing w:after="0"/>
              <w:rPr>
                <w:sz w:val="24"/>
                <w:szCs w:val="24"/>
                <w:color w:val="auto"/>
              </w:rPr>
            </w:pPr>
          </w:p>
        </w:tc>
        <w:tc>
          <w:tcPr>
            <w:tcW w:w="1060" w:type="dxa"/>
            <w:vAlign w:val="bottom"/>
            <w:shd w:val="clear" w:color="auto" w:fill="E6E6E6"/>
          </w:tcPr>
          <w:p>
            <w:pPr>
              <w:spacing w:after="0"/>
              <w:rPr>
                <w:sz w:val="24"/>
                <w:szCs w:val="24"/>
                <w:color w:val="auto"/>
              </w:rPr>
            </w:pPr>
          </w:p>
        </w:tc>
      </w:tr>
      <w:tr>
        <w:trPr>
          <w:trHeight w:val="298"/>
        </w:trPr>
        <w:tc>
          <w:tcPr>
            <w:tcW w:w="8300" w:type="dxa"/>
            <w:vAlign w:val="bottom"/>
          </w:tcPr>
          <w:p>
            <w:pPr>
              <w:jc w:val="right"/>
              <w:ind w:right="21"/>
              <w:spacing w:after="0"/>
              <w:rPr>
                <w:sz w:val="20"/>
                <w:szCs w:val="20"/>
                <w:color w:val="auto"/>
              </w:rPr>
            </w:pPr>
            <w:r>
              <w:rPr>
                <w:rFonts w:ascii="Arial" w:cs="Arial" w:eastAsia="Arial" w:hAnsi="Arial"/>
                <w:sz w:val="20"/>
                <w:szCs w:val="20"/>
                <w:color w:val="auto"/>
                <w:w w:val="91"/>
              </w:rPr>
              <w:t xml:space="preserve">Long-term debt </w:t>
            </w:r>
            <w:r>
              <w:rPr>
                <w:rFonts w:ascii="Arial" w:cs="Arial" w:eastAsia="Arial" w:hAnsi="Arial"/>
                <w:sz w:val="25"/>
                <w:szCs w:val="25"/>
                <w:color w:val="auto"/>
                <w:w w:val="91"/>
                <w:vertAlign w:val="superscript"/>
              </w:rPr>
              <w:t>(b)</w:t>
            </w:r>
            <w:r>
              <w:rPr>
                <w:rFonts w:ascii="Arial" w:cs="Arial" w:eastAsia="Arial" w:hAnsi="Arial"/>
                <w:sz w:val="20"/>
                <w:szCs w:val="20"/>
                <w:color w:val="auto"/>
                <w:w w:val="91"/>
              </w:rPr>
              <w:t xml:space="preserve">  </w:t>
            </w:r>
            <w:r>
              <w:rPr>
                <w:rFonts w:ascii="Arial" w:cs="Arial" w:eastAsia="Arial" w:hAnsi="Arial"/>
                <w:sz w:val="20"/>
                <w:szCs w:val="20"/>
                <w:color w:val="BDBDBD"/>
                <w:w w:val="91"/>
              </w:rPr>
              <w:t>. . . . . . . . . . . . . . . . . . . . . . . . . . . . . . . . . . . . . . . . . . . . . . . . . . . . . . . . . . . . . . . . .</w:t>
            </w:r>
          </w:p>
        </w:tc>
        <w:tc>
          <w:tcPr>
            <w:tcW w:w="8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864</w:t>
            </w:r>
          </w:p>
        </w:tc>
      </w:tr>
      <w:tr>
        <w:trPr>
          <w:trHeight w:val="298"/>
        </w:trPr>
        <w:tc>
          <w:tcPr>
            <w:tcW w:w="8300" w:type="dxa"/>
            <w:vAlign w:val="bottom"/>
            <w:shd w:val="clear" w:color="auto" w:fill="E6E6E6"/>
          </w:tcPr>
          <w:p>
            <w:pPr>
              <w:jc w:val="right"/>
              <w:ind w:right="21"/>
              <w:spacing w:after="0"/>
              <w:rPr>
                <w:sz w:val="20"/>
                <w:szCs w:val="20"/>
                <w:color w:val="auto"/>
              </w:rPr>
            </w:pPr>
            <w:r>
              <w:rPr>
                <w:rFonts w:ascii="Arial" w:cs="Arial" w:eastAsia="Arial" w:hAnsi="Arial"/>
                <w:sz w:val="20"/>
                <w:szCs w:val="20"/>
                <w:color w:val="auto"/>
                <w:w w:val="92"/>
              </w:rPr>
              <w:t xml:space="preserve">Long-term lease liabilities </w:t>
            </w:r>
            <w:r>
              <w:rPr>
                <w:rFonts w:ascii="Arial" w:cs="Arial" w:eastAsia="Arial" w:hAnsi="Arial"/>
                <w:sz w:val="20"/>
                <w:szCs w:val="20"/>
                <w:color w:val="BDBDBD"/>
                <w:w w:val="92"/>
              </w:rPr>
              <w:t>. . . . . . . . . . . . . . . . . . . . . . . . . . . . . . . . . . . . . . . . . . . . . . . . . . . . . . . . . . .</w:t>
            </w:r>
          </w:p>
        </w:tc>
        <w:tc>
          <w:tcPr>
            <w:tcW w:w="840" w:type="dxa"/>
            <w:vAlign w:val="bottom"/>
            <w:shd w:val="clear" w:color="auto" w:fill="E6E6E6"/>
          </w:tcPr>
          <w:p>
            <w:pPr>
              <w:spacing w:after="0"/>
              <w:rPr>
                <w:sz w:val="24"/>
                <w:szCs w:val="24"/>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w:t>
            </w:r>
          </w:p>
        </w:tc>
      </w:tr>
      <w:tr>
        <w:trPr>
          <w:trHeight w:val="288"/>
        </w:trPr>
        <w:tc>
          <w:tcPr>
            <w:tcW w:w="8300" w:type="dxa"/>
            <w:vAlign w:val="bottom"/>
            <w:tcBorders>
              <w:bottom w:val="single" w:sz="8" w:color="E6E6E6"/>
            </w:tcBorders>
          </w:tcPr>
          <w:p>
            <w:pPr>
              <w:jc w:val="right"/>
              <w:ind w:right="21"/>
              <w:spacing w:after="0"/>
              <w:rPr>
                <w:sz w:val="20"/>
                <w:szCs w:val="20"/>
                <w:color w:val="auto"/>
              </w:rPr>
            </w:pPr>
            <w:r>
              <w:rPr>
                <w:rFonts w:ascii="Arial" w:cs="Arial" w:eastAsia="Arial" w:hAnsi="Arial"/>
                <w:sz w:val="20"/>
                <w:szCs w:val="20"/>
                <w:color w:val="auto"/>
                <w:w w:val="92"/>
              </w:rPr>
              <w:t xml:space="preserve">Other current and non-current liabilities </w:t>
            </w:r>
            <w:r>
              <w:rPr>
                <w:rFonts w:ascii="Arial" w:cs="Arial" w:eastAsia="Arial" w:hAnsi="Arial"/>
                <w:sz w:val="20"/>
                <w:szCs w:val="20"/>
                <w:color w:val="BDBDBD"/>
                <w:w w:val="92"/>
              </w:rPr>
              <w:t>. . . . . . . . . . . . . . . . . . . . . . . . . . . . . . . . . . . . . . . . . . . . . . . .</w:t>
            </w:r>
          </w:p>
        </w:tc>
        <w:tc>
          <w:tcPr>
            <w:tcW w:w="8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82</w:t>
            </w:r>
          </w:p>
        </w:tc>
      </w:tr>
      <w:tr>
        <w:trPr>
          <w:trHeight w:val="279"/>
        </w:trPr>
        <w:tc>
          <w:tcPr>
            <w:tcW w:w="8300" w:type="dxa"/>
            <w:vAlign w:val="bottom"/>
            <w:tcBorders>
              <w:bottom w:val="single" w:sz="8" w:color="E6E6E6"/>
            </w:tcBorders>
            <w:shd w:val="clear" w:color="auto" w:fill="E6E6E6"/>
          </w:tcPr>
          <w:p>
            <w:pPr>
              <w:jc w:val="right"/>
              <w:ind w:right="21"/>
              <w:spacing w:after="0"/>
              <w:rPr>
                <w:sz w:val="20"/>
                <w:szCs w:val="20"/>
                <w:color w:val="auto"/>
              </w:rPr>
            </w:pPr>
            <w:r>
              <w:rPr>
                <w:rFonts w:ascii="Arial" w:cs="Arial" w:eastAsia="Arial" w:hAnsi="Arial"/>
                <w:sz w:val="20"/>
                <w:szCs w:val="20"/>
                <w:color w:val="auto"/>
                <w:w w:val="93"/>
              </w:rPr>
              <w:t xml:space="preserve">Total liabilities assumed </w:t>
            </w:r>
            <w:r>
              <w:rPr>
                <w:rFonts w:ascii="Arial" w:cs="Arial" w:eastAsia="Arial" w:hAnsi="Arial"/>
                <w:sz w:val="20"/>
                <w:szCs w:val="20"/>
                <w:color w:val="BDBDBD"/>
                <w:w w:val="93"/>
              </w:rPr>
              <w:t>. . . . . . . . . . . . . . . . . . . . . . . . . . . . . . . . . . . . . . . . . . . . . . . . . . . . . . . . . . .</w:t>
            </w:r>
          </w:p>
        </w:tc>
        <w:tc>
          <w:tcPr>
            <w:tcW w:w="840" w:type="dxa"/>
            <w:vAlign w:val="bottom"/>
            <w:tcBorders>
              <w:bottom w:val="single" w:sz="8" w:color="auto"/>
            </w:tcBorders>
            <w:shd w:val="clear" w:color="auto" w:fill="E6E6E6"/>
          </w:tcPr>
          <w:p>
            <w:pPr>
              <w:spacing w:after="0"/>
              <w:rPr>
                <w:sz w:val="24"/>
                <w:szCs w:val="24"/>
                <w:color w:val="auto"/>
              </w:rPr>
            </w:pPr>
          </w:p>
        </w:tc>
        <w:tc>
          <w:tcPr>
            <w:tcW w:w="10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950</w:t>
            </w:r>
          </w:p>
        </w:tc>
      </w:tr>
      <w:tr>
        <w:trPr>
          <w:trHeight w:val="274"/>
        </w:trPr>
        <w:tc>
          <w:tcPr>
            <w:tcW w:w="8300" w:type="dxa"/>
            <w:vAlign w:val="bottom"/>
          </w:tcPr>
          <w:p>
            <w:pPr>
              <w:jc w:val="right"/>
              <w:ind w:right="21"/>
              <w:spacing w:after="0"/>
              <w:rPr>
                <w:sz w:val="20"/>
                <w:szCs w:val="20"/>
                <w:color w:val="auto"/>
              </w:rPr>
            </w:pPr>
            <w:r>
              <w:rPr>
                <w:rFonts w:ascii="Arial" w:cs="Arial" w:eastAsia="Arial" w:hAnsi="Arial"/>
                <w:sz w:val="20"/>
                <w:szCs w:val="20"/>
                <w:color w:val="auto"/>
                <w:w w:val="93"/>
              </w:rPr>
              <w:t xml:space="preserve">Net liabilities assumed </w:t>
            </w:r>
            <w:r>
              <w:rPr>
                <w:rFonts w:ascii="Arial" w:cs="Arial" w:eastAsia="Arial" w:hAnsi="Arial"/>
                <w:sz w:val="20"/>
                <w:szCs w:val="20"/>
                <w:color w:val="BDBDBD"/>
                <w:w w:val="93"/>
              </w:rPr>
              <w:t>. . . . . . . . . . . . . . . . . . . . . . . . . . . . . . . . . . . . . . . . . . . . . . . . . . . . . . . . . . . . .</w:t>
            </w:r>
          </w:p>
        </w:tc>
        <w:tc>
          <w:tcPr>
            <w:tcW w:w="840" w:type="dxa"/>
            <w:vAlign w:val="bottom"/>
            <w:tcBorders>
              <w:bottom w:val="single" w:sz="8" w:color="auto"/>
            </w:tcBorders>
          </w:tcPr>
          <w:p>
            <w:pPr>
              <w:jc w:val="right"/>
              <w:ind w:right="584"/>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w:t>
            </w:r>
          </w:p>
        </w:tc>
      </w:tr>
      <w:tr>
        <w:trPr>
          <w:trHeight w:val="20"/>
        </w:trPr>
        <w:tc>
          <w:tcPr>
            <w:tcW w:w="8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5263515</wp:posOffset>
            </wp:positionH>
            <wp:positionV relativeFrom="paragraph">
              <wp:posOffset>-2315210</wp:posOffset>
            </wp:positionV>
            <wp:extent cx="122872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50">
                      <a:extLst>
                        <a:ext uri="{28A0092B-C50C-407E-A947-70E740481C1C}"/>
                      </a:extLst>
                    </a:blip>
                    <a:srcRect/>
                    <a:stretch>
                      <a:fillRect/>
                    </a:stretch>
                  </pic:blipFill>
                  <pic:spPr bwMode="auto">
                    <a:xfrm>
                      <a:off x="0" y="0"/>
                      <a:ext cx="1228725" cy="25400"/>
                    </a:xfrm>
                    <a:prstGeom prst="rect">
                      <a:avLst/>
                    </a:prstGeom>
                    <a:noFill/>
                  </pic:spPr>
                </pic:pic>
              </a:graphicData>
            </a:graphic>
          </wp:anchor>
        </w:drawing>
        <w:drawing>
          <wp:anchor simplePos="0" relativeHeight="251657728" behindDoc="1" locked="0" layoutInCell="0" allowOverlap="1">
            <wp:simplePos x="0" y="0"/>
            <wp:positionH relativeFrom="column">
              <wp:posOffset>5263515</wp:posOffset>
            </wp:positionH>
            <wp:positionV relativeFrom="paragraph">
              <wp:posOffset>-1367155</wp:posOffset>
            </wp:positionV>
            <wp:extent cx="122872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51">
                      <a:extLst>
                        <a:ext uri="{28A0092B-C50C-407E-A947-70E740481C1C}"/>
                      </a:extLst>
                    </a:blip>
                    <a:srcRect/>
                    <a:stretch>
                      <a:fillRect/>
                    </a:stretch>
                  </pic:blipFill>
                  <pic:spPr bwMode="auto">
                    <a:xfrm>
                      <a:off x="0" y="0"/>
                      <a:ext cx="1228725" cy="25400"/>
                    </a:xfrm>
                    <a:prstGeom prst="rect">
                      <a:avLst/>
                    </a:prstGeom>
                    <a:noFill/>
                  </pic:spPr>
                </pic:pic>
              </a:graphicData>
            </a:graphic>
          </wp:anchor>
        </w:drawing>
        <w:drawing>
          <wp:anchor simplePos="0" relativeHeight="251657728" behindDoc="1" locked="0" layoutInCell="0" allowOverlap="1">
            <wp:simplePos x="0" y="0"/>
            <wp:positionH relativeFrom="column">
              <wp:posOffset>5263515</wp:posOffset>
            </wp:positionH>
            <wp:positionV relativeFrom="paragraph">
              <wp:posOffset>-419735</wp:posOffset>
            </wp:positionV>
            <wp:extent cx="122872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52">
                      <a:extLst>
                        <a:ext uri="{28A0092B-C50C-407E-A947-70E740481C1C}"/>
                      </a:extLst>
                    </a:blip>
                    <a:srcRect/>
                    <a:stretch>
                      <a:fillRect/>
                    </a:stretch>
                  </pic:blipFill>
                  <pic:spPr bwMode="auto">
                    <a:xfrm>
                      <a:off x="0" y="0"/>
                      <a:ext cx="1228725" cy="25400"/>
                    </a:xfrm>
                    <a:prstGeom prst="rect">
                      <a:avLst/>
                    </a:prstGeom>
                    <a:noFill/>
                  </pic:spPr>
                </pic:pic>
              </a:graphicData>
            </a:graphic>
          </wp:anchor>
        </w:drawing>
        <w:drawing>
          <wp:anchor simplePos="0" relativeHeight="251657728" behindDoc="1" locked="0" layoutInCell="0" allowOverlap="1">
            <wp:simplePos x="0" y="0"/>
            <wp:positionH relativeFrom="column">
              <wp:posOffset>5263515</wp:posOffset>
            </wp:positionH>
            <wp:positionV relativeFrom="paragraph">
              <wp:posOffset>-229870</wp:posOffset>
            </wp:positionV>
            <wp:extent cx="122872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53">
                      <a:extLst>
                        <a:ext uri="{28A0092B-C50C-407E-A947-70E740481C1C}"/>
                      </a:extLst>
                    </a:blip>
                    <a:srcRect/>
                    <a:stretch>
                      <a:fillRect/>
                    </a:stretch>
                  </pic:blipFill>
                  <pic:spPr bwMode="auto">
                    <a:xfrm>
                      <a:off x="0" y="0"/>
                      <a:ext cx="1228725" cy="254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-2540</wp:posOffset>
                </wp:positionH>
                <wp:positionV relativeFrom="paragraph">
                  <wp:posOffset>91440</wp:posOffset>
                </wp:positionV>
                <wp:extent cx="1259840" cy="0"/>
                <wp:wrapNone/>
                <wp:docPr id="194" name="Shape 1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598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94" o:spid="_x0000_s12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7.2pt" to="99pt,7.2pt" o:allowincell="f" strokecolor="#000000" strokeweight="1pt"/>
            </w:pict>
          </mc:Fallback>
        </mc:AlternateContent>
      </w:r>
    </w:p>
    <w:p>
      <w:pPr>
        <w:spacing w:after="0" w:line="111" w:lineRule="exact"/>
        <w:rPr>
          <w:sz w:val="20"/>
          <w:szCs w:val="20"/>
          <w:color w:val="auto"/>
        </w:rPr>
      </w:pPr>
    </w:p>
    <w:p>
      <w:pPr>
        <w:ind w:left="300" w:hanging="215"/>
        <w:spacing w:after="0"/>
        <w:tabs>
          <w:tab w:leader="none" w:pos="300" w:val="left"/>
        </w:tabs>
        <w:numPr>
          <w:ilvl w:val="0"/>
          <w:numId w:val="54"/>
        </w:numPr>
        <w:rPr>
          <w:rFonts w:ascii="Arial" w:cs="Arial" w:eastAsia="Arial" w:hAnsi="Arial"/>
          <w:sz w:val="26"/>
          <w:szCs w:val="26"/>
          <w:color w:val="auto"/>
          <w:vertAlign w:val="superscript"/>
        </w:rPr>
      </w:pPr>
      <w:r>
        <w:rPr>
          <w:rFonts w:ascii="Arial" w:cs="Arial" w:eastAsia="Arial" w:hAnsi="Arial"/>
          <w:sz w:val="16"/>
          <w:szCs w:val="16"/>
          <w:color w:val="auto"/>
        </w:rPr>
        <w:t>Includes Construction in progress of $893 million.</w:t>
      </w:r>
    </w:p>
    <w:p>
      <w:pPr>
        <w:spacing w:after="0" w:line="90" w:lineRule="exact"/>
        <w:rPr>
          <w:rFonts w:ascii="Arial" w:cs="Arial" w:eastAsia="Arial" w:hAnsi="Arial"/>
          <w:sz w:val="26"/>
          <w:szCs w:val="26"/>
          <w:color w:val="auto"/>
          <w:vertAlign w:val="superscript"/>
        </w:rPr>
      </w:pPr>
    </w:p>
    <w:p>
      <w:pPr>
        <w:ind w:left="80" w:firstLine="5"/>
        <w:spacing w:after="0" w:line="222" w:lineRule="auto"/>
        <w:tabs>
          <w:tab w:leader="none" w:pos="325" w:val="left"/>
        </w:tabs>
        <w:numPr>
          <w:ilvl w:val="0"/>
          <w:numId w:val="54"/>
        </w:numPr>
        <w:rPr>
          <w:rFonts w:ascii="Arial" w:cs="Arial" w:eastAsia="Arial" w:hAnsi="Arial"/>
          <w:sz w:val="26"/>
          <w:szCs w:val="26"/>
          <w:color w:val="auto"/>
          <w:vertAlign w:val="superscript"/>
        </w:rPr>
      </w:pPr>
      <w:r>
        <w:rPr>
          <w:rFonts w:ascii="Arial" w:cs="Arial" w:eastAsia="Arial" w:hAnsi="Arial"/>
          <w:sz w:val="16"/>
          <w:szCs w:val="16"/>
          <w:color w:val="auto"/>
        </w:rPr>
        <w:t xml:space="preserve">Includes a $483 million sponsor equity bridge loan and $385 million tax equity bridge loan, offset by $4 million in unamortized debt issuance costs. See Note 10, </w:t>
      </w:r>
      <w:r>
        <w:rPr>
          <w:rFonts w:ascii="Arial" w:cs="Arial" w:eastAsia="Arial" w:hAnsi="Arial"/>
          <w:sz w:val="16"/>
          <w:szCs w:val="16"/>
          <w:b w:val="1"/>
          <w:bCs w:val="1"/>
          <w:i w:val="1"/>
          <w:iCs w:val="1"/>
          <w:color w:val="auto"/>
        </w:rPr>
        <w:t>Long-term Debt,</w:t>
      </w:r>
      <w:r>
        <w:rPr>
          <w:rFonts w:ascii="Arial" w:cs="Arial" w:eastAsia="Arial" w:hAnsi="Arial"/>
          <w:sz w:val="16"/>
          <w:szCs w:val="16"/>
          <w:color w:val="auto"/>
        </w:rPr>
        <w:t xml:space="preserve"> for further discussion of the long-term debt assumed in the acquisition.</w:t>
      </w:r>
    </w:p>
    <w:p>
      <w:pPr>
        <w:spacing w:after="0" w:line="165" w:lineRule="exact"/>
        <w:rPr>
          <w:sz w:val="20"/>
          <w:szCs w:val="20"/>
          <w:color w:val="auto"/>
        </w:rPr>
      </w:pPr>
    </w:p>
    <w:p>
      <w:pPr>
        <w:jc w:val="both"/>
        <w:ind w:firstLine="448"/>
        <w:spacing w:after="0" w:line="282" w:lineRule="auto"/>
        <w:rPr>
          <w:sz w:val="20"/>
          <w:szCs w:val="20"/>
          <w:color w:val="auto"/>
        </w:rPr>
      </w:pPr>
      <w:r>
        <w:rPr>
          <w:rFonts w:ascii="Arial" w:cs="Arial" w:eastAsia="Arial" w:hAnsi="Arial"/>
          <w:sz w:val="18"/>
          <w:szCs w:val="18"/>
          <w:b w:val="1"/>
          <w:bCs w:val="1"/>
          <w:i w:val="1"/>
          <w:iCs w:val="1"/>
          <w:color w:val="auto"/>
        </w:rPr>
        <w:t xml:space="preserve">Daggett 2 Drop Down </w:t>
      </w:r>
      <w:r>
        <w:rPr>
          <w:rFonts w:ascii="Arial" w:cs="Arial" w:eastAsia="Arial" w:hAnsi="Arial"/>
          <w:sz w:val="18"/>
          <w:szCs w:val="18"/>
          <w:color w:val="auto"/>
        </w:rPr>
        <w:t>— On August 30, 2023, the Company, through its indirect subsidiary, Daggett Solar Investment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LLC, acquired the Class A membership interests in Daggett 2 TargetCo LLC, a partnership and the indirect owner of Daggett 2, a 182 MW solar project that is paired with 131 MW of energy storage and is located in San Bernardino, California, from CEG for cash consideration of $13 million. Daggett 2 TargetCo LLC consolidates as primary beneficiary, Daggett 2 TE Holdco LLC, a tax equity fund that owns the Daggett 2 solar project, as further described in Note 5, </w:t>
      </w:r>
      <w:r>
        <w:rPr>
          <w:rFonts w:ascii="Arial" w:cs="Arial" w:eastAsia="Arial" w:hAnsi="Arial"/>
          <w:sz w:val="18"/>
          <w:szCs w:val="18"/>
          <w:b w:val="1"/>
          <w:bCs w:val="1"/>
          <w:i w:val="1"/>
          <w:iCs w:val="1"/>
          <w:color w:val="auto"/>
        </w:rPr>
        <w:t>Investments Accounted for by the Equity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Method and Variable Interest Entities. </w:t>
      </w:r>
      <w:r>
        <w:rPr>
          <w:rFonts w:ascii="Arial" w:cs="Arial" w:eastAsia="Arial" w:hAnsi="Arial"/>
          <w:sz w:val="18"/>
          <w:szCs w:val="18"/>
          <w:color w:val="auto"/>
        </w:rPr>
        <w:t>Daggett 2 has PPAs with investment-grade counterparties that have a 15-year weighted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average contract duration that commenced in December 2023. The Daggett 2 operations are reflected in the Company’s Renewables segment and the acquisition was funded with existing sources of liquidity. The acquisition was determined to be an asset acquisition and the Company consolidates Daggett 2 on a prospective basis in its financial statements. The assets, liabilities and noncontrolling interests transferred to the Company relate to interests under common control and were recorded at historical cost in accordance with ASC 805-50, </w:t>
      </w:r>
      <w:r>
        <w:rPr>
          <w:rFonts w:ascii="Arial" w:cs="Arial" w:eastAsia="Arial" w:hAnsi="Arial"/>
          <w:sz w:val="18"/>
          <w:szCs w:val="18"/>
          <w:b w:val="1"/>
          <w:bCs w:val="1"/>
          <w:i w:val="1"/>
          <w:iCs w:val="1"/>
          <w:color w:val="auto"/>
        </w:rPr>
        <w:t>Business Combinations - Related Issues</w:t>
      </w:r>
      <w:r>
        <w:rPr>
          <w:rFonts w:ascii="Arial" w:cs="Arial" w:eastAsia="Arial" w:hAnsi="Arial"/>
          <w:sz w:val="18"/>
          <w:szCs w:val="18"/>
          <w:color w:val="auto"/>
        </w:rPr>
        <w:t>. The sum of the historical cost of the Company’s acquired interests of $29 million and the cash paid of $13 million was recorded as an adjustment to CEG’s noncontrolling interest balance.</w:t>
      </w:r>
    </w:p>
    <w:p>
      <w:pPr>
        <w:sectPr>
          <w:pgSz w:w="11880" w:h="15480" w:orient="portrait"/>
          <w:cols w:equalWidth="0" w:num="1">
            <w:col w:w="10200"/>
          </w:cols>
          <w:pgMar w:left="840" w:top="411"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ectPr>
          <w:pgSz w:w="11880" w:h="15480" w:orient="portrait"/>
          <w:cols w:equalWidth="0" w:num="1">
            <w:col w:w="10200"/>
          </w:cols>
          <w:pgMar w:left="840" w:top="411" w:right="840" w:bottom="0" w:gutter="0" w:footer="0" w:header="0"/>
          <w:type w:val="continuous"/>
        </w:sectPr>
      </w:pPr>
    </w:p>
    <w:bookmarkStart w:id="94" w:name="page95"/>
    <w:bookmarkEnd w:id="94"/>
    <w:p>
      <w:pPr>
        <w:ind w:left="440"/>
        <w:spacing w:after="0"/>
        <w:rPr>
          <w:sz w:val="20"/>
          <w:szCs w:val="20"/>
          <w:color w:val="auto"/>
        </w:rPr>
      </w:pPr>
      <w:r>
        <w:rPr>
          <w:rFonts w:ascii="Arial" w:cs="Arial" w:eastAsia="Arial" w:hAnsi="Arial"/>
          <w:sz w:val="18"/>
          <w:szCs w:val="18"/>
          <w:color w:val="auto"/>
        </w:rPr>
        <w:t>The following is a summary of assets and liabilities transferred in connection with the acquisition as of August 30, 2023:</w:t>
      </w:r>
    </w:p>
    <w:p>
      <w:pPr>
        <w:sectPr>
          <w:pgSz w:w="11880" w:h="15480" w:orient="portrait"/>
          <w:cols w:equalWidth="0" w:num="1">
            <w:col w:w="10200"/>
          </w:cols>
          <w:pgMar w:left="840" w:top="411" w:right="840" w:bottom="0" w:gutter="0" w:footer="0" w:header="0"/>
        </w:sectPr>
      </w:pPr>
    </w:p>
    <w:p>
      <w:pPr>
        <w:spacing w:after="0" w:line="20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6495415" cy="2025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54">
                      <a:extLst>
                        <a:ext uri="{28A0092B-C50C-407E-A947-70E740481C1C}"/>
                      </a:extLst>
                    </a:blip>
                    <a:srcRect/>
                    <a:stretch>
                      <a:fillRect/>
                    </a:stretch>
                  </pic:blipFill>
                  <pic:spPr bwMode="auto">
                    <a:xfrm>
                      <a:off x="0" y="0"/>
                      <a:ext cx="6495415" cy="202565"/>
                    </a:xfrm>
                    <a:prstGeom prst="rect">
                      <a:avLst/>
                    </a:prstGeom>
                    <a:noFill/>
                  </pic:spPr>
                </pic:pic>
              </a:graphicData>
            </a:graphic>
          </wp:anchor>
        </w:drawing>
      </w:r>
    </w:p>
    <w:p>
      <w:pPr>
        <w:spacing w:after="0" w:line="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Cash </w:t>
      </w:r>
      <w:r>
        <w:rPr>
          <w:rFonts w:ascii="Arial" w:cs="Arial" w:eastAsia="Arial" w:hAnsi="Arial"/>
          <w:sz w:val="18"/>
          <w:szCs w:val="18"/>
          <w:color w:val="BDBDBD"/>
        </w:rPr>
        <w:t>. . . . . . . . . . . . . . . . . . . . . . . . . . . . . . . . . . . . . . . . . . . . . . . . . . . . . . . . . . . . . . . . . . . . . . . . . . . .</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23"/>
          <w:szCs w:val="23"/>
          <w:color w:val="auto"/>
          <w:vertAlign w:val="superscript"/>
        </w:rPr>
        <w:t>(a)</w:t>
      </w:r>
      <w:r>
        <w:rPr>
          <w:rFonts w:ascii="Arial" w:cs="Arial" w:eastAsia="Arial" w:hAnsi="Arial"/>
          <w:sz w:val="18"/>
          <w:szCs w:val="18"/>
          <w:color w:val="auto"/>
        </w:rPr>
        <w:t xml:space="preserve">  </w:t>
      </w:r>
      <w:r>
        <w:rPr>
          <w:rFonts w:ascii="Arial" w:cs="Arial" w:eastAsia="Arial" w:hAnsi="Arial"/>
          <w:sz w:val="18"/>
          <w:szCs w:val="18"/>
          <w:color w:val="BDBDBD"/>
        </w:rPr>
        <w:t>. . . . . . . . . . . . . . . . . . . . . . . . . . . . . . . . . . . . . . . . . . . . . . . . . . . . . . . . . . . . . . . . .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17145</wp:posOffset>
                </wp:positionV>
                <wp:extent cx="6481445" cy="189865"/>
                <wp:wrapNone/>
                <wp:docPr id="196" name="Shape 1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1445" cy="189865"/>
                        </a:xfrm>
                        <a:prstGeom prst="rect">
                          <a:avLst/>
                        </a:prstGeom>
                        <a:solidFill>
                          <a:srgbClr val="E6E6E6"/>
                        </a:solidFill>
                      </wps:spPr>
                      <wps:bodyPr/>
                    </wps:wsp>
                  </a:graphicData>
                </a:graphic>
              </wp:anchor>
            </w:drawing>
          </mc:Choice>
          <mc:Fallback>
            <w:pict>
              <v:rect id="Shape 196" o:spid="_x0000_s1221" style="position:absolute;margin-left:-0.1499pt;margin-top:1.35pt;width:510.35pt;height:14.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Property, plant and equipment </w:t>
      </w:r>
      <w:r>
        <w:rPr>
          <w:rFonts w:ascii="Arial" w:cs="Arial" w:eastAsia="Arial" w:hAnsi="Arial"/>
          <w:sz w:val="18"/>
          <w:szCs w:val="18"/>
          <w:color w:val="BDBDBD"/>
        </w:rPr>
        <w:t>. . . . . . . . . . . . . . . . . . . . . . . . . . . . . . . . . . . . . . . . . . . . . . . . . . . . . . . .</w:t>
      </w:r>
    </w:p>
    <w:p>
      <w:pPr>
        <w:spacing w:after="0" w:line="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Right-of-use assets, net </w:t>
      </w:r>
      <w:r>
        <w:rPr>
          <w:rFonts w:ascii="Arial" w:cs="Arial" w:eastAsia="Arial" w:hAnsi="Arial"/>
          <w:sz w:val="18"/>
          <w:szCs w:val="18"/>
          <w:color w:val="BDBDBD"/>
        </w:rPr>
        <w:t>. . . . . . . . . . . . . . . . . . . .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41910</wp:posOffset>
            </wp:positionV>
            <wp:extent cx="6495415" cy="2025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55">
                      <a:extLst>
                        <a:ext uri="{28A0092B-C50C-407E-A947-70E740481C1C}"/>
                      </a:extLst>
                    </a:blip>
                    <a:srcRect/>
                    <a:stretch>
                      <a:fillRect/>
                    </a:stretch>
                  </pic:blipFill>
                  <pic:spPr bwMode="auto">
                    <a:xfrm>
                      <a:off x="0" y="0"/>
                      <a:ext cx="6495415" cy="202565"/>
                    </a:xfrm>
                    <a:prstGeom prst="rect">
                      <a:avLst/>
                    </a:prstGeom>
                    <a:noFill/>
                  </pic:spPr>
                </pic:pic>
              </a:graphicData>
            </a:graphic>
          </wp:anchor>
        </w:drawing>
      </w:r>
    </w:p>
    <w:p>
      <w:pPr>
        <w:spacing w:after="0" w:line="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Derivative assets </w:t>
      </w:r>
      <w:r>
        <w:rPr>
          <w:rFonts w:ascii="Arial" w:cs="Arial" w:eastAsia="Arial" w:hAnsi="Arial"/>
          <w:sz w:val="18"/>
          <w:szCs w:val="18"/>
          <w:color w:val="BDBDBD"/>
        </w:rPr>
        <w:t>. . . . . . . . . . . . . . . . . . . . . . . . . . . . . . . . . . . . . . . . . . . . . . . . . . . . . . . . . . . . . . . . . . .</w:t>
      </w:r>
    </w:p>
    <w:p>
      <w:pPr>
        <w:spacing w:after="0" w:line="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Total assets acquired  </w:t>
      </w:r>
      <w:r>
        <w:rPr>
          <w:rFonts w:ascii="Arial" w:cs="Arial" w:eastAsia="Arial" w:hAnsi="Arial"/>
          <w:sz w:val="18"/>
          <w:szCs w:val="18"/>
          <w:color w:val="BDBDBD"/>
        </w:rPr>
        <w:t>. . . . . . . . . . . . . . . . . . . . . . . . . . . . . . . . . . . . . . . . . . . . . . . . . . . . . . . . . . . . .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41910</wp:posOffset>
                </wp:positionV>
                <wp:extent cx="6481445" cy="189865"/>
                <wp:wrapNone/>
                <wp:docPr id="198" name="Shape 1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1445" cy="189865"/>
                        </a:xfrm>
                        <a:prstGeom prst="rect">
                          <a:avLst/>
                        </a:prstGeom>
                        <a:solidFill>
                          <a:srgbClr val="E6E6E6"/>
                        </a:solidFill>
                      </wps:spPr>
                      <wps:bodyPr/>
                    </wps:wsp>
                  </a:graphicData>
                </a:graphic>
              </wp:anchor>
            </w:drawing>
          </mc:Choice>
          <mc:Fallback>
            <w:pict>
              <v:rect id="Shape 198" o:spid="_x0000_s1223" style="position:absolute;margin-left:-0.1499pt;margin-top:3.3pt;width:510.35pt;height:14.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3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Long-term debt </w:t>
      </w:r>
      <w:r>
        <w:rPr>
          <w:rFonts w:ascii="Arial" w:cs="Arial" w:eastAsia="Arial" w:hAnsi="Arial"/>
          <w:sz w:val="23"/>
          <w:szCs w:val="23"/>
          <w:color w:val="auto"/>
          <w:vertAlign w:val="superscript"/>
        </w:rPr>
        <w:t>(b)</w:t>
      </w:r>
      <w:r>
        <w:rPr>
          <w:rFonts w:ascii="Arial" w:cs="Arial" w:eastAsia="Arial" w:hAnsi="Arial"/>
          <w:sz w:val="18"/>
          <w:szCs w:val="18"/>
          <w:color w:val="auto"/>
        </w:rPr>
        <w:t xml:space="preserve"> </w:t>
      </w:r>
      <w:r>
        <w:rPr>
          <w:rFonts w:ascii="Arial" w:cs="Arial" w:eastAsia="Arial" w:hAnsi="Arial"/>
          <w:sz w:val="18"/>
          <w:szCs w:val="18"/>
          <w:color w:val="BDBDBD"/>
        </w:rPr>
        <w:t>. . . . . . . . . . . . . . . . . . . . . . . . . . . . . . . . . . . . . . . . . . . . . . . . . . . . . . . . . . . . . . . . .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17145</wp:posOffset>
                </wp:positionV>
                <wp:extent cx="6481445" cy="189865"/>
                <wp:wrapNone/>
                <wp:docPr id="199" name="Shape 1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1445" cy="189865"/>
                        </a:xfrm>
                        <a:prstGeom prst="rect">
                          <a:avLst/>
                        </a:prstGeom>
                        <a:solidFill>
                          <a:srgbClr val="E6E6E6"/>
                        </a:solidFill>
                      </wps:spPr>
                      <wps:bodyPr/>
                    </wps:wsp>
                  </a:graphicData>
                </a:graphic>
              </wp:anchor>
            </w:drawing>
          </mc:Choice>
          <mc:Fallback>
            <w:pict>
              <v:rect id="Shape 199" o:spid="_x0000_s1224" style="position:absolute;margin-left:-0.1499pt;margin-top:1.35pt;width:510.35pt;height:14.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Long-term lease liabilities  </w:t>
      </w:r>
      <w:r>
        <w:rPr>
          <w:rFonts w:ascii="Arial" w:cs="Arial" w:eastAsia="Arial" w:hAnsi="Arial"/>
          <w:sz w:val="18"/>
          <w:szCs w:val="18"/>
          <w:color w:val="BDBDBD"/>
        </w:rPr>
        <w:t>. . . . . . . . . . . . . . . . . . . . . . . . . . . . . . . . . . . . . . . . . . . . . . . . . . . . . . . . . . .</w:t>
      </w:r>
    </w:p>
    <w:p>
      <w:pPr>
        <w:spacing w:after="0" w:line="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Other current and non-current liabilities </w:t>
      </w:r>
      <w:r>
        <w:rPr>
          <w:rFonts w:ascii="Arial" w:cs="Arial" w:eastAsia="Arial" w:hAnsi="Arial"/>
          <w:sz w:val="18"/>
          <w:szCs w:val="18"/>
          <w:color w:val="BDBDBD"/>
        </w:rPr>
        <w:t>. . . . . . .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6495415" cy="2152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156">
                      <a:extLst>
                        <a:ext uri="{28A0092B-C50C-407E-A947-70E740481C1C}"/>
                      </a:extLst>
                    </a:blip>
                    <a:srcRect/>
                    <a:stretch>
                      <a:fillRect/>
                    </a:stretch>
                  </pic:blipFill>
                  <pic:spPr bwMode="auto">
                    <a:xfrm>
                      <a:off x="0" y="0"/>
                      <a:ext cx="6495415" cy="215265"/>
                    </a:xfrm>
                    <a:prstGeom prst="rect">
                      <a:avLst/>
                    </a:prstGeom>
                    <a:noFill/>
                  </pic:spPr>
                </pic:pic>
              </a:graphicData>
            </a:graphic>
          </wp:anchor>
        </w:drawing>
      </w:r>
    </w:p>
    <w:p>
      <w:pPr>
        <w:spacing w:after="0" w:line="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Total liabilities assumed </w:t>
      </w:r>
      <w:r>
        <w:rPr>
          <w:rFonts w:ascii="Arial" w:cs="Arial" w:eastAsia="Arial" w:hAnsi="Arial"/>
          <w:sz w:val="18"/>
          <w:szCs w:val="18"/>
          <w:color w:val="BDBDBD"/>
        </w:rPr>
        <w:t>. . . . . . . . . . . . . . . . . . . . . . . . . . . . . . . . . . . . . . . . . . . . . . . . . . . . . . . . . . . .</w:t>
      </w:r>
    </w:p>
    <w:p>
      <w:pPr>
        <w:spacing w:after="0" w:line="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Noncontrolling interests </w:t>
      </w:r>
      <w:r>
        <w:rPr>
          <w:rFonts w:ascii="Arial" w:cs="Arial" w:eastAsia="Arial" w:hAnsi="Arial"/>
          <w:sz w:val="18"/>
          <w:szCs w:val="18"/>
          <w:color w:val="BDBDBD"/>
        </w:rPr>
        <w:t>. . . . . . . . . . . . . . . . . . .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6495415" cy="2368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57">
                      <a:extLst>
                        <a:ext uri="{28A0092B-C50C-407E-A947-70E740481C1C}"/>
                      </a:extLst>
                    </a:blip>
                    <a:srcRect/>
                    <a:stretch>
                      <a:fillRect/>
                    </a:stretch>
                  </pic:blipFill>
                  <pic:spPr bwMode="auto">
                    <a:xfrm>
                      <a:off x="0" y="0"/>
                      <a:ext cx="6495415" cy="236855"/>
                    </a:xfrm>
                    <a:prstGeom prst="rect">
                      <a:avLst/>
                    </a:prstGeom>
                    <a:noFill/>
                  </pic:spPr>
                </pic:pic>
              </a:graphicData>
            </a:graphic>
          </wp:anchor>
        </w:drawing>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Net assets acquired less noncontrolling interests </w:t>
      </w:r>
      <w:r>
        <w:rPr>
          <w:rFonts w:ascii="Arial" w:cs="Arial" w:eastAsia="Arial" w:hAnsi="Arial"/>
          <w:sz w:val="18"/>
          <w:szCs w:val="18"/>
          <w:color w:val="BDBDBD"/>
        </w:rPr>
        <w:t>. . . . . . . . . . . . . . . . . . . . . . . . . . . . . . . . . . . . . . . .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152400</wp:posOffset>
                </wp:positionV>
                <wp:extent cx="1259840" cy="0"/>
                <wp:wrapNone/>
                <wp:docPr id="202" name="Shape 2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598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02" o:spid="_x0000_s12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2pt" to="99pt,12pt" o:allowincell="f" strokecolor="#000000" strokeweight="1pt"/>
            </w:pict>
          </mc:Fallback>
        </mc:AlternateConten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Daggett 2</w:t>
      </w:r>
    </w:p>
    <w:p>
      <w:pPr>
        <w:spacing w:after="0" w:line="71" w:lineRule="exact"/>
        <w:rPr>
          <w:sz w:val="20"/>
          <w:szCs w:val="20"/>
          <w:color w:val="auto"/>
        </w:rPr>
      </w:pPr>
    </w:p>
    <w:p>
      <w:pPr>
        <w:spacing w:after="0"/>
        <w:tabs>
          <w:tab w:leader="none" w:pos="160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1</w:t>
      </w:r>
    </w:p>
    <w:p>
      <w:pPr>
        <w:spacing w:after="0" w:line="69" w:lineRule="exact"/>
        <w:rPr>
          <w:sz w:val="20"/>
          <w:szCs w:val="20"/>
          <w:color w:val="auto"/>
        </w:rPr>
      </w:pPr>
    </w:p>
    <w:p>
      <w:pPr>
        <w:jc w:val="right"/>
        <w:ind w:right="80"/>
        <w:spacing w:after="0"/>
        <w:rPr>
          <w:sz w:val="20"/>
          <w:szCs w:val="20"/>
          <w:color w:val="auto"/>
        </w:rPr>
      </w:pPr>
      <w:r>
        <w:rPr>
          <w:rFonts w:ascii="Arial" w:cs="Arial" w:eastAsia="Arial" w:hAnsi="Arial"/>
          <w:sz w:val="20"/>
          <w:szCs w:val="20"/>
          <w:color w:val="auto"/>
        </w:rPr>
        <w:t>119</w:t>
      </w:r>
    </w:p>
    <w:p>
      <w:pPr>
        <w:spacing w:after="0" w:line="69" w:lineRule="exact"/>
        <w:rPr>
          <w:sz w:val="20"/>
          <w:szCs w:val="20"/>
          <w:color w:val="auto"/>
        </w:rPr>
      </w:pPr>
    </w:p>
    <w:p>
      <w:pPr>
        <w:jc w:val="right"/>
        <w:ind w:right="80"/>
        <w:spacing w:after="0"/>
        <w:rPr>
          <w:sz w:val="20"/>
          <w:szCs w:val="20"/>
          <w:color w:val="auto"/>
        </w:rPr>
      </w:pPr>
      <w:r>
        <w:rPr>
          <w:rFonts w:ascii="Arial" w:cs="Arial" w:eastAsia="Arial" w:hAnsi="Arial"/>
          <w:sz w:val="20"/>
          <w:szCs w:val="20"/>
          <w:color w:val="auto"/>
        </w:rPr>
        <w:t>379</w:t>
      </w:r>
    </w:p>
    <w:p>
      <w:pPr>
        <w:spacing w:after="0" w:line="69" w:lineRule="exact"/>
        <w:rPr>
          <w:sz w:val="20"/>
          <w:szCs w:val="20"/>
          <w:color w:val="auto"/>
        </w:rPr>
      </w:pPr>
    </w:p>
    <w:p>
      <w:pPr>
        <w:jc w:val="right"/>
        <w:ind w:right="80"/>
        <w:spacing w:after="0"/>
        <w:rPr>
          <w:sz w:val="20"/>
          <w:szCs w:val="20"/>
          <w:color w:val="auto"/>
        </w:rPr>
      </w:pPr>
      <w:r>
        <w:rPr>
          <w:rFonts w:ascii="Arial" w:cs="Arial" w:eastAsia="Arial" w:hAnsi="Arial"/>
          <w:sz w:val="20"/>
          <w:szCs w:val="20"/>
          <w:color w:val="auto"/>
        </w:rPr>
        <w:t>22</w:t>
      </w:r>
    </w:p>
    <w:p>
      <w:pPr>
        <w:spacing w:after="0" w:line="69" w:lineRule="exact"/>
        <w:rPr>
          <w:sz w:val="20"/>
          <w:szCs w:val="20"/>
          <w:color w:val="auto"/>
        </w:rPr>
      </w:pPr>
    </w:p>
    <w:p>
      <w:pPr>
        <w:jc w:val="right"/>
        <w:ind w:right="80"/>
        <w:spacing w:after="0"/>
        <w:rPr>
          <w:sz w:val="20"/>
          <w:szCs w:val="20"/>
          <w:color w:val="auto"/>
        </w:rPr>
      </w:pPr>
      <w:r>
        <w:rPr>
          <w:rFonts w:ascii="Arial" w:cs="Arial" w:eastAsia="Arial" w:hAnsi="Arial"/>
          <w:sz w:val="20"/>
          <w:szCs w:val="20"/>
          <w:color w:val="auto"/>
        </w:rPr>
        <w:t>22</w:t>
      </w:r>
    </w:p>
    <w:p>
      <w:pPr>
        <w:spacing w:after="0" w:line="69" w:lineRule="exact"/>
        <w:rPr>
          <w:sz w:val="20"/>
          <w:szCs w:val="20"/>
          <w:color w:val="auto"/>
        </w:rPr>
      </w:pPr>
    </w:p>
    <w:p>
      <w:pPr>
        <w:jc w:val="right"/>
        <w:ind w:right="80"/>
        <w:spacing w:after="0"/>
        <w:rPr>
          <w:sz w:val="20"/>
          <w:szCs w:val="20"/>
          <w:color w:val="auto"/>
        </w:rPr>
      </w:pPr>
      <w:r>
        <w:rPr>
          <w:rFonts w:ascii="Arial" w:cs="Arial" w:eastAsia="Arial" w:hAnsi="Arial"/>
          <w:sz w:val="20"/>
          <w:szCs w:val="20"/>
          <w:color w:val="auto"/>
        </w:rPr>
        <w:t>543</w:t>
      </w:r>
    </w:p>
    <w:p>
      <w:pPr>
        <w:spacing w:after="0" w:line="367" w:lineRule="exact"/>
        <w:rPr>
          <w:sz w:val="20"/>
          <w:szCs w:val="20"/>
          <w:color w:val="auto"/>
        </w:rPr>
      </w:pPr>
    </w:p>
    <w:p>
      <w:pPr>
        <w:jc w:val="right"/>
        <w:ind w:right="80"/>
        <w:spacing w:after="0"/>
        <w:rPr>
          <w:sz w:val="20"/>
          <w:szCs w:val="20"/>
          <w:color w:val="auto"/>
        </w:rPr>
      </w:pPr>
      <w:r>
        <w:rPr>
          <w:rFonts w:ascii="Arial" w:cs="Arial" w:eastAsia="Arial" w:hAnsi="Arial"/>
          <w:sz w:val="20"/>
          <w:szCs w:val="20"/>
          <w:color w:val="auto"/>
        </w:rPr>
        <w:t>308</w:t>
      </w:r>
    </w:p>
    <w:p>
      <w:pPr>
        <w:spacing w:after="0" w:line="69" w:lineRule="exact"/>
        <w:rPr>
          <w:sz w:val="20"/>
          <w:szCs w:val="20"/>
          <w:color w:val="auto"/>
        </w:rPr>
      </w:pPr>
    </w:p>
    <w:p>
      <w:pPr>
        <w:jc w:val="right"/>
        <w:ind w:right="80"/>
        <w:spacing w:after="0"/>
        <w:rPr>
          <w:sz w:val="20"/>
          <w:szCs w:val="20"/>
          <w:color w:val="auto"/>
        </w:rPr>
      </w:pPr>
      <w:r>
        <w:rPr>
          <w:rFonts w:ascii="Arial" w:cs="Arial" w:eastAsia="Arial" w:hAnsi="Arial"/>
          <w:sz w:val="20"/>
          <w:szCs w:val="20"/>
          <w:color w:val="auto"/>
        </w:rPr>
        <w:t>23</w:t>
      </w:r>
    </w:p>
    <w:p>
      <w:pPr>
        <w:spacing w:after="0" w:line="69" w:lineRule="exact"/>
        <w:rPr>
          <w:sz w:val="20"/>
          <w:szCs w:val="20"/>
          <w:color w:val="auto"/>
        </w:rPr>
      </w:pPr>
    </w:p>
    <w:p>
      <w:pPr>
        <w:jc w:val="right"/>
        <w:ind w:right="80"/>
        <w:spacing w:after="0"/>
        <w:rPr>
          <w:sz w:val="20"/>
          <w:szCs w:val="20"/>
          <w:color w:val="auto"/>
        </w:rPr>
      </w:pPr>
      <w:r>
        <w:rPr>
          <w:rFonts w:ascii="Arial" w:cs="Arial" w:eastAsia="Arial" w:hAnsi="Arial"/>
          <w:sz w:val="20"/>
          <w:szCs w:val="20"/>
          <w:color w:val="auto"/>
        </w:rPr>
        <w:t>28</w:t>
      </w:r>
    </w:p>
    <w:p>
      <w:pPr>
        <w:spacing w:after="0" w:line="69" w:lineRule="exact"/>
        <w:rPr>
          <w:sz w:val="20"/>
          <w:szCs w:val="20"/>
          <w:color w:val="auto"/>
        </w:rPr>
      </w:pPr>
    </w:p>
    <w:p>
      <w:pPr>
        <w:jc w:val="right"/>
        <w:ind w:right="80"/>
        <w:spacing w:after="0"/>
        <w:rPr>
          <w:sz w:val="20"/>
          <w:szCs w:val="20"/>
          <w:color w:val="auto"/>
        </w:rPr>
      </w:pPr>
      <w:r>
        <w:rPr>
          <w:rFonts w:ascii="Arial" w:cs="Arial" w:eastAsia="Arial" w:hAnsi="Arial"/>
          <w:sz w:val="20"/>
          <w:szCs w:val="20"/>
          <w:color w:val="auto"/>
        </w:rPr>
        <w:t>359</w:t>
      </w:r>
    </w:p>
    <w:p>
      <w:pPr>
        <w:spacing w:after="0" w:line="69" w:lineRule="exact"/>
        <w:rPr>
          <w:sz w:val="20"/>
          <w:szCs w:val="20"/>
          <w:color w:val="auto"/>
        </w:rPr>
      </w:pPr>
    </w:p>
    <w:p>
      <w:pPr>
        <w:jc w:val="right"/>
        <w:ind w:right="80"/>
        <w:spacing w:after="0"/>
        <w:rPr>
          <w:sz w:val="20"/>
          <w:szCs w:val="20"/>
          <w:color w:val="auto"/>
        </w:rPr>
      </w:pPr>
      <w:r>
        <w:rPr>
          <w:rFonts w:ascii="Arial" w:cs="Arial" w:eastAsia="Arial" w:hAnsi="Arial"/>
          <w:sz w:val="20"/>
          <w:szCs w:val="20"/>
          <w:color w:val="auto"/>
        </w:rPr>
        <w:t>213</w:t>
      </w:r>
    </w:p>
    <w:p>
      <w:pPr>
        <w:spacing w:after="0" w:line="83" w:lineRule="exact"/>
        <w:rPr>
          <w:sz w:val="20"/>
          <w:szCs w:val="20"/>
          <w:color w:val="auto"/>
        </w:rPr>
      </w:pPr>
    </w:p>
    <w:p>
      <w:pPr>
        <w:spacing w:after="0"/>
        <w:tabs>
          <w:tab w:leader="none" w:pos="14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(29)</w:t>
      </w:r>
    </w:p>
    <w:p>
      <w:pPr>
        <w:spacing w:after="0" w:line="211" w:lineRule="exact"/>
        <w:rPr>
          <w:sz w:val="20"/>
          <w:szCs w:val="20"/>
          <w:color w:val="auto"/>
        </w:rPr>
      </w:pPr>
    </w:p>
    <w:p>
      <w:pPr>
        <w:sectPr>
          <w:pgSz w:w="11880" w:h="15480" w:orient="portrait"/>
          <w:cols w:equalWidth="0" w:num="2">
            <w:col w:w="8220" w:space="180"/>
            <w:col w:w="1800"/>
          </w:cols>
          <w:pgMar w:left="840" w:top="411" w:right="840" w:bottom="0" w:gutter="0" w:footer="0" w:header="0"/>
          <w:type w:val="continuous"/>
        </w:sectPr>
      </w:pPr>
    </w:p>
    <w:p>
      <w:pPr>
        <w:spacing w:after="0" w:line="117" w:lineRule="exact"/>
        <w:rPr>
          <w:sz w:val="20"/>
          <w:szCs w:val="20"/>
          <w:color w:val="auto"/>
        </w:rPr>
      </w:pPr>
    </w:p>
    <w:p>
      <w:pPr>
        <w:ind w:left="80" w:firstLine="5"/>
        <w:spacing w:after="0" w:line="208" w:lineRule="auto"/>
        <w:tabs>
          <w:tab w:leader="none" w:pos="319" w:val="left"/>
        </w:tabs>
        <w:numPr>
          <w:ilvl w:val="0"/>
          <w:numId w:val="55"/>
        </w:numPr>
        <w:rPr>
          <w:rFonts w:ascii="Arial" w:cs="Arial" w:eastAsia="Arial" w:hAnsi="Arial"/>
          <w:sz w:val="26"/>
          <w:szCs w:val="26"/>
          <w:color w:val="auto"/>
          <w:vertAlign w:val="superscript"/>
        </w:rPr>
      </w:pPr>
      <w:r>
        <w:rPr>
          <w:rFonts w:ascii="Arial" w:cs="Arial" w:eastAsia="Arial" w:hAnsi="Arial"/>
          <w:sz w:val="16"/>
          <w:szCs w:val="16"/>
          <w:color w:val="auto"/>
        </w:rPr>
        <w:t xml:space="preserve">Includes funds that were contributed by the cash equity investor and tax equity investor, which were primarily used to pay off the tax equity bridge loan when the project reached substantial completion on December 22, 2023, as further discussed in Note 10, </w:t>
      </w:r>
      <w:r>
        <w:rPr>
          <w:rFonts w:ascii="Arial" w:cs="Arial" w:eastAsia="Arial" w:hAnsi="Arial"/>
          <w:sz w:val="16"/>
          <w:szCs w:val="16"/>
          <w:b w:val="1"/>
          <w:bCs w:val="1"/>
          <w:i w:val="1"/>
          <w:iCs w:val="1"/>
          <w:color w:val="auto"/>
        </w:rPr>
        <w:t>Long-term Debt</w:t>
      </w:r>
      <w:r>
        <w:rPr>
          <w:rFonts w:ascii="Arial" w:cs="Arial" w:eastAsia="Arial" w:hAnsi="Arial"/>
          <w:sz w:val="16"/>
          <w:szCs w:val="16"/>
          <w:color w:val="auto"/>
        </w:rPr>
        <w:t>.</w:t>
      </w:r>
    </w:p>
    <w:p>
      <w:pPr>
        <w:spacing w:after="0" w:line="70" w:lineRule="exact"/>
        <w:rPr>
          <w:rFonts w:ascii="Arial" w:cs="Arial" w:eastAsia="Arial" w:hAnsi="Arial"/>
          <w:sz w:val="26"/>
          <w:szCs w:val="26"/>
          <w:color w:val="auto"/>
          <w:vertAlign w:val="superscript"/>
        </w:rPr>
      </w:pPr>
    </w:p>
    <w:p>
      <w:pPr>
        <w:ind w:left="80" w:firstLine="5"/>
        <w:spacing w:after="0" w:line="222" w:lineRule="auto"/>
        <w:tabs>
          <w:tab w:leader="none" w:pos="325" w:val="left"/>
        </w:tabs>
        <w:numPr>
          <w:ilvl w:val="0"/>
          <w:numId w:val="55"/>
        </w:numPr>
        <w:rPr>
          <w:rFonts w:ascii="Arial" w:cs="Arial" w:eastAsia="Arial" w:hAnsi="Arial"/>
          <w:sz w:val="26"/>
          <w:szCs w:val="26"/>
          <w:color w:val="auto"/>
          <w:vertAlign w:val="superscript"/>
        </w:rPr>
      </w:pPr>
      <w:r>
        <w:rPr>
          <w:rFonts w:ascii="Arial" w:cs="Arial" w:eastAsia="Arial" w:hAnsi="Arial"/>
          <w:sz w:val="16"/>
          <w:szCs w:val="16"/>
          <w:color w:val="auto"/>
        </w:rPr>
        <w:t xml:space="preserve">Includes a $107 million construction loan and $204 million tax equity bridge loan, offset by $3 million in unamortized debt issuance costs. See Note 10, </w:t>
      </w:r>
      <w:r>
        <w:rPr>
          <w:rFonts w:ascii="Arial" w:cs="Arial" w:eastAsia="Arial" w:hAnsi="Arial"/>
          <w:sz w:val="16"/>
          <w:szCs w:val="16"/>
          <w:b w:val="1"/>
          <w:bCs w:val="1"/>
          <w:i w:val="1"/>
          <w:iCs w:val="1"/>
          <w:color w:val="auto"/>
        </w:rPr>
        <w:t>Long-term Debt</w:t>
      </w:r>
      <w:r>
        <w:rPr>
          <w:rFonts w:ascii="Arial" w:cs="Arial" w:eastAsia="Arial" w:hAnsi="Arial"/>
          <w:sz w:val="16"/>
          <w:szCs w:val="16"/>
          <w:color w:val="auto"/>
        </w:rPr>
        <w:t>, for further discussion of the long-term debt assumed in the acquisition.</w:t>
      </w:r>
    </w:p>
    <w:p>
      <w:pPr>
        <w:spacing w:after="0" w:line="165" w:lineRule="exact"/>
        <w:rPr>
          <w:sz w:val="20"/>
          <w:szCs w:val="20"/>
          <w:color w:val="auto"/>
        </w:rPr>
      </w:pPr>
    </w:p>
    <w:p>
      <w:pPr>
        <w:jc w:val="both"/>
        <w:ind w:firstLine="448"/>
        <w:spacing w:after="0" w:line="280" w:lineRule="auto"/>
        <w:rPr>
          <w:sz w:val="20"/>
          <w:szCs w:val="20"/>
          <w:color w:val="auto"/>
        </w:rPr>
      </w:pPr>
      <w:r>
        <w:rPr>
          <w:rFonts w:ascii="Arial" w:cs="Arial" w:eastAsia="Arial" w:hAnsi="Arial"/>
          <w:sz w:val="18"/>
          <w:szCs w:val="18"/>
          <w:b w:val="1"/>
          <w:bCs w:val="1"/>
          <w:i w:val="1"/>
          <w:iCs w:val="1"/>
          <w:color w:val="auto"/>
        </w:rPr>
        <w:t xml:space="preserve">Daggett 3 Drop Down </w:t>
      </w:r>
      <w:r>
        <w:rPr>
          <w:rFonts w:ascii="Arial" w:cs="Arial" w:eastAsia="Arial" w:hAnsi="Arial"/>
          <w:sz w:val="18"/>
          <w:szCs w:val="18"/>
          <w:color w:val="auto"/>
        </w:rPr>
        <w:t>— On February 17, 2023, the Company, through its indirect subsidiary, Daggett Solar Investment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LLC, acquired the Class A membership interests in Daggett TargetCo LLC, the indirect owner of Daggett 3, a 300 MW solar project that is paired with 149 MW of energy storage and located in San Bernardino, California, from Clearway Renew for cash consideration of $21 million. Simultaneously, a cash equity investor acquired the Class B membership interests in Daggett TargetCo LLC from Clearway Renew for cash consideration of $129 million. The Company and the cash equity investor then contributed their Class A and B membership interests, respectively, into Daggett Renewable Holdco LLC, a partnership that consolidates Daggett TargetCo LLC. Daggett TargetCo LLC consolidates as primary beneficiary, Daggett TE Holdco LLC, a tax equity fund that owns the Daggett 3 solar project, as further described in Note 5, </w:t>
      </w:r>
      <w:r>
        <w:rPr>
          <w:rFonts w:ascii="Arial" w:cs="Arial" w:eastAsia="Arial" w:hAnsi="Arial"/>
          <w:sz w:val="18"/>
          <w:szCs w:val="18"/>
          <w:b w:val="1"/>
          <w:bCs w:val="1"/>
          <w:i w:val="1"/>
          <w:iCs w:val="1"/>
          <w:color w:val="auto"/>
        </w:rPr>
        <w:t>Investments Accounted for by the Equity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Method and Variable Interest Entities. </w:t>
      </w:r>
      <w:r>
        <w:rPr>
          <w:rFonts w:ascii="Arial" w:cs="Arial" w:eastAsia="Arial" w:hAnsi="Arial"/>
          <w:sz w:val="18"/>
          <w:szCs w:val="18"/>
          <w:color w:val="auto"/>
        </w:rPr>
        <w:t>Daggett 3 has PPAs with investment-grade counterparties that have a 15-year weighted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average contract duration that commenced between July 2023 and November 2023. The Daggett 3 operations are reflected in the Company’s Renewables segment and the acquisition was funded with existing sources of liquidity. The acquisition was determined to be an asset acquisition and the Company consolidates Daggett 3 on a prospective basis in its financial statements. The assets and liabilities transferred to the Company relate to interests under common control and were recorded at historical cost in accordance with ASC 805-50, </w:t>
      </w:r>
      <w:r>
        <w:rPr>
          <w:rFonts w:ascii="Arial" w:cs="Arial" w:eastAsia="Arial" w:hAnsi="Arial"/>
          <w:sz w:val="18"/>
          <w:szCs w:val="18"/>
          <w:b w:val="1"/>
          <w:bCs w:val="1"/>
          <w:i w:val="1"/>
          <w:iCs w:val="1"/>
          <w:color w:val="auto"/>
        </w:rPr>
        <w:t>Business Combinations - Related Issues</w:t>
      </w:r>
      <w:r>
        <w:rPr>
          <w:rFonts w:ascii="Arial" w:cs="Arial" w:eastAsia="Arial" w:hAnsi="Arial"/>
          <w:sz w:val="18"/>
          <w:szCs w:val="18"/>
          <w:color w:val="auto"/>
        </w:rPr>
        <w:t>. The difference between the cash paid of $21 million and the historical cost of the Company’s net assets acquired of $15 million was recorded as an adjustment to CEG’s noncontrolling interest balance. In addition, the Company reflected the entire $21 million of the Company’s purchase price, which was contributed back to the Company by CEG to pay down the acquired long-term debt, in the line item distributions to CEG, net of contributions in the consolidated statements of stockholders’ equity.</w:t>
      </w:r>
    </w:p>
    <w:p>
      <w:pPr>
        <w:sectPr>
          <w:pgSz w:w="11880" w:h="15480" w:orient="portrait"/>
          <w:cols w:equalWidth="0" w:num="1">
            <w:col w:w="10200"/>
          </w:cols>
          <w:pgMar w:left="840" w:top="411" w:right="8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ectPr>
          <w:pgSz w:w="11880" w:h="15480" w:orient="portrait"/>
          <w:cols w:equalWidth="0" w:num="1">
            <w:col w:w="10200"/>
          </w:cols>
          <w:pgMar w:left="840" w:top="411" w:right="840" w:bottom="0" w:gutter="0" w:footer="0" w:header="0"/>
          <w:type w:val="continuous"/>
        </w:sectPr>
      </w:pPr>
    </w:p>
    <w:bookmarkStart w:id="95" w:name="page96"/>
    <w:bookmarkEnd w:id="95"/>
    <w:p>
      <w:pPr>
        <w:ind w:left="440"/>
        <w:spacing w:after="0"/>
        <w:rPr>
          <w:sz w:val="20"/>
          <w:szCs w:val="20"/>
          <w:color w:val="auto"/>
        </w:rPr>
      </w:pPr>
      <w:r>
        <w:rPr>
          <w:rFonts w:ascii="Arial" w:cs="Arial" w:eastAsia="Arial" w:hAnsi="Arial"/>
          <w:sz w:val="18"/>
          <w:szCs w:val="18"/>
          <w:color w:val="auto"/>
        </w:rPr>
        <w:t>The following is a summary of assets and liabilities transferred in connection with the acquisition as of February 17, 2023:</w:t>
      </w:r>
    </w:p>
    <w:p>
      <w:pPr>
        <w:sectPr>
          <w:pgSz w:w="11880" w:h="15480" w:orient="portrait"/>
          <w:cols w:equalWidth="0" w:num="1">
            <w:col w:w="10200"/>
          </w:cols>
          <w:pgMar w:left="840" w:top="411" w:right="840" w:bottom="0" w:gutter="0" w:footer="0" w:header="0"/>
        </w:sectPr>
      </w:pPr>
    </w:p>
    <w:p>
      <w:pPr>
        <w:spacing w:after="0" w:line="20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6495415" cy="2025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58">
                      <a:extLst>
                        <a:ext uri="{28A0092B-C50C-407E-A947-70E740481C1C}"/>
                      </a:extLst>
                    </a:blip>
                    <a:srcRect/>
                    <a:stretch>
                      <a:fillRect/>
                    </a:stretch>
                  </pic:blipFill>
                  <pic:spPr bwMode="auto">
                    <a:xfrm>
                      <a:off x="0" y="0"/>
                      <a:ext cx="6495415" cy="202565"/>
                    </a:xfrm>
                    <a:prstGeom prst="rect">
                      <a:avLst/>
                    </a:prstGeom>
                    <a:noFill/>
                  </pic:spPr>
                </pic:pic>
              </a:graphicData>
            </a:graphic>
          </wp:anchor>
        </w:drawing>
      </w:r>
    </w:p>
    <w:p>
      <w:pPr>
        <w:spacing w:after="0" w:line="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18"/>
          <w:szCs w:val="18"/>
          <w:color w:val="BDBDBD"/>
        </w:rPr>
        <w:t>. . . . . . . . . . . . . . . . . . . . . . . . . . . . . . . . . . . . . . . . . . . . . . . . . . . . . . . . . . . . . . . . . . . .</w:t>
      </w:r>
    </w:p>
    <w:p>
      <w:pPr>
        <w:spacing w:after="0" w:line="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Property, plant and equipment </w:t>
      </w:r>
      <w:r>
        <w:rPr>
          <w:rFonts w:ascii="Arial" w:cs="Arial" w:eastAsia="Arial" w:hAnsi="Arial"/>
          <w:sz w:val="18"/>
          <w:szCs w:val="18"/>
          <w:color w:val="BDBDBD"/>
        </w:rPr>
        <w:t>. . . . . . . . . . . . . . . . . . . . . . . . . . . . . . . . . . . . . . . . . . . . . . . . . . . . . . .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41910</wp:posOffset>
                </wp:positionV>
                <wp:extent cx="6481445" cy="189865"/>
                <wp:wrapNone/>
                <wp:docPr id="204" name="Shape 2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1445" cy="189865"/>
                        </a:xfrm>
                        <a:prstGeom prst="rect">
                          <a:avLst/>
                        </a:prstGeom>
                        <a:solidFill>
                          <a:srgbClr val="E6E6E6"/>
                        </a:solidFill>
                      </wps:spPr>
                      <wps:bodyPr/>
                    </wps:wsp>
                  </a:graphicData>
                </a:graphic>
              </wp:anchor>
            </w:drawing>
          </mc:Choice>
          <mc:Fallback>
            <w:pict>
              <v:rect id="Shape 204" o:spid="_x0000_s1229" style="position:absolute;margin-left:-0.1499pt;margin-top:3.3pt;width:510.35pt;height:14.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Right-of-use assets, net </w:t>
      </w:r>
      <w:r>
        <w:rPr>
          <w:rFonts w:ascii="Arial" w:cs="Arial" w:eastAsia="Arial" w:hAnsi="Arial"/>
          <w:sz w:val="18"/>
          <w:szCs w:val="18"/>
          <w:color w:val="BDBDBD"/>
        </w:rPr>
        <w:t>. . . . . . . . . . . . . . . . . . . . . . . . . . . . . . . . . . . . . . . . . . . . . . . . . . . . . . . . . . . . . .</w:t>
      </w:r>
    </w:p>
    <w:p>
      <w:pPr>
        <w:spacing w:after="0" w:line="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Derivative assets </w:t>
      </w:r>
      <w:r>
        <w:rPr>
          <w:rFonts w:ascii="Arial" w:cs="Arial" w:eastAsia="Arial" w:hAnsi="Arial"/>
          <w:sz w:val="18"/>
          <w:szCs w:val="18"/>
          <w:color w:val="BDBDBD"/>
        </w:rPr>
        <w:t>. . . . . . . . . . . . . . . . . . . . . . . . .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6495415" cy="2019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59">
                      <a:extLst>
                        <a:ext uri="{28A0092B-C50C-407E-A947-70E740481C1C}"/>
                      </a:extLst>
                    </a:blip>
                    <a:srcRect/>
                    <a:stretch>
                      <a:fillRect/>
                    </a:stretch>
                  </pic:blipFill>
                  <pic:spPr bwMode="auto">
                    <a:xfrm>
                      <a:off x="0" y="0"/>
                      <a:ext cx="6495415" cy="201930"/>
                    </a:xfrm>
                    <a:prstGeom prst="rect">
                      <a:avLst/>
                    </a:prstGeom>
                    <a:noFill/>
                  </pic:spPr>
                </pic:pic>
              </a:graphicData>
            </a:graphic>
          </wp:anchor>
        </w:drawing>
      </w:r>
    </w:p>
    <w:p>
      <w:pPr>
        <w:spacing w:after="0" w:line="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Total assets acquired  </w:t>
      </w:r>
      <w:r>
        <w:rPr>
          <w:rFonts w:ascii="Arial" w:cs="Arial" w:eastAsia="Arial" w:hAnsi="Arial"/>
          <w:sz w:val="18"/>
          <w:szCs w:val="18"/>
          <w:color w:val="BDBDBD"/>
        </w:rPr>
        <w:t>. . . . . . . . . . . . . . . . . . . . . . . . . . . . . . . . . . . . . . . . . . . . . . . . . . . . . . . . . . . . .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231775</wp:posOffset>
                </wp:positionV>
                <wp:extent cx="6481445" cy="189230"/>
                <wp:wrapNone/>
                <wp:docPr id="206" name="Shape 2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1445" cy="189230"/>
                        </a:xfrm>
                        <a:prstGeom prst="rect">
                          <a:avLst/>
                        </a:prstGeom>
                        <a:solidFill>
                          <a:srgbClr val="E6E6E6"/>
                        </a:solidFill>
                      </wps:spPr>
                      <wps:bodyPr/>
                    </wps:wsp>
                  </a:graphicData>
                </a:graphic>
              </wp:anchor>
            </w:drawing>
          </mc:Choice>
          <mc:Fallback>
            <w:pict>
              <v:rect id="Shape 206" o:spid="_x0000_s1231" style="position:absolute;margin-left:-0.1499pt;margin-top:18.25pt;width:510.35pt;height:14.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3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Long-term debt </w:t>
      </w:r>
      <w:r>
        <w:rPr>
          <w:rFonts w:ascii="Arial" w:cs="Arial" w:eastAsia="Arial" w:hAnsi="Arial"/>
          <w:sz w:val="23"/>
          <w:szCs w:val="23"/>
          <w:color w:val="auto"/>
          <w:vertAlign w:val="superscript"/>
        </w:rPr>
        <w:t>(a)</w:t>
      </w:r>
      <w:r>
        <w:rPr>
          <w:rFonts w:ascii="Arial" w:cs="Arial" w:eastAsia="Arial" w:hAnsi="Arial"/>
          <w:sz w:val="18"/>
          <w:szCs w:val="18"/>
          <w:color w:val="auto"/>
        </w:rPr>
        <w:t xml:space="preserve">  </w:t>
      </w:r>
      <w:r>
        <w:rPr>
          <w:rFonts w:ascii="Arial" w:cs="Arial" w:eastAsia="Arial" w:hAnsi="Arial"/>
          <w:sz w:val="18"/>
          <w:szCs w:val="18"/>
          <w:color w:val="BDBDBD"/>
        </w:rPr>
        <w:t>. . . . . . . . . . . . . . . . . . . . . . . . . . . . . . . . . . . . . . . . . . . . . . . . . . . . . . . . . . . . . . . . . .</w:t>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Long-term lease liabilities  </w:t>
      </w:r>
      <w:r>
        <w:rPr>
          <w:rFonts w:ascii="Arial" w:cs="Arial" w:eastAsia="Arial" w:hAnsi="Arial"/>
          <w:sz w:val="18"/>
          <w:szCs w:val="18"/>
          <w:color w:val="BDBDBD"/>
        </w:rPr>
        <w:t>. . . . . . . . . . . . . . . . .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41910</wp:posOffset>
            </wp:positionV>
            <wp:extent cx="6495415" cy="2019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60">
                      <a:extLst>
                        <a:ext uri="{28A0092B-C50C-407E-A947-70E740481C1C}"/>
                      </a:extLst>
                    </a:blip>
                    <a:srcRect/>
                    <a:stretch>
                      <a:fillRect/>
                    </a:stretch>
                  </pic:blipFill>
                  <pic:spPr bwMode="auto">
                    <a:xfrm>
                      <a:off x="0" y="0"/>
                      <a:ext cx="6495415" cy="201930"/>
                    </a:xfrm>
                    <a:prstGeom prst="rect">
                      <a:avLst/>
                    </a:prstGeom>
                    <a:noFill/>
                  </pic:spPr>
                </pic:pic>
              </a:graphicData>
            </a:graphic>
          </wp:anchor>
        </w:drawing>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Other current and non-current liabilities </w:t>
      </w:r>
      <w:r>
        <w:rPr>
          <w:rFonts w:ascii="Arial" w:cs="Arial" w:eastAsia="Arial" w:hAnsi="Arial"/>
          <w:sz w:val="23"/>
          <w:szCs w:val="23"/>
          <w:color w:val="auto"/>
          <w:vertAlign w:val="superscript"/>
        </w:rPr>
        <w:t>(b)</w:t>
      </w:r>
      <w:r>
        <w:rPr>
          <w:rFonts w:ascii="Arial" w:cs="Arial" w:eastAsia="Arial" w:hAnsi="Arial"/>
          <w:sz w:val="18"/>
          <w:szCs w:val="18"/>
          <w:color w:val="auto"/>
        </w:rPr>
        <w:t xml:space="preserve">  </w:t>
      </w:r>
      <w:r>
        <w:rPr>
          <w:rFonts w:ascii="Arial" w:cs="Arial" w:eastAsia="Arial" w:hAnsi="Arial"/>
          <w:sz w:val="18"/>
          <w:szCs w:val="18"/>
          <w:color w:val="BDBDBD"/>
        </w:rPr>
        <w:t>. . . . . . . . . . . . . . . . . . . . . . . . . . . . . . . . . . . . . . . . . . . . . .</w:t>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Total liabilities assumed </w:t>
      </w:r>
      <w:r>
        <w:rPr>
          <w:rFonts w:ascii="Arial" w:cs="Arial" w:eastAsia="Arial" w:hAnsi="Arial"/>
          <w:sz w:val="18"/>
          <w:szCs w:val="18"/>
          <w:color w:val="BDBDBD"/>
        </w:rPr>
        <w:t>. . . . . . . . . . . . . . . . . .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6495415" cy="2368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161">
                      <a:extLst>
                        <a:ext uri="{28A0092B-C50C-407E-A947-70E740481C1C}"/>
                      </a:extLst>
                    </a:blip>
                    <a:srcRect/>
                    <a:stretch>
                      <a:fillRect/>
                    </a:stretch>
                  </pic:blipFill>
                  <pic:spPr bwMode="auto">
                    <a:xfrm>
                      <a:off x="0" y="0"/>
                      <a:ext cx="6495415" cy="236855"/>
                    </a:xfrm>
                    <a:prstGeom prst="rect">
                      <a:avLst/>
                    </a:prstGeom>
                    <a:noFill/>
                  </pic:spPr>
                </pic:pic>
              </a:graphicData>
            </a:graphic>
          </wp:anchor>
        </w:drawing>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Net assets acquired </w:t>
      </w:r>
      <w:r>
        <w:rPr>
          <w:rFonts w:ascii="Arial" w:cs="Arial" w:eastAsia="Arial" w:hAnsi="Arial"/>
          <w:sz w:val="18"/>
          <w:szCs w:val="18"/>
          <w:color w:val="BDBDBD"/>
        </w:rPr>
        <w:t>. . . . . . . . . . . . . . . . . . . . . . . . . . . . . . . . . . . . . . . . . . . . . . . . . . . . . . . . . . . . . . .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152400</wp:posOffset>
                </wp:positionV>
                <wp:extent cx="1259840" cy="0"/>
                <wp:wrapNone/>
                <wp:docPr id="209" name="Shape 2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598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09" o:spid="_x0000_s12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2pt" to="99pt,12pt" o:allowincell="f" strokecolor="#000000" strokeweight="1pt"/>
            </w:pict>
          </mc:Fallback>
        </mc:AlternateConten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3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441"/>
              <w:spacing w:after="0"/>
              <w:rPr>
                <w:sz w:val="20"/>
                <w:szCs w:val="20"/>
                <w:color w:val="auto"/>
              </w:rPr>
            </w:pPr>
            <w:r>
              <w:rPr>
                <w:rFonts w:ascii="Arial" w:cs="Arial" w:eastAsia="Arial" w:hAnsi="Arial"/>
                <w:sz w:val="18"/>
                <w:szCs w:val="18"/>
                <w:b w:val="1"/>
                <w:bCs w:val="1"/>
                <w:color w:val="auto"/>
              </w:rPr>
              <w:t>Daggett 3</w:t>
            </w:r>
          </w:p>
        </w:tc>
      </w:tr>
      <w:tr>
        <w:trPr>
          <w:trHeight w:val="276"/>
        </w:trPr>
        <w:tc>
          <w:tcPr>
            <w:tcW w:w="3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98"/>
        </w:trPr>
        <w:tc>
          <w:tcPr>
            <w:tcW w:w="3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534</w:t>
            </w:r>
          </w:p>
        </w:tc>
      </w:tr>
      <w:tr>
        <w:trPr>
          <w:trHeight w:val="298"/>
        </w:trPr>
        <w:tc>
          <w:tcPr>
            <w:tcW w:w="3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301"/>
        </w:trPr>
        <w:tc>
          <w:tcPr>
            <w:tcW w:w="3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w:t>
            </w:r>
          </w:p>
        </w:tc>
      </w:tr>
      <w:tr>
        <w:trPr>
          <w:trHeight w:val="276"/>
        </w:trPr>
        <w:tc>
          <w:tcPr>
            <w:tcW w:w="3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596</w:t>
            </w:r>
          </w:p>
        </w:tc>
      </w:tr>
      <w:tr>
        <w:trPr>
          <w:trHeight w:val="597"/>
        </w:trPr>
        <w:tc>
          <w:tcPr>
            <w:tcW w:w="3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480</w:t>
            </w:r>
          </w:p>
        </w:tc>
      </w:tr>
      <w:tr>
        <w:trPr>
          <w:trHeight w:val="298"/>
        </w:trPr>
        <w:tc>
          <w:tcPr>
            <w:tcW w:w="3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301"/>
        </w:trPr>
        <w:tc>
          <w:tcPr>
            <w:tcW w:w="3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68</w:t>
            </w:r>
          </w:p>
        </w:tc>
      </w:tr>
      <w:tr>
        <w:trPr>
          <w:trHeight w:val="278"/>
        </w:trPr>
        <w:tc>
          <w:tcPr>
            <w:tcW w:w="3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581</w:t>
            </w:r>
          </w:p>
        </w:tc>
      </w:tr>
      <w:tr>
        <w:trPr>
          <w:trHeight w:val="274"/>
        </w:trPr>
        <w:tc>
          <w:tcPr>
            <w:tcW w:w="36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2">
            <w:col w:w="8220" w:space="140"/>
            <w:col w:w="1840"/>
          </w:cols>
          <w:pgMar w:left="840" w:top="411" w:right="840" w:bottom="0" w:gutter="0" w:footer="0" w:header="0"/>
          <w:type w:val="continuous"/>
        </w:sectPr>
      </w:pPr>
    </w:p>
    <w:p>
      <w:pPr>
        <w:spacing w:after="0" w:line="21" w:lineRule="exact"/>
        <w:rPr>
          <w:sz w:val="20"/>
          <w:szCs w:val="20"/>
          <w:color w:val="auto"/>
        </w:rPr>
      </w:pPr>
    </w:p>
    <w:p>
      <w:pPr>
        <w:ind w:left="80" w:firstLine="5"/>
        <w:spacing w:after="0" w:line="208" w:lineRule="auto"/>
        <w:tabs>
          <w:tab w:leader="none" w:pos="353" w:val="left"/>
        </w:tabs>
        <w:numPr>
          <w:ilvl w:val="0"/>
          <w:numId w:val="56"/>
        </w:numPr>
        <w:rPr>
          <w:rFonts w:ascii="Arial" w:cs="Arial" w:eastAsia="Arial" w:hAnsi="Arial"/>
          <w:sz w:val="26"/>
          <w:szCs w:val="26"/>
          <w:color w:val="auto"/>
          <w:vertAlign w:val="superscript"/>
        </w:rPr>
      </w:pPr>
      <w:r>
        <w:rPr>
          <w:rFonts w:ascii="Arial" w:cs="Arial" w:eastAsia="Arial" w:hAnsi="Arial"/>
          <w:sz w:val="16"/>
          <w:szCs w:val="16"/>
          <w:color w:val="auto"/>
        </w:rPr>
        <w:t xml:space="preserve">Includes a $181 million construction loan, $75 million sponsor equity bridge loan and $229 million tax equity bridge loan, offset by $5 million in unamortized debt issuance costs. See Note 10, </w:t>
      </w:r>
      <w:r>
        <w:rPr>
          <w:rFonts w:ascii="Arial" w:cs="Arial" w:eastAsia="Arial" w:hAnsi="Arial"/>
          <w:sz w:val="16"/>
          <w:szCs w:val="16"/>
          <w:b w:val="1"/>
          <w:bCs w:val="1"/>
          <w:i w:val="1"/>
          <w:iCs w:val="1"/>
          <w:color w:val="auto"/>
        </w:rPr>
        <w:t>Long-term Debt</w:t>
      </w:r>
      <w:r>
        <w:rPr>
          <w:rFonts w:ascii="Arial" w:cs="Arial" w:eastAsia="Arial" w:hAnsi="Arial"/>
          <w:sz w:val="16"/>
          <w:szCs w:val="16"/>
          <w:color w:val="auto"/>
        </w:rPr>
        <w:t>, for further discussion of the long-term debt assumed in the acquisition.</w:t>
      </w:r>
    </w:p>
    <w:p>
      <w:pPr>
        <w:spacing w:after="0" w:line="70" w:lineRule="exact"/>
        <w:rPr>
          <w:rFonts w:ascii="Arial" w:cs="Arial" w:eastAsia="Arial" w:hAnsi="Arial"/>
          <w:sz w:val="26"/>
          <w:szCs w:val="26"/>
          <w:color w:val="auto"/>
          <w:vertAlign w:val="superscript"/>
        </w:rPr>
      </w:pPr>
    </w:p>
    <w:p>
      <w:pPr>
        <w:ind w:left="80" w:firstLine="5"/>
        <w:spacing w:after="0" w:line="208" w:lineRule="auto"/>
        <w:tabs>
          <w:tab w:leader="none" w:pos="317" w:val="left"/>
        </w:tabs>
        <w:numPr>
          <w:ilvl w:val="0"/>
          <w:numId w:val="56"/>
        </w:numPr>
        <w:rPr>
          <w:rFonts w:ascii="Arial" w:cs="Arial" w:eastAsia="Arial" w:hAnsi="Arial"/>
          <w:sz w:val="26"/>
          <w:szCs w:val="26"/>
          <w:color w:val="auto"/>
          <w:vertAlign w:val="superscript"/>
        </w:rPr>
      </w:pPr>
      <w:r>
        <w:rPr>
          <w:rFonts w:ascii="Arial" w:cs="Arial" w:eastAsia="Arial" w:hAnsi="Arial"/>
          <w:sz w:val="16"/>
          <w:szCs w:val="16"/>
          <w:color w:val="auto"/>
        </w:rPr>
        <w:t>Includes $32 million of project costs that were subsequently funded by CEG. Subsequent to the acquisition date, CEG funded an additional $22 million in project costs. The combined $54 million funded by CEG was repaid to CEG in October 2023.</w:t>
      </w:r>
    </w:p>
    <w:p>
      <w:pPr>
        <w:spacing w:after="0" w:line="145"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19"/>
          <w:szCs w:val="19"/>
          <w:b w:val="1"/>
          <w:bCs w:val="1"/>
          <w:i w:val="1"/>
          <w:iCs w:val="1"/>
          <w:color w:val="auto"/>
        </w:rPr>
        <w:t xml:space="preserve">Waiawa Drop Down — </w:t>
      </w:r>
      <w:r>
        <w:rPr>
          <w:rFonts w:ascii="Arial" w:cs="Arial" w:eastAsia="Arial" w:hAnsi="Arial"/>
          <w:sz w:val="19"/>
          <w:szCs w:val="19"/>
          <w:color w:val="auto"/>
        </w:rPr>
        <w:t>On October 3, 2022, the Company, through its indirect subsidiary, Lighthouse Renewable Holdco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LLC, acquired Waiawa BL Borrower Holdco LLC, the indirect owner of the Waiawa solar project, a 36 MW solar project that is paired with 36 MW of energy storage and located in Honolulu, Hawaii, from Clearway Renew for cash consideration of $20 million. Lighthouse Renewable Holdco LLC is a partnership between the Company and a cash equity investor. The cash equity investor also contributed cash consideration of $12 million, which was utilized to acquire their portion of the acquired entity. At the time of the acquisition, Waiawa BL Borrower Holdco LLC consolidated as primary beneficiary, Waiawa TE Holdco LLC, a tax equity fund that held the Waiawa solar project. Waiawa has a 20-year PPA with an investment-grade utility that commenced in January 2023. The Waiawa solar project is reflected in the Company’s Renewables segment and the acquisition was funded with existing sources of liquidity. The acquisition was determined to be an asset acquisition and the Company consolidates Waiawa on a prospective basis in its financial statements. The assets and liabilities transferred to the Company relate to interests under common control and were recorded at historical cost in accordance with ASC 805-50, </w:t>
      </w:r>
      <w:r>
        <w:rPr>
          <w:rFonts w:ascii="Arial" w:cs="Arial" w:eastAsia="Arial" w:hAnsi="Arial"/>
          <w:sz w:val="19"/>
          <w:szCs w:val="19"/>
          <w:b w:val="1"/>
          <w:bCs w:val="1"/>
          <w:i w:val="1"/>
          <w:iCs w:val="1"/>
          <w:color w:val="auto"/>
        </w:rPr>
        <w:t>Business Combinations - Related Issues</w:t>
      </w:r>
      <w:r>
        <w:rPr>
          <w:rFonts w:ascii="Arial" w:cs="Arial" w:eastAsia="Arial" w:hAnsi="Arial"/>
          <w:sz w:val="19"/>
          <w:szCs w:val="19"/>
          <w:color w:val="auto"/>
        </w:rPr>
        <w:t>. The sum of the cash paid of $20 million and the historical cost of the Company’s net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liabilities assumed of $1 million was recorded as an adjustment to CEG’s noncontrolling interest balance. In addition, the Company reflected $16 million of the Company’s purchase price, which was contributed back to the Company by CEG to pay down the acquired long-term debt, in the line item distributions to CEG, net of contributions, in the consolidated statement of stockholders’ equity.</w:t>
      </w:r>
    </w:p>
    <w:p>
      <w:pPr>
        <w:spacing w:after="0" w:line="14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assets and liabilities transferred in connection with the acquisition as of October 3, 2022:</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7640" w:type="dxa"/>
            <w:vAlign w:val="bottom"/>
            <w:tcBorders>
              <w:bottom w:val="single" w:sz="8" w:color="E6E6E6"/>
            </w:tcBorders>
          </w:tcPr>
          <w:p>
            <w:pPr>
              <w:jc w:val="right"/>
              <w:ind w:right="6562"/>
              <w:spacing w:after="0"/>
              <w:rPr>
                <w:sz w:val="20"/>
                <w:szCs w:val="20"/>
                <w:color w:val="auto"/>
              </w:rPr>
            </w:pPr>
            <w:r>
              <w:rPr>
                <w:rFonts w:ascii="Arial" w:cs="Arial" w:eastAsia="Arial" w:hAnsi="Arial"/>
                <w:sz w:val="18"/>
                <w:szCs w:val="18"/>
                <w:b w:val="1"/>
                <w:bCs w:val="1"/>
                <w:color w:val="auto"/>
                <w:w w:val="94"/>
              </w:rPr>
              <w:t>(In millions)</w:t>
            </w:r>
          </w:p>
        </w:tc>
        <w:tc>
          <w:tcPr>
            <w:tcW w:w="56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jc w:val="right"/>
              <w:ind w:right="842"/>
              <w:spacing w:after="0"/>
              <w:rPr>
                <w:sz w:val="20"/>
                <w:szCs w:val="20"/>
                <w:color w:val="auto"/>
              </w:rPr>
            </w:pPr>
            <w:r>
              <w:rPr>
                <w:rFonts w:ascii="Arial" w:cs="Arial" w:eastAsia="Arial" w:hAnsi="Arial"/>
                <w:sz w:val="18"/>
                <w:szCs w:val="18"/>
                <w:b w:val="1"/>
                <w:bCs w:val="1"/>
                <w:color w:val="auto"/>
              </w:rPr>
              <w:t>Waiawa</w:t>
            </w:r>
          </w:p>
        </w:tc>
      </w:tr>
      <w:tr>
        <w:trPr>
          <w:trHeight w:val="289"/>
        </w:trPr>
        <w:tc>
          <w:tcPr>
            <w:tcW w:w="7640" w:type="dxa"/>
            <w:vAlign w:val="bottom"/>
            <w:shd w:val="clear" w:color="auto" w:fill="E6E6E6"/>
          </w:tcPr>
          <w:p>
            <w:pPr>
              <w:jc w:val="right"/>
              <w:ind w:right="42"/>
              <w:spacing w:after="0"/>
              <w:rPr>
                <w:sz w:val="20"/>
                <w:szCs w:val="20"/>
                <w:color w:val="auto"/>
              </w:rPr>
            </w:pPr>
            <w:r>
              <w:rPr>
                <w:rFonts w:ascii="Arial" w:cs="Arial" w:eastAsia="Arial" w:hAnsi="Arial"/>
                <w:sz w:val="20"/>
                <w:szCs w:val="20"/>
                <w:color w:val="auto"/>
                <w:w w:val="91"/>
              </w:rPr>
              <w:t xml:space="preserve">Other current and non-current assets </w:t>
            </w:r>
            <w:r>
              <w:rPr>
                <w:rFonts w:ascii="Arial" w:cs="Arial" w:eastAsia="Arial" w:hAnsi="Arial"/>
                <w:sz w:val="20"/>
                <w:szCs w:val="20"/>
                <w:color w:val="BDBDBD"/>
                <w:w w:val="91"/>
              </w:rPr>
              <w:t>. . . . . . . . . . . . . . . . . . . . . . . . . . . . . . . . . . . . . . . . . . . .</w:t>
            </w:r>
          </w:p>
        </w:tc>
        <w:tc>
          <w:tcPr>
            <w:tcW w:w="560" w:type="dxa"/>
            <w:vAlign w:val="bottom"/>
            <w:shd w:val="clear" w:color="auto" w:fill="E6E6E6"/>
          </w:tcPr>
          <w:p>
            <w:pPr>
              <w:jc w:val="right"/>
              <w:ind w:right="321"/>
              <w:spacing w:after="0"/>
              <w:rPr>
                <w:sz w:val="20"/>
                <w:szCs w:val="20"/>
                <w:color w:val="auto"/>
              </w:rPr>
            </w:pPr>
            <w:r>
              <w:rPr>
                <w:rFonts w:ascii="Arial" w:cs="Arial" w:eastAsia="Arial" w:hAnsi="Arial"/>
                <w:sz w:val="20"/>
                <w:szCs w:val="20"/>
                <w:color w:val="auto"/>
              </w:rPr>
              <w:t>$</w:t>
            </w:r>
          </w:p>
        </w:tc>
        <w:tc>
          <w:tcPr>
            <w:tcW w:w="20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w:t>
            </w:r>
          </w:p>
        </w:tc>
      </w:tr>
      <w:tr>
        <w:trPr>
          <w:trHeight w:val="289"/>
        </w:trPr>
        <w:tc>
          <w:tcPr>
            <w:tcW w:w="7640" w:type="dxa"/>
            <w:vAlign w:val="bottom"/>
            <w:tcBorders>
              <w:bottom w:val="single" w:sz="8" w:color="E6E6E6"/>
            </w:tcBorders>
          </w:tcPr>
          <w:p>
            <w:pPr>
              <w:jc w:val="right"/>
              <w:ind w:right="42"/>
              <w:spacing w:after="0"/>
              <w:rPr>
                <w:sz w:val="20"/>
                <w:szCs w:val="20"/>
                <w:color w:val="auto"/>
              </w:rPr>
            </w:pPr>
            <w:r>
              <w:rPr>
                <w:rFonts w:ascii="Arial" w:cs="Arial" w:eastAsia="Arial" w:hAnsi="Arial"/>
                <w:sz w:val="20"/>
                <w:szCs w:val="20"/>
                <w:color w:val="auto"/>
                <w:w w:val="92"/>
              </w:rPr>
              <w:t xml:space="preserve">Property, plant and equipment </w:t>
            </w:r>
            <w:r>
              <w:rPr>
                <w:rFonts w:ascii="Arial" w:cs="Arial" w:eastAsia="Arial" w:hAnsi="Arial"/>
                <w:sz w:val="20"/>
                <w:szCs w:val="20"/>
                <w:color w:val="BDBDBD"/>
                <w:w w:val="92"/>
              </w:rPr>
              <w:t>. . . . . . . . . . . . . . . . . . . . . . . . . . . . . . . . . . . . . . . . . . . . . . . . .</w:t>
            </w:r>
          </w:p>
        </w:tc>
        <w:tc>
          <w:tcPr>
            <w:tcW w:w="5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118</w:t>
            </w:r>
          </w:p>
        </w:tc>
      </w:tr>
      <w:tr>
        <w:trPr>
          <w:trHeight w:val="289"/>
        </w:trPr>
        <w:tc>
          <w:tcPr>
            <w:tcW w:w="7640" w:type="dxa"/>
            <w:vAlign w:val="bottom"/>
            <w:shd w:val="clear" w:color="auto" w:fill="E6E6E6"/>
          </w:tcPr>
          <w:p>
            <w:pPr>
              <w:jc w:val="right"/>
              <w:ind w:right="42"/>
              <w:spacing w:after="0"/>
              <w:rPr>
                <w:sz w:val="20"/>
                <w:szCs w:val="20"/>
                <w:color w:val="auto"/>
              </w:rPr>
            </w:pPr>
            <w:r>
              <w:rPr>
                <w:rFonts w:ascii="Arial" w:cs="Arial" w:eastAsia="Arial" w:hAnsi="Arial"/>
                <w:sz w:val="20"/>
                <w:szCs w:val="20"/>
                <w:color w:val="auto"/>
                <w:w w:val="93"/>
              </w:rPr>
              <w:t xml:space="preserve">Total assets acquired </w:t>
            </w:r>
            <w:r>
              <w:rPr>
                <w:rFonts w:ascii="Arial" w:cs="Arial" w:eastAsia="Arial" w:hAnsi="Arial"/>
                <w:sz w:val="20"/>
                <w:szCs w:val="20"/>
                <w:color w:val="BDBDBD"/>
                <w:w w:val="93"/>
              </w:rPr>
              <w:t>. . . . . . . . . . . . . . . . . . . . . . . . . . . . . . . . . . . . . . . . . . . . . . . . . . . . . . .</w:t>
            </w:r>
          </w:p>
        </w:tc>
        <w:tc>
          <w:tcPr>
            <w:tcW w:w="560" w:type="dxa"/>
            <w:vAlign w:val="bottom"/>
            <w:shd w:val="clear" w:color="auto" w:fill="E6E6E6"/>
          </w:tcPr>
          <w:p>
            <w:pPr>
              <w:spacing w:after="0"/>
              <w:rPr>
                <w:sz w:val="24"/>
                <w:szCs w:val="24"/>
                <w:color w:val="auto"/>
              </w:rPr>
            </w:pPr>
          </w:p>
        </w:tc>
        <w:tc>
          <w:tcPr>
            <w:tcW w:w="20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125</w:t>
            </w:r>
          </w:p>
        </w:tc>
      </w:tr>
      <w:tr>
        <w:trPr>
          <w:trHeight w:val="298"/>
        </w:trPr>
        <w:tc>
          <w:tcPr>
            <w:tcW w:w="7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99"/>
        </w:trPr>
        <w:tc>
          <w:tcPr>
            <w:tcW w:w="7640" w:type="dxa"/>
            <w:vAlign w:val="bottom"/>
            <w:shd w:val="clear" w:color="auto" w:fill="E6E6E6"/>
          </w:tcPr>
          <w:p>
            <w:pPr>
              <w:jc w:val="right"/>
              <w:ind w:right="42"/>
              <w:spacing w:after="0"/>
              <w:rPr>
                <w:sz w:val="20"/>
                <w:szCs w:val="20"/>
                <w:color w:val="auto"/>
              </w:rPr>
            </w:pPr>
            <w:r>
              <w:rPr>
                <w:rFonts w:ascii="Arial" w:cs="Arial" w:eastAsia="Arial" w:hAnsi="Arial"/>
                <w:sz w:val="20"/>
                <w:szCs w:val="20"/>
                <w:color w:val="auto"/>
                <w:w w:val="91"/>
              </w:rPr>
              <w:t xml:space="preserve">Long-term debt </w:t>
            </w:r>
            <w:r>
              <w:rPr>
                <w:rFonts w:ascii="Arial" w:cs="Arial" w:eastAsia="Arial" w:hAnsi="Arial"/>
                <w:sz w:val="25"/>
                <w:szCs w:val="25"/>
                <w:color w:val="auto"/>
                <w:w w:val="91"/>
                <w:vertAlign w:val="superscript"/>
              </w:rPr>
              <w:t>(a)</w:t>
            </w:r>
            <w:r>
              <w:rPr>
                <w:rFonts w:ascii="Arial" w:cs="Arial" w:eastAsia="Arial" w:hAnsi="Arial"/>
                <w:sz w:val="20"/>
                <w:szCs w:val="20"/>
                <w:color w:val="auto"/>
                <w:w w:val="91"/>
              </w:rPr>
              <w:t xml:space="preserve"> </w:t>
            </w:r>
            <w:r>
              <w:rPr>
                <w:rFonts w:ascii="Arial" w:cs="Arial" w:eastAsia="Arial" w:hAnsi="Arial"/>
                <w:sz w:val="20"/>
                <w:szCs w:val="20"/>
                <w:color w:val="BDBDBD"/>
                <w:w w:val="91"/>
              </w:rPr>
              <w:t>. . . . . . . . . . . . . . . . . . . . . . . . . . . . . . . . . . . . . . . . . . . . . . . . . . . . . . . . . . .</w:t>
            </w:r>
          </w:p>
        </w:tc>
        <w:tc>
          <w:tcPr>
            <w:tcW w:w="560" w:type="dxa"/>
            <w:vAlign w:val="bottom"/>
            <w:shd w:val="clear" w:color="auto" w:fill="E6E6E6"/>
          </w:tcPr>
          <w:p>
            <w:pPr>
              <w:spacing w:after="0"/>
              <w:rPr>
                <w:sz w:val="24"/>
                <w:szCs w:val="24"/>
                <w:color w:val="auto"/>
              </w:rPr>
            </w:pPr>
          </w:p>
        </w:tc>
        <w:tc>
          <w:tcPr>
            <w:tcW w:w="20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102</w:t>
            </w:r>
          </w:p>
        </w:tc>
      </w:tr>
      <w:tr>
        <w:trPr>
          <w:trHeight w:val="289"/>
        </w:trPr>
        <w:tc>
          <w:tcPr>
            <w:tcW w:w="7640" w:type="dxa"/>
            <w:vAlign w:val="bottom"/>
            <w:tcBorders>
              <w:bottom w:val="single" w:sz="8" w:color="E6E6E6"/>
            </w:tcBorders>
          </w:tcPr>
          <w:p>
            <w:pPr>
              <w:jc w:val="right"/>
              <w:ind w:right="42"/>
              <w:spacing w:after="0"/>
              <w:rPr>
                <w:sz w:val="20"/>
                <w:szCs w:val="20"/>
                <w:color w:val="auto"/>
              </w:rPr>
            </w:pPr>
            <w:r>
              <w:rPr>
                <w:rFonts w:ascii="Arial" w:cs="Arial" w:eastAsia="Arial" w:hAnsi="Arial"/>
                <w:sz w:val="20"/>
                <w:szCs w:val="20"/>
                <w:color w:val="auto"/>
                <w:w w:val="93"/>
              </w:rPr>
              <w:t xml:space="preserve">Other current and non-current liabilities </w:t>
            </w:r>
            <w:r>
              <w:rPr>
                <w:rFonts w:ascii="Arial" w:cs="Arial" w:eastAsia="Arial" w:hAnsi="Arial"/>
                <w:sz w:val="20"/>
                <w:szCs w:val="20"/>
                <w:color w:val="BDBDBD"/>
                <w:w w:val="93"/>
              </w:rPr>
              <w:t>. . . . . . . . . . . . . . . . . . . . . . . . . . . . . . . . . . . . . . . . .</w:t>
            </w:r>
          </w:p>
        </w:tc>
        <w:tc>
          <w:tcPr>
            <w:tcW w:w="5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w:t>
            </w:r>
          </w:p>
        </w:tc>
      </w:tr>
      <w:tr>
        <w:trPr>
          <w:trHeight w:val="278"/>
        </w:trPr>
        <w:tc>
          <w:tcPr>
            <w:tcW w:w="7640" w:type="dxa"/>
            <w:vAlign w:val="bottom"/>
            <w:tcBorders>
              <w:bottom w:val="single" w:sz="8" w:color="E6E6E6"/>
            </w:tcBorders>
            <w:shd w:val="clear" w:color="auto" w:fill="E6E6E6"/>
          </w:tcPr>
          <w:p>
            <w:pPr>
              <w:jc w:val="right"/>
              <w:ind w:right="42"/>
              <w:spacing w:after="0"/>
              <w:rPr>
                <w:sz w:val="20"/>
                <w:szCs w:val="20"/>
                <w:color w:val="auto"/>
              </w:rPr>
            </w:pPr>
            <w:r>
              <w:rPr>
                <w:rFonts w:ascii="Arial" w:cs="Arial" w:eastAsia="Arial" w:hAnsi="Arial"/>
                <w:sz w:val="20"/>
                <w:szCs w:val="20"/>
                <w:color w:val="auto"/>
                <w:w w:val="93"/>
              </w:rPr>
              <w:t xml:space="preserve">Total liabilities assumed  </w:t>
            </w:r>
            <w:r>
              <w:rPr>
                <w:rFonts w:ascii="Arial" w:cs="Arial" w:eastAsia="Arial" w:hAnsi="Arial"/>
                <w:sz w:val="20"/>
                <w:szCs w:val="20"/>
                <w:color w:val="BDBDBD"/>
                <w:w w:val="93"/>
              </w:rPr>
              <w:t>. . . . . . . . . . . . . . . . . . . . . . . . . . . . . . . . . . . . . . . . . . . . . . . . . . . .</w:t>
            </w:r>
          </w:p>
        </w:tc>
        <w:tc>
          <w:tcPr>
            <w:tcW w:w="560" w:type="dxa"/>
            <w:vAlign w:val="bottom"/>
            <w:tcBorders>
              <w:bottom w:val="single" w:sz="8" w:color="auto"/>
            </w:tcBorders>
            <w:shd w:val="clear" w:color="auto" w:fill="E6E6E6"/>
          </w:tcPr>
          <w:p>
            <w:pPr>
              <w:spacing w:after="0"/>
              <w:rPr>
                <w:sz w:val="24"/>
                <w:szCs w:val="24"/>
                <w:color w:val="auto"/>
              </w:rPr>
            </w:pPr>
          </w:p>
        </w:tc>
        <w:tc>
          <w:tcPr>
            <w:tcW w:w="2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126</w:t>
            </w:r>
          </w:p>
        </w:tc>
      </w:tr>
      <w:tr>
        <w:trPr>
          <w:trHeight w:val="274"/>
        </w:trPr>
        <w:tc>
          <w:tcPr>
            <w:tcW w:w="7640" w:type="dxa"/>
            <w:vAlign w:val="bottom"/>
          </w:tcPr>
          <w:p>
            <w:pPr>
              <w:jc w:val="right"/>
              <w:ind w:right="42"/>
              <w:spacing w:after="0"/>
              <w:rPr>
                <w:sz w:val="20"/>
                <w:szCs w:val="20"/>
                <w:color w:val="auto"/>
              </w:rPr>
            </w:pPr>
            <w:r>
              <w:rPr>
                <w:rFonts w:ascii="Arial" w:cs="Arial" w:eastAsia="Arial" w:hAnsi="Arial"/>
                <w:sz w:val="20"/>
                <w:szCs w:val="20"/>
                <w:color w:val="auto"/>
                <w:w w:val="93"/>
              </w:rPr>
              <w:t xml:space="preserve">Net liabilities assumed </w:t>
            </w:r>
            <w:r>
              <w:rPr>
                <w:rFonts w:ascii="Arial" w:cs="Arial" w:eastAsia="Arial" w:hAnsi="Arial"/>
                <w:sz w:val="20"/>
                <w:szCs w:val="20"/>
                <w:color w:val="BDBDBD"/>
                <w:w w:val="93"/>
              </w:rPr>
              <w:t>. . . . . . . . . . . . . . . . . . . . . . . . . . . . . . . . . . . . . . . . . . . . . . . . . . . . . .</w:t>
            </w:r>
          </w:p>
        </w:tc>
        <w:tc>
          <w:tcPr>
            <w:tcW w:w="56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color w:val="auto"/>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w:t>
            </w:r>
          </w:p>
        </w:tc>
      </w:tr>
      <w:tr>
        <w:trPr>
          <w:trHeight w:val="20"/>
        </w:trPr>
        <w:tc>
          <w:tcPr>
            <w:tcW w:w="76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4836795</wp:posOffset>
            </wp:positionH>
            <wp:positionV relativeFrom="paragraph">
              <wp:posOffset>-1557020</wp:posOffset>
            </wp:positionV>
            <wp:extent cx="165544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162">
                      <a:extLst>
                        <a:ext uri="{28A0092B-C50C-407E-A947-70E740481C1C}"/>
                      </a:extLst>
                    </a:blip>
                    <a:srcRect/>
                    <a:stretch>
                      <a:fillRect/>
                    </a:stretch>
                  </pic:blipFill>
                  <pic:spPr bwMode="auto">
                    <a:xfrm>
                      <a:off x="0" y="0"/>
                      <a:ext cx="1655445" cy="25400"/>
                    </a:xfrm>
                    <a:prstGeom prst="rect">
                      <a:avLst/>
                    </a:prstGeom>
                    <a:noFill/>
                  </pic:spPr>
                </pic:pic>
              </a:graphicData>
            </a:graphic>
          </wp:anchor>
        </w:drawing>
        <w:drawing>
          <wp:anchor simplePos="0" relativeHeight="251657728" behindDoc="1" locked="0" layoutInCell="0" allowOverlap="1">
            <wp:simplePos x="0" y="0"/>
            <wp:positionH relativeFrom="column">
              <wp:posOffset>4836795</wp:posOffset>
            </wp:positionH>
            <wp:positionV relativeFrom="paragraph">
              <wp:posOffset>-1177925</wp:posOffset>
            </wp:positionV>
            <wp:extent cx="165544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63">
                      <a:extLst>
                        <a:ext uri="{28A0092B-C50C-407E-A947-70E740481C1C}"/>
                      </a:extLst>
                    </a:blip>
                    <a:srcRect/>
                    <a:stretch>
                      <a:fillRect/>
                    </a:stretch>
                  </pic:blipFill>
                  <pic:spPr bwMode="auto">
                    <a:xfrm>
                      <a:off x="0" y="0"/>
                      <a:ext cx="1655445" cy="25400"/>
                    </a:xfrm>
                    <a:prstGeom prst="rect">
                      <a:avLst/>
                    </a:prstGeom>
                    <a:noFill/>
                  </pic:spPr>
                </pic:pic>
              </a:graphicData>
            </a:graphic>
          </wp:anchor>
        </w:drawing>
        <w:drawing>
          <wp:anchor simplePos="0" relativeHeight="251657728" behindDoc="1" locked="0" layoutInCell="0" allowOverlap="1">
            <wp:simplePos x="0" y="0"/>
            <wp:positionH relativeFrom="column">
              <wp:posOffset>4836795</wp:posOffset>
            </wp:positionH>
            <wp:positionV relativeFrom="paragraph">
              <wp:posOffset>-419735</wp:posOffset>
            </wp:positionV>
            <wp:extent cx="165544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164">
                      <a:extLst>
                        <a:ext uri="{28A0092B-C50C-407E-A947-70E740481C1C}"/>
                      </a:extLst>
                    </a:blip>
                    <a:srcRect/>
                    <a:stretch>
                      <a:fillRect/>
                    </a:stretch>
                  </pic:blipFill>
                  <pic:spPr bwMode="auto">
                    <a:xfrm>
                      <a:off x="0" y="0"/>
                      <a:ext cx="1655445" cy="25400"/>
                    </a:xfrm>
                    <a:prstGeom prst="rect">
                      <a:avLst/>
                    </a:prstGeom>
                    <a:noFill/>
                  </pic:spPr>
                </pic:pic>
              </a:graphicData>
            </a:graphic>
          </wp:anchor>
        </w:drawing>
        <w:drawing>
          <wp:anchor simplePos="0" relativeHeight="251657728" behindDoc="1" locked="0" layoutInCell="0" allowOverlap="1">
            <wp:simplePos x="0" y="0"/>
            <wp:positionH relativeFrom="column">
              <wp:posOffset>4836795</wp:posOffset>
            </wp:positionH>
            <wp:positionV relativeFrom="paragraph">
              <wp:posOffset>-229870</wp:posOffset>
            </wp:positionV>
            <wp:extent cx="165544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65">
                      <a:extLst>
                        <a:ext uri="{28A0092B-C50C-407E-A947-70E740481C1C}"/>
                      </a:extLst>
                    </a:blip>
                    <a:srcRect/>
                    <a:stretch>
                      <a:fillRect/>
                    </a:stretch>
                  </pic:blipFill>
                  <pic:spPr bwMode="auto">
                    <a:xfrm>
                      <a:off x="0" y="0"/>
                      <a:ext cx="1655445" cy="254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-2540</wp:posOffset>
                </wp:positionH>
                <wp:positionV relativeFrom="paragraph">
                  <wp:posOffset>91440</wp:posOffset>
                </wp:positionV>
                <wp:extent cx="1259840" cy="0"/>
                <wp:wrapNone/>
                <wp:docPr id="214" name="Shape 2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598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14" o:spid="_x0000_s12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7.2pt" to="99pt,7.2pt" o:allowincell="f" strokecolor="#000000" strokeweight="1pt"/>
            </w:pict>
          </mc:Fallback>
        </mc:AlternateContent>
      </w:r>
    </w:p>
    <w:p>
      <w:pPr>
        <w:spacing w:after="0" w:line="201" w:lineRule="exact"/>
        <w:rPr>
          <w:sz w:val="20"/>
          <w:szCs w:val="20"/>
          <w:color w:val="auto"/>
        </w:rPr>
      </w:pPr>
    </w:p>
    <w:p>
      <w:pPr>
        <w:ind w:left="80" w:firstLine="5"/>
        <w:spacing w:after="0" w:line="208" w:lineRule="auto"/>
        <w:tabs>
          <w:tab w:leader="none" w:pos="366" w:val="left"/>
        </w:tabs>
        <w:numPr>
          <w:ilvl w:val="0"/>
          <w:numId w:val="57"/>
        </w:numPr>
        <w:rPr>
          <w:rFonts w:ascii="Arial" w:cs="Arial" w:eastAsia="Arial" w:hAnsi="Arial"/>
          <w:sz w:val="26"/>
          <w:szCs w:val="26"/>
          <w:color w:val="auto"/>
          <w:vertAlign w:val="superscript"/>
        </w:rPr>
      </w:pPr>
      <w:r>
        <w:rPr>
          <w:rFonts w:ascii="Arial" w:cs="Arial" w:eastAsia="Arial" w:hAnsi="Arial"/>
          <w:sz w:val="16"/>
          <w:szCs w:val="16"/>
          <w:color w:val="auto"/>
        </w:rPr>
        <w:t xml:space="preserve">Includes a $22 million construction loan, $26 million sponsor equity bridge loan and $55 million tax equity bridge loan, offset by $1 million in unamortized debt issuance costs. See Note 10, </w:t>
      </w:r>
      <w:r>
        <w:rPr>
          <w:rFonts w:ascii="Arial" w:cs="Arial" w:eastAsia="Arial" w:hAnsi="Arial"/>
          <w:sz w:val="16"/>
          <w:szCs w:val="16"/>
          <w:b w:val="1"/>
          <w:bCs w:val="1"/>
          <w:i w:val="1"/>
          <w:iCs w:val="1"/>
          <w:color w:val="auto"/>
        </w:rPr>
        <w:t>Long-term Debt,</w:t>
      </w:r>
      <w:r>
        <w:rPr>
          <w:rFonts w:ascii="Arial" w:cs="Arial" w:eastAsia="Arial" w:hAnsi="Arial"/>
          <w:sz w:val="16"/>
          <w:szCs w:val="16"/>
          <w:color w:val="auto"/>
        </w:rPr>
        <w:t xml:space="preserve"> for further discussion of the long-term debt assumed in the acquisition.</w:t>
      </w:r>
    </w:p>
    <w:p>
      <w:pPr>
        <w:sectPr>
          <w:pgSz w:w="11880" w:h="15480" w:orient="portrait"/>
          <w:cols w:equalWidth="0" w:num="1">
            <w:col w:w="10200"/>
          </w:cols>
          <w:pgMar w:left="840" w:top="411" w:right="8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ectPr>
          <w:pgSz w:w="11880" w:h="15480" w:orient="portrait"/>
          <w:cols w:equalWidth="0" w:num="1">
            <w:col w:w="10200"/>
          </w:cols>
          <w:pgMar w:left="840" w:top="411" w:right="840" w:bottom="0" w:gutter="0" w:footer="0" w:header="0"/>
          <w:type w:val="continuous"/>
        </w:sectPr>
      </w:pPr>
    </w:p>
    <w:bookmarkStart w:id="96" w:name="page97"/>
    <w:bookmarkEnd w:id="96"/>
    <w:p>
      <w:pPr>
        <w:jc w:val="both"/>
        <w:ind w:firstLine="448"/>
        <w:spacing w:after="0" w:line="265" w:lineRule="auto"/>
        <w:rPr>
          <w:sz w:val="20"/>
          <w:szCs w:val="20"/>
          <w:color w:val="auto"/>
        </w:rPr>
      </w:pPr>
      <w:r>
        <w:rPr>
          <w:rFonts w:ascii="Arial" w:cs="Arial" w:eastAsia="Arial" w:hAnsi="Arial"/>
          <w:sz w:val="19"/>
          <w:szCs w:val="19"/>
          <w:b w:val="1"/>
          <w:bCs w:val="1"/>
          <w:i w:val="1"/>
          <w:iCs w:val="1"/>
          <w:color w:val="auto"/>
        </w:rPr>
        <w:t xml:space="preserve">Capistrano Wind Portfolio Acquisition — </w:t>
      </w:r>
      <w:r>
        <w:rPr>
          <w:rFonts w:ascii="Arial" w:cs="Arial" w:eastAsia="Arial" w:hAnsi="Arial"/>
          <w:sz w:val="19"/>
          <w:szCs w:val="19"/>
          <w:color w:val="auto"/>
        </w:rPr>
        <w:t>On August 22, 2022, the Company, through its wholly-owned indirect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subsidiary, Capistrano Portfolio Holdco LLC, acquired the Capistrano Wind Portfolio from Capistrano Wind Partners LLC, an indirect subsidiary of CEG, for a base purchase price of approximately $255 million, less working capital adjustments in the net amount of approximately $16 million, representing total net consideration of approximately $239 million. Concurrent with the acquisition, the Company also entered into a development agreement with Clearway Renew, whereby Clearway Renew paid $10 million to the Company at acquisition date for an exclusive right to develop, construct and repower the projects in the Capistrano Wind Portfolio, which was utilized to partially fund the acquisition of the Capistrano Wind Portfolio. The Capistrano Wind Portfolio consists of five wind projects located in Texas, Nebraska and Wyoming with a combined capacity of 413 MW that reached commercial operations between 2008 and 2012. The assets within the portfolio sell power under PPAs with investment-grade counterparties that have a weighted average remaining contract duration of approximately 8 years. The Capistrano Wind Portfolio operations are reflected in the Company’s Renewables segment and the acquisition was funded with existing sources of liquidity. The acquisition was determined to be an asset acquisition and the Company consolidates the Capistrano Wind Portfolio on a prospective basis in its financial statements. The assets and liabilities transferred to the Company relate to interests under common control and were transferred at historical cost in accordance with ASC 805-50, </w:t>
      </w:r>
      <w:r>
        <w:rPr>
          <w:rFonts w:ascii="Arial" w:cs="Arial" w:eastAsia="Arial" w:hAnsi="Arial"/>
          <w:sz w:val="19"/>
          <w:szCs w:val="19"/>
          <w:b w:val="1"/>
          <w:bCs w:val="1"/>
          <w:i w:val="1"/>
          <w:iCs w:val="1"/>
          <w:color w:val="auto"/>
        </w:rPr>
        <w:t>Business Combinations - Related Issues</w:t>
      </w:r>
      <w:r>
        <w:rPr>
          <w:rFonts w:ascii="Arial" w:cs="Arial" w:eastAsia="Arial" w:hAnsi="Arial"/>
          <w:sz w:val="19"/>
          <w:szCs w:val="19"/>
          <w:color w:val="auto"/>
        </w:rPr>
        <w:t>, which reflects GIP’s basis. The difference between the historical cost of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Company’s net assets acquired of $250 million, less the sum of the cash paid of $239 million and the $4 million in accumulated other comprehensive income transferred to the Company, was recorded as an adjustment to CEG’s noncontrolling interest balance.</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assets and liabilities transferred in connection with the acquisition as of August 22, 2022:</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7640" w:type="dxa"/>
            <w:vAlign w:val="bottom"/>
            <w:tcBorders>
              <w:bottom w:val="single" w:sz="8" w:color="E6E6E6"/>
            </w:tcBorders>
          </w:tcPr>
          <w:p>
            <w:pPr>
              <w:jc w:val="right"/>
              <w:ind w:right="6561"/>
              <w:spacing w:after="0"/>
              <w:rPr>
                <w:sz w:val="20"/>
                <w:szCs w:val="20"/>
                <w:color w:val="auto"/>
              </w:rPr>
            </w:pPr>
            <w:r>
              <w:rPr>
                <w:rFonts w:ascii="Arial" w:cs="Arial" w:eastAsia="Arial" w:hAnsi="Arial"/>
                <w:sz w:val="18"/>
                <w:szCs w:val="18"/>
                <w:b w:val="1"/>
                <w:bCs w:val="1"/>
                <w:color w:val="auto"/>
                <w:w w:val="94"/>
              </w:rPr>
              <w:t>(In millions)</w:t>
            </w:r>
          </w:p>
        </w:tc>
        <w:tc>
          <w:tcPr>
            <w:tcW w:w="22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tcPr>
          <w:p>
            <w:pPr>
              <w:jc w:val="right"/>
              <w:ind w:right="141"/>
              <w:spacing w:after="0"/>
              <w:rPr>
                <w:sz w:val="20"/>
                <w:szCs w:val="20"/>
                <w:color w:val="auto"/>
              </w:rPr>
            </w:pPr>
            <w:r>
              <w:rPr>
                <w:rFonts w:ascii="Arial" w:cs="Arial" w:eastAsia="Arial" w:hAnsi="Arial"/>
                <w:sz w:val="18"/>
                <w:szCs w:val="18"/>
                <w:b w:val="1"/>
                <w:bCs w:val="1"/>
                <w:color w:val="auto"/>
                <w:w w:val="93"/>
              </w:rPr>
              <w:t>Capistrano Wind Portfolio</w:t>
            </w:r>
          </w:p>
        </w:tc>
      </w:tr>
      <w:tr>
        <w:trPr>
          <w:trHeight w:val="288"/>
        </w:trPr>
        <w:tc>
          <w:tcPr>
            <w:tcW w:w="7640" w:type="dxa"/>
            <w:vAlign w:val="bottom"/>
            <w:shd w:val="clear" w:color="auto" w:fill="E6E6E6"/>
          </w:tcPr>
          <w:p>
            <w:pPr>
              <w:jc w:val="right"/>
              <w:ind w:right="41"/>
              <w:spacing w:after="0"/>
              <w:rPr>
                <w:sz w:val="20"/>
                <w:szCs w:val="20"/>
                <w:color w:val="auto"/>
              </w:rPr>
            </w:pPr>
            <w:r>
              <w:rPr>
                <w:rFonts w:ascii="Arial" w:cs="Arial" w:eastAsia="Arial" w:hAnsi="Arial"/>
                <w:sz w:val="20"/>
                <w:szCs w:val="20"/>
                <w:color w:val="BDBDBD"/>
                <w:w w:val="94"/>
              </w:rPr>
              <w:t>. . . . . . . . . . . . . . . . . . . . . . . . . . . . . . . . . . . . . . . . . .</w:t>
            </w:r>
            <w:r>
              <w:rPr>
                <w:rFonts w:ascii="Arial" w:cs="Arial" w:eastAsia="Arial" w:hAnsi="Arial"/>
                <w:sz w:val="20"/>
                <w:szCs w:val="20"/>
                <w:color w:val="000000"/>
                <w:w w:val="94"/>
              </w:rPr>
              <w:t>Othercurrentandnon-currentassets</w:t>
            </w:r>
            <w:r>
              <w:rPr>
                <w:rFonts w:ascii="Arial" w:cs="Arial" w:eastAsia="Arial" w:hAnsi="Arial"/>
                <w:sz w:val="25"/>
                <w:szCs w:val="25"/>
                <w:color w:val="000000"/>
                <w:w w:val="94"/>
                <w:vertAlign w:val="superscript"/>
              </w:rPr>
              <w:t>(a)</w:t>
            </w:r>
          </w:p>
        </w:tc>
        <w:tc>
          <w:tcPr>
            <w:tcW w:w="2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2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39</w:t>
            </w:r>
          </w:p>
        </w:tc>
      </w:tr>
      <w:tr>
        <w:trPr>
          <w:trHeight w:val="292"/>
        </w:trPr>
        <w:tc>
          <w:tcPr>
            <w:tcW w:w="7640" w:type="dxa"/>
            <w:vAlign w:val="bottom"/>
          </w:tcPr>
          <w:p>
            <w:pPr>
              <w:jc w:val="right"/>
              <w:ind w:right="21"/>
              <w:spacing w:after="0"/>
              <w:rPr>
                <w:sz w:val="20"/>
                <w:szCs w:val="20"/>
                <w:color w:val="auto"/>
              </w:rPr>
            </w:pPr>
            <w:r>
              <w:rPr>
                <w:rFonts w:ascii="Arial" w:cs="Arial" w:eastAsia="Arial" w:hAnsi="Arial"/>
                <w:sz w:val="20"/>
                <w:szCs w:val="20"/>
                <w:color w:val="auto"/>
                <w:w w:val="91"/>
              </w:rPr>
              <w:t xml:space="preserve">Property, plant and equipment, net </w:t>
            </w:r>
            <w:r>
              <w:rPr>
                <w:rFonts w:ascii="Arial" w:cs="Arial" w:eastAsia="Arial" w:hAnsi="Arial"/>
                <w:sz w:val="20"/>
                <w:szCs w:val="20"/>
                <w:color w:val="BDBDBD"/>
                <w:w w:val="91"/>
              </w:rPr>
              <w:t>. . . . . . . . . . . . . . . . . . . . . . . . . . . . . . . . . . . . . . . . . . . . . .</w:t>
            </w:r>
          </w:p>
        </w:tc>
        <w:tc>
          <w:tcPr>
            <w:tcW w:w="22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20"/>
                <w:szCs w:val="20"/>
                <w:color w:val="auto"/>
              </w:rPr>
              <w:t>147</w:t>
            </w:r>
          </w:p>
        </w:tc>
      </w:tr>
      <w:tr>
        <w:trPr>
          <w:trHeight w:val="305"/>
        </w:trPr>
        <w:tc>
          <w:tcPr>
            <w:tcW w:w="7640" w:type="dxa"/>
            <w:vAlign w:val="bottom"/>
            <w:shd w:val="clear" w:color="auto" w:fill="E6E6E6"/>
          </w:tcPr>
          <w:p>
            <w:pPr>
              <w:jc w:val="right"/>
              <w:ind w:right="41"/>
              <w:spacing w:after="0"/>
              <w:rPr>
                <w:sz w:val="20"/>
                <w:szCs w:val="20"/>
                <w:color w:val="auto"/>
              </w:rPr>
            </w:pPr>
            <w:r>
              <w:rPr>
                <w:rFonts w:ascii="Arial" w:cs="Arial" w:eastAsia="Arial" w:hAnsi="Arial"/>
                <w:sz w:val="20"/>
                <w:szCs w:val="20"/>
                <w:color w:val="auto"/>
                <w:w w:val="91"/>
              </w:rPr>
              <w:t xml:space="preserve">Intangible assets for power purchase agreements  </w:t>
            </w:r>
            <w:r>
              <w:rPr>
                <w:rFonts w:ascii="Arial" w:cs="Arial" w:eastAsia="Arial" w:hAnsi="Arial"/>
                <w:sz w:val="20"/>
                <w:szCs w:val="20"/>
                <w:color w:val="BDBDBD"/>
                <w:w w:val="91"/>
              </w:rPr>
              <w:t>. . . . . . . . . . . . . . . . . . . . . . . . . . . . . . . . . .</w:t>
            </w:r>
          </w:p>
        </w:tc>
        <w:tc>
          <w:tcPr>
            <w:tcW w:w="220" w:type="dxa"/>
            <w:vAlign w:val="bottom"/>
            <w:shd w:val="clear" w:color="auto" w:fill="E6E6E6"/>
          </w:tcPr>
          <w:p>
            <w:pPr>
              <w:spacing w:after="0"/>
              <w:rPr>
                <w:sz w:val="24"/>
                <w:szCs w:val="24"/>
                <w:color w:val="auto"/>
              </w:rPr>
            </w:pPr>
          </w:p>
        </w:tc>
        <w:tc>
          <w:tcPr>
            <w:tcW w:w="2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237</w:t>
            </w:r>
          </w:p>
        </w:tc>
      </w:tr>
      <w:tr>
        <w:trPr>
          <w:trHeight w:val="288"/>
        </w:trPr>
        <w:tc>
          <w:tcPr>
            <w:tcW w:w="7640" w:type="dxa"/>
            <w:vAlign w:val="bottom"/>
            <w:tcBorders>
              <w:bottom w:val="single" w:sz="8" w:color="E6E6E6"/>
            </w:tcBorders>
          </w:tcPr>
          <w:p>
            <w:pPr>
              <w:jc w:val="right"/>
              <w:ind w:right="41"/>
              <w:spacing w:after="0"/>
              <w:rPr>
                <w:sz w:val="20"/>
                <w:szCs w:val="20"/>
                <w:color w:val="auto"/>
              </w:rPr>
            </w:pPr>
            <w:r>
              <w:rPr>
                <w:rFonts w:ascii="Arial" w:cs="Arial" w:eastAsia="Arial" w:hAnsi="Arial"/>
                <w:sz w:val="20"/>
                <w:szCs w:val="20"/>
                <w:color w:val="auto"/>
                <w:w w:val="91"/>
              </w:rPr>
              <w:t xml:space="preserve">Right-of-use assets, net  </w:t>
            </w:r>
            <w:r>
              <w:rPr>
                <w:rFonts w:ascii="Arial" w:cs="Arial" w:eastAsia="Arial" w:hAnsi="Arial"/>
                <w:sz w:val="20"/>
                <w:szCs w:val="20"/>
                <w:color w:val="BDBDBD"/>
                <w:w w:val="91"/>
              </w:rPr>
              <w:t>. . . . . . . . . . . . . . . . . . . . . . . . . . . . . . . . . . . . . . . . . . . . . . . . . . . . . .</w:t>
            </w:r>
          </w:p>
        </w:tc>
        <w:tc>
          <w:tcPr>
            <w:tcW w:w="2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w:t>
            </w:r>
          </w:p>
        </w:tc>
      </w:tr>
      <w:tr>
        <w:trPr>
          <w:trHeight w:val="289"/>
        </w:trPr>
        <w:tc>
          <w:tcPr>
            <w:tcW w:w="7640" w:type="dxa"/>
            <w:vAlign w:val="bottom"/>
            <w:shd w:val="clear" w:color="auto" w:fill="E6E6E6"/>
          </w:tcPr>
          <w:p>
            <w:pPr>
              <w:jc w:val="right"/>
              <w:ind w:right="41"/>
              <w:spacing w:after="0"/>
              <w:rPr>
                <w:sz w:val="20"/>
                <w:szCs w:val="20"/>
                <w:color w:val="auto"/>
              </w:rPr>
            </w:pPr>
            <w:r>
              <w:rPr>
                <w:rFonts w:ascii="Arial" w:cs="Arial" w:eastAsia="Arial" w:hAnsi="Arial"/>
                <w:sz w:val="20"/>
                <w:szCs w:val="20"/>
                <w:color w:val="auto"/>
                <w:w w:val="93"/>
              </w:rPr>
              <w:t xml:space="preserve">Total assets acquired </w:t>
            </w:r>
            <w:r>
              <w:rPr>
                <w:rFonts w:ascii="Arial" w:cs="Arial" w:eastAsia="Arial" w:hAnsi="Arial"/>
                <w:sz w:val="20"/>
                <w:szCs w:val="20"/>
                <w:color w:val="BDBDBD"/>
                <w:w w:val="93"/>
              </w:rPr>
              <w:t>. . . . . . . . . . . . . . . . . . . . . . . . . . . . . . . . . . . . . . . . . . . . . . . . . . . . . . .</w:t>
            </w:r>
          </w:p>
        </w:tc>
        <w:tc>
          <w:tcPr>
            <w:tcW w:w="220" w:type="dxa"/>
            <w:vAlign w:val="bottom"/>
            <w:shd w:val="clear" w:color="auto" w:fill="E6E6E6"/>
          </w:tcPr>
          <w:p>
            <w:pPr>
              <w:spacing w:after="0"/>
              <w:rPr>
                <w:sz w:val="24"/>
                <w:szCs w:val="24"/>
                <w:color w:val="auto"/>
              </w:rPr>
            </w:pPr>
          </w:p>
        </w:tc>
        <w:tc>
          <w:tcPr>
            <w:tcW w:w="2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450</w:t>
            </w:r>
          </w:p>
        </w:tc>
      </w:tr>
      <w:tr>
        <w:trPr>
          <w:trHeight w:val="298"/>
        </w:trPr>
        <w:tc>
          <w:tcPr>
            <w:tcW w:w="7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299"/>
        </w:trPr>
        <w:tc>
          <w:tcPr>
            <w:tcW w:w="7640" w:type="dxa"/>
            <w:vAlign w:val="bottom"/>
            <w:shd w:val="clear" w:color="auto" w:fill="E6E6E6"/>
          </w:tcPr>
          <w:p>
            <w:pPr>
              <w:jc w:val="right"/>
              <w:ind w:right="41"/>
              <w:spacing w:after="0"/>
              <w:rPr>
                <w:sz w:val="20"/>
                <w:szCs w:val="20"/>
                <w:color w:val="auto"/>
              </w:rPr>
            </w:pPr>
            <w:r>
              <w:rPr>
                <w:rFonts w:ascii="Arial" w:cs="Arial" w:eastAsia="Arial" w:hAnsi="Arial"/>
                <w:sz w:val="20"/>
                <w:szCs w:val="20"/>
                <w:color w:val="auto"/>
                <w:w w:val="91"/>
              </w:rPr>
              <w:t xml:space="preserve">Long-term debt </w:t>
            </w:r>
            <w:r>
              <w:rPr>
                <w:rFonts w:ascii="Arial" w:cs="Arial" w:eastAsia="Arial" w:hAnsi="Arial"/>
                <w:sz w:val="20"/>
                <w:szCs w:val="20"/>
                <w:color w:val="BDBDBD"/>
                <w:w w:val="91"/>
              </w:rPr>
              <w:t>. . . . . . . . . . . . . . . . . . . . . . . . . . . . . . . . . . . . . . . . . . . . . . . . . . . . . . . . . . . . .</w:t>
            </w:r>
          </w:p>
        </w:tc>
        <w:tc>
          <w:tcPr>
            <w:tcW w:w="220" w:type="dxa"/>
            <w:vAlign w:val="bottom"/>
            <w:shd w:val="clear" w:color="auto" w:fill="E6E6E6"/>
          </w:tcPr>
          <w:p>
            <w:pPr>
              <w:spacing w:after="0"/>
              <w:rPr>
                <w:sz w:val="24"/>
                <w:szCs w:val="24"/>
                <w:color w:val="auto"/>
              </w:rPr>
            </w:pPr>
          </w:p>
        </w:tc>
        <w:tc>
          <w:tcPr>
            <w:tcW w:w="2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162</w:t>
            </w:r>
          </w:p>
        </w:tc>
      </w:tr>
      <w:tr>
        <w:trPr>
          <w:trHeight w:val="292"/>
        </w:trPr>
        <w:tc>
          <w:tcPr>
            <w:tcW w:w="7640" w:type="dxa"/>
            <w:vAlign w:val="bottom"/>
          </w:tcPr>
          <w:p>
            <w:pPr>
              <w:jc w:val="right"/>
              <w:ind w:right="41"/>
              <w:spacing w:after="0"/>
              <w:rPr>
                <w:sz w:val="20"/>
                <w:szCs w:val="20"/>
                <w:color w:val="auto"/>
              </w:rPr>
            </w:pPr>
            <w:r>
              <w:rPr>
                <w:rFonts w:ascii="Arial" w:cs="Arial" w:eastAsia="Arial" w:hAnsi="Arial"/>
                <w:sz w:val="20"/>
                <w:szCs w:val="20"/>
                <w:color w:val="auto"/>
                <w:w w:val="93"/>
              </w:rPr>
              <w:t xml:space="preserve">Long-term lease liabilities </w:t>
            </w:r>
            <w:r>
              <w:rPr>
                <w:rFonts w:ascii="Arial" w:cs="Arial" w:eastAsia="Arial" w:hAnsi="Arial"/>
                <w:sz w:val="20"/>
                <w:szCs w:val="20"/>
                <w:color w:val="BDBDBD"/>
                <w:w w:val="93"/>
              </w:rPr>
              <w:t>. . . . . . . . . . . . . . . . . . . . . . . . . . . . . . . . . . . . . . . . . . . . . . . . . . . .</w:t>
            </w:r>
          </w:p>
        </w:tc>
        <w:tc>
          <w:tcPr>
            <w:tcW w:w="22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295"/>
        </w:trPr>
        <w:tc>
          <w:tcPr>
            <w:tcW w:w="7640" w:type="dxa"/>
            <w:vAlign w:val="bottom"/>
            <w:tcBorders>
              <w:bottom w:val="single" w:sz="8" w:color="E6E6E6"/>
            </w:tcBorders>
            <w:shd w:val="clear" w:color="auto" w:fill="E6E6E6"/>
          </w:tcPr>
          <w:p>
            <w:pPr>
              <w:jc w:val="right"/>
              <w:ind w:right="41"/>
              <w:spacing w:after="0"/>
              <w:rPr>
                <w:sz w:val="20"/>
                <w:szCs w:val="20"/>
                <w:color w:val="auto"/>
              </w:rPr>
            </w:pPr>
            <w:r>
              <w:rPr>
                <w:rFonts w:ascii="Arial" w:cs="Arial" w:eastAsia="Arial" w:hAnsi="Arial"/>
                <w:sz w:val="20"/>
                <w:szCs w:val="20"/>
                <w:color w:val="auto"/>
                <w:w w:val="93"/>
              </w:rPr>
              <w:t xml:space="preserve">Other current and non-current liabilities </w:t>
            </w:r>
            <w:r>
              <w:rPr>
                <w:rFonts w:ascii="Arial" w:cs="Arial" w:eastAsia="Arial" w:hAnsi="Arial"/>
                <w:sz w:val="20"/>
                <w:szCs w:val="20"/>
                <w:color w:val="BDBDBD"/>
                <w:w w:val="93"/>
              </w:rPr>
              <w:t>. . . . . . . . . . . . . . . . . . . . . . . . . . . . . . . . . . . . . . . . .</w:t>
            </w:r>
          </w:p>
        </w:tc>
        <w:tc>
          <w:tcPr>
            <w:tcW w:w="220" w:type="dxa"/>
            <w:vAlign w:val="bottom"/>
            <w:tcBorders>
              <w:bottom w:val="single" w:sz="8" w:color="auto"/>
            </w:tcBorders>
            <w:shd w:val="clear" w:color="auto" w:fill="E6E6E6"/>
          </w:tcPr>
          <w:p>
            <w:pPr>
              <w:spacing w:after="0"/>
              <w:rPr>
                <w:sz w:val="24"/>
                <w:szCs w:val="24"/>
                <w:color w:val="auto"/>
              </w:rPr>
            </w:pPr>
          </w:p>
        </w:tc>
        <w:tc>
          <w:tcPr>
            <w:tcW w:w="23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10</w:t>
            </w:r>
          </w:p>
        </w:tc>
      </w:tr>
      <w:tr>
        <w:trPr>
          <w:trHeight w:val="279"/>
        </w:trPr>
        <w:tc>
          <w:tcPr>
            <w:tcW w:w="7640" w:type="dxa"/>
            <w:vAlign w:val="bottom"/>
            <w:tcBorders>
              <w:bottom w:val="single" w:sz="8" w:color="E6E6E6"/>
            </w:tcBorders>
          </w:tcPr>
          <w:p>
            <w:pPr>
              <w:jc w:val="right"/>
              <w:ind w:right="41"/>
              <w:spacing w:after="0"/>
              <w:rPr>
                <w:sz w:val="20"/>
                <w:szCs w:val="20"/>
                <w:color w:val="auto"/>
              </w:rPr>
            </w:pPr>
            <w:r>
              <w:rPr>
                <w:rFonts w:ascii="Arial" w:cs="Arial" w:eastAsia="Arial" w:hAnsi="Arial"/>
                <w:sz w:val="20"/>
                <w:szCs w:val="20"/>
                <w:color w:val="auto"/>
                <w:w w:val="93"/>
              </w:rPr>
              <w:t xml:space="preserve">Total liabilities assumed  </w:t>
            </w:r>
            <w:r>
              <w:rPr>
                <w:rFonts w:ascii="Arial" w:cs="Arial" w:eastAsia="Arial" w:hAnsi="Arial"/>
                <w:sz w:val="20"/>
                <w:szCs w:val="20"/>
                <w:color w:val="BDBDBD"/>
                <w:w w:val="93"/>
              </w:rPr>
              <w:t>. . . . . . . . . . . . . . . . . . . . . . . . . . . . . . . . . . . . . . . . . . . . . . . . . . . .</w:t>
            </w:r>
          </w:p>
        </w:tc>
        <w:tc>
          <w:tcPr>
            <w:tcW w:w="2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200</w:t>
            </w:r>
          </w:p>
        </w:tc>
      </w:tr>
      <w:tr>
        <w:trPr>
          <w:trHeight w:val="313"/>
        </w:trPr>
        <w:tc>
          <w:tcPr>
            <w:tcW w:w="7640" w:type="dxa"/>
            <w:vAlign w:val="bottom"/>
            <w:tcBorders>
              <w:bottom w:val="single" w:sz="8" w:color="E6E6E6"/>
            </w:tcBorders>
            <w:shd w:val="clear" w:color="auto" w:fill="E6E6E6"/>
          </w:tcPr>
          <w:p>
            <w:pPr>
              <w:jc w:val="right"/>
              <w:ind w:right="21"/>
              <w:spacing w:after="0"/>
              <w:rPr>
                <w:sz w:val="20"/>
                <w:szCs w:val="20"/>
                <w:color w:val="auto"/>
              </w:rPr>
            </w:pPr>
            <w:r>
              <w:rPr>
                <w:rFonts w:ascii="Arial" w:cs="Arial" w:eastAsia="Arial" w:hAnsi="Arial"/>
                <w:sz w:val="20"/>
                <w:szCs w:val="20"/>
                <w:color w:val="auto"/>
                <w:w w:val="92"/>
              </w:rPr>
              <w:t xml:space="preserve">Net assets acquired </w:t>
            </w:r>
            <w:r>
              <w:rPr>
                <w:rFonts w:ascii="Arial" w:cs="Arial" w:eastAsia="Arial" w:hAnsi="Arial"/>
                <w:sz w:val="20"/>
                <w:szCs w:val="20"/>
                <w:color w:val="BDBDBD"/>
                <w:w w:val="92"/>
              </w:rPr>
              <w:t>. . . . . . . . . . . . . . . . . . . . . . . . . . . . . . . . . . . . . . . . . . . . . . . . . . . . . . . . .</w:t>
            </w:r>
          </w:p>
        </w:tc>
        <w:tc>
          <w:tcPr>
            <w:tcW w:w="2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23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4836795</wp:posOffset>
            </wp:positionH>
            <wp:positionV relativeFrom="paragraph">
              <wp:posOffset>-2125345</wp:posOffset>
            </wp:positionV>
            <wp:extent cx="165544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66">
                      <a:extLst>
                        <a:ext uri="{28A0092B-C50C-407E-A947-70E740481C1C}"/>
                      </a:extLst>
                    </a:blip>
                    <a:srcRect/>
                    <a:stretch>
                      <a:fillRect/>
                    </a:stretch>
                  </pic:blipFill>
                  <pic:spPr bwMode="auto">
                    <a:xfrm>
                      <a:off x="0" y="0"/>
                      <a:ext cx="1655445" cy="25400"/>
                    </a:xfrm>
                    <a:prstGeom prst="rect">
                      <a:avLst/>
                    </a:prstGeom>
                    <a:noFill/>
                  </pic:spPr>
                </pic:pic>
              </a:graphicData>
            </a:graphic>
          </wp:anchor>
        </w:drawing>
        <w:drawing>
          <wp:anchor simplePos="0" relativeHeight="251657728" behindDoc="1" locked="0" layoutInCell="0" allowOverlap="1">
            <wp:simplePos x="0" y="0"/>
            <wp:positionH relativeFrom="column">
              <wp:posOffset>4836795</wp:posOffset>
            </wp:positionH>
            <wp:positionV relativeFrom="paragraph">
              <wp:posOffset>-1367155</wp:posOffset>
            </wp:positionV>
            <wp:extent cx="165544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167">
                      <a:extLst>
                        <a:ext uri="{28A0092B-C50C-407E-A947-70E740481C1C}"/>
                      </a:extLst>
                    </a:blip>
                    <a:srcRect/>
                    <a:stretch>
                      <a:fillRect/>
                    </a:stretch>
                  </pic:blipFill>
                  <pic:spPr bwMode="auto">
                    <a:xfrm>
                      <a:off x="0" y="0"/>
                      <a:ext cx="1655445" cy="25400"/>
                    </a:xfrm>
                    <a:prstGeom prst="rect">
                      <a:avLst/>
                    </a:prstGeom>
                    <a:noFill/>
                  </pic:spPr>
                </pic:pic>
              </a:graphicData>
            </a:graphic>
          </wp:anchor>
        </w:drawing>
        <w:drawing>
          <wp:anchor simplePos="0" relativeHeight="251657728" behindDoc="1" locked="0" layoutInCell="0" allowOverlap="1">
            <wp:simplePos x="0" y="0"/>
            <wp:positionH relativeFrom="column">
              <wp:posOffset>4836795</wp:posOffset>
            </wp:positionH>
            <wp:positionV relativeFrom="paragraph">
              <wp:posOffset>-419735</wp:posOffset>
            </wp:positionV>
            <wp:extent cx="165544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68">
                      <a:extLst>
                        <a:ext uri="{28A0092B-C50C-407E-A947-70E740481C1C}"/>
                      </a:extLst>
                    </a:blip>
                    <a:srcRect/>
                    <a:stretch>
                      <a:fillRect/>
                    </a:stretch>
                  </pic:blipFill>
                  <pic:spPr bwMode="auto">
                    <a:xfrm>
                      <a:off x="0" y="0"/>
                      <a:ext cx="1655445" cy="25400"/>
                    </a:xfrm>
                    <a:prstGeom prst="rect">
                      <a:avLst/>
                    </a:prstGeom>
                    <a:noFill/>
                  </pic:spPr>
                </pic:pic>
              </a:graphicData>
            </a:graphic>
          </wp:anchor>
        </w:drawing>
        <w:drawing>
          <wp:anchor simplePos="0" relativeHeight="251657728" behindDoc="1" locked="0" layoutInCell="0" allowOverlap="1">
            <wp:simplePos x="0" y="0"/>
            <wp:positionH relativeFrom="column">
              <wp:posOffset>4836795</wp:posOffset>
            </wp:positionH>
            <wp:positionV relativeFrom="paragraph">
              <wp:posOffset>-229870</wp:posOffset>
            </wp:positionV>
            <wp:extent cx="165544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169">
                      <a:extLst>
                        <a:ext uri="{28A0092B-C50C-407E-A947-70E740481C1C}"/>
                      </a:extLst>
                    </a:blip>
                    <a:srcRect/>
                    <a:stretch>
                      <a:fillRect/>
                    </a:stretch>
                  </pic:blipFill>
                  <pic:spPr bwMode="auto">
                    <a:xfrm>
                      <a:off x="0" y="0"/>
                      <a:ext cx="1655445" cy="25400"/>
                    </a:xfrm>
                    <a:prstGeom prst="rect">
                      <a:avLst/>
                    </a:prstGeom>
                    <a:noFill/>
                  </pic:spPr>
                </pic:pic>
              </a:graphicData>
            </a:graphic>
          </wp:anchor>
        </w:drawing>
        <w:drawing>
          <wp:anchor simplePos="0" relativeHeight="251657728" behindDoc="1" locked="0" layoutInCell="0" allowOverlap="1">
            <wp:simplePos x="0" y="0"/>
            <wp:positionH relativeFrom="column">
              <wp:posOffset>4836795</wp:posOffset>
            </wp:positionH>
            <wp:positionV relativeFrom="paragraph">
              <wp:posOffset>-43815</wp:posOffset>
            </wp:positionV>
            <wp:extent cx="1655445" cy="508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170">
                      <a:extLst>
                        <a:ext uri="{28A0092B-C50C-407E-A947-70E740481C1C}"/>
                      </a:extLst>
                    </a:blip>
                    <a:srcRect/>
                    <a:stretch>
                      <a:fillRect/>
                    </a:stretch>
                  </pic:blipFill>
                  <pic:spPr bwMode="auto">
                    <a:xfrm>
                      <a:off x="0" y="0"/>
                      <a:ext cx="1655445" cy="508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-2540</wp:posOffset>
                </wp:positionH>
                <wp:positionV relativeFrom="paragraph">
                  <wp:posOffset>91440</wp:posOffset>
                </wp:positionV>
                <wp:extent cx="1259840" cy="0"/>
                <wp:wrapNone/>
                <wp:docPr id="220" name="Shape 2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598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20" o:spid="_x0000_s12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7.2pt" to="99pt,7.2pt" o:allowincell="f" strokecolor="#000000" strokeweight="1pt"/>
            </w:pict>
          </mc:Fallback>
        </mc:AlternateContent>
      </w:r>
    </w:p>
    <w:p>
      <w:pPr>
        <w:spacing w:after="0" w:line="111" w:lineRule="exact"/>
        <w:rPr>
          <w:sz w:val="20"/>
          <w:szCs w:val="20"/>
          <w:color w:val="auto"/>
        </w:rPr>
      </w:pPr>
    </w:p>
    <w:p>
      <w:pPr>
        <w:ind w:left="300" w:hanging="215"/>
        <w:spacing w:after="0"/>
        <w:tabs>
          <w:tab w:leader="none" w:pos="300" w:val="left"/>
        </w:tabs>
        <w:numPr>
          <w:ilvl w:val="0"/>
          <w:numId w:val="58"/>
        </w:numPr>
        <w:rPr>
          <w:rFonts w:ascii="Arial" w:cs="Arial" w:eastAsia="Arial" w:hAnsi="Arial"/>
          <w:sz w:val="26"/>
          <w:szCs w:val="26"/>
          <w:color w:val="auto"/>
          <w:vertAlign w:val="superscript"/>
        </w:rPr>
      </w:pPr>
      <w:r>
        <w:rPr>
          <w:rFonts w:ascii="Arial" w:cs="Arial" w:eastAsia="Arial" w:hAnsi="Arial"/>
          <w:sz w:val="16"/>
          <w:szCs w:val="16"/>
          <w:color w:val="auto"/>
        </w:rPr>
        <w:t>Includes cash of $12 million and restricted cash of $4 million.</w:t>
      </w:r>
    </w:p>
    <w:p>
      <w:pPr>
        <w:spacing w:after="0" w:line="165" w:lineRule="exact"/>
        <w:rPr>
          <w:sz w:val="20"/>
          <w:szCs w:val="20"/>
          <w:color w:val="auto"/>
        </w:rPr>
      </w:pPr>
    </w:p>
    <w:p>
      <w:pPr>
        <w:jc w:val="both"/>
        <w:ind w:left="80" w:firstLine="448"/>
        <w:spacing w:after="0" w:line="281" w:lineRule="auto"/>
        <w:rPr>
          <w:sz w:val="20"/>
          <w:szCs w:val="20"/>
          <w:color w:val="auto"/>
        </w:rPr>
      </w:pPr>
      <w:r>
        <w:rPr>
          <w:rFonts w:ascii="Arial" w:cs="Arial" w:eastAsia="Arial" w:hAnsi="Arial"/>
          <w:sz w:val="18"/>
          <w:szCs w:val="18"/>
          <w:b w:val="1"/>
          <w:bCs w:val="1"/>
          <w:i w:val="1"/>
          <w:iCs w:val="1"/>
          <w:color w:val="auto"/>
        </w:rPr>
        <w:t xml:space="preserve">Mililani I Drop Down — </w:t>
      </w:r>
      <w:r>
        <w:rPr>
          <w:rFonts w:ascii="Arial" w:cs="Arial" w:eastAsia="Arial" w:hAnsi="Arial"/>
          <w:sz w:val="18"/>
          <w:szCs w:val="18"/>
          <w:color w:val="auto"/>
        </w:rPr>
        <w:t>On March 25, 2022, the Company, through its indirect subsidiary, Lighthouse Renewable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Holdco LLC, acquired Mililani BL Borrower Holdco LLC, the indirect owner of the Mililani I solar project, a 39 MW solar project that is paired with 39 MW of energy storage and located in Honolulu, Hawaii, from Clearway Renew for cash consideration of $22 million. The cash equity investor in Lighthouse Renewable Holdco LLC also contributed cash consideration of $14 million utilized to acquire their portion of the acquired entity. Mililani BL Borrower Holdco LLC consolidates as primary beneficiary, Mililani TE Holdco LLC, a tax equity fund that owns the Mililani I solar project. Mililani I has a 20-year PPA with an investment-grade utility that commenced in July 2022. The Mililani I operations are reflected in the Company’s Renewables segment and the acquisition was funded with existing sources of liquidity. The acquisition was determined to be an asset acquisition and the Company consolidates Mililani I on a prospective basis in its financial statements. The assets and liabilities transferred to the Company relate to interests under common control and were recorded at historical cost in accordance with ASC 805-50, </w:t>
      </w:r>
      <w:r>
        <w:rPr>
          <w:rFonts w:ascii="Arial" w:cs="Arial" w:eastAsia="Arial" w:hAnsi="Arial"/>
          <w:sz w:val="18"/>
          <w:szCs w:val="18"/>
          <w:b w:val="1"/>
          <w:bCs w:val="1"/>
          <w:i w:val="1"/>
          <w:iCs w:val="1"/>
          <w:color w:val="auto"/>
        </w:rPr>
        <w:t>Business Combinations - Related Issues</w:t>
      </w:r>
      <w:r>
        <w:rPr>
          <w:rFonts w:ascii="Arial" w:cs="Arial" w:eastAsia="Arial" w:hAnsi="Arial"/>
          <w:sz w:val="18"/>
          <w:szCs w:val="18"/>
          <w:color w:val="auto"/>
        </w:rPr>
        <w:t>. The sum of the cash paid of $22 million and the historical cost of the Company’s net liabilities assumed of $8 million was recorded as an adjustment to CEG’s noncontrolling interest balance. In addition, the Company reflected $15 million of the Company’s purchase price, which was contributed back to the Company by CEG to pay down the acquired long-term debt, in the line item distributions to CEG, net of contributions, in the consolidated statement of stockholders’ equity.</w:t>
      </w:r>
    </w:p>
    <w:p>
      <w:pPr>
        <w:sectPr>
          <w:pgSz w:w="11880" w:h="15480" w:orient="portrait"/>
          <w:cols w:equalWidth="0" w:num="1">
            <w:col w:w="10200"/>
          </w:cols>
          <w:pgMar w:left="840" w:top="406"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ectPr>
          <w:pgSz w:w="11880" w:h="15480" w:orient="portrait"/>
          <w:cols w:equalWidth="0" w:num="1">
            <w:col w:w="10200"/>
          </w:cols>
          <w:pgMar w:left="840" w:top="406" w:right="840" w:bottom="0" w:gutter="0" w:footer="0" w:header="0"/>
          <w:type w:val="continuous"/>
        </w:sectPr>
      </w:pPr>
    </w:p>
    <w:bookmarkStart w:id="97" w:name="page98"/>
    <w:bookmarkEnd w:id="97"/>
    <w:p>
      <w:pPr>
        <w:ind w:left="440"/>
        <w:spacing w:after="0"/>
        <w:rPr>
          <w:sz w:val="20"/>
          <w:szCs w:val="20"/>
          <w:color w:val="auto"/>
        </w:rPr>
      </w:pPr>
      <w:r>
        <w:rPr>
          <w:rFonts w:ascii="Arial" w:cs="Arial" w:eastAsia="Arial" w:hAnsi="Arial"/>
          <w:sz w:val="18"/>
          <w:szCs w:val="18"/>
          <w:color w:val="auto"/>
        </w:rPr>
        <w:t>The following is a summary of assets and liabilities transferred in connection with the acquisition as of March 25, 2022:</w:t>
      </w:r>
    </w:p>
    <w:p>
      <w:pPr>
        <w:sectPr>
          <w:pgSz w:w="11880" w:h="15480" w:orient="portrait"/>
          <w:cols w:equalWidth="0" w:num="1">
            <w:col w:w="10200"/>
          </w:cols>
          <w:pgMar w:left="840" w:top="411" w:right="840" w:bottom="0" w:gutter="0" w:footer="0" w:header="0"/>
        </w:sectPr>
      </w:pPr>
    </w:p>
    <w:p>
      <w:pPr>
        <w:spacing w:after="0" w:line="20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6495415" cy="2025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171">
                      <a:extLst>
                        <a:ext uri="{28A0092B-C50C-407E-A947-70E740481C1C}"/>
                      </a:extLst>
                    </a:blip>
                    <a:srcRect/>
                    <a:stretch>
                      <a:fillRect/>
                    </a:stretch>
                  </pic:blipFill>
                  <pic:spPr bwMode="auto">
                    <a:xfrm>
                      <a:off x="0" y="0"/>
                      <a:ext cx="6495415" cy="202565"/>
                    </a:xfrm>
                    <a:prstGeom prst="rect">
                      <a:avLst/>
                    </a:prstGeom>
                    <a:noFill/>
                  </pic:spPr>
                </pic:pic>
              </a:graphicData>
            </a:graphic>
          </wp:anchor>
        </w:drawing>
      </w:r>
    </w:p>
    <w:p>
      <w:pPr>
        <w:spacing w:after="0" w:line="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Other current and non-current assets </w:t>
      </w:r>
      <w:r>
        <w:rPr>
          <w:rFonts w:ascii="Arial" w:cs="Arial" w:eastAsia="Arial" w:hAnsi="Arial"/>
          <w:sz w:val="18"/>
          <w:szCs w:val="18"/>
          <w:color w:val="BDBDBD"/>
        </w:rPr>
        <w:t>. . . . . . . . . . . . . . . . . . . . . . . . . . . . . . . . . . . . . . . . . . . .</w:t>
      </w:r>
    </w:p>
    <w:p>
      <w:pPr>
        <w:spacing w:after="0" w:line="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Property, plant and equipment </w:t>
      </w:r>
      <w:r>
        <w:rPr>
          <w:rFonts w:ascii="Arial" w:cs="Arial" w:eastAsia="Arial" w:hAnsi="Arial"/>
          <w:sz w:val="18"/>
          <w:szCs w:val="18"/>
          <w:color w:val="BDBDBD"/>
        </w:rPr>
        <w:t>. . . . . . .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41910</wp:posOffset>
            </wp:positionV>
            <wp:extent cx="6495415" cy="2019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172">
                      <a:extLst>
                        <a:ext uri="{28A0092B-C50C-407E-A947-70E740481C1C}"/>
                      </a:extLst>
                    </a:blip>
                    <a:srcRect/>
                    <a:stretch>
                      <a:fillRect/>
                    </a:stretch>
                  </pic:blipFill>
                  <pic:spPr bwMode="auto">
                    <a:xfrm>
                      <a:off x="0" y="0"/>
                      <a:ext cx="6495415" cy="201930"/>
                    </a:xfrm>
                    <a:prstGeom prst="rect">
                      <a:avLst/>
                    </a:prstGeom>
                    <a:noFill/>
                  </pic:spPr>
                </pic:pic>
              </a:graphicData>
            </a:graphic>
          </wp:anchor>
        </w:drawing>
      </w:r>
    </w:p>
    <w:p>
      <w:pPr>
        <w:spacing w:after="0" w:line="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Right-of-use assets </w:t>
      </w:r>
      <w:r>
        <w:rPr>
          <w:rFonts w:ascii="Arial" w:cs="Arial" w:eastAsia="Arial" w:hAnsi="Arial"/>
          <w:sz w:val="18"/>
          <w:szCs w:val="18"/>
          <w:color w:val="BDBDBD"/>
        </w:rPr>
        <w:t>. . . . . . . . . . . . . . . . . . . . . . . . . . . . . . . . . . . . . . . . . . . . . . . . . . . . . . . . . .</w:t>
      </w:r>
    </w:p>
    <w:p>
      <w:pPr>
        <w:spacing w:after="0" w:line="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Total assets acquired </w:t>
      </w:r>
      <w:r>
        <w:rPr>
          <w:rFonts w:ascii="Arial" w:cs="Arial" w:eastAsia="Arial" w:hAnsi="Arial"/>
          <w:sz w:val="18"/>
          <w:szCs w:val="18"/>
          <w:color w:val="BDBDBD"/>
        </w:rPr>
        <w:t>. . . . . . . . . . . . . . . . . . . . . . . . . . . . . . . . . . . . . . . . . . . . . . . . . . . . . .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41910</wp:posOffset>
                </wp:positionV>
                <wp:extent cx="6481445" cy="189865"/>
                <wp:wrapNone/>
                <wp:docPr id="223" name="Shape 2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1445" cy="189865"/>
                        </a:xfrm>
                        <a:prstGeom prst="rect">
                          <a:avLst/>
                        </a:prstGeom>
                        <a:solidFill>
                          <a:srgbClr val="E6E6E6"/>
                        </a:solidFill>
                      </wps:spPr>
                      <wps:bodyPr/>
                    </wps:wsp>
                  </a:graphicData>
                </a:graphic>
              </wp:anchor>
            </w:drawing>
          </mc:Choice>
          <mc:Fallback>
            <w:pict>
              <v:rect id="Shape 223" o:spid="_x0000_s1248" style="position:absolute;margin-left:-0.1499pt;margin-top:3.3pt;width:510.35pt;height:14.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3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Long-term debt </w:t>
      </w:r>
      <w:r>
        <w:rPr>
          <w:rFonts w:ascii="Arial" w:cs="Arial" w:eastAsia="Arial" w:hAnsi="Arial"/>
          <w:sz w:val="23"/>
          <w:szCs w:val="23"/>
          <w:color w:val="auto"/>
          <w:vertAlign w:val="superscript"/>
        </w:rPr>
        <w:t>(a)</w:t>
      </w:r>
      <w:r>
        <w:rPr>
          <w:rFonts w:ascii="Arial" w:cs="Arial" w:eastAsia="Arial" w:hAnsi="Arial"/>
          <w:sz w:val="18"/>
          <w:szCs w:val="18"/>
          <w:color w:val="auto"/>
        </w:rPr>
        <w:t xml:space="preserve"> </w:t>
      </w:r>
      <w:r>
        <w:rPr>
          <w:rFonts w:ascii="Arial" w:cs="Arial" w:eastAsia="Arial" w:hAnsi="Arial"/>
          <w:sz w:val="18"/>
          <w:szCs w:val="18"/>
          <w:color w:val="BDBDBD"/>
        </w:rPr>
        <w:t>. . . . . . . . . . . . . . . . . . . . . . . . . . . . . . . . . . . . . . . . . . . . . . . . . . . . . . . . . .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17145</wp:posOffset>
                </wp:positionV>
                <wp:extent cx="6481445" cy="189865"/>
                <wp:wrapNone/>
                <wp:docPr id="224" name="Shape 2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1445" cy="189865"/>
                        </a:xfrm>
                        <a:prstGeom prst="rect">
                          <a:avLst/>
                        </a:prstGeom>
                        <a:solidFill>
                          <a:srgbClr val="E6E6E6"/>
                        </a:solidFill>
                      </wps:spPr>
                      <wps:bodyPr/>
                    </wps:wsp>
                  </a:graphicData>
                </a:graphic>
              </wp:anchor>
            </w:drawing>
          </mc:Choice>
          <mc:Fallback>
            <w:pict>
              <v:rect id="Shape 224" o:spid="_x0000_s1249" style="position:absolute;margin-left:-0.1499pt;margin-top:1.35pt;width:510.35pt;height:14.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Long-term lease liabilities </w:t>
      </w:r>
      <w:r>
        <w:rPr>
          <w:rFonts w:ascii="Arial" w:cs="Arial" w:eastAsia="Arial" w:hAnsi="Arial"/>
          <w:sz w:val="18"/>
          <w:szCs w:val="18"/>
          <w:color w:val="BDBDBD"/>
        </w:rPr>
        <w:t>. . . . . . . . . . . . . . . . . . . . . . . . . . . . . . . . . . . . . . . . . . . . . . . . . . . .</w:t>
      </w:r>
    </w:p>
    <w:p>
      <w:pPr>
        <w:spacing w:after="0" w:line="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Other current and non-current liabilities </w:t>
      </w:r>
      <w:r>
        <w:rPr>
          <w:rFonts w:ascii="Arial" w:cs="Arial" w:eastAsia="Arial" w:hAnsi="Arial"/>
          <w:sz w:val="18"/>
          <w:szCs w:val="18"/>
          <w:color w:val="BDBDBD"/>
        </w:rPr>
        <w:t>.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6495415" cy="2146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173">
                      <a:extLst>
                        <a:ext uri="{28A0092B-C50C-407E-A947-70E740481C1C}"/>
                      </a:extLst>
                    </a:blip>
                    <a:srcRect/>
                    <a:stretch>
                      <a:fillRect/>
                    </a:stretch>
                  </pic:blipFill>
                  <pic:spPr bwMode="auto">
                    <a:xfrm>
                      <a:off x="0" y="0"/>
                      <a:ext cx="6495415" cy="214630"/>
                    </a:xfrm>
                    <a:prstGeom prst="rect">
                      <a:avLst/>
                    </a:prstGeom>
                    <a:noFill/>
                  </pic:spPr>
                </pic:pic>
              </a:graphicData>
            </a:graphic>
          </wp:anchor>
        </w:drawing>
      </w:r>
    </w:p>
    <w:p>
      <w:pPr>
        <w:spacing w:after="0" w:line="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Total liabilities assumed  </w:t>
      </w:r>
      <w:r>
        <w:rPr>
          <w:rFonts w:ascii="Arial" w:cs="Arial" w:eastAsia="Arial" w:hAnsi="Arial"/>
          <w:sz w:val="18"/>
          <w:szCs w:val="18"/>
          <w:color w:val="BDBDBD"/>
        </w:rPr>
        <w:t>. . . . . . . . . . . . . . . . . . . . . . . . . . . . . . . . . . . . . . . . . . . . . . . . . . . .</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Net liabilities assumed </w:t>
      </w:r>
      <w:r>
        <w:rPr>
          <w:rFonts w:ascii="Arial" w:cs="Arial" w:eastAsia="Arial" w:hAnsi="Arial"/>
          <w:sz w:val="18"/>
          <w:szCs w:val="18"/>
          <w:color w:val="BDBDBD"/>
        </w:rPr>
        <w:t>. . . . . . . . . . . . . . . . . . . . . . . . . . . . . . . . . . . . . . . . . . . . . . . . . . . . .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152400</wp:posOffset>
                </wp:positionV>
                <wp:extent cx="1259840" cy="0"/>
                <wp:wrapNone/>
                <wp:docPr id="226" name="Shape 2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598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26" o:spid="_x0000_s12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2pt" to="99pt,12pt" o:allowincell="f" strokecolor="#000000" strokeweight="1pt"/>
            </w:pict>
          </mc:Fallback>
        </mc:AlternateConten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54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jc w:val="right"/>
              <w:ind w:right="801"/>
              <w:spacing w:after="0"/>
              <w:rPr>
                <w:sz w:val="20"/>
                <w:szCs w:val="20"/>
                <w:color w:val="auto"/>
              </w:rPr>
            </w:pPr>
            <w:r>
              <w:rPr>
                <w:rFonts w:ascii="Arial" w:cs="Arial" w:eastAsia="Arial" w:hAnsi="Arial"/>
                <w:sz w:val="18"/>
                <w:szCs w:val="18"/>
                <w:b w:val="1"/>
                <w:bCs w:val="1"/>
                <w:color w:val="auto"/>
              </w:rPr>
              <w:t>Mililani I</w:t>
            </w:r>
          </w:p>
        </w:tc>
      </w:tr>
      <w:tr>
        <w:trPr>
          <w:trHeight w:val="276"/>
        </w:trPr>
        <w:tc>
          <w:tcPr>
            <w:tcW w:w="540" w:type="dxa"/>
            <w:vAlign w:val="bottom"/>
          </w:tcPr>
          <w:p>
            <w:pPr>
              <w:jc w:val="right"/>
              <w:ind w:right="301"/>
              <w:spacing w:after="0"/>
              <w:rPr>
                <w:sz w:val="20"/>
                <w:szCs w:val="20"/>
                <w:color w:val="auto"/>
              </w:rPr>
            </w:pPr>
            <w:r>
              <w:rPr>
                <w:rFonts w:ascii="Arial" w:cs="Arial" w:eastAsia="Arial" w:hAnsi="Arial"/>
                <w:sz w:val="20"/>
                <w:szCs w:val="20"/>
                <w:color w:val="auto"/>
              </w:rPr>
              <w:t>$</w:t>
            </w:r>
          </w:p>
        </w:tc>
        <w:tc>
          <w:tcPr>
            <w:tcW w:w="202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98"/>
        </w:trPr>
        <w:tc>
          <w:tcPr>
            <w:tcW w:w="54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20"/>
                <w:szCs w:val="20"/>
                <w:color w:val="auto"/>
              </w:rPr>
              <w:t>118</w:t>
            </w:r>
          </w:p>
        </w:tc>
      </w:tr>
      <w:tr>
        <w:trPr>
          <w:trHeight w:val="301"/>
        </w:trPr>
        <w:tc>
          <w:tcPr>
            <w:tcW w:w="5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w:t>
            </w:r>
          </w:p>
        </w:tc>
      </w:tr>
      <w:tr>
        <w:trPr>
          <w:trHeight w:val="276"/>
        </w:trPr>
        <w:tc>
          <w:tcPr>
            <w:tcW w:w="54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Arial" w:cs="Arial" w:eastAsia="Arial" w:hAnsi="Arial"/>
                <w:sz w:val="20"/>
                <w:szCs w:val="20"/>
                <w:color w:val="auto"/>
              </w:rPr>
              <w:t>139</w:t>
            </w:r>
          </w:p>
        </w:tc>
      </w:tr>
      <w:tr>
        <w:trPr>
          <w:trHeight w:val="597"/>
        </w:trPr>
        <w:tc>
          <w:tcPr>
            <w:tcW w:w="54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20"/>
                <w:szCs w:val="20"/>
                <w:color w:val="auto"/>
              </w:rPr>
              <w:t>100</w:t>
            </w:r>
          </w:p>
        </w:tc>
      </w:tr>
      <w:tr>
        <w:trPr>
          <w:trHeight w:val="298"/>
        </w:trPr>
        <w:tc>
          <w:tcPr>
            <w:tcW w:w="54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301"/>
        </w:trPr>
        <w:tc>
          <w:tcPr>
            <w:tcW w:w="5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w:t>
            </w:r>
          </w:p>
        </w:tc>
      </w:tr>
      <w:tr>
        <w:trPr>
          <w:trHeight w:val="279"/>
        </w:trPr>
        <w:tc>
          <w:tcPr>
            <w:tcW w:w="5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147</w:t>
            </w:r>
          </w:p>
        </w:tc>
      </w:tr>
      <w:tr>
        <w:trPr>
          <w:trHeight w:val="274"/>
        </w:trPr>
        <w:tc>
          <w:tcPr>
            <w:tcW w:w="54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w:t>
            </w: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2">
            <w:col w:w="7500" w:space="140"/>
            <w:col w:w="2560"/>
          </w:cols>
          <w:pgMar w:left="840" w:top="411" w:right="840" w:bottom="0" w:gutter="0" w:footer="0" w:header="0"/>
          <w:type w:val="continuous"/>
        </w:sectPr>
      </w:pPr>
    </w:p>
    <w:p>
      <w:pPr>
        <w:spacing w:after="0" w:line="21" w:lineRule="exact"/>
        <w:rPr>
          <w:sz w:val="20"/>
          <w:szCs w:val="20"/>
          <w:color w:val="auto"/>
        </w:rPr>
      </w:pPr>
    </w:p>
    <w:p>
      <w:pPr>
        <w:ind w:left="80" w:firstLine="5"/>
        <w:spacing w:after="0" w:line="208" w:lineRule="auto"/>
        <w:tabs>
          <w:tab w:leader="none" w:pos="366" w:val="left"/>
        </w:tabs>
        <w:numPr>
          <w:ilvl w:val="0"/>
          <w:numId w:val="59"/>
        </w:numPr>
        <w:rPr>
          <w:rFonts w:ascii="Arial" w:cs="Arial" w:eastAsia="Arial" w:hAnsi="Arial"/>
          <w:sz w:val="26"/>
          <w:szCs w:val="26"/>
          <w:color w:val="auto"/>
          <w:vertAlign w:val="superscript"/>
        </w:rPr>
      </w:pPr>
      <w:r>
        <w:rPr>
          <w:rFonts w:ascii="Arial" w:cs="Arial" w:eastAsia="Arial" w:hAnsi="Arial"/>
          <w:sz w:val="16"/>
          <w:szCs w:val="16"/>
          <w:color w:val="auto"/>
        </w:rPr>
        <w:t xml:space="preserve">Includes a $16 million construction loan, $27 million sponsor equity bridge loan and $60 million tax equity bridge loan, offset by $3 million in unamortized debt issuance costs. See Note 10, </w:t>
      </w:r>
      <w:r>
        <w:rPr>
          <w:rFonts w:ascii="Arial" w:cs="Arial" w:eastAsia="Arial" w:hAnsi="Arial"/>
          <w:sz w:val="16"/>
          <w:szCs w:val="16"/>
          <w:b w:val="1"/>
          <w:bCs w:val="1"/>
          <w:i w:val="1"/>
          <w:iCs w:val="1"/>
          <w:color w:val="auto"/>
        </w:rPr>
        <w:t>Long-term Debt,</w:t>
      </w:r>
      <w:r>
        <w:rPr>
          <w:rFonts w:ascii="Arial" w:cs="Arial" w:eastAsia="Arial" w:hAnsi="Arial"/>
          <w:sz w:val="16"/>
          <w:szCs w:val="16"/>
          <w:color w:val="auto"/>
        </w:rPr>
        <w:t xml:space="preserve"> for further discussion of the long-term debt assumed in the acquisition.</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Dispositions</w:t>
      </w:r>
    </w:p>
    <w:p>
      <w:pPr>
        <w:spacing w:after="0" w:line="191" w:lineRule="exact"/>
        <w:rPr>
          <w:sz w:val="20"/>
          <w:szCs w:val="20"/>
          <w:color w:val="auto"/>
        </w:rPr>
      </w:pPr>
    </w:p>
    <w:p>
      <w:pPr>
        <w:jc w:val="both"/>
        <w:ind w:firstLine="448"/>
        <w:spacing w:after="0" w:line="268" w:lineRule="auto"/>
        <w:rPr>
          <w:sz w:val="20"/>
          <w:szCs w:val="20"/>
          <w:color w:val="auto"/>
        </w:rPr>
      </w:pPr>
      <w:r>
        <w:rPr>
          <w:rFonts w:ascii="Arial" w:cs="Arial" w:eastAsia="Arial" w:hAnsi="Arial"/>
          <w:sz w:val="19"/>
          <w:szCs w:val="19"/>
          <w:b w:val="1"/>
          <w:bCs w:val="1"/>
          <w:i w:val="1"/>
          <w:iCs w:val="1"/>
          <w:color w:val="auto"/>
        </w:rPr>
        <w:t xml:space="preserve">Kawailoa Sale </w:t>
      </w:r>
      <w:r>
        <w:rPr>
          <w:rFonts w:ascii="Arial" w:cs="Arial" w:eastAsia="Arial" w:hAnsi="Arial"/>
          <w:sz w:val="19"/>
          <w:szCs w:val="19"/>
          <w:color w:val="auto"/>
        </w:rPr>
        <w:t>— On August 1, 2022, the Company sold 100% of its Class A membership interests in the Kawailoa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Partnership to Clearway Renew for cash proceeds of $9 million, which equals the Company’s initial investment. The Kawailoa Partnership is a partnership that consolidates, through its 51% controlling majority interest, a lower-level partnership that is 49% owned by a cash equity investor, and which consolidates the Kawailoa solar project through its ownership of a controlling interest in the tax equity fund that holds the project. The assets and liabilities transferred to Clearway Renew relate to interests under common control and were transferred at historical cost in accordance with ASC 805-50, </w:t>
      </w:r>
      <w:r>
        <w:rPr>
          <w:rFonts w:ascii="Arial" w:cs="Arial" w:eastAsia="Arial" w:hAnsi="Arial"/>
          <w:sz w:val="19"/>
          <w:szCs w:val="19"/>
          <w:b w:val="1"/>
          <w:bCs w:val="1"/>
          <w:i w:val="1"/>
          <w:iCs w:val="1"/>
          <w:color w:val="auto"/>
        </w:rPr>
        <w:t>Business Combinations - Related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Issues</w:t>
      </w:r>
      <w:r>
        <w:rPr>
          <w:rFonts w:ascii="Arial" w:cs="Arial" w:eastAsia="Arial" w:hAnsi="Arial"/>
          <w:sz w:val="19"/>
          <w:szCs w:val="19"/>
          <w:color w:val="auto"/>
        </w:rPr>
        <w:t>. This resulted in the Company removing $69 million from noncontrolling interest related to the Kawailoa Partnership at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time of sale. Noncontrolling interests prior to the sale include the interests of the cash equity investor, tax equity investor and Clearway Renew.</w:t>
      </w:r>
    </w:p>
    <w:p>
      <w:pPr>
        <w:spacing w:after="0" w:line="133" w:lineRule="exact"/>
        <w:rPr>
          <w:sz w:val="20"/>
          <w:szCs w:val="20"/>
          <w:color w:val="auto"/>
        </w:rPr>
      </w:pPr>
    </w:p>
    <w:p>
      <w:pPr>
        <w:jc w:val="both"/>
        <w:ind w:firstLine="448"/>
        <w:spacing w:after="0" w:line="269" w:lineRule="auto"/>
        <w:rPr>
          <w:sz w:val="20"/>
          <w:szCs w:val="20"/>
          <w:color w:val="auto"/>
        </w:rPr>
      </w:pPr>
      <w:r>
        <w:rPr>
          <w:rFonts w:ascii="Arial" w:cs="Arial" w:eastAsia="Arial" w:hAnsi="Arial"/>
          <w:sz w:val="19"/>
          <w:szCs w:val="19"/>
          <w:b w:val="1"/>
          <w:bCs w:val="1"/>
          <w:i w:val="1"/>
          <w:iCs w:val="1"/>
          <w:color w:val="auto"/>
        </w:rPr>
        <w:t xml:space="preserve">Thermal Disposition </w:t>
      </w:r>
      <w:r>
        <w:rPr>
          <w:rFonts w:ascii="Arial" w:cs="Arial" w:eastAsia="Arial" w:hAnsi="Arial"/>
          <w:sz w:val="19"/>
          <w:szCs w:val="19"/>
          <w:color w:val="auto"/>
        </w:rPr>
        <w:t>— On May 1, 2022, the Company completed the sale of 100% of its interests in the Thermal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Business to KKR for net proceeds of approximately $1.46 billion, inclusive of working capital adjustments, which excludes approximately $18 million in transaction expenses that were incurred in connection with the disposition. The Thermal Disposition resulted in a gain on sale of business of approximately $1.29 billion, which is net of the $18 million in transaction expenses referenced above. The proceeds from the sale were utilized to repay certain borrowings outstanding as further described in Note 10, </w:t>
      </w:r>
      <w:r>
        <w:rPr>
          <w:rFonts w:ascii="Arial" w:cs="Arial" w:eastAsia="Arial" w:hAnsi="Arial"/>
          <w:sz w:val="19"/>
          <w:szCs w:val="19"/>
          <w:b w:val="1"/>
          <w:bCs w:val="1"/>
          <w:i w:val="1"/>
          <w:iCs w:val="1"/>
          <w:color w:val="auto"/>
        </w:rPr>
        <w:t>Long-term Debt</w:t>
      </w:r>
      <w:r>
        <w:rPr>
          <w:rFonts w:ascii="Arial" w:cs="Arial" w:eastAsia="Arial" w:hAnsi="Arial"/>
          <w:sz w:val="19"/>
          <w:szCs w:val="19"/>
          <w:color w:val="auto"/>
        </w:rPr>
        <w:t>, with the remaining proceeds invested in short-term investments classified as cash and cash equivalents on the Company’s consolidated balance sheet. The Company’s Thermal segment was comprised solely of the Thermal Business’s results of operations.</w:t>
      </w:r>
    </w:p>
    <w:p>
      <w:pPr>
        <w:spacing w:after="0" w:line="128"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Note 4 — Property, Plant and Equipment</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Company’s major classes of property, plant, and equipment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9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265"/>
              <w:spacing w:after="0"/>
              <w:rPr>
                <w:sz w:val="20"/>
                <w:szCs w:val="20"/>
                <w:color w:val="auto"/>
              </w:rPr>
            </w:pPr>
            <w:r>
              <w:rPr>
                <w:rFonts w:ascii="Arial" w:cs="Arial" w:eastAsia="Arial" w:hAnsi="Arial"/>
                <w:sz w:val="16"/>
                <w:szCs w:val="16"/>
                <w:b w:val="1"/>
                <w:bCs w:val="1"/>
                <w:color w:val="auto"/>
                <w:w w:val="94"/>
              </w:rPr>
              <w:t>December 31, 2023</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263"/>
              <w:spacing w:after="0"/>
              <w:rPr>
                <w:sz w:val="20"/>
                <w:szCs w:val="20"/>
                <w:color w:val="auto"/>
              </w:rPr>
            </w:pPr>
            <w:r>
              <w:rPr>
                <w:rFonts w:ascii="Arial" w:cs="Arial" w:eastAsia="Arial" w:hAnsi="Arial"/>
                <w:sz w:val="16"/>
                <w:szCs w:val="16"/>
                <w:b w:val="1"/>
                <w:bCs w:val="1"/>
                <w:color w:val="auto"/>
                <w:w w:val="94"/>
              </w:rPr>
              <w:t>December 31, 2022</w:t>
            </w:r>
          </w:p>
        </w:tc>
        <w:tc>
          <w:tcPr>
            <w:tcW w:w="60" w:type="dxa"/>
            <w:vAlign w:val="bottom"/>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Depreciable Lives</w:t>
            </w:r>
          </w:p>
        </w:tc>
      </w:tr>
      <w:tr>
        <w:trPr>
          <w:trHeight w:val="280"/>
        </w:trPr>
        <w:tc>
          <w:tcPr>
            <w:tcW w:w="19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0" w:type="dxa"/>
            <w:vAlign w:val="bottom"/>
            <w:gridSpan w:val="4"/>
          </w:tcPr>
          <w:p>
            <w:pPr>
              <w:jc w:val="right"/>
              <w:ind w:right="1523"/>
              <w:spacing w:after="0"/>
              <w:rPr>
                <w:sz w:val="20"/>
                <w:szCs w:val="20"/>
                <w:color w:val="auto"/>
              </w:rPr>
            </w:pPr>
            <w:r>
              <w:rPr>
                <w:rFonts w:ascii="Arial" w:cs="Arial" w:eastAsia="Arial" w:hAnsi="Arial"/>
                <w:sz w:val="16"/>
                <w:szCs w:val="16"/>
                <w:b w:val="1"/>
                <w:bCs w:val="1"/>
                <w:color w:val="auto"/>
              </w:rPr>
              <w:t>(In millions)</w:t>
            </w:r>
          </w:p>
        </w:tc>
        <w:tc>
          <w:tcPr>
            <w:tcW w:w="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07"/>
        </w:trPr>
        <w:tc>
          <w:tcPr>
            <w:tcW w:w="4540" w:type="dxa"/>
            <w:vAlign w:val="bottom"/>
            <w:gridSpan w:val="2"/>
            <w:shd w:val="clear" w:color="auto" w:fill="E6E6E6"/>
          </w:tcPr>
          <w:p>
            <w:pPr>
              <w:jc w:val="right"/>
              <w:ind w:right="40"/>
              <w:spacing w:after="0"/>
              <w:rPr>
                <w:sz w:val="20"/>
                <w:szCs w:val="20"/>
                <w:color w:val="auto"/>
              </w:rPr>
            </w:pPr>
            <w:r>
              <w:rPr>
                <w:rFonts w:ascii="Arial" w:cs="Arial" w:eastAsia="Arial" w:hAnsi="Arial"/>
                <w:sz w:val="20"/>
                <w:szCs w:val="20"/>
                <w:color w:val="auto"/>
                <w:w w:val="90"/>
              </w:rPr>
              <w:t xml:space="preserve">Facilities and equipment </w:t>
            </w:r>
            <w:r>
              <w:rPr>
                <w:rFonts w:ascii="Arial" w:cs="Arial" w:eastAsia="Arial" w:hAnsi="Arial"/>
                <w:sz w:val="20"/>
                <w:szCs w:val="20"/>
                <w:color w:val="BDBDBD"/>
                <w:w w:val="90"/>
              </w:rPr>
              <w:t>. . . . . . . . . . . . . . . . . . . . . . . . .</w:t>
            </w:r>
          </w:p>
        </w:tc>
        <w:tc>
          <w:tcPr>
            <w:tcW w:w="260" w:type="dxa"/>
            <w:vAlign w:val="bottom"/>
            <w:shd w:val="clear" w:color="auto" w:fill="E6E6E6"/>
          </w:tcPr>
          <w:p>
            <w:pPr>
              <w:jc w:val="right"/>
              <w:ind w:right="1"/>
              <w:spacing w:after="0"/>
              <w:rPr>
                <w:sz w:val="20"/>
                <w:szCs w:val="20"/>
                <w:color w:val="auto"/>
              </w:rPr>
            </w:pPr>
            <w:r>
              <w:rPr>
                <w:rFonts w:ascii="Arial" w:cs="Arial" w:eastAsia="Arial" w:hAnsi="Arial"/>
                <w:sz w:val="20"/>
                <w:szCs w:val="20"/>
                <w:color w:val="auto"/>
              </w:rPr>
              <w:t>$</w:t>
            </w:r>
          </w:p>
        </w:tc>
        <w:tc>
          <w:tcPr>
            <w:tcW w:w="17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11,426</w:t>
            </w:r>
          </w:p>
        </w:tc>
        <w:tc>
          <w:tcPr>
            <w:tcW w:w="320" w:type="dxa"/>
            <w:vAlign w:val="bottom"/>
            <w:gridSpan w:val="2"/>
            <w:shd w:val="clear" w:color="auto" w:fill="E6E6E6"/>
          </w:tcPr>
          <w:p>
            <w:pPr>
              <w:jc w:val="right"/>
              <w:ind w:right="100"/>
              <w:spacing w:after="0"/>
              <w:rPr>
                <w:sz w:val="20"/>
                <w:szCs w:val="20"/>
                <w:color w:val="auto"/>
              </w:rPr>
            </w:pPr>
            <w:r>
              <w:rPr>
                <w:rFonts w:ascii="Arial" w:cs="Arial" w:eastAsia="Arial" w:hAnsi="Arial"/>
                <w:sz w:val="20"/>
                <w:szCs w:val="20"/>
                <w:color w:val="auto"/>
              </w:rPr>
              <w:t>$</w:t>
            </w:r>
          </w:p>
        </w:tc>
        <w:tc>
          <w:tcPr>
            <w:tcW w:w="17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9,992</w:t>
            </w:r>
          </w:p>
        </w:tc>
        <w:tc>
          <w:tcPr>
            <w:tcW w:w="60" w:type="dxa"/>
            <w:vAlign w:val="bottom"/>
            <w:shd w:val="clear" w:color="auto" w:fill="E6E6E6"/>
          </w:tcPr>
          <w:p>
            <w:pPr>
              <w:spacing w:after="0"/>
              <w:rPr>
                <w:sz w:val="24"/>
                <w:szCs w:val="24"/>
                <w:color w:val="auto"/>
              </w:rPr>
            </w:pPr>
          </w:p>
        </w:tc>
        <w:tc>
          <w:tcPr>
            <w:tcW w:w="1540" w:type="dxa"/>
            <w:vAlign w:val="bottom"/>
            <w:shd w:val="clear" w:color="auto" w:fill="E6E6E6"/>
          </w:tcPr>
          <w:p>
            <w:pPr>
              <w:jc w:val="center"/>
              <w:spacing w:after="0"/>
              <w:rPr>
                <w:sz w:val="20"/>
                <w:szCs w:val="20"/>
                <w:color w:val="auto"/>
              </w:rPr>
            </w:pPr>
            <w:r>
              <w:rPr>
                <w:rFonts w:ascii="Arial" w:cs="Arial" w:eastAsia="Arial" w:hAnsi="Arial"/>
                <w:sz w:val="20"/>
                <w:szCs w:val="20"/>
                <w:color w:val="auto"/>
                <w:w w:val="89"/>
              </w:rPr>
              <w:t>3 - 41 Years</w:t>
            </w:r>
          </w:p>
        </w:tc>
      </w:tr>
      <w:tr>
        <w:trPr>
          <w:trHeight w:val="292"/>
        </w:trPr>
        <w:tc>
          <w:tcPr>
            <w:tcW w:w="4540" w:type="dxa"/>
            <w:vAlign w:val="bottom"/>
            <w:gridSpan w:val="2"/>
          </w:tcPr>
          <w:p>
            <w:pPr>
              <w:jc w:val="right"/>
              <w:ind w:right="40"/>
              <w:spacing w:after="0"/>
              <w:rPr>
                <w:sz w:val="20"/>
                <w:szCs w:val="20"/>
                <w:color w:val="auto"/>
              </w:rPr>
            </w:pPr>
            <w:r>
              <w:rPr>
                <w:rFonts w:ascii="Arial" w:cs="Arial" w:eastAsia="Arial" w:hAnsi="Arial"/>
                <w:sz w:val="20"/>
                <w:szCs w:val="20"/>
                <w:color w:val="auto"/>
                <w:w w:val="90"/>
              </w:rPr>
              <w:t xml:space="preserve">Land and improvements </w:t>
            </w:r>
            <w:r>
              <w:rPr>
                <w:rFonts w:ascii="Arial" w:cs="Arial" w:eastAsia="Arial" w:hAnsi="Arial"/>
                <w:sz w:val="20"/>
                <w:szCs w:val="20"/>
                <w:color w:val="BDBDBD"/>
                <w:w w:val="90"/>
              </w:rPr>
              <w:t>. . . . . . . . . . . . . . . . . . . . . . . . .</w:t>
            </w:r>
          </w:p>
        </w:tc>
        <w:tc>
          <w:tcPr>
            <w:tcW w:w="2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20"/>
                <w:szCs w:val="20"/>
                <w:color w:val="auto"/>
              </w:rPr>
              <w:t>365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20"/>
                <w:szCs w:val="20"/>
                <w:color w:val="auto"/>
              </w:rPr>
              <w:t>293</w:t>
            </w:r>
          </w:p>
        </w:tc>
        <w:tc>
          <w:tcPr>
            <w:tcW w:w="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95"/>
        </w:trPr>
        <w:tc>
          <w:tcPr>
            <w:tcW w:w="4540" w:type="dxa"/>
            <w:vAlign w:val="bottom"/>
            <w:tcBorders>
              <w:bottom w:val="single" w:sz="8" w:color="E6E6E6"/>
            </w:tcBorders>
            <w:gridSpan w:val="2"/>
            <w:shd w:val="clear" w:color="auto" w:fill="E6E6E6"/>
          </w:tcPr>
          <w:p>
            <w:pPr>
              <w:jc w:val="right"/>
              <w:ind w:right="40"/>
              <w:spacing w:after="0"/>
              <w:rPr>
                <w:sz w:val="20"/>
                <w:szCs w:val="20"/>
                <w:color w:val="auto"/>
              </w:rPr>
            </w:pPr>
            <w:r>
              <w:rPr>
                <w:rFonts w:ascii="Arial" w:cs="Arial" w:eastAsia="Arial" w:hAnsi="Arial"/>
                <w:sz w:val="20"/>
                <w:szCs w:val="20"/>
                <w:color w:val="auto"/>
                <w:w w:val="89"/>
              </w:rPr>
              <w:t xml:space="preserve">Construction in progress </w:t>
            </w:r>
            <w:r>
              <w:rPr>
                <w:rFonts w:ascii="Arial" w:cs="Arial" w:eastAsia="Arial" w:hAnsi="Arial"/>
                <w:sz w:val="25"/>
                <w:szCs w:val="25"/>
                <w:color w:val="auto"/>
                <w:w w:val="89"/>
                <w:vertAlign w:val="superscript"/>
              </w:rPr>
              <w:t>(a) (b)</w:t>
            </w:r>
            <w:r>
              <w:rPr>
                <w:rFonts w:ascii="Arial" w:cs="Arial" w:eastAsia="Arial" w:hAnsi="Arial"/>
                <w:sz w:val="20"/>
                <w:szCs w:val="20"/>
                <w:color w:val="auto"/>
                <w:w w:val="89"/>
              </w:rPr>
              <w:t xml:space="preserve"> </w:t>
            </w:r>
            <w:r>
              <w:rPr>
                <w:rFonts w:ascii="Arial" w:cs="Arial" w:eastAsia="Arial" w:hAnsi="Arial"/>
                <w:sz w:val="20"/>
                <w:szCs w:val="20"/>
                <w:color w:val="BDBDBD"/>
                <w:w w:val="89"/>
              </w:rPr>
              <w:t>. . . . . . . . . . . . . . . . . . . . .</w:t>
            </w:r>
          </w:p>
        </w:tc>
        <w:tc>
          <w:tcPr>
            <w:tcW w:w="260" w:type="dxa"/>
            <w:vAlign w:val="bottom"/>
            <w:tcBorders>
              <w:bottom w:val="single" w:sz="8" w:color="auto"/>
            </w:tcBorders>
            <w:shd w:val="clear" w:color="auto" w:fill="E6E6E6"/>
          </w:tcPr>
          <w:p>
            <w:pPr>
              <w:spacing w:after="0"/>
              <w:rPr>
                <w:sz w:val="24"/>
                <w:szCs w:val="24"/>
                <w:color w:val="auto"/>
              </w:rPr>
            </w:pPr>
          </w:p>
        </w:tc>
        <w:tc>
          <w:tcPr>
            <w:tcW w:w="17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1,220</w:t>
            </w:r>
          </w:p>
        </w:tc>
        <w:tc>
          <w:tcPr>
            <w:tcW w:w="6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spacing w:after="0"/>
              <w:rPr>
                <w:sz w:val="24"/>
                <w:szCs w:val="24"/>
                <w:color w:val="auto"/>
              </w:rPr>
            </w:pPr>
          </w:p>
        </w:tc>
        <w:tc>
          <w:tcPr>
            <w:tcW w:w="17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160</w:t>
            </w:r>
          </w:p>
        </w:tc>
        <w:tc>
          <w:tcPr>
            <w:tcW w:w="60" w:type="dxa"/>
            <w:vAlign w:val="bottom"/>
            <w:tcBorders>
              <w:bottom w:val="single" w:sz="8" w:color="E6E6E6"/>
            </w:tcBorders>
            <w:shd w:val="clear" w:color="auto" w:fill="E6E6E6"/>
          </w:tcPr>
          <w:p>
            <w:pPr>
              <w:spacing w:after="0"/>
              <w:rPr>
                <w:sz w:val="24"/>
                <w:szCs w:val="24"/>
                <w:color w:val="auto"/>
              </w:rPr>
            </w:pPr>
          </w:p>
        </w:tc>
        <w:tc>
          <w:tcPr>
            <w:tcW w:w="1540" w:type="dxa"/>
            <w:vAlign w:val="bottom"/>
            <w:tcBorders>
              <w:bottom w:val="single" w:sz="8" w:color="E6E6E6"/>
            </w:tcBorders>
            <w:shd w:val="clear" w:color="auto" w:fill="E6E6E6"/>
          </w:tcPr>
          <w:p>
            <w:pPr>
              <w:spacing w:after="0"/>
              <w:rPr>
                <w:sz w:val="24"/>
                <w:szCs w:val="24"/>
                <w:color w:val="auto"/>
              </w:rPr>
            </w:pPr>
          </w:p>
        </w:tc>
      </w:tr>
      <w:tr>
        <w:trPr>
          <w:trHeight w:val="282"/>
        </w:trPr>
        <w:tc>
          <w:tcPr>
            <w:tcW w:w="4540" w:type="dxa"/>
            <w:vAlign w:val="bottom"/>
            <w:gridSpan w:val="2"/>
          </w:tcPr>
          <w:p>
            <w:pPr>
              <w:jc w:val="right"/>
              <w:ind w:right="60"/>
              <w:spacing w:after="0"/>
              <w:rPr>
                <w:sz w:val="20"/>
                <w:szCs w:val="20"/>
                <w:color w:val="auto"/>
              </w:rPr>
            </w:pPr>
            <w:r>
              <w:rPr>
                <w:rFonts w:ascii="Arial" w:cs="Arial" w:eastAsia="Arial" w:hAnsi="Arial"/>
                <w:sz w:val="20"/>
                <w:szCs w:val="20"/>
                <w:color w:val="auto"/>
                <w:w w:val="96"/>
              </w:rPr>
              <w:t xml:space="preserve">Total property, plant and equipment </w:t>
            </w:r>
            <w:r>
              <w:rPr>
                <w:rFonts w:ascii="Arial" w:cs="Arial" w:eastAsia="Arial" w:hAnsi="Arial"/>
                <w:sz w:val="20"/>
                <w:szCs w:val="20"/>
                <w:color w:val="BDBDBD"/>
                <w:w w:val="96"/>
              </w:rPr>
              <w:t>. . . . . . . . . . . . .</w:t>
            </w:r>
          </w:p>
        </w:tc>
        <w:tc>
          <w:tcPr>
            <w:tcW w:w="2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20"/>
                <w:szCs w:val="20"/>
                <w:color w:val="auto"/>
              </w:rPr>
              <w:t>13,011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20"/>
                <w:szCs w:val="20"/>
                <w:color w:val="auto"/>
              </w:rPr>
              <w:t>10,445</w:t>
            </w:r>
          </w:p>
        </w:tc>
        <w:tc>
          <w:tcPr>
            <w:tcW w:w="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95"/>
        </w:trPr>
        <w:tc>
          <w:tcPr>
            <w:tcW w:w="4540" w:type="dxa"/>
            <w:vAlign w:val="bottom"/>
            <w:tcBorders>
              <w:bottom w:val="single" w:sz="8" w:color="E6E6E6"/>
            </w:tcBorders>
            <w:gridSpan w:val="2"/>
            <w:shd w:val="clear" w:color="auto" w:fill="E6E6E6"/>
          </w:tcPr>
          <w:p>
            <w:pPr>
              <w:jc w:val="right"/>
              <w:ind w:right="60"/>
              <w:spacing w:after="0"/>
              <w:rPr>
                <w:sz w:val="20"/>
                <w:szCs w:val="20"/>
                <w:color w:val="auto"/>
              </w:rPr>
            </w:pPr>
            <w:r>
              <w:rPr>
                <w:rFonts w:ascii="Arial" w:cs="Arial" w:eastAsia="Arial" w:hAnsi="Arial"/>
                <w:sz w:val="20"/>
                <w:szCs w:val="20"/>
                <w:color w:val="auto"/>
                <w:w w:val="91"/>
              </w:rPr>
              <w:t xml:space="preserve">Accumulated depreciation </w:t>
            </w:r>
            <w:r>
              <w:rPr>
                <w:rFonts w:ascii="Arial" w:cs="Arial" w:eastAsia="Arial" w:hAnsi="Arial"/>
                <w:sz w:val="20"/>
                <w:szCs w:val="20"/>
                <w:color w:val="BDBDBD"/>
                <w:w w:val="91"/>
              </w:rPr>
              <w:t>. . . . . . . . . . . . . . . . . . . . . . .</w:t>
            </w:r>
          </w:p>
        </w:tc>
        <w:tc>
          <w:tcPr>
            <w:tcW w:w="260" w:type="dxa"/>
            <w:vAlign w:val="bottom"/>
            <w:tcBorders>
              <w:bottom w:val="single" w:sz="8" w:color="auto"/>
            </w:tcBorders>
            <w:shd w:val="clear" w:color="auto" w:fill="E6E6E6"/>
          </w:tcPr>
          <w:p>
            <w:pPr>
              <w:spacing w:after="0"/>
              <w:rPr>
                <w:sz w:val="24"/>
                <w:szCs w:val="24"/>
                <w:color w:val="auto"/>
              </w:rPr>
            </w:pPr>
          </w:p>
        </w:tc>
        <w:tc>
          <w:tcPr>
            <w:tcW w:w="17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(3,485)</w:t>
            </w:r>
          </w:p>
        </w:tc>
        <w:tc>
          <w:tcPr>
            <w:tcW w:w="6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spacing w:after="0"/>
              <w:rPr>
                <w:sz w:val="24"/>
                <w:szCs w:val="24"/>
                <w:color w:val="auto"/>
              </w:rPr>
            </w:pPr>
          </w:p>
        </w:tc>
        <w:tc>
          <w:tcPr>
            <w:tcW w:w="17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(3,024)</w:t>
            </w:r>
          </w:p>
        </w:tc>
        <w:tc>
          <w:tcPr>
            <w:tcW w:w="60" w:type="dxa"/>
            <w:vAlign w:val="bottom"/>
            <w:tcBorders>
              <w:bottom w:val="single" w:sz="8" w:color="E6E6E6"/>
            </w:tcBorders>
            <w:shd w:val="clear" w:color="auto" w:fill="E6E6E6"/>
          </w:tcPr>
          <w:p>
            <w:pPr>
              <w:spacing w:after="0"/>
              <w:rPr>
                <w:sz w:val="24"/>
                <w:szCs w:val="24"/>
                <w:color w:val="auto"/>
              </w:rPr>
            </w:pPr>
          </w:p>
        </w:tc>
        <w:tc>
          <w:tcPr>
            <w:tcW w:w="1540" w:type="dxa"/>
            <w:vAlign w:val="bottom"/>
            <w:tcBorders>
              <w:bottom w:val="single" w:sz="8" w:color="E6E6E6"/>
            </w:tcBorders>
            <w:shd w:val="clear" w:color="auto" w:fill="E6E6E6"/>
          </w:tcPr>
          <w:p>
            <w:pPr>
              <w:spacing w:after="0"/>
              <w:rPr>
                <w:sz w:val="24"/>
                <w:szCs w:val="24"/>
                <w:color w:val="auto"/>
              </w:rPr>
            </w:pPr>
          </w:p>
        </w:tc>
      </w:tr>
      <w:tr>
        <w:trPr>
          <w:trHeight w:val="259"/>
        </w:trPr>
        <w:tc>
          <w:tcPr>
            <w:tcW w:w="4540" w:type="dxa"/>
            <w:vAlign w:val="bottom"/>
            <w:gridSpan w:val="2"/>
          </w:tcPr>
          <w:p>
            <w:pPr>
              <w:jc w:val="right"/>
              <w:ind w:right="60"/>
              <w:spacing w:after="0"/>
              <w:rPr>
                <w:sz w:val="20"/>
                <w:szCs w:val="20"/>
                <w:color w:val="auto"/>
              </w:rPr>
            </w:pPr>
            <w:r>
              <w:rPr>
                <w:rFonts w:ascii="Arial" w:cs="Arial" w:eastAsia="Arial" w:hAnsi="Arial"/>
                <w:sz w:val="20"/>
                <w:szCs w:val="20"/>
                <w:color w:val="auto"/>
                <w:w w:val="96"/>
              </w:rPr>
              <w:t xml:space="preserve">Net property, plant and equipment  </w:t>
            </w:r>
            <w:r>
              <w:rPr>
                <w:rFonts w:ascii="Arial" w:cs="Arial" w:eastAsia="Arial" w:hAnsi="Arial"/>
                <w:sz w:val="20"/>
                <w:szCs w:val="20"/>
                <w:color w:val="BDBDBD"/>
                <w:w w:val="96"/>
              </w:rPr>
              <w:t>. . . . . . . . . . . . . .</w:t>
            </w:r>
          </w:p>
        </w:tc>
        <w:tc>
          <w:tcPr>
            <w:tcW w:w="2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740" w:type="dxa"/>
            <w:vAlign w:val="bottom"/>
          </w:tcPr>
          <w:p>
            <w:pPr>
              <w:jc w:val="right"/>
              <w:spacing w:after="0"/>
              <w:rPr>
                <w:sz w:val="20"/>
                <w:szCs w:val="20"/>
                <w:color w:val="auto"/>
              </w:rPr>
            </w:pPr>
            <w:r>
              <w:rPr>
                <w:rFonts w:ascii="Arial" w:cs="Arial" w:eastAsia="Arial" w:hAnsi="Arial"/>
                <w:sz w:val="20"/>
                <w:szCs w:val="20"/>
                <w:color w:val="auto"/>
              </w:rPr>
              <w:t>9,526</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740" w:type="dxa"/>
            <w:vAlign w:val="bottom"/>
          </w:tcPr>
          <w:p>
            <w:pPr>
              <w:jc w:val="right"/>
              <w:spacing w:after="0"/>
              <w:rPr>
                <w:sz w:val="20"/>
                <w:szCs w:val="20"/>
                <w:color w:val="auto"/>
              </w:rPr>
            </w:pPr>
            <w:r>
              <w:rPr>
                <w:rFonts w:ascii="Arial" w:cs="Arial" w:eastAsia="Arial" w:hAnsi="Arial"/>
                <w:sz w:val="20"/>
                <w:szCs w:val="20"/>
                <w:color w:val="auto"/>
              </w:rPr>
              <w:t>7,421</w:t>
            </w:r>
          </w:p>
        </w:tc>
        <w:tc>
          <w:tcPr>
            <w:tcW w:w="6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0"/>
        </w:trPr>
        <w:tc>
          <w:tcPr>
            <w:tcW w:w="19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34"/>
        </w:trPr>
        <w:tc>
          <w:tcPr>
            <w:tcW w:w="1980" w:type="dxa"/>
            <w:vAlign w:val="bottom"/>
            <w:tcBorders>
              <w:bottom w:val="single" w:sz="8" w:color="auto"/>
            </w:tcBorders>
          </w:tcPr>
          <w:p>
            <w:pPr>
              <w:spacing w:after="0"/>
              <w:rPr>
                <w:sz w:val="11"/>
                <w:szCs w:val="11"/>
                <w:color w:val="auto"/>
              </w:rPr>
            </w:pPr>
          </w:p>
        </w:tc>
        <w:tc>
          <w:tcPr>
            <w:tcW w:w="2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2875280</wp:posOffset>
            </wp:positionH>
            <wp:positionV relativeFrom="paragraph">
              <wp:posOffset>-697865</wp:posOffset>
            </wp:positionV>
            <wp:extent cx="259397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74">
                      <a:extLst>
                        <a:ext uri="{28A0092B-C50C-407E-A947-70E740481C1C}"/>
                      </a:extLst>
                    </a:blip>
                    <a:srcRect/>
                    <a:stretch>
                      <a:fillRect/>
                    </a:stretch>
                  </pic:blipFill>
                  <pic:spPr bwMode="auto">
                    <a:xfrm>
                      <a:off x="0" y="0"/>
                      <a:ext cx="2593975" cy="25400"/>
                    </a:xfrm>
                    <a:prstGeom prst="rect">
                      <a:avLst/>
                    </a:prstGeom>
                    <a:noFill/>
                  </pic:spPr>
                </pic:pic>
              </a:graphicData>
            </a:graphic>
          </wp:anchor>
        </w:drawing>
        <w:drawing>
          <wp:anchor simplePos="0" relativeHeight="251657728" behindDoc="1" locked="0" layoutInCell="0" allowOverlap="1">
            <wp:simplePos x="0" y="0"/>
            <wp:positionH relativeFrom="column">
              <wp:posOffset>2875280</wp:posOffset>
            </wp:positionH>
            <wp:positionV relativeFrom="paragraph">
              <wp:posOffset>-318770</wp:posOffset>
            </wp:positionV>
            <wp:extent cx="259397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175">
                      <a:extLst>
                        <a:ext uri="{28A0092B-C50C-407E-A947-70E740481C1C}"/>
                      </a:extLst>
                    </a:blip>
                    <a:srcRect/>
                    <a:stretch>
                      <a:fillRect/>
                    </a:stretch>
                  </pic:blipFill>
                  <pic:spPr bwMode="auto">
                    <a:xfrm>
                      <a:off x="0" y="0"/>
                      <a:ext cx="2593975" cy="25400"/>
                    </a:xfrm>
                    <a:prstGeom prst="rect">
                      <a:avLst/>
                    </a:prstGeom>
                    <a:noFill/>
                  </pic:spPr>
                </pic:pic>
              </a:graphicData>
            </a:graphic>
          </wp:anchor>
        </w:drawing>
      </w:r>
    </w:p>
    <w:p>
      <w:pPr>
        <w:spacing w:after="0" w:line="87" w:lineRule="exact"/>
        <w:rPr>
          <w:sz w:val="20"/>
          <w:szCs w:val="20"/>
          <w:color w:val="auto"/>
        </w:rPr>
      </w:pPr>
    </w:p>
    <w:p>
      <w:pPr>
        <w:ind w:left="80" w:firstLine="5"/>
        <w:spacing w:after="0" w:line="254" w:lineRule="auto"/>
        <w:tabs>
          <w:tab w:leader="none" w:pos="278" w:val="left"/>
        </w:tabs>
        <w:numPr>
          <w:ilvl w:val="0"/>
          <w:numId w:val="60"/>
        </w:numPr>
        <w:rPr>
          <w:rFonts w:ascii="Arial" w:cs="Arial" w:eastAsia="Arial" w:hAnsi="Arial"/>
          <w:sz w:val="23"/>
          <w:szCs w:val="23"/>
          <w:color w:val="auto"/>
          <w:vertAlign w:val="superscript"/>
        </w:rPr>
      </w:pPr>
      <w:r>
        <w:rPr>
          <w:rFonts w:ascii="Arial" w:cs="Arial" w:eastAsia="Arial" w:hAnsi="Arial"/>
          <w:sz w:val="16"/>
          <w:szCs w:val="16"/>
          <w:color w:val="auto"/>
        </w:rPr>
        <w:t>As of December 31, 2023 and 2022, construction in progress includes $21 million and $17 million, respectively, of capital expenditures that relate to prepaid long-term service agreements in the Conventional segment.</w:t>
      </w:r>
    </w:p>
    <w:p>
      <w:pPr>
        <w:spacing w:after="0" w:line="38" w:lineRule="exact"/>
        <w:rPr>
          <w:rFonts w:ascii="Arial" w:cs="Arial" w:eastAsia="Arial" w:hAnsi="Arial"/>
          <w:sz w:val="23"/>
          <w:szCs w:val="23"/>
          <w:color w:val="auto"/>
          <w:vertAlign w:val="superscript"/>
        </w:rPr>
      </w:pPr>
    </w:p>
    <w:p>
      <w:pPr>
        <w:ind w:left="80" w:firstLine="5"/>
        <w:spacing w:after="0" w:line="217" w:lineRule="auto"/>
        <w:tabs>
          <w:tab w:leader="none" w:pos="307" w:val="left"/>
        </w:tabs>
        <w:numPr>
          <w:ilvl w:val="0"/>
          <w:numId w:val="60"/>
        </w:numPr>
        <w:rPr>
          <w:rFonts w:ascii="Arial" w:cs="Arial" w:eastAsia="Arial" w:hAnsi="Arial"/>
          <w:sz w:val="26"/>
          <w:szCs w:val="26"/>
          <w:color w:val="auto"/>
          <w:vertAlign w:val="superscript"/>
        </w:rPr>
      </w:pPr>
      <w:r>
        <w:rPr>
          <w:rFonts w:ascii="Arial" w:cs="Arial" w:eastAsia="Arial" w:hAnsi="Arial"/>
          <w:sz w:val="18"/>
          <w:szCs w:val="18"/>
          <w:color w:val="auto"/>
        </w:rPr>
        <w:t>As of December 31, 2023 and 2022, construction in progress includes $72 million and $9 million, respectively, of accrued capital expenditures.</w:t>
      </w:r>
    </w:p>
    <w:p>
      <w:pPr>
        <w:sectPr>
          <w:pgSz w:w="11880" w:h="15480" w:orient="portrait"/>
          <w:cols w:equalWidth="0" w:num="1">
            <w:col w:w="10200"/>
          </w:cols>
          <w:pgMar w:left="840" w:top="411" w:right="8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ectPr>
          <w:pgSz w:w="11880" w:h="15480" w:orient="portrait"/>
          <w:cols w:equalWidth="0" w:num="1">
            <w:col w:w="10200"/>
          </w:cols>
          <w:pgMar w:left="840" w:top="411" w:right="840" w:bottom="0" w:gutter="0" w:footer="0" w:header="0"/>
          <w:type w:val="continuous"/>
        </w:sectPr>
      </w:pPr>
    </w:p>
    <w:bookmarkStart w:id="98" w:name="page99"/>
    <w:bookmarkEnd w:id="98"/>
    <w:p>
      <w:pPr>
        <w:ind w:firstLine="448"/>
        <w:spacing w:after="0" w:line="280" w:lineRule="auto"/>
        <w:rPr>
          <w:sz w:val="20"/>
          <w:szCs w:val="20"/>
          <w:color w:val="auto"/>
        </w:rPr>
      </w:pPr>
      <w:r>
        <w:rPr>
          <w:rFonts w:ascii="Arial" w:cs="Arial" w:eastAsia="Arial" w:hAnsi="Arial"/>
          <w:sz w:val="20"/>
          <w:szCs w:val="20"/>
          <w:color w:val="auto"/>
        </w:rPr>
        <w:t>Depreciation expense related to property, plant and equipment during the years ended December 31, 2023, 2022 and 2021 was $514 million, $502 million and $499 million, respectively.</w:t>
      </w:r>
    </w:p>
    <w:p>
      <w:pPr>
        <w:spacing w:after="0" w:line="120" w:lineRule="exact"/>
        <w:rPr>
          <w:sz w:val="20"/>
          <w:szCs w:val="20"/>
          <w:color w:val="auto"/>
        </w:rPr>
      </w:pPr>
    </w:p>
    <w:p>
      <w:pPr>
        <w:ind w:firstLine="448"/>
        <w:spacing w:after="0" w:line="281" w:lineRule="auto"/>
        <w:rPr>
          <w:sz w:val="20"/>
          <w:szCs w:val="20"/>
          <w:color w:val="auto"/>
        </w:rPr>
      </w:pPr>
      <w:r>
        <w:rPr>
          <w:rFonts w:ascii="Arial" w:cs="Arial" w:eastAsia="Arial" w:hAnsi="Arial"/>
          <w:sz w:val="20"/>
          <w:szCs w:val="20"/>
          <w:color w:val="auto"/>
        </w:rPr>
        <w:t xml:space="preserve">The Company recorded long-lived asset impairments during each of the years ended December 31, 2023, 2022 and 2021, as further described in Note 9, </w:t>
      </w:r>
      <w:r>
        <w:rPr>
          <w:rFonts w:ascii="Arial" w:cs="Arial" w:eastAsia="Arial" w:hAnsi="Arial"/>
          <w:sz w:val="20"/>
          <w:szCs w:val="20"/>
          <w:b w:val="1"/>
          <w:bCs w:val="1"/>
          <w:i w:val="1"/>
          <w:iCs w:val="1"/>
          <w:color w:val="auto"/>
        </w:rPr>
        <w:t>Asset Impairments.</w:t>
      </w:r>
    </w:p>
    <w:p>
      <w:pPr>
        <w:spacing w:after="0" w:line="111" w:lineRule="exact"/>
        <w:rPr>
          <w:sz w:val="20"/>
          <w:szCs w:val="20"/>
          <w:color w:val="auto"/>
        </w:rPr>
      </w:pPr>
    </w:p>
    <w:p>
      <w:pPr>
        <w:ind w:right="2580"/>
        <w:spacing w:after="0" w:line="439" w:lineRule="auto"/>
        <w:rPr>
          <w:sz w:val="20"/>
          <w:szCs w:val="20"/>
          <w:color w:val="auto"/>
        </w:rPr>
      </w:pPr>
      <w:r>
        <w:rPr>
          <w:rFonts w:ascii="Arial" w:cs="Arial" w:eastAsia="Arial" w:hAnsi="Arial"/>
          <w:sz w:val="20"/>
          <w:szCs w:val="20"/>
          <w:b w:val="1"/>
          <w:bCs w:val="1"/>
          <w:color w:val="auto"/>
        </w:rPr>
        <w:t>Note 5 — Investments Accounted for by the Equity Method and Variable Interest Entities Equity Method Investments</w:t>
      </w:r>
    </w:p>
    <w:p>
      <w:pPr>
        <w:spacing w:after="0" w:line="1" w:lineRule="exact"/>
        <w:rPr>
          <w:sz w:val="20"/>
          <w:szCs w:val="20"/>
          <w:color w:val="auto"/>
        </w:rPr>
      </w:pPr>
    </w:p>
    <w:p>
      <w:pPr>
        <w:ind w:firstLine="448"/>
        <w:spacing w:after="0" w:line="280" w:lineRule="auto"/>
        <w:rPr>
          <w:sz w:val="20"/>
          <w:szCs w:val="20"/>
          <w:color w:val="auto"/>
        </w:rPr>
      </w:pPr>
      <w:r>
        <w:rPr>
          <w:rFonts w:ascii="Arial" w:cs="Arial" w:eastAsia="Arial" w:hAnsi="Arial"/>
          <w:sz w:val="20"/>
          <w:szCs w:val="20"/>
          <w:color w:val="auto"/>
        </w:rPr>
        <w:t>The Company’s maximum exposure to loss as of December 31, 2023 is limited to its equity investment in the unconsolidated entities, as further summarized in the table below:</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9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w:t>
            </w:r>
          </w:p>
        </w:tc>
        <w:tc>
          <w:tcPr>
            <w:tcW w:w="210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Economic Interest</w:t>
            </w:r>
          </w:p>
        </w:tc>
        <w:tc>
          <w:tcPr>
            <w:tcW w:w="2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325"/>
              <w:spacing w:after="0"/>
              <w:rPr>
                <w:sz w:val="20"/>
                <w:szCs w:val="20"/>
                <w:color w:val="auto"/>
              </w:rPr>
            </w:pPr>
            <w:r>
              <w:rPr>
                <w:rFonts w:ascii="Arial" w:cs="Arial" w:eastAsia="Arial" w:hAnsi="Arial"/>
                <w:sz w:val="16"/>
                <w:szCs w:val="16"/>
                <w:b w:val="1"/>
                <w:bCs w:val="1"/>
                <w:color w:val="auto"/>
                <w:w w:val="97"/>
              </w:rPr>
              <w:t>Investment Balance</w:t>
            </w:r>
          </w:p>
        </w:tc>
      </w:tr>
      <w:tr>
        <w:trPr>
          <w:trHeight w:val="266"/>
        </w:trPr>
        <w:tc>
          <w:tcPr>
            <w:tcW w:w="59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00" w:type="dxa"/>
            <w:vAlign w:val="bottom"/>
          </w:tcPr>
          <w:p>
            <w:pPr>
              <w:jc w:val="right"/>
              <w:ind w:right="585"/>
              <w:spacing w:after="0"/>
              <w:rPr>
                <w:sz w:val="20"/>
                <w:szCs w:val="20"/>
                <w:color w:val="auto"/>
              </w:rPr>
            </w:pPr>
            <w:r>
              <w:rPr>
                <w:rFonts w:ascii="Arial" w:cs="Arial" w:eastAsia="Arial" w:hAnsi="Arial"/>
                <w:sz w:val="16"/>
                <w:szCs w:val="16"/>
                <w:b w:val="1"/>
                <w:bCs w:val="1"/>
                <w:color w:val="auto"/>
              </w:rPr>
              <w:t>(In millions)</w:t>
            </w:r>
          </w:p>
        </w:tc>
      </w:tr>
      <w:tr>
        <w:trPr>
          <w:trHeight w:val="307"/>
        </w:trPr>
        <w:tc>
          <w:tcPr>
            <w:tcW w:w="5920" w:type="dxa"/>
            <w:vAlign w:val="bottom"/>
            <w:shd w:val="clear" w:color="auto" w:fill="E6E6E6"/>
          </w:tcPr>
          <w:p>
            <w:pPr>
              <w:ind w:left="180"/>
              <w:spacing w:after="0"/>
              <w:rPr>
                <w:sz w:val="20"/>
                <w:szCs w:val="20"/>
                <w:color w:val="auto"/>
              </w:rPr>
            </w:pPr>
            <w:r>
              <w:rPr>
                <w:rFonts w:ascii="Arial" w:cs="Arial" w:eastAsia="Arial" w:hAnsi="Arial"/>
                <w:sz w:val="20"/>
                <w:szCs w:val="20"/>
                <w:color w:val="auto"/>
                <w:w w:val="96"/>
              </w:rPr>
              <w:t xml:space="preserve">Avenal </w:t>
            </w:r>
            <w:r>
              <w:rPr>
                <w:rFonts w:ascii="Arial" w:cs="Arial" w:eastAsia="Arial" w:hAnsi="Arial"/>
                <w:sz w:val="20"/>
                <w:szCs w:val="20"/>
                <w:color w:val="BDBDBD"/>
                <w:w w:val="96"/>
              </w:rPr>
              <w:t>. . . . . . . . . . . . . . . . . . . . . . . . . . . . . . . . . . . . . . . . . . . . . . . .</w:t>
            </w:r>
          </w:p>
        </w:tc>
        <w:tc>
          <w:tcPr>
            <w:tcW w:w="2100" w:type="dxa"/>
            <w:vAlign w:val="bottom"/>
            <w:shd w:val="clear" w:color="auto" w:fill="E6E6E6"/>
          </w:tcPr>
          <w:p>
            <w:pPr>
              <w:jc w:val="center"/>
              <w:ind w:right="123"/>
              <w:spacing w:after="0"/>
              <w:rPr>
                <w:sz w:val="20"/>
                <w:szCs w:val="20"/>
                <w:color w:val="auto"/>
              </w:rPr>
            </w:pPr>
            <w:r>
              <w:rPr>
                <w:rFonts w:ascii="Arial" w:cs="Arial" w:eastAsia="Arial" w:hAnsi="Arial"/>
                <w:sz w:val="20"/>
                <w:szCs w:val="20"/>
                <w:color w:val="auto"/>
                <w:w w:val="89"/>
              </w:rPr>
              <w:t>50%</w:t>
            </w:r>
          </w:p>
        </w:tc>
        <w:tc>
          <w:tcPr>
            <w:tcW w:w="280" w:type="dxa"/>
            <w:vAlign w:val="bottom"/>
            <w:shd w:val="clear" w:color="auto" w:fill="E6E6E6"/>
          </w:tcPr>
          <w:p>
            <w:pPr>
              <w:jc w:val="right"/>
              <w:ind w:right="41"/>
              <w:spacing w:after="0"/>
              <w:rPr>
                <w:sz w:val="20"/>
                <w:szCs w:val="20"/>
                <w:color w:val="auto"/>
              </w:rPr>
            </w:pPr>
            <w:r>
              <w:rPr>
                <w:rFonts w:ascii="Arial" w:cs="Arial" w:eastAsia="Arial" w:hAnsi="Arial"/>
                <w:sz w:val="20"/>
                <w:szCs w:val="20"/>
                <w:color w:val="auto"/>
              </w:rPr>
              <w:t>$</w:t>
            </w:r>
          </w:p>
        </w:tc>
        <w:tc>
          <w:tcPr>
            <w:tcW w:w="19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w:t>
            </w:r>
          </w:p>
        </w:tc>
      </w:tr>
      <w:tr>
        <w:trPr>
          <w:trHeight w:val="292"/>
        </w:trPr>
        <w:tc>
          <w:tcPr>
            <w:tcW w:w="5920" w:type="dxa"/>
            <w:vAlign w:val="bottom"/>
          </w:tcPr>
          <w:p>
            <w:pPr>
              <w:ind w:left="180"/>
              <w:spacing w:after="0"/>
              <w:rPr>
                <w:sz w:val="20"/>
                <w:szCs w:val="20"/>
                <w:color w:val="auto"/>
              </w:rPr>
            </w:pPr>
            <w:r>
              <w:rPr>
                <w:rFonts w:ascii="Arial" w:cs="Arial" w:eastAsia="Arial" w:hAnsi="Arial"/>
                <w:sz w:val="20"/>
                <w:szCs w:val="20"/>
                <w:color w:val="auto"/>
                <w:w w:val="94"/>
              </w:rPr>
              <w:t xml:space="preserve">Desert Sunlight </w:t>
            </w:r>
            <w:r>
              <w:rPr>
                <w:rFonts w:ascii="Arial" w:cs="Arial" w:eastAsia="Arial" w:hAnsi="Arial"/>
                <w:sz w:val="20"/>
                <w:szCs w:val="20"/>
                <w:color w:val="BDBDBD"/>
                <w:w w:val="94"/>
              </w:rPr>
              <w:t>. . . . . . . . . . . . . . . . . . . . . . . . . . . . . . . . . . . . . . . . . .</w:t>
            </w:r>
          </w:p>
        </w:tc>
        <w:tc>
          <w:tcPr>
            <w:tcW w:w="2100" w:type="dxa"/>
            <w:vAlign w:val="bottom"/>
          </w:tcPr>
          <w:p>
            <w:pPr>
              <w:jc w:val="center"/>
              <w:ind w:right="123"/>
              <w:spacing w:after="0"/>
              <w:rPr>
                <w:sz w:val="20"/>
                <w:szCs w:val="20"/>
                <w:color w:val="auto"/>
              </w:rPr>
            </w:pPr>
            <w:r>
              <w:rPr>
                <w:rFonts w:ascii="Arial" w:cs="Arial" w:eastAsia="Arial" w:hAnsi="Arial"/>
                <w:sz w:val="20"/>
                <w:szCs w:val="20"/>
                <w:color w:val="auto"/>
                <w:w w:val="89"/>
              </w:rPr>
              <w:t>25%</w:t>
            </w:r>
          </w:p>
        </w:tc>
        <w:tc>
          <w:tcPr>
            <w:tcW w:w="28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20"/>
                <w:szCs w:val="20"/>
                <w:color w:val="auto"/>
              </w:rPr>
              <w:t>224</w:t>
            </w:r>
          </w:p>
        </w:tc>
      </w:tr>
      <w:tr>
        <w:trPr>
          <w:trHeight w:val="305"/>
        </w:trPr>
        <w:tc>
          <w:tcPr>
            <w:tcW w:w="5920" w:type="dxa"/>
            <w:vAlign w:val="bottom"/>
            <w:shd w:val="clear" w:color="auto" w:fill="E6E6E6"/>
          </w:tcPr>
          <w:p>
            <w:pPr>
              <w:ind w:left="180"/>
              <w:spacing w:after="0"/>
              <w:rPr>
                <w:sz w:val="20"/>
                <w:szCs w:val="20"/>
                <w:color w:val="auto"/>
              </w:rPr>
            </w:pPr>
            <w:r>
              <w:rPr>
                <w:rFonts w:ascii="Arial" w:cs="Arial" w:eastAsia="Arial" w:hAnsi="Arial"/>
                <w:sz w:val="20"/>
                <w:szCs w:val="20"/>
                <w:color w:val="auto"/>
                <w:w w:val="95"/>
              </w:rPr>
              <w:t xml:space="preserve">Elkhorn Ridge  </w:t>
            </w:r>
            <w:r>
              <w:rPr>
                <w:rFonts w:ascii="Arial" w:cs="Arial" w:eastAsia="Arial" w:hAnsi="Arial"/>
                <w:sz w:val="20"/>
                <w:szCs w:val="20"/>
                <w:color w:val="BDBDBD"/>
                <w:w w:val="95"/>
              </w:rPr>
              <w:t>. . . . . . . . . . . . . . . . . . . . . . . . . . . . . . . . . . . . . . . . . .</w:t>
            </w:r>
          </w:p>
        </w:tc>
        <w:tc>
          <w:tcPr>
            <w:tcW w:w="2100" w:type="dxa"/>
            <w:vAlign w:val="bottom"/>
            <w:shd w:val="clear" w:color="auto" w:fill="E6E6E6"/>
          </w:tcPr>
          <w:p>
            <w:pPr>
              <w:jc w:val="center"/>
              <w:ind w:right="123"/>
              <w:spacing w:after="0"/>
              <w:rPr>
                <w:sz w:val="20"/>
                <w:szCs w:val="20"/>
                <w:color w:val="auto"/>
              </w:rPr>
            </w:pPr>
            <w:r>
              <w:rPr>
                <w:rFonts w:ascii="Arial" w:cs="Arial" w:eastAsia="Arial" w:hAnsi="Arial"/>
                <w:sz w:val="20"/>
                <w:szCs w:val="20"/>
                <w:color w:val="auto"/>
                <w:w w:val="91"/>
              </w:rPr>
              <w:t>66.7%</w:t>
            </w:r>
          </w:p>
        </w:tc>
        <w:tc>
          <w:tcPr>
            <w:tcW w:w="280" w:type="dxa"/>
            <w:vAlign w:val="bottom"/>
            <w:shd w:val="clear" w:color="auto" w:fill="E6E6E6"/>
          </w:tcPr>
          <w:p>
            <w:pPr>
              <w:spacing w:after="0"/>
              <w:rPr>
                <w:sz w:val="24"/>
                <w:szCs w:val="24"/>
                <w:color w:val="auto"/>
              </w:rPr>
            </w:pPr>
          </w:p>
        </w:tc>
        <w:tc>
          <w:tcPr>
            <w:tcW w:w="19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15</w:t>
            </w:r>
          </w:p>
        </w:tc>
      </w:tr>
      <w:tr>
        <w:trPr>
          <w:trHeight w:val="298"/>
        </w:trPr>
        <w:tc>
          <w:tcPr>
            <w:tcW w:w="5920" w:type="dxa"/>
            <w:vAlign w:val="bottom"/>
          </w:tcPr>
          <w:p>
            <w:pPr>
              <w:ind w:left="180"/>
              <w:spacing w:after="0"/>
              <w:rPr>
                <w:sz w:val="20"/>
                <w:szCs w:val="20"/>
                <w:color w:val="auto"/>
              </w:rPr>
            </w:pPr>
            <w:r>
              <w:rPr>
                <w:rFonts w:ascii="Arial" w:cs="Arial" w:eastAsia="Arial" w:hAnsi="Arial"/>
                <w:sz w:val="20"/>
                <w:szCs w:val="20"/>
                <w:color w:val="auto"/>
                <w:w w:val="94"/>
              </w:rPr>
              <w:t xml:space="preserve">GenConn </w:t>
            </w:r>
            <w:r>
              <w:rPr>
                <w:rFonts w:ascii="Arial" w:cs="Arial" w:eastAsia="Arial" w:hAnsi="Arial"/>
                <w:sz w:val="25"/>
                <w:szCs w:val="25"/>
                <w:color w:val="auto"/>
                <w:w w:val="94"/>
                <w:vertAlign w:val="superscript"/>
              </w:rPr>
              <w:t>(a)</w:t>
            </w:r>
            <w:r>
              <w:rPr>
                <w:rFonts w:ascii="Arial" w:cs="Arial" w:eastAsia="Arial" w:hAnsi="Arial"/>
                <w:sz w:val="20"/>
                <w:szCs w:val="20"/>
                <w:color w:val="auto"/>
                <w:w w:val="94"/>
              </w:rPr>
              <w:t xml:space="preserve">  </w:t>
            </w:r>
            <w:r>
              <w:rPr>
                <w:rFonts w:ascii="Arial" w:cs="Arial" w:eastAsia="Arial" w:hAnsi="Arial"/>
                <w:sz w:val="20"/>
                <w:szCs w:val="20"/>
                <w:color w:val="BDBDBD"/>
                <w:w w:val="94"/>
              </w:rPr>
              <w:t>. . . . . . . . . . . . . . . . . . . . . . . . . . . . . . . . . . . . . . . . . . . .</w:t>
            </w:r>
          </w:p>
        </w:tc>
        <w:tc>
          <w:tcPr>
            <w:tcW w:w="2100" w:type="dxa"/>
            <w:vAlign w:val="bottom"/>
          </w:tcPr>
          <w:p>
            <w:pPr>
              <w:jc w:val="center"/>
              <w:ind w:right="123"/>
              <w:spacing w:after="0"/>
              <w:rPr>
                <w:sz w:val="20"/>
                <w:szCs w:val="20"/>
                <w:color w:val="auto"/>
              </w:rPr>
            </w:pPr>
            <w:r>
              <w:rPr>
                <w:rFonts w:ascii="Arial" w:cs="Arial" w:eastAsia="Arial" w:hAnsi="Arial"/>
                <w:sz w:val="20"/>
                <w:szCs w:val="20"/>
                <w:color w:val="auto"/>
                <w:w w:val="89"/>
              </w:rPr>
              <w:t>50%</w:t>
            </w:r>
          </w:p>
        </w:tc>
        <w:tc>
          <w:tcPr>
            <w:tcW w:w="28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20"/>
                <w:szCs w:val="20"/>
                <w:color w:val="auto"/>
              </w:rPr>
              <w:t>79</w:t>
            </w:r>
          </w:p>
        </w:tc>
      </w:tr>
      <w:tr>
        <w:trPr>
          <w:trHeight w:val="298"/>
        </w:trPr>
        <w:tc>
          <w:tcPr>
            <w:tcW w:w="5920" w:type="dxa"/>
            <w:vAlign w:val="bottom"/>
            <w:shd w:val="clear" w:color="auto" w:fill="E6E6E6"/>
          </w:tcPr>
          <w:p>
            <w:pPr>
              <w:ind w:left="180"/>
              <w:spacing w:after="0"/>
              <w:rPr>
                <w:sz w:val="20"/>
                <w:szCs w:val="20"/>
                <w:color w:val="auto"/>
              </w:rPr>
            </w:pPr>
            <w:r>
              <w:rPr>
                <w:rFonts w:ascii="Arial" w:cs="Arial" w:eastAsia="Arial" w:hAnsi="Arial"/>
                <w:sz w:val="20"/>
                <w:szCs w:val="20"/>
                <w:color w:val="auto"/>
                <w:w w:val="93"/>
              </w:rPr>
              <w:t xml:space="preserve">Rosie Central BESS </w:t>
            </w:r>
            <w:r>
              <w:rPr>
                <w:rFonts w:ascii="Arial" w:cs="Arial" w:eastAsia="Arial" w:hAnsi="Arial"/>
                <w:sz w:val="25"/>
                <w:szCs w:val="25"/>
                <w:color w:val="auto"/>
                <w:w w:val="93"/>
                <w:vertAlign w:val="superscript"/>
              </w:rPr>
              <w:t>(a)</w:t>
            </w:r>
            <w:r>
              <w:rPr>
                <w:rFonts w:ascii="Arial" w:cs="Arial" w:eastAsia="Arial" w:hAnsi="Arial"/>
                <w:sz w:val="20"/>
                <w:szCs w:val="20"/>
                <w:color w:val="auto"/>
                <w:w w:val="93"/>
              </w:rPr>
              <w:t xml:space="preserve">  </w:t>
            </w:r>
            <w:r>
              <w:rPr>
                <w:rFonts w:ascii="Arial" w:cs="Arial" w:eastAsia="Arial" w:hAnsi="Arial"/>
                <w:sz w:val="20"/>
                <w:szCs w:val="20"/>
                <w:color w:val="BDBDBD"/>
                <w:w w:val="93"/>
              </w:rPr>
              <w:t>. . . . . . . . . . . . . . . . . . . . . . . . . . . . . . . . . . . .</w:t>
            </w:r>
          </w:p>
        </w:tc>
        <w:tc>
          <w:tcPr>
            <w:tcW w:w="2100" w:type="dxa"/>
            <w:vAlign w:val="bottom"/>
            <w:shd w:val="clear" w:color="auto" w:fill="E6E6E6"/>
          </w:tcPr>
          <w:p>
            <w:pPr>
              <w:jc w:val="center"/>
              <w:ind w:right="123"/>
              <w:spacing w:after="0"/>
              <w:rPr>
                <w:sz w:val="20"/>
                <w:szCs w:val="20"/>
                <w:color w:val="auto"/>
              </w:rPr>
            </w:pPr>
            <w:r>
              <w:rPr>
                <w:rFonts w:ascii="Arial" w:cs="Arial" w:eastAsia="Arial" w:hAnsi="Arial"/>
                <w:sz w:val="20"/>
                <w:szCs w:val="20"/>
                <w:color w:val="auto"/>
                <w:w w:val="89"/>
              </w:rPr>
              <w:t>50%</w:t>
            </w:r>
          </w:p>
        </w:tc>
        <w:tc>
          <w:tcPr>
            <w:tcW w:w="280" w:type="dxa"/>
            <w:vAlign w:val="bottom"/>
            <w:shd w:val="clear" w:color="auto" w:fill="E6E6E6"/>
          </w:tcPr>
          <w:p>
            <w:pPr>
              <w:spacing w:after="0"/>
              <w:rPr>
                <w:sz w:val="24"/>
                <w:szCs w:val="24"/>
                <w:color w:val="auto"/>
              </w:rPr>
            </w:pPr>
          </w:p>
        </w:tc>
        <w:tc>
          <w:tcPr>
            <w:tcW w:w="19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28</w:t>
            </w:r>
          </w:p>
        </w:tc>
      </w:tr>
      <w:tr>
        <w:trPr>
          <w:trHeight w:val="289"/>
        </w:trPr>
        <w:tc>
          <w:tcPr>
            <w:tcW w:w="5920" w:type="dxa"/>
            <w:vAlign w:val="bottom"/>
            <w:tcBorders>
              <w:bottom w:val="single" w:sz="8" w:color="E6E6E6"/>
            </w:tcBorders>
          </w:tcPr>
          <w:p>
            <w:pPr>
              <w:ind w:left="180"/>
              <w:spacing w:after="0"/>
              <w:rPr>
                <w:sz w:val="20"/>
                <w:szCs w:val="20"/>
                <w:color w:val="auto"/>
              </w:rPr>
            </w:pPr>
            <w:r>
              <w:rPr>
                <w:rFonts w:ascii="Arial" w:cs="Arial" w:eastAsia="Arial" w:hAnsi="Arial"/>
                <w:sz w:val="20"/>
                <w:szCs w:val="20"/>
                <w:color w:val="auto"/>
                <w:w w:val="94"/>
              </w:rPr>
              <w:t xml:space="preserve">San Juan Mesa </w:t>
            </w:r>
            <w:r>
              <w:rPr>
                <w:rFonts w:ascii="Arial" w:cs="Arial" w:eastAsia="Arial" w:hAnsi="Arial"/>
                <w:sz w:val="20"/>
                <w:szCs w:val="20"/>
                <w:color w:val="BDBDBD"/>
                <w:w w:val="94"/>
              </w:rPr>
              <w:t>. . . . . . . . . . . . . . . . . . . . . . . . . . . . . . . . . . . . . . . . . .</w:t>
            </w:r>
          </w:p>
        </w:tc>
        <w:tc>
          <w:tcPr>
            <w:tcW w:w="2100" w:type="dxa"/>
            <w:vAlign w:val="bottom"/>
            <w:tcBorders>
              <w:bottom w:val="single" w:sz="8" w:color="E6E6E6"/>
            </w:tcBorders>
          </w:tcPr>
          <w:p>
            <w:pPr>
              <w:jc w:val="center"/>
              <w:ind w:right="123"/>
              <w:spacing w:after="0"/>
              <w:rPr>
                <w:sz w:val="20"/>
                <w:szCs w:val="20"/>
                <w:color w:val="auto"/>
              </w:rPr>
            </w:pPr>
            <w:r>
              <w:rPr>
                <w:rFonts w:ascii="Arial" w:cs="Arial" w:eastAsia="Arial" w:hAnsi="Arial"/>
                <w:sz w:val="20"/>
                <w:szCs w:val="20"/>
                <w:color w:val="auto"/>
                <w:w w:val="89"/>
              </w:rPr>
              <w:t>75%</w:t>
            </w:r>
          </w:p>
        </w:tc>
        <w:tc>
          <w:tcPr>
            <w:tcW w:w="2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w:t>
            </w:r>
          </w:p>
        </w:tc>
      </w:tr>
      <w:tr>
        <w:trPr>
          <w:trHeight w:val="298"/>
        </w:trPr>
        <w:tc>
          <w:tcPr>
            <w:tcW w:w="5920" w:type="dxa"/>
            <w:vAlign w:val="bottom"/>
            <w:tcBorders>
              <w:bottom w:val="single" w:sz="8" w:color="E6E6E6"/>
            </w:tcBorders>
            <w:shd w:val="clear" w:color="auto" w:fill="E6E6E6"/>
          </w:tcPr>
          <w:p>
            <w:pPr>
              <w:spacing w:after="0"/>
              <w:rPr>
                <w:sz w:val="24"/>
                <w:szCs w:val="24"/>
                <w:color w:val="auto"/>
              </w:rPr>
            </w:pPr>
          </w:p>
        </w:tc>
        <w:tc>
          <w:tcPr>
            <w:tcW w:w="210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auto"/>
            </w:tcBorders>
            <w:shd w:val="clear" w:color="auto" w:fill="E6E6E6"/>
          </w:tcPr>
          <w:p>
            <w:pPr>
              <w:jc w:val="right"/>
              <w:ind w:right="41"/>
              <w:spacing w:after="0"/>
              <w:rPr>
                <w:sz w:val="20"/>
                <w:szCs w:val="20"/>
                <w:color w:val="auto"/>
              </w:rPr>
            </w:pPr>
            <w:r>
              <w:rPr>
                <w:rFonts w:ascii="Arial" w:cs="Arial" w:eastAsia="Arial" w:hAnsi="Arial"/>
                <w:sz w:val="20"/>
                <w:szCs w:val="20"/>
                <w:color w:val="auto"/>
              </w:rPr>
              <w:t>$</w:t>
            </w:r>
          </w:p>
        </w:tc>
        <w:tc>
          <w:tcPr>
            <w:tcW w:w="19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-220345</wp:posOffset>
            </wp:positionV>
            <wp:extent cx="1418590"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176">
                      <a:extLst>
                        <a:ext uri="{28A0092B-C50C-407E-A947-70E740481C1C}"/>
                      </a:extLst>
                    </a:blip>
                    <a:srcRect/>
                    <a:stretch>
                      <a:fillRect/>
                    </a:stretch>
                  </pic:blipFill>
                  <pic:spPr bwMode="auto">
                    <a:xfrm>
                      <a:off x="0" y="0"/>
                      <a:ext cx="1418590" cy="25400"/>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-43815</wp:posOffset>
            </wp:positionV>
            <wp:extent cx="1418590" cy="508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177">
                      <a:extLst>
                        <a:ext uri="{28A0092B-C50C-407E-A947-70E740481C1C}"/>
                      </a:extLst>
                    </a:blip>
                    <a:srcRect/>
                    <a:stretch>
                      <a:fillRect/>
                    </a:stretch>
                  </pic:blipFill>
                  <pic:spPr bwMode="auto">
                    <a:xfrm>
                      <a:off x="0" y="0"/>
                      <a:ext cx="1418590" cy="508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-2540</wp:posOffset>
                </wp:positionH>
                <wp:positionV relativeFrom="paragraph">
                  <wp:posOffset>91440</wp:posOffset>
                </wp:positionV>
                <wp:extent cx="1259840" cy="0"/>
                <wp:wrapNone/>
                <wp:docPr id="231" name="Shape 2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598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31" o:spid="_x0000_s12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7.2pt" to="99pt,7.2pt" o:allowincell="f" strokecolor="#000000" strokeweight="1pt"/>
            </w:pict>
          </mc:Fallback>
        </mc:AlternateContent>
      </w:r>
    </w:p>
    <w:p>
      <w:pPr>
        <w:spacing w:after="0" w:line="117" w:lineRule="exact"/>
        <w:rPr>
          <w:sz w:val="20"/>
          <w:szCs w:val="20"/>
          <w:color w:val="auto"/>
        </w:rPr>
      </w:pPr>
    </w:p>
    <w:p>
      <w:pPr>
        <w:ind w:left="300" w:hanging="215"/>
        <w:spacing w:after="0"/>
        <w:tabs>
          <w:tab w:leader="none" w:pos="300" w:val="left"/>
        </w:tabs>
        <w:numPr>
          <w:ilvl w:val="0"/>
          <w:numId w:val="61"/>
        </w:numPr>
        <w:rPr>
          <w:rFonts w:ascii="Arial" w:cs="Arial" w:eastAsia="Arial" w:hAnsi="Arial"/>
          <w:sz w:val="26"/>
          <w:szCs w:val="26"/>
          <w:color w:val="auto"/>
          <w:vertAlign w:val="superscript"/>
        </w:rPr>
      </w:pPr>
      <w:r>
        <w:rPr>
          <w:rFonts w:ascii="Arial" w:cs="Arial" w:eastAsia="Arial" w:hAnsi="Arial"/>
          <w:sz w:val="18"/>
          <w:szCs w:val="18"/>
          <w:color w:val="auto"/>
        </w:rPr>
        <w:t>GenConn and Rosie Central BESS are variable interest entities.</w:t>
      </w:r>
    </w:p>
    <w:p>
      <w:pPr>
        <w:spacing w:after="0" w:line="164" w:lineRule="exact"/>
        <w:rPr>
          <w:sz w:val="20"/>
          <w:szCs w:val="20"/>
          <w:color w:val="auto"/>
        </w:rPr>
      </w:pPr>
    </w:p>
    <w:p>
      <w:pPr>
        <w:jc w:val="both"/>
        <w:ind w:firstLine="448"/>
        <w:spacing w:after="0" w:line="280" w:lineRule="auto"/>
        <w:rPr>
          <w:sz w:val="20"/>
          <w:szCs w:val="20"/>
          <w:color w:val="auto"/>
        </w:rPr>
      </w:pPr>
      <w:r>
        <w:rPr>
          <w:rFonts w:ascii="Arial" w:cs="Arial" w:eastAsia="Arial" w:hAnsi="Arial"/>
          <w:sz w:val="20"/>
          <w:szCs w:val="20"/>
          <w:color w:val="auto"/>
        </w:rPr>
        <w:t>As of December 31, 2023 and 2022, the Company had $17 million and $19 million, respectively, of undistributed earnings from its equity method investments.</w:t>
      </w:r>
    </w:p>
    <w:p>
      <w:pPr>
        <w:spacing w:after="0" w:line="120" w:lineRule="exact"/>
        <w:rPr>
          <w:sz w:val="20"/>
          <w:szCs w:val="20"/>
          <w:color w:val="auto"/>
        </w:rPr>
      </w:pPr>
    </w:p>
    <w:p>
      <w:pPr>
        <w:jc w:val="both"/>
        <w:ind w:firstLine="448"/>
        <w:spacing w:after="0" w:line="273" w:lineRule="auto"/>
        <w:rPr>
          <w:sz w:val="20"/>
          <w:szCs w:val="20"/>
          <w:color w:val="auto"/>
        </w:rPr>
      </w:pPr>
      <w:r>
        <w:rPr>
          <w:rFonts w:ascii="Arial" w:cs="Arial" w:eastAsia="Arial" w:hAnsi="Arial"/>
          <w:sz w:val="19"/>
          <w:szCs w:val="19"/>
          <w:color w:val="auto"/>
        </w:rPr>
        <w:t>The Company acquired its interest in Desert Sunlight on June 30, 2015, for $285 million, which resulted in a difference between the purchase price and the basis of the acquired assets and liabilities of $181 million. The difference is attributable to the fair value of the property, plant and equipment and power purchase agreements. The Company is amortizing the related basis differences to equity in earnings of unconsolidated subsidiaries over the related useful life of the underlying assets acquired. As of December 31, 2023, the carrying value of the basis difference is $122 million.</w:t>
      </w:r>
    </w:p>
    <w:p>
      <w:pPr>
        <w:spacing w:after="0" w:line="130" w:lineRule="exact"/>
        <w:rPr>
          <w:sz w:val="20"/>
          <w:szCs w:val="20"/>
          <w:color w:val="auto"/>
        </w:rPr>
      </w:pPr>
    </w:p>
    <w:p>
      <w:pPr>
        <w:jc w:val="both"/>
        <w:ind w:firstLine="448"/>
        <w:spacing w:after="0" w:line="280" w:lineRule="auto"/>
        <w:rPr>
          <w:sz w:val="20"/>
          <w:szCs w:val="20"/>
          <w:color w:val="auto"/>
        </w:rPr>
      </w:pPr>
      <w:r>
        <w:rPr>
          <w:rFonts w:ascii="Arial" w:cs="Arial" w:eastAsia="Arial" w:hAnsi="Arial"/>
          <w:sz w:val="20"/>
          <w:szCs w:val="20"/>
          <w:color w:val="auto"/>
        </w:rPr>
        <w:t>The Company’s pro-rata share of non-recourse debt held by unconsolidated affiliates was $303 million as of December 31, 2023.</w:t>
      </w:r>
    </w:p>
    <w:p>
      <w:pPr>
        <w:spacing w:after="0" w:line="115" w:lineRule="exact"/>
        <w:rPr>
          <w:sz w:val="20"/>
          <w:szCs w:val="20"/>
          <w:color w:val="auto"/>
        </w:rPr>
      </w:pPr>
    </w:p>
    <w:p>
      <w:pPr>
        <w:jc w:val="both"/>
        <w:ind w:firstLine="448"/>
        <w:spacing w:after="0" w:line="284" w:lineRule="auto"/>
        <w:rPr>
          <w:sz w:val="20"/>
          <w:szCs w:val="20"/>
          <w:color w:val="auto"/>
        </w:rPr>
      </w:pPr>
      <w:r>
        <w:rPr>
          <w:rFonts w:ascii="Arial" w:cs="Arial" w:eastAsia="Arial" w:hAnsi="Arial"/>
          <w:sz w:val="18"/>
          <w:szCs w:val="18"/>
          <w:b w:val="1"/>
          <w:bCs w:val="1"/>
          <w:i w:val="1"/>
          <w:iCs w:val="1"/>
          <w:color w:val="auto"/>
        </w:rPr>
        <w:t xml:space="preserve">Rosie Central BESS </w:t>
      </w:r>
      <w:r>
        <w:rPr>
          <w:rFonts w:ascii="Arial" w:cs="Arial" w:eastAsia="Arial" w:hAnsi="Arial"/>
          <w:sz w:val="18"/>
          <w:szCs w:val="18"/>
          <w:color w:val="auto"/>
        </w:rPr>
        <w:t>— On June 30, 2023, the Company, through its indirect subsidiary, Rosie Class B LLC, the indirect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owner of the Rosamond Central solar project, became the owner of the Class B membership interests of Rosie Central BESS in order to facilitate and fund the construction of a BESS project that is co-located at the Rosamond Central solar facility. Clearway Renew indirectly owns the Class A membership interests and controls Rosie Central BESS. The Company accounts for its investment in Rosie Central BESS as an equity method investment. As of December 31, 2023, the Company’s investment consisted of $28 million contributed into Rosie Central BESS, funded through contributions from the Company and its cash equity investor in Rosie TargetCo LLC, which consolidates Rosie Class B LLC. On December 1, 2023, the Rosamond Central solar project acquired the BESS project from Clearway Renew, as further discussed in Note 3, </w:t>
      </w:r>
      <w:r>
        <w:rPr>
          <w:rFonts w:ascii="Arial" w:cs="Arial" w:eastAsia="Arial" w:hAnsi="Arial"/>
          <w:sz w:val="18"/>
          <w:szCs w:val="18"/>
          <w:b w:val="1"/>
          <w:bCs w:val="1"/>
          <w:i w:val="1"/>
          <w:iCs w:val="1"/>
          <w:color w:val="auto"/>
        </w:rPr>
        <w:t>Acquisitions and Dispositions</w:t>
      </w:r>
      <w:r>
        <w:rPr>
          <w:rFonts w:ascii="Arial" w:cs="Arial" w:eastAsia="Arial" w:hAnsi="Arial"/>
          <w:sz w:val="18"/>
          <w:szCs w:val="18"/>
          <w:color w:val="auto"/>
        </w:rPr>
        <w:t>. When the BESS project reaches substantial completion, which is expected to occur in the first half of 2024, Clearway Renew will return Rosie Class B LLC’s equity investment.</w:t>
      </w:r>
    </w:p>
    <w:p>
      <w:pPr>
        <w:sectPr>
          <w:pgSz w:w="11880" w:h="15480" w:orient="portrait"/>
          <w:cols w:equalWidth="0" w:num="1">
            <w:col w:w="10200"/>
          </w:cols>
          <w:pgMar w:left="840" w:top="411"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ectPr>
          <w:pgSz w:w="11880" w:h="15480" w:orient="portrait"/>
          <w:cols w:equalWidth="0" w:num="1">
            <w:col w:w="10200"/>
          </w:cols>
          <w:pgMar w:left="840" w:top="411" w:right="840" w:bottom="0" w:gutter="0" w:footer="0" w:header="0"/>
          <w:type w:val="continuous"/>
        </w:sectPr>
      </w:pPr>
    </w:p>
    <w:bookmarkStart w:id="99" w:name="page100"/>
    <w:bookmarkEnd w:id="99"/>
    <w:p>
      <w:pPr>
        <w:ind w:left="440"/>
        <w:spacing w:after="0"/>
        <w:rPr>
          <w:sz w:val="20"/>
          <w:szCs w:val="20"/>
          <w:color w:val="auto"/>
        </w:rPr>
      </w:pPr>
      <w:r>
        <w:rPr>
          <w:rFonts w:ascii="Arial" w:cs="Arial" w:eastAsia="Arial" w:hAnsi="Arial"/>
          <w:sz w:val="20"/>
          <w:szCs w:val="20"/>
          <w:color w:val="auto"/>
        </w:rPr>
        <w:t>The following tables present summarized financial information for the Company’s equity method investments: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4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6"/>
                <w:szCs w:val="16"/>
                <w:b w:val="1"/>
                <w:bCs w:val="1"/>
                <w:color w:val="auto"/>
                <w:w w:val="91"/>
              </w:rPr>
              <w:t>Year Ended December 31,</w:t>
            </w:r>
          </w:p>
        </w:tc>
        <w:tc>
          <w:tcPr>
            <w:tcW w:w="940" w:type="dxa"/>
            <w:vAlign w:val="bottom"/>
            <w:tcBorders>
              <w:bottom w:val="single" w:sz="8" w:color="auto"/>
            </w:tcBorders>
          </w:tcPr>
          <w:p>
            <w:pPr>
              <w:spacing w:after="0"/>
              <w:rPr>
                <w:sz w:val="18"/>
                <w:szCs w:val="18"/>
                <w:color w:val="auto"/>
              </w:rPr>
            </w:pPr>
          </w:p>
        </w:tc>
      </w:tr>
      <w:tr>
        <w:trPr>
          <w:trHeight w:val="234"/>
        </w:trPr>
        <w:tc>
          <w:tcPr>
            <w:tcW w:w="5840" w:type="dxa"/>
            <w:vAlign w:val="bottom"/>
          </w:tcPr>
          <w:p>
            <w:pPr>
              <w:spacing w:after="0"/>
              <w:rPr>
                <w:sz w:val="20"/>
                <w:szCs w:val="20"/>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52"/>
              <w:spacing w:after="0"/>
              <w:rPr>
                <w:sz w:val="20"/>
                <w:szCs w:val="20"/>
                <w:color w:val="auto"/>
              </w:rPr>
            </w:pPr>
            <w:r>
              <w:rPr>
                <w:rFonts w:ascii="Arial" w:cs="Arial" w:eastAsia="Arial" w:hAnsi="Arial"/>
                <w:sz w:val="16"/>
                <w:szCs w:val="16"/>
                <w:b w:val="1"/>
                <w:bCs w:val="1"/>
                <w:color w:val="auto"/>
                <w:w w:val="89"/>
              </w:rPr>
              <w:t>2022</w:t>
            </w:r>
          </w:p>
        </w:tc>
        <w:tc>
          <w:tcPr>
            <w:tcW w:w="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2021</w:t>
            </w:r>
          </w:p>
        </w:tc>
      </w:tr>
      <w:tr>
        <w:trPr>
          <w:trHeight w:val="236"/>
        </w:trPr>
        <w:tc>
          <w:tcPr>
            <w:tcW w:w="5840" w:type="dxa"/>
            <w:vAlign w:val="bottom"/>
          </w:tcPr>
          <w:p>
            <w:pPr>
              <w:ind w:left="40"/>
              <w:spacing w:after="0"/>
              <w:rPr>
                <w:sz w:val="20"/>
                <w:szCs w:val="20"/>
                <w:color w:val="auto"/>
              </w:rPr>
            </w:pPr>
            <w:r>
              <w:rPr>
                <w:rFonts w:ascii="Arial" w:cs="Arial" w:eastAsia="Arial" w:hAnsi="Arial"/>
                <w:sz w:val="18"/>
                <w:szCs w:val="18"/>
                <w:b w:val="1"/>
                <w:bCs w:val="1"/>
                <w:color w:val="auto"/>
              </w:rPr>
              <w:t>Income Statement Data:</w:t>
            </w: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center"/>
              <w:ind w:right="72"/>
              <w:spacing w:after="0"/>
              <w:rPr>
                <w:sz w:val="20"/>
                <w:szCs w:val="20"/>
                <w:color w:val="auto"/>
              </w:rPr>
            </w:pPr>
            <w:r>
              <w:rPr>
                <w:rFonts w:ascii="Arial" w:cs="Arial" w:eastAsia="Arial" w:hAnsi="Arial"/>
                <w:sz w:val="16"/>
                <w:szCs w:val="16"/>
                <w:b w:val="1"/>
                <w:bCs w:val="1"/>
                <w:color w:val="auto"/>
                <w:w w:val="93"/>
              </w:rPr>
              <w:t>(In millions)</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61"/>
        </w:trPr>
        <w:tc>
          <w:tcPr>
            <w:tcW w:w="5840" w:type="dxa"/>
            <w:vAlign w:val="bottom"/>
            <w:shd w:val="clear" w:color="auto" w:fill="E6E6E6"/>
          </w:tcPr>
          <w:p>
            <w:pPr>
              <w:ind w:left="40"/>
              <w:spacing w:after="0"/>
              <w:rPr>
                <w:sz w:val="20"/>
                <w:szCs w:val="20"/>
                <w:color w:val="auto"/>
              </w:rPr>
            </w:pPr>
            <w:r>
              <w:rPr>
                <w:rFonts w:ascii="Arial" w:cs="Arial" w:eastAsia="Arial" w:hAnsi="Arial"/>
                <w:sz w:val="18"/>
                <w:szCs w:val="18"/>
                <w:b w:val="1"/>
                <w:bCs w:val="1"/>
                <w:color w:val="auto"/>
              </w:rPr>
              <w:t>GenConn</w:t>
            </w:r>
          </w:p>
        </w:tc>
        <w:tc>
          <w:tcPr>
            <w:tcW w:w="1040" w:type="dxa"/>
            <w:vAlign w:val="bottom"/>
            <w:shd w:val="clear" w:color="auto" w:fill="E6E6E6"/>
          </w:tcPr>
          <w:p>
            <w:pPr>
              <w:spacing w:after="0"/>
              <w:rPr>
                <w:sz w:val="22"/>
                <w:szCs w:val="22"/>
                <w:color w:val="auto"/>
              </w:rPr>
            </w:pPr>
          </w:p>
        </w:tc>
        <w:tc>
          <w:tcPr>
            <w:tcW w:w="34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220" w:type="dxa"/>
            <w:vAlign w:val="bottom"/>
            <w:shd w:val="clear" w:color="auto" w:fill="E6E6E6"/>
          </w:tcPr>
          <w:p>
            <w:pPr>
              <w:spacing w:after="0"/>
              <w:rPr>
                <w:sz w:val="22"/>
                <w:szCs w:val="22"/>
                <w:color w:val="auto"/>
              </w:rPr>
            </w:pPr>
          </w:p>
        </w:tc>
        <w:tc>
          <w:tcPr>
            <w:tcW w:w="120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480" w:type="dxa"/>
            <w:vAlign w:val="bottom"/>
            <w:shd w:val="clear" w:color="auto" w:fill="E6E6E6"/>
          </w:tcPr>
          <w:p>
            <w:pPr>
              <w:spacing w:after="0"/>
              <w:rPr>
                <w:sz w:val="22"/>
                <w:szCs w:val="22"/>
                <w:color w:val="auto"/>
              </w:rPr>
            </w:pPr>
          </w:p>
        </w:tc>
        <w:tc>
          <w:tcPr>
            <w:tcW w:w="940" w:type="dxa"/>
            <w:vAlign w:val="bottom"/>
            <w:shd w:val="clear" w:color="auto" w:fill="E6E6E6"/>
          </w:tcPr>
          <w:p>
            <w:pPr>
              <w:spacing w:after="0"/>
              <w:rPr>
                <w:sz w:val="22"/>
                <w:szCs w:val="22"/>
                <w:color w:val="auto"/>
              </w:rPr>
            </w:pPr>
          </w:p>
        </w:tc>
      </w:tr>
      <w:tr>
        <w:trPr>
          <w:trHeight w:val="254"/>
        </w:trPr>
        <w:tc>
          <w:tcPr>
            <w:tcW w:w="5840" w:type="dxa"/>
            <w:vAlign w:val="bottom"/>
          </w:tcPr>
          <w:p>
            <w:pPr>
              <w:ind w:left="40"/>
              <w:spacing w:after="0"/>
              <w:rPr>
                <w:sz w:val="20"/>
                <w:szCs w:val="20"/>
                <w:color w:val="auto"/>
              </w:rPr>
            </w:pPr>
            <w:r>
              <w:rPr>
                <w:rFonts w:ascii="Arial" w:cs="Arial" w:eastAsia="Arial" w:hAnsi="Arial"/>
                <w:sz w:val="20"/>
                <w:szCs w:val="20"/>
                <w:color w:val="auto"/>
                <w:w w:val="89"/>
              </w:rPr>
              <w:t xml:space="preserve">Operating revenues </w:t>
            </w:r>
            <w:r>
              <w:rPr>
                <w:rFonts w:ascii="Arial" w:cs="Arial" w:eastAsia="Arial" w:hAnsi="Arial"/>
                <w:sz w:val="20"/>
                <w:szCs w:val="20"/>
                <w:color w:val="BDBDBD"/>
                <w:w w:val="89"/>
              </w:rPr>
              <w:t>. . . . . . . . . . . . . . . . . . . . . . . . . . . . . . . . . . . . . . . . . .</w:t>
            </w:r>
          </w:p>
        </w:tc>
        <w:tc>
          <w:tcPr>
            <w:tcW w:w="104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51</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50</w:t>
            </w: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54"/>
        </w:trPr>
        <w:tc>
          <w:tcPr>
            <w:tcW w:w="5840" w:type="dxa"/>
            <w:vAlign w:val="bottom"/>
            <w:shd w:val="clear" w:color="auto" w:fill="E6E6E6"/>
          </w:tcPr>
          <w:p>
            <w:pPr>
              <w:ind w:left="40"/>
              <w:spacing w:after="0"/>
              <w:rPr>
                <w:sz w:val="20"/>
                <w:szCs w:val="20"/>
                <w:color w:val="auto"/>
              </w:rPr>
            </w:pPr>
            <w:r>
              <w:rPr>
                <w:rFonts w:ascii="Arial" w:cs="Arial" w:eastAsia="Arial" w:hAnsi="Arial"/>
                <w:sz w:val="20"/>
                <w:szCs w:val="20"/>
                <w:color w:val="auto"/>
                <w:w w:val="90"/>
              </w:rPr>
              <w:t xml:space="preserve">Operating income </w:t>
            </w:r>
            <w:r>
              <w:rPr>
                <w:rFonts w:ascii="Arial" w:cs="Arial" w:eastAsia="Arial" w:hAnsi="Arial"/>
                <w:sz w:val="20"/>
                <w:szCs w:val="20"/>
                <w:color w:val="BDBDBD"/>
                <w:w w:val="90"/>
              </w:rPr>
              <w:t>. . . . . . . . . . . . . . . . . . . . . . . . . . . . . . . . . . . . . . . . . . .</w:t>
            </w:r>
          </w:p>
        </w:tc>
        <w:tc>
          <w:tcPr>
            <w:tcW w:w="1040" w:type="dxa"/>
            <w:vAlign w:val="bottom"/>
            <w:shd w:val="clear" w:color="auto" w:fill="E6E6E6"/>
          </w:tcPr>
          <w:p>
            <w:pPr>
              <w:spacing w:after="0"/>
              <w:rPr>
                <w:sz w:val="22"/>
                <w:szCs w:val="22"/>
                <w:color w:val="auto"/>
              </w:rPr>
            </w:pPr>
          </w:p>
        </w:tc>
        <w:tc>
          <w:tcPr>
            <w:tcW w:w="3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E6E6E6"/>
          </w:tcPr>
          <w:p>
            <w:pPr>
              <w:spacing w:after="0"/>
              <w:rPr>
                <w:sz w:val="22"/>
                <w:szCs w:val="22"/>
                <w:color w:val="auto"/>
              </w:rPr>
            </w:pPr>
          </w:p>
        </w:tc>
        <w:tc>
          <w:tcPr>
            <w:tcW w:w="220" w:type="dxa"/>
            <w:vAlign w:val="bottom"/>
            <w:shd w:val="clear" w:color="auto" w:fill="E6E6E6"/>
          </w:tcPr>
          <w:p>
            <w:pPr>
              <w:spacing w:after="0"/>
              <w:rPr>
                <w:sz w:val="22"/>
                <w:szCs w:val="22"/>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E6E6E6"/>
          </w:tcPr>
          <w:p>
            <w:pPr>
              <w:spacing w:after="0"/>
              <w:rPr>
                <w:sz w:val="22"/>
                <w:szCs w:val="22"/>
                <w:color w:val="auto"/>
              </w:rPr>
            </w:pPr>
          </w:p>
        </w:tc>
        <w:tc>
          <w:tcPr>
            <w:tcW w:w="480" w:type="dxa"/>
            <w:vAlign w:val="bottom"/>
            <w:shd w:val="clear" w:color="auto" w:fill="E6E6E6"/>
          </w:tcPr>
          <w:p>
            <w:pPr>
              <w:spacing w:after="0"/>
              <w:rPr>
                <w:sz w:val="22"/>
                <w:szCs w:val="22"/>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22</w:t>
            </w:r>
          </w:p>
        </w:tc>
      </w:tr>
      <w:tr>
        <w:trPr>
          <w:trHeight w:val="254"/>
        </w:trPr>
        <w:tc>
          <w:tcPr>
            <w:tcW w:w="5840" w:type="dxa"/>
            <w:vAlign w:val="bottom"/>
          </w:tcPr>
          <w:p>
            <w:pPr>
              <w:ind w:left="40"/>
              <w:spacing w:after="0"/>
              <w:rPr>
                <w:sz w:val="20"/>
                <w:szCs w:val="20"/>
                <w:color w:val="auto"/>
              </w:rPr>
            </w:pPr>
            <w:r>
              <w:rPr>
                <w:rFonts w:ascii="Arial" w:cs="Arial" w:eastAsia="Arial" w:hAnsi="Arial"/>
                <w:sz w:val="20"/>
                <w:szCs w:val="20"/>
                <w:color w:val="auto"/>
                <w:w w:val="91"/>
              </w:rPr>
              <w:t xml:space="preserve">Net income </w:t>
            </w:r>
            <w:r>
              <w:rPr>
                <w:rFonts w:ascii="Arial" w:cs="Arial" w:eastAsia="Arial" w:hAnsi="Arial"/>
                <w:sz w:val="20"/>
                <w:szCs w:val="20"/>
                <w:color w:val="BDBDBD"/>
                <w:w w:val="91"/>
              </w:rPr>
              <w:t>. . . . . . . . . . . . . . . . . . . . . . . . . . . . . . . . . . . . . . . . . . . . . . . .</w:t>
            </w:r>
          </w:p>
        </w:tc>
        <w:tc>
          <w:tcPr>
            <w:tcW w:w="104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54"/>
        </w:trPr>
        <w:tc>
          <w:tcPr>
            <w:tcW w:w="5840" w:type="dxa"/>
            <w:vAlign w:val="bottom"/>
            <w:shd w:val="clear" w:color="auto" w:fill="E6E6E6"/>
          </w:tcPr>
          <w:p>
            <w:pPr>
              <w:ind w:left="40"/>
              <w:spacing w:after="0"/>
              <w:rPr>
                <w:sz w:val="20"/>
                <w:szCs w:val="20"/>
                <w:color w:val="auto"/>
              </w:rPr>
            </w:pPr>
            <w:r>
              <w:rPr>
                <w:rFonts w:ascii="Arial" w:cs="Arial" w:eastAsia="Arial" w:hAnsi="Arial"/>
                <w:sz w:val="18"/>
                <w:szCs w:val="18"/>
                <w:b w:val="1"/>
                <w:bCs w:val="1"/>
                <w:color w:val="auto"/>
              </w:rPr>
              <w:t>Desert Sunlight</w:t>
            </w:r>
          </w:p>
        </w:tc>
        <w:tc>
          <w:tcPr>
            <w:tcW w:w="1040" w:type="dxa"/>
            <w:vAlign w:val="bottom"/>
            <w:shd w:val="clear" w:color="auto" w:fill="E6E6E6"/>
          </w:tcPr>
          <w:p>
            <w:pPr>
              <w:spacing w:after="0"/>
              <w:rPr>
                <w:sz w:val="22"/>
                <w:szCs w:val="22"/>
                <w:color w:val="auto"/>
              </w:rPr>
            </w:pPr>
          </w:p>
        </w:tc>
        <w:tc>
          <w:tcPr>
            <w:tcW w:w="34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220" w:type="dxa"/>
            <w:vAlign w:val="bottom"/>
            <w:shd w:val="clear" w:color="auto" w:fill="E6E6E6"/>
          </w:tcPr>
          <w:p>
            <w:pPr>
              <w:spacing w:after="0"/>
              <w:rPr>
                <w:sz w:val="22"/>
                <w:szCs w:val="22"/>
                <w:color w:val="auto"/>
              </w:rPr>
            </w:pPr>
          </w:p>
        </w:tc>
        <w:tc>
          <w:tcPr>
            <w:tcW w:w="120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480" w:type="dxa"/>
            <w:vAlign w:val="bottom"/>
            <w:shd w:val="clear" w:color="auto" w:fill="E6E6E6"/>
          </w:tcPr>
          <w:p>
            <w:pPr>
              <w:spacing w:after="0"/>
              <w:rPr>
                <w:sz w:val="22"/>
                <w:szCs w:val="22"/>
                <w:color w:val="auto"/>
              </w:rPr>
            </w:pPr>
          </w:p>
        </w:tc>
        <w:tc>
          <w:tcPr>
            <w:tcW w:w="940" w:type="dxa"/>
            <w:vAlign w:val="bottom"/>
            <w:shd w:val="clear" w:color="auto" w:fill="E6E6E6"/>
          </w:tcPr>
          <w:p>
            <w:pPr>
              <w:spacing w:after="0"/>
              <w:rPr>
                <w:sz w:val="22"/>
                <w:szCs w:val="22"/>
                <w:color w:val="auto"/>
              </w:rPr>
            </w:pPr>
          </w:p>
        </w:tc>
      </w:tr>
      <w:tr>
        <w:trPr>
          <w:trHeight w:val="254"/>
        </w:trPr>
        <w:tc>
          <w:tcPr>
            <w:tcW w:w="5840" w:type="dxa"/>
            <w:vAlign w:val="bottom"/>
          </w:tcPr>
          <w:p>
            <w:pPr>
              <w:ind w:left="40"/>
              <w:spacing w:after="0"/>
              <w:rPr>
                <w:sz w:val="20"/>
                <w:szCs w:val="20"/>
                <w:color w:val="auto"/>
              </w:rPr>
            </w:pPr>
            <w:r>
              <w:rPr>
                <w:rFonts w:ascii="Arial" w:cs="Arial" w:eastAsia="Arial" w:hAnsi="Arial"/>
                <w:sz w:val="20"/>
                <w:szCs w:val="20"/>
                <w:color w:val="auto"/>
                <w:w w:val="89"/>
              </w:rPr>
              <w:t xml:space="preserve">Operating revenues </w:t>
            </w:r>
            <w:r>
              <w:rPr>
                <w:rFonts w:ascii="Arial" w:cs="Arial" w:eastAsia="Arial" w:hAnsi="Arial"/>
                <w:sz w:val="20"/>
                <w:szCs w:val="20"/>
                <w:color w:val="BDBDBD"/>
                <w:w w:val="89"/>
              </w:rPr>
              <w:t>. . . . . . . . . . . . . . . . . . . . . . . . . . . . . . . . . . . . . . . . . .</w:t>
            </w:r>
          </w:p>
        </w:tc>
        <w:tc>
          <w:tcPr>
            <w:tcW w:w="104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79"/>
              </w:rPr>
              <w:t>202</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203</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54"/>
        </w:trPr>
        <w:tc>
          <w:tcPr>
            <w:tcW w:w="5840" w:type="dxa"/>
            <w:vAlign w:val="bottom"/>
            <w:shd w:val="clear" w:color="auto" w:fill="E6E6E6"/>
          </w:tcPr>
          <w:p>
            <w:pPr>
              <w:ind w:left="40"/>
              <w:spacing w:after="0"/>
              <w:rPr>
                <w:sz w:val="20"/>
                <w:szCs w:val="20"/>
                <w:color w:val="auto"/>
              </w:rPr>
            </w:pPr>
            <w:r>
              <w:rPr>
                <w:rFonts w:ascii="Arial" w:cs="Arial" w:eastAsia="Arial" w:hAnsi="Arial"/>
                <w:sz w:val="20"/>
                <w:szCs w:val="20"/>
                <w:color w:val="auto"/>
                <w:w w:val="90"/>
              </w:rPr>
              <w:t xml:space="preserve">Operating income </w:t>
            </w:r>
            <w:r>
              <w:rPr>
                <w:rFonts w:ascii="Arial" w:cs="Arial" w:eastAsia="Arial" w:hAnsi="Arial"/>
                <w:sz w:val="20"/>
                <w:szCs w:val="20"/>
                <w:color w:val="BDBDBD"/>
                <w:w w:val="90"/>
              </w:rPr>
              <w:t>. . . . . . . . . . . . . . . . . . . . . . . . . . . . . . . . . . . . . . . . . . .</w:t>
            </w:r>
          </w:p>
        </w:tc>
        <w:tc>
          <w:tcPr>
            <w:tcW w:w="1040" w:type="dxa"/>
            <w:vAlign w:val="bottom"/>
            <w:shd w:val="clear" w:color="auto" w:fill="E6E6E6"/>
          </w:tcPr>
          <w:p>
            <w:pPr>
              <w:spacing w:after="0"/>
              <w:rPr>
                <w:sz w:val="22"/>
                <w:szCs w:val="22"/>
                <w:color w:val="auto"/>
              </w:rPr>
            </w:pPr>
          </w:p>
        </w:tc>
        <w:tc>
          <w:tcPr>
            <w:tcW w:w="340" w:type="dxa"/>
            <w:vAlign w:val="bottom"/>
            <w:shd w:val="clear" w:color="auto" w:fill="E6E6E6"/>
          </w:tcPr>
          <w:p>
            <w:pPr>
              <w:jc w:val="right"/>
              <w:spacing w:after="0"/>
              <w:rPr>
                <w:sz w:val="20"/>
                <w:szCs w:val="20"/>
                <w:color w:val="auto"/>
              </w:rPr>
            </w:pPr>
            <w:r>
              <w:rPr>
                <w:rFonts w:ascii="Arial" w:cs="Arial" w:eastAsia="Arial" w:hAnsi="Arial"/>
                <w:sz w:val="18"/>
                <w:szCs w:val="18"/>
                <w:color w:val="auto"/>
                <w:w w:val="79"/>
              </w:rPr>
              <w:t>144</w:t>
            </w:r>
          </w:p>
        </w:tc>
        <w:tc>
          <w:tcPr>
            <w:tcW w:w="80" w:type="dxa"/>
            <w:vAlign w:val="bottom"/>
            <w:shd w:val="clear" w:color="auto" w:fill="E6E6E6"/>
          </w:tcPr>
          <w:p>
            <w:pPr>
              <w:spacing w:after="0"/>
              <w:rPr>
                <w:sz w:val="22"/>
                <w:szCs w:val="22"/>
                <w:color w:val="auto"/>
              </w:rPr>
            </w:pPr>
          </w:p>
        </w:tc>
        <w:tc>
          <w:tcPr>
            <w:tcW w:w="220" w:type="dxa"/>
            <w:vAlign w:val="bottom"/>
            <w:shd w:val="clear" w:color="auto" w:fill="E6E6E6"/>
          </w:tcPr>
          <w:p>
            <w:pPr>
              <w:spacing w:after="0"/>
              <w:rPr>
                <w:sz w:val="22"/>
                <w:szCs w:val="22"/>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137</w:t>
            </w:r>
          </w:p>
        </w:tc>
        <w:tc>
          <w:tcPr>
            <w:tcW w:w="60" w:type="dxa"/>
            <w:vAlign w:val="bottom"/>
            <w:shd w:val="clear" w:color="auto" w:fill="E6E6E6"/>
          </w:tcPr>
          <w:p>
            <w:pPr>
              <w:spacing w:after="0"/>
              <w:rPr>
                <w:sz w:val="22"/>
                <w:szCs w:val="22"/>
                <w:color w:val="auto"/>
              </w:rPr>
            </w:pPr>
          </w:p>
        </w:tc>
        <w:tc>
          <w:tcPr>
            <w:tcW w:w="480" w:type="dxa"/>
            <w:vAlign w:val="bottom"/>
            <w:shd w:val="clear" w:color="auto" w:fill="E6E6E6"/>
          </w:tcPr>
          <w:p>
            <w:pPr>
              <w:spacing w:after="0"/>
              <w:rPr>
                <w:sz w:val="22"/>
                <w:szCs w:val="22"/>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146</w:t>
            </w:r>
          </w:p>
        </w:tc>
      </w:tr>
      <w:tr>
        <w:trPr>
          <w:trHeight w:val="254"/>
        </w:trPr>
        <w:tc>
          <w:tcPr>
            <w:tcW w:w="5840" w:type="dxa"/>
            <w:vAlign w:val="bottom"/>
          </w:tcPr>
          <w:p>
            <w:pPr>
              <w:ind w:left="40"/>
              <w:spacing w:after="0"/>
              <w:rPr>
                <w:sz w:val="20"/>
                <w:szCs w:val="20"/>
                <w:color w:val="auto"/>
              </w:rPr>
            </w:pPr>
            <w:r>
              <w:rPr>
                <w:rFonts w:ascii="Arial" w:cs="Arial" w:eastAsia="Arial" w:hAnsi="Arial"/>
                <w:sz w:val="20"/>
                <w:szCs w:val="20"/>
                <w:color w:val="auto"/>
                <w:w w:val="91"/>
              </w:rPr>
              <w:t xml:space="preserve">Net income </w:t>
            </w:r>
            <w:r>
              <w:rPr>
                <w:rFonts w:ascii="Arial" w:cs="Arial" w:eastAsia="Arial" w:hAnsi="Arial"/>
                <w:sz w:val="20"/>
                <w:szCs w:val="20"/>
                <w:color w:val="BDBDBD"/>
                <w:w w:val="91"/>
              </w:rPr>
              <w:t>. . . . . . . . . . . . . . . . . . . . . . . . . . . . . . . . . . . . . . . . . . . . . . . .</w:t>
            </w:r>
          </w:p>
        </w:tc>
        <w:tc>
          <w:tcPr>
            <w:tcW w:w="104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79"/>
              </w:rPr>
              <w:t>108</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114</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54"/>
        </w:trPr>
        <w:tc>
          <w:tcPr>
            <w:tcW w:w="5840" w:type="dxa"/>
            <w:vAlign w:val="bottom"/>
            <w:shd w:val="clear" w:color="auto" w:fill="E6E6E6"/>
          </w:tcPr>
          <w:p>
            <w:pPr>
              <w:ind w:left="40"/>
              <w:spacing w:after="0" w:line="254" w:lineRule="exact"/>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23"/>
                <w:szCs w:val="23"/>
                <w:b w:val="1"/>
                <w:bCs w:val="1"/>
                <w:color w:val="auto"/>
                <w:vertAlign w:val="superscript"/>
              </w:rPr>
              <w:t>(a)</w:t>
            </w:r>
          </w:p>
        </w:tc>
        <w:tc>
          <w:tcPr>
            <w:tcW w:w="1040" w:type="dxa"/>
            <w:vAlign w:val="bottom"/>
            <w:shd w:val="clear" w:color="auto" w:fill="E6E6E6"/>
          </w:tcPr>
          <w:p>
            <w:pPr>
              <w:spacing w:after="0"/>
              <w:rPr>
                <w:sz w:val="22"/>
                <w:szCs w:val="22"/>
                <w:color w:val="auto"/>
              </w:rPr>
            </w:pPr>
          </w:p>
        </w:tc>
        <w:tc>
          <w:tcPr>
            <w:tcW w:w="34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220" w:type="dxa"/>
            <w:vAlign w:val="bottom"/>
            <w:shd w:val="clear" w:color="auto" w:fill="E6E6E6"/>
          </w:tcPr>
          <w:p>
            <w:pPr>
              <w:spacing w:after="0"/>
              <w:rPr>
                <w:sz w:val="22"/>
                <w:szCs w:val="22"/>
                <w:color w:val="auto"/>
              </w:rPr>
            </w:pPr>
          </w:p>
        </w:tc>
        <w:tc>
          <w:tcPr>
            <w:tcW w:w="120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480" w:type="dxa"/>
            <w:vAlign w:val="bottom"/>
            <w:shd w:val="clear" w:color="auto" w:fill="E6E6E6"/>
          </w:tcPr>
          <w:p>
            <w:pPr>
              <w:spacing w:after="0"/>
              <w:rPr>
                <w:sz w:val="22"/>
                <w:szCs w:val="22"/>
                <w:color w:val="auto"/>
              </w:rPr>
            </w:pPr>
          </w:p>
        </w:tc>
        <w:tc>
          <w:tcPr>
            <w:tcW w:w="940" w:type="dxa"/>
            <w:vAlign w:val="bottom"/>
            <w:shd w:val="clear" w:color="auto" w:fill="E6E6E6"/>
          </w:tcPr>
          <w:p>
            <w:pPr>
              <w:spacing w:after="0"/>
              <w:rPr>
                <w:sz w:val="22"/>
                <w:szCs w:val="22"/>
                <w:color w:val="auto"/>
              </w:rPr>
            </w:pPr>
          </w:p>
        </w:tc>
      </w:tr>
      <w:tr>
        <w:trPr>
          <w:trHeight w:val="254"/>
        </w:trPr>
        <w:tc>
          <w:tcPr>
            <w:tcW w:w="5840" w:type="dxa"/>
            <w:vAlign w:val="bottom"/>
          </w:tcPr>
          <w:p>
            <w:pPr>
              <w:ind w:left="40"/>
              <w:spacing w:after="0"/>
              <w:rPr>
                <w:sz w:val="20"/>
                <w:szCs w:val="20"/>
                <w:color w:val="auto"/>
              </w:rPr>
            </w:pPr>
            <w:r>
              <w:rPr>
                <w:rFonts w:ascii="Arial" w:cs="Arial" w:eastAsia="Arial" w:hAnsi="Arial"/>
                <w:sz w:val="20"/>
                <w:szCs w:val="20"/>
                <w:color w:val="auto"/>
                <w:w w:val="89"/>
              </w:rPr>
              <w:t xml:space="preserve">Operating revenues </w:t>
            </w:r>
            <w:r>
              <w:rPr>
                <w:rFonts w:ascii="Arial" w:cs="Arial" w:eastAsia="Arial" w:hAnsi="Arial"/>
                <w:sz w:val="20"/>
                <w:szCs w:val="20"/>
                <w:color w:val="BDBDBD"/>
                <w:w w:val="89"/>
              </w:rPr>
              <w:t>. . . . . . . . . . . . . . . . . . . . . . . . . . . . . . . . . . . . . . . . . .</w:t>
            </w:r>
          </w:p>
        </w:tc>
        <w:tc>
          <w:tcPr>
            <w:tcW w:w="104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54"/>
        </w:trPr>
        <w:tc>
          <w:tcPr>
            <w:tcW w:w="5840" w:type="dxa"/>
            <w:vAlign w:val="bottom"/>
            <w:shd w:val="clear" w:color="auto" w:fill="E6E6E6"/>
          </w:tcPr>
          <w:p>
            <w:pPr>
              <w:ind w:left="40"/>
              <w:spacing w:after="0"/>
              <w:rPr>
                <w:sz w:val="20"/>
                <w:szCs w:val="20"/>
                <w:color w:val="auto"/>
              </w:rPr>
            </w:pPr>
            <w:r>
              <w:rPr>
                <w:rFonts w:ascii="Arial" w:cs="Arial" w:eastAsia="Arial" w:hAnsi="Arial"/>
                <w:sz w:val="20"/>
                <w:szCs w:val="20"/>
                <w:color w:val="auto"/>
                <w:w w:val="91"/>
              </w:rPr>
              <w:t xml:space="preserve">Operating income  </w:t>
            </w:r>
            <w:r>
              <w:rPr>
                <w:rFonts w:ascii="Arial" w:cs="Arial" w:eastAsia="Arial" w:hAnsi="Arial"/>
                <w:sz w:val="20"/>
                <w:szCs w:val="20"/>
                <w:color w:val="BDBDBD"/>
                <w:w w:val="91"/>
              </w:rPr>
              <w:t>. . . . . . . . . . . . . . . . . . . . . . . . . . . . . . . . . . . . . . . . . .</w:t>
            </w:r>
          </w:p>
        </w:tc>
        <w:tc>
          <w:tcPr>
            <w:tcW w:w="1040" w:type="dxa"/>
            <w:vAlign w:val="bottom"/>
            <w:shd w:val="clear" w:color="auto" w:fill="E6E6E6"/>
          </w:tcPr>
          <w:p>
            <w:pPr>
              <w:spacing w:after="0"/>
              <w:rPr>
                <w:sz w:val="22"/>
                <w:szCs w:val="22"/>
                <w:color w:val="auto"/>
              </w:rPr>
            </w:pPr>
          </w:p>
        </w:tc>
        <w:tc>
          <w:tcPr>
            <w:tcW w:w="3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E6E6E6"/>
          </w:tcPr>
          <w:p>
            <w:pPr>
              <w:spacing w:after="0"/>
              <w:rPr>
                <w:sz w:val="22"/>
                <w:szCs w:val="22"/>
                <w:color w:val="auto"/>
              </w:rPr>
            </w:pPr>
          </w:p>
        </w:tc>
        <w:tc>
          <w:tcPr>
            <w:tcW w:w="220" w:type="dxa"/>
            <w:vAlign w:val="bottom"/>
            <w:shd w:val="clear" w:color="auto" w:fill="E6E6E6"/>
          </w:tcPr>
          <w:p>
            <w:pPr>
              <w:spacing w:after="0"/>
              <w:rPr>
                <w:sz w:val="22"/>
                <w:szCs w:val="22"/>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E6E6E6"/>
          </w:tcPr>
          <w:p>
            <w:pPr>
              <w:spacing w:after="0"/>
              <w:rPr>
                <w:sz w:val="22"/>
                <w:szCs w:val="22"/>
                <w:color w:val="auto"/>
              </w:rPr>
            </w:pPr>
          </w:p>
        </w:tc>
        <w:tc>
          <w:tcPr>
            <w:tcW w:w="480" w:type="dxa"/>
            <w:vAlign w:val="bottom"/>
            <w:shd w:val="clear" w:color="auto" w:fill="E6E6E6"/>
          </w:tcPr>
          <w:p>
            <w:pPr>
              <w:spacing w:after="0"/>
              <w:rPr>
                <w:sz w:val="22"/>
                <w:szCs w:val="22"/>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w:t>
            </w:r>
          </w:p>
        </w:tc>
      </w:tr>
      <w:tr>
        <w:trPr>
          <w:trHeight w:val="260"/>
        </w:trPr>
        <w:tc>
          <w:tcPr>
            <w:tcW w:w="5840" w:type="dxa"/>
            <w:vAlign w:val="bottom"/>
          </w:tcPr>
          <w:p>
            <w:pPr>
              <w:ind w:left="40"/>
              <w:spacing w:after="0"/>
              <w:rPr>
                <w:sz w:val="20"/>
                <w:szCs w:val="20"/>
                <w:color w:val="auto"/>
              </w:rPr>
            </w:pPr>
            <w:r>
              <w:rPr>
                <w:rFonts w:ascii="Arial" w:cs="Arial" w:eastAsia="Arial" w:hAnsi="Arial"/>
                <w:sz w:val="20"/>
                <w:szCs w:val="20"/>
                <w:color w:val="auto"/>
                <w:w w:val="91"/>
              </w:rPr>
              <w:t xml:space="preserve">Net income </w:t>
            </w:r>
            <w:r>
              <w:rPr>
                <w:rFonts w:ascii="Arial" w:cs="Arial" w:eastAsia="Arial" w:hAnsi="Arial"/>
                <w:sz w:val="20"/>
                <w:szCs w:val="20"/>
                <w:color w:val="BDBDBD"/>
                <w:w w:val="91"/>
              </w:rPr>
              <w:t>. . . . . . . . . . . . . . . . . . . . . . . . . . . . . . . . . . . . . . . . . . . . . . . .</w:t>
            </w:r>
          </w:p>
        </w:tc>
        <w:tc>
          <w:tcPr>
            <w:tcW w:w="104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7"/>
        </w:trPr>
        <w:tc>
          <w:tcPr>
            <w:tcW w:w="5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711"/>
              <w:spacing w:after="0"/>
              <w:rPr>
                <w:sz w:val="20"/>
                <w:szCs w:val="20"/>
                <w:color w:val="auto"/>
              </w:rPr>
            </w:pPr>
            <w:r>
              <w:rPr>
                <w:rFonts w:ascii="Arial" w:cs="Arial" w:eastAsia="Arial" w:hAnsi="Arial"/>
                <w:sz w:val="16"/>
                <w:szCs w:val="16"/>
                <w:b w:val="1"/>
                <w:bCs w:val="1"/>
                <w:color w:val="auto"/>
              </w:rPr>
              <w:t>As of December 31,</w:t>
            </w:r>
          </w:p>
        </w:tc>
      </w:tr>
      <w:tr>
        <w:trPr>
          <w:trHeight w:val="234"/>
        </w:trPr>
        <w:tc>
          <w:tcPr>
            <w:tcW w:w="58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52"/>
              <w:spacing w:after="0"/>
              <w:rPr>
                <w:sz w:val="20"/>
                <w:szCs w:val="20"/>
                <w:color w:val="auto"/>
              </w:rPr>
            </w:pPr>
            <w:r>
              <w:rPr>
                <w:rFonts w:ascii="Arial" w:cs="Arial" w:eastAsia="Arial" w:hAnsi="Arial"/>
                <w:sz w:val="16"/>
                <w:szCs w:val="16"/>
                <w:b w:val="1"/>
                <w:bCs w:val="1"/>
                <w:color w:val="auto"/>
                <w:w w:val="89"/>
              </w:rPr>
              <w:t>2023</w:t>
            </w:r>
          </w:p>
        </w:tc>
        <w:tc>
          <w:tcPr>
            <w:tcW w:w="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2022</w:t>
            </w:r>
          </w:p>
        </w:tc>
      </w:tr>
      <w:tr>
        <w:trPr>
          <w:trHeight w:val="236"/>
        </w:trPr>
        <w:tc>
          <w:tcPr>
            <w:tcW w:w="5840" w:type="dxa"/>
            <w:vAlign w:val="bottom"/>
          </w:tcPr>
          <w:p>
            <w:pPr>
              <w:ind w:left="40"/>
              <w:spacing w:after="0"/>
              <w:rPr>
                <w:sz w:val="20"/>
                <w:szCs w:val="20"/>
                <w:color w:val="auto"/>
              </w:rPr>
            </w:pPr>
            <w:r>
              <w:rPr>
                <w:rFonts w:ascii="Arial" w:cs="Arial" w:eastAsia="Arial" w:hAnsi="Arial"/>
                <w:sz w:val="18"/>
                <w:szCs w:val="18"/>
                <w:b w:val="1"/>
                <w:bCs w:val="1"/>
                <w:color w:val="auto"/>
              </w:rPr>
              <w:t>Balance Sheet Data:</w:t>
            </w: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(In millions)</w:t>
            </w:r>
          </w:p>
        </w:tc>
        <w:tc>
          <w:tcPr>
            <w:tcW w:w="940" w:type="dxa"/>
            <w:vAlign w:val="bottom"/>
          </w:tcPr>
          <w:p>
            <w:pPr>
              <w:spacing w:after="0"/>
              <w:rPr>
                <w:sz w:val="20"/>
                <w:szCs w:val="20"/>
                <w:color w:val="auto"/>
              </w:rPr>
            </w:pPr>
          </w:p>
        </w:tc>
      </w:tr>
      <w:tr>
        <w:trPr>
          <w:trHeight w:val="261"/>
        </w:trPr>
        <w:tc>
          <w:tcPr>
            <w:tcW w:w="5840" w:type="dxa"/>
            <w:vAlign w:val="bottom"/>
            <w:shd w:val="clear" w:color="auto" w:fill="E6E6E6"/>
          </w:tcPr>
          <w:p>
            <w:pPr>
              <w:ind w:left="40"/>
              <w:spacing w:after="0"/>
              <w:rPr>
                <w:sz w:val="20"/>
                <w:szCs w:val="20"/>
                <w:color w:val="auto"/>
              </w:rPr>
            </w:pPr>
            <w:r>
              <w:rPr>
                <w:rFonts w:ascii="Arial" w:cs="Arial" w:eastAsia="Arial" w:hAnsi="Arial"/>
                <w:sz w:val="18"/>
                <w:szCs w:val="18"/>
                <w:b w:val="1"/>
                <w:bCs w:val="1"/>
                <w:color w:val="auto"/>
              </w:rPr>
              <w:t>GenConn</w:t>
            </w:r>
          </w:p>
        </w:tc>
        <w:tc>
          <w:tcPr>
            <w:tcW w:w="1040" w:type="dxa"/>
            <w:vAlign w:val="bottom"/>
            <w:shd w:val="clear" w:color="auto" w:fill="E6E6E6"/>
          </w:tcPr>
          <w:p>
            <w:pPr>
              <w:spacing w:after="0"/>
              <w:rPr>
                <w:sz w:val="22"/>
                <w:szCs w:val="22"/>
                <w:color w:val="auto"/>
              </w:rPr>
            </w:pPr>
          </w:p>
        </w:tc>
        <w:tc>
          <w:tcPr>
            <w:tcW w:w="34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220" w:type="dxa"/>
            <w:vAlign w:val="bottom"/>
            <w:shd w:val="clear" w:color="auto" w:fill="E6E6E6"/>
          </w:tcPr>
          <w:p>
            <w:pPr>
              <w:spacing w:after="0"/>
              <w:rPr>
                <w:sz w:val="22"/>
                <w:szCs w:val="22"/>
                <w:color w:val="auto"/>
              </w:rPr>
            </w:pPr>
          </w:p>
        </w:tc>
        <w:tc>
          <w:tcPr>
            <w:tcW w:w="120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480" w:type="dxa"/>
            <w:vAlign w:val="bottom"/>
            <w:shd w:val="clear" w:color="auto" w:fill="E6E6E6"/>
          </w:tcPr>
          <w:p>
            <w:pPr>
              <w:spacing w:after="0"/>
              <w:rPr>
                <w:sz w:val="22"/>
                <w:szCs w:val="22"/>
                <w:color w:val="auto"/>
              </w:rPr>
            </w:pPr>
          </w:p>
        </w:tc>
        <w:tc>
          <w:tcPr>
            <w:tcW w:w="940" w:type="dxa"/>
            <w:vAlign w:val="bottom"/>
            <w:shd w:val="clear" w:color="auto" w:fill="E6E6E6"/>
          </w:tcPr>
          <w:p>
            <w:pPr>
              <w:spacing w:after="0"/>
              <w:rPr>
                <w:sz w:val="22"/>
                <w:szCs w:val="22"/>
                <w:color w:val="auto"/>
              </w:rPr>
            </w:pPr>
          </w:p>
        </w:tc>
      </w:tr>
      <w:tr>
        <w:trPr>
          <w:trHeight w:val="254"/>
        </w:trPr>
        <w:tc>
          <w:tcPr>
            <w:tcW w:w="6880" w:type="dxa"/>
            <w:vAlign w:val="bottom"/>
            <w:gridSpan w:val="2"/>
          </w:tcPr>
          <w:p>
            <w:pPr>
              <w:ind w:left="40"/>
              <w:spacing w:after="0"/>
              <w:rPr>
                <w:sz w:val="20"/>
                <w:szCs w:val="20"/>
                <w:color w:val="auto"/>
              </w:rPr>
            </w:pPr>
            <w:r>
              <w:rPr>
                <w:rFonts w:ascii="Arial" w:cs="Arial" w:eastAsia="Arial" w:hAnsi="Arial"/>
                <w:sz w:val="20"/>
                <w:szCs w:val="20"/>
                <w:color w:val="auto"/>
                <w:w w:val="89"/>
              </w:rPr>
              <w:t xml:space="preserve">Current assets </w:t>
            </w:r>
            <w:r>
              <w:rPr>
                <w:rFonts w:ascii="Arial" w:cs="Arial" w:eastAsia="Arial" w:hAnsi="Arial"/>
                <w:sz w:val="20"/>
                <w:szCs w:val="20"/>
                <w:color w:val="BDBDBD"/>
                <w:w w:val="89"/>
              </w:rPr>
              <w:t>. . . . . . . . . . . . . . . . . . . . . . . . . . . . . . . . . . . . . . . . . . . . . . . . . . . . . . . . .</w:t>
            </w:r>
          </w:p>
        </w:tc>
        <w:tc>
          <w:tcPr>
            <w:tcW w:w="340" w:type="dxa"/>
            <w:vAlign w:val="bottom"/>
          </w:tcPr>
          <w:p>
            <w:pPr>
              <w:jc w:val="right"/>
              <w:spacing w:after="0"/>
              <w:rPr>
                <w:sz w:val="20"/>
                <w:szCs w:val="20"/>
                <w:color w:val="auto"/>
              </w:rPr>
            </w:pPr>
            <w:r>
              <w:rPr>
                <w:rFonts w:ascii="Arial" w:cs="Arial" w:eastAsia="Arial" w:hAnsi="Arial"/>
                <w:sz w:val="20"/>
                <w:szCs w:val="20"/>
                <w:color w:val="BDBDBD"/>
                <w:w w:val="93"/>
              </w:rPr>
              <w:t>. . .</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39</w:t>
            </w: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54"/>
        </w:trPr>
        <w:tc>
          <w:tcPr>
            <w:tcW w:w="6880" w:type="dxa"/>
            <w:vAlign w:val="bottom"/>
            <w:gridSpan w:val="2"/>
            <w:shd w:val="clear" w:color="auto" w:fill="E6E6E6"/>
          </w:tcPr>
          <w:p>
            <w:pPr>
              <w:ind w:left="40"/>
              <w:spacing w:after="0"/>
              <w:rPr>
                <w:sz w:val="20"/>
                <w:szCs w:val="20"/>
                <w:color w:val="auto"/>
              </w:rPr>
            </w:pPr>
            <w:r>
              <w:rPr>
                <w:rFonts w:ascii="Arial" w:cs="Arial" w:eastAsia="Arial" w:hAnsi="Arial"/>
                <w:sz w:val="20"/>
                <w:szCs w:val="20"/>
                <w:color w:val="auto"/>
                <w:w w:val="89"/>
              </w:rPr>
              <w:t xml:space="preserve">Non-current assets </w:t>
            </w:r>
            <w:r>
              <w:rPr>
                <w:rFonts w:ascii="Arial" w:cs="Arial" w:eastAsia="Arial" w:hAnsi="Arial"/>
                <w:sz w:val="20"/>
                <w:szCs w:val="20"/>
                <w:color w:val="BDBDBD"/>
                <w:w w:val="89"/>
              </w:rPr>
              <w:t>. . . . . . . . . . . . . . . . . . . . . . . . . . . . . . . . . . . . . . . . . . . . . . . . . . . . .</w:t>
            </w:r>
          </w:p>
        </w:tc>
        <w:tc>
          <w:tcPr>
            <w:tcW w:w="340" w:type="dxa"/>
            <w:vAlign w:val="bottom"/>
            <w:shd w:val="clear" w:color="auto" w:fill="E6E6E6"/>
          </w:tcPr>
          <w:p>
            <w:pPr>
              <w:jc w:val="right"/>
              <w:spacing w:after="0"/>
              <w:rPr>
                <w:sz w:val="20"/>
                <w:szCs w:val="20"/>
                <w:color w:val="auto"/>
              </w:rPr>
            </w:pPr>
            <w:r>
              <w:rPr>
                <w:rFonts w:ascii="Arial" w:cs="Arial" w:eastAsia="Arial" w:hAnsi="Arial"/>
                <w:sz w:val="20"/>
                <w:szCs w:val="20"/>
                <w:color w:val="BDBDBD"/>
                <w:w w:val="93"/>
              </w:rPr>
              <w:t>. . .</w:t>
            </w:r>
          </w:p>
        </w:tc>
        <w:tc>
          <w:tcPr>
            <w:tcW w:w="80" w:type="dxa"/>
            <w:vAlign w:val="bottom"/>
            <w:shd w:val="clear" w:color="auto" w:fill="E6E6E6"/>
          </w:tcPr>
          <w:p>
            <w:pPr>
              <w:spacing w:after="0"/>
              <w:rPr>
                <w:sz w:val="22"/>
                <w:szCs w:val="22"/>
                <w:color w:val="auto"/>
              </w:rPr>
            </w:pPr>
          </w:p>
        </w:tc>
        <w:tc>
          <w:tcPr>
            <w:tcW w:w="220" w:type="dxa"/>
            <w:vAlign w:val="bottom"/>
            <w:shd w:val="clear" w:color="auto" w:fill="E6E6E6"/>
          </w:tcPr>
          <w:p>
            <w:pPr>
              <w:spacing w:after="0"/>
              <w:rPr>
                <w:sz w:val="22"/>
                <w:szCs w:val="22"/>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294</w:t>
            </w:r>
          </w:p>
        </w:tc>
        <w:tc>
          <w:tcPr>
            <w:tcW w:w="60" w:type="dxa"/>
            <w:vAlign w:val="bottom"/>
            <w:shd w:val="clear" w:color="auto" w:fill="E6E6E6"/>
          </w:tcPr>
          <w:p>
            <w:pPr>
              <w:spacing w:after="0"/>
              <w:rPr>
                <w:sz w:val="22"/>
                <w:szCs w:val="22"/>
                <w:color w:val="auto"/>
              </w:rPr>
            </w:pPr>
          </w:p>
        </w:tc>
        <w:tc>
          <w:tcPr>
            <w:tcW w:w="480" w:type="dxa"/>
            <w:vAlign w:val="bottom"/>
            <w:shd w:val="clear" w:color="auto" w:fill="E6E6E6"/>
          </w:tcPr>
          <w:p>
            <w:pPr>
              <w:spacing w:after="0"/>
              <w:rPr>
                <w:sz w:val="22"/>
                <w:szCs w:val="22"/>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312</w:t>
            </w:r>
          </w:p>
        </w:tc>
      </w:tr>
      <w:tr>
        <w:trPr>
          <w:trHeight w:val="254"/>
        </w:trPr>
        <w:tc>
          <w:tcPr>
            <w:tcW w:w="6880" w:type="dxa"/>
            <w:vAlign w:val="bottom"/>
            <w:gridSpan w:val="2"/>
          </w:tcPr>
          <w:p>
            <w:pPr>
              <w:ind w:left="40"/>
              <w:spacing w:after="0"/>
              <w:rPr>
                <w:sz w:val="20"/>
                <w:szCs w:val="20"/>
                <w:color w:val="auto"/>
              </w:rPr>
            </w:pPr>
            <w:r>
              <w:rPr>
                <w:rFonts w:ascii="Arial" w:cs="Arial" w:eastAsia="Arial" w:hAnsi="Arial"/>
                <w:sz w:val="20"/>
                <w:szCs w:val="20"/>
                <w:color w:val="auto"/>
                <w:w w:val="91"/>
              </w:rPr>
              <w:t xml:space="preserve">Current liabilities </w:t>
            </w:r>
            <w:r>
              <w:rPr>
                <w:rFonts w:ascii="Arial" w:cs="Arial" w:eastAsia="Arial" w:hAnsi="Arial"/>
                <w:sz w:val="20"/>
                <w:szCs w:val="20"/>
                <w:color w:val="BDBDBD"/>
                <w:w w:val="91"/>
              </w:rPr>
              <w:t>. . . . . . . . . . . . . . . . . . . . . . . . . . . . . . . . . . . . . . . . . . . . . . . . . . . . . .</w:t>
            </w:r>
          </w:p>
        </w:tc>
        <w:tc>
          <w:tcPr>
            <w:tcW w:w="340" w:type="dxa"/>
            <w:vAlign w:val="bottom"/>
          </w:tcPr>
          <w:p>
            <w:pPr>
              <w:jc w:val="right"/>
              <w:spacing w:after="0"/>
              <w:rPr>
                <w:sz w:val="20"/>
                <w:szCs w:val="20"/>
                <w:color w:val="auto"/>
              </w:rPr>
            </w:pPr>
            <w:r>
              <w:rPr>
                <w:rFonts w:ascii="Arial" w:cs="Arial" w:eastAsia="Arial" w:hAnsi="Arial"/>
                <w:sz w:val="20"/>
                <w:szCs w:val="20"/>
                <w:color w:val="BDBDBD"/>
                <w:w w:val="93"/>
              </w:rPr>
              <w:t>. .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54"/>
        </w:trPr>
        <w:tc>
          <w:tcPr>
            <w:tcW w:w="6880" w:type="dxa"/>
            <w:vAlign w:val="bottom"/>
            <w:gridSpan w:val="2"/>
            <w:shd w:val="clear" w:color="auto" w:fill="E6E6E6"/>
          </w:tcPr>
          <w:p>
            <w:pPr>
              <w:ind w:left="40"/>
              <w:spacing w:after="0"/>
              <w:rPr>
                <w:sz w:val="20"/>
                <w:szCs w:val="20"/>
                <w:color w:val="auto"/>
              </w:rPr>
            </w:pPr>
            <w:r>
              <w:rPr>
                <w:rFonts w:ascii="Arial" w:cs="Arial" w:eastAsia="Arial" w:hAnsi="Arial"/>
                <w:sz w:val="20"/>
                <w:szCs w:val="20"/>
                <w:color w:val="auto"/>
                <w:w w:val="91"/>
              </w:rPr>
              <w:t xml:space="preserve">Non-current liabilities  </w:t>
            </w:r>
            <w:r>
              <w:rPr>
                <w:rFonts w:ascii="Arial" w:cs="Arial" w:eastAsia="Arial" w:hAnsi="Arial"/>
                <w:sz w:val="20"/>
                <w:szCs w:val="20"/>
                <w:color w:val="BDBDBD"/>
                <w:w w:val="91"/>
              </w:rPr>
              <w:t>. . . . . . . . . . . . . . . . . . . . . . . . . . . . . . . . . . . . . . . . . . . . . . . . . .</w:t>
            </w:r>
          </w:p>
        </w:tc>
        <w:tc>
          <w:tcPr>
            <w:tcW w:w="340" w:type="dxa"/>
            <w:vAlign w:val="bottom"/>
            <w:shd w:val="clear" w:color="auto" w:fill="E6E6E6"/>
          </w:tcPr>
          <w:p>
            <w:pPr>
              <w:jc w:val="right"/>
              <w:spacing w:after="0"/>
              <w:rPr>
                <w:sz w:val="20"/>
                <w:szCs w:val="20"/>
                <w:color w:val="auto"/>
              </w:rPr>
            </w:pPr>
            <w:r>
              <w:rPr>
                <w:rFonts w:ascii="Arial" w:cs="Arial" w:eastAsia="Arial" w:hAnsi="Arial"/>
                <w:sz w:val="20"/>
                <w:szCs w:val="20"/>
                <w:color w:val="BDBDBD"/>
                <w:w w:val="93"/>
              </w:rPr>
              <w:t>. . .</w:t>
            </w:r>
          </w:p>
        </w:tc>
        <w:tc>
          <w:tcPr>
            <w:tcW w:w="80" w:type="dxa"/>
            <w:vAlign w:val="bottom"/>
            <w:shd w:val="clear" w:color="auto" w:fill="E6E6E6"/>
          </w:tcPr>
          <w:p>
            <w:pPr>
              <w:spacing w:after="0"/>
              <w:rPr>
                <w:sz w:val="22"/>
                <w:szCs w:val="22"/>
                <w:color w:val="auto"/>
              </w:rPr>
            </w:pPr>
          </w:p>
        </w:tc>
        <w:tc>
          <w:tcPr>
            <w:tcW w:w="220" w:type="dxa"/>
            <w:vAlign w:val="bottom"/>
            <w:shd w:val="clear" w:color="auto" w:fill="E6E6E6"/>
          </w:tcPr>
          <w:p>
            <w:pPr>
              <w:spacing w:after="0"/>
              <w:rPr>
                <w:sz w:val="22"/>
                <w:szCs w:val="22"/>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162</w:t>
            </w:r>
          </w:p>
        </w:tc>
        <w:tc>
          <w:tcPr>
            <w:tcW w:w="60" w:type="dxa"/>
            <w:vAlign w:val="bottom"/>
            <w:shd w:val="clear" w:color="auto" w:fill="E6E6E6"/>
          </w:tcPr>
          <w:p>
            <w:pPr>
              <w:spacing w:after="0"/>
              <w:rPr>
                <w:sz w:val="22"/>
                <w:szCs w:val="22"/>
                <w:color w:val="auto"/>
              </w:rPr>
            </w:pPr>
          </w:p>
        </w:tc>
        <w:tc>
          <w:tcPr>
            <w:tcW w:w="480" w:type="dxa"/>
            <w:vAlign w:val="bottom"/>
            <w:shd w:val="clear" w:color="auto" w:fill="E6E6E6"/>
          </w:tcPr>
          <w:p>
            <w:pPr>
              <w:spacing w:after="0"/>
              <w:rPr>
                <w:sz w:val="22"/>
                <w:szCs w:val="22"/>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170</w:t>
            </w:r>
          </w:p>
        </w:tc>
      </w:tr>
      <w:tr>
        <w:trPr>
          <w:trHeight w:val="247"/>
        </w:trPr>
        <w:tc>
          <w:tcPr>
            <w:tcW w:w="5840" w:type="dxa"/>
            <w:vAlign w:val="bottom"/>
          </w:tcPr>
          <w:p>
            <w:pPr>
              <w:ind w:left="40"/>
              <w:spacing w:after="0"/>
              <w:rPr>
                <w:sz w:val="20"/>
                <w:szCs w:val="20"/>
                <w:color w:val="auto"/>
              </w:rPr>
            </w:pPr>
            <w:r>
              <w:rPr>
                <w:rFonts w:ascii="Arial" w:cs="Arial" w:eastAsia="Arial" w:hAnsi="Arial"/>
                <w:sz w:val="18"/>
                <w:szCs w:val="18"/>
                <w:b w:val="1"/>
                <w:bCs w:val="1"/>
                <w:color w:val="auto"/>
              </w:rPr>
              <w:t>Desert Sunlight</w:t>
            </w: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61"/>
        </w:trPr>
        <w:tc>
          <w:tcPr>
            <w:tcW w:w="6880" w:type="dxa"/>
            <w:vAlign w:val="bottom"/>
            <w:gridSpan w:val="2"/>
            <w:shd w:val="clear" w:color="auto" w:fill="E6E6E6"/>
          </w:tcPr>
          <w:p>
            <w:pPr>
              <w:ind w:left="40"/>
              <w:spacing w:after="0"/>
              <w:rPr>
                <w:sz w:val="20"/>
                <w:szCs w:val="20"/>
                <w:color w:val="auto"/>
              </w:rPr>
            </w:pPr>
            <w:r>
              <w:rPr>
                <w:rFonts w:ascii="Arial" w:cs="Arial" w:eastAsia="Arial" w:hAnsi="Arial"/>
                <w:sz w:val="20"/>
                <w:szCs w:val="20"/>
                <w:color w:val="auto"/>
                <w:w w:val="89"/>
              </w:rPr>
              <w:t xml:space="preserve">Current assets </w:t>
            </w:r>
            <w:r>
              <w:rPr>
                <w:rFonts w:ascii="Arial" w:cs="Arial" w:eastAsia="Arial" w:hAnsi="Arial"/>
                <w:sz w:val="20"/>
                <w:szCs w:val="20"/>
                <w:color w:val="BDBDBD"/>
                <w:w w:val="89"/>
              </w:rPr>
              <w:t>. . . . . . . . . . . . . . . . . . . . . . . . . . . . . . . . . . . . . . . . . . . . . . . . . . . . . . . . .</w:t>
            </w:r>
          </w:p>
        </w:tc>
        <w:tc>
          <w:tcPr>
            <w:tcW w:w="340" w:type="dxa"/>
            <w:vAlign w:val="bottom"/>
            <w:shd w:val="clear" w:color="auto" w:fill="E6E6E6"/>
          </w:tcPr>
          <w:p>
            <w:pPr>
              <w:jc w:val="right"/>
              <w:spacing w:after="0"/>
              <w:rPr>
                <w:sz w:val="20"/>
                <w:szCs w:val="20"/>
                <w:color w:val="auto"/>
              </w:rPr>
            </w:pPr>
            <w:r>
              <w:rPr>
                <w:rFonts w:ascii="Arial" w:cs="Arial" w:eastAsia="Arial" w:hAnsi="Arial"/>
                <w:sz w:val="20"/>
                <w:szCs w:val="20"/>
                <w:color w:val="BDBDBD"/>
                <w:w w:val="93"/>
              </w:rPr>
              <w:t>. . .</w:t>
            </w:r>
          </w:p>
        </w:tc>
        <w:tc>
          <w:tcPr>
            <w:tcW w:w="80" w:type="dxa"/>
            <w:vAlign w:val="bottom"/>
            <w:shd w:val="clear" w:color="auto" w:fill="E6E6E6"/>
          </w:tcPr>
          <w:p>
            <w:pPr>
              <w:spacing w:after="0"/>
              <w:rPr>
                <w:sz w:val="22"/>
                <w:szCs w:val="22"/>
                <w:color w:val="auto"/>
              </w:rPr>
            </w:pPr>
          </w:p>
        </w:tc>
        <w:tc>
          <w:tcPr>
            <w:tcW w:w="220" w:type="dxa"/>
            <w:vAlign w:val="bottom"/>
            <w:shd w:val="clear" w:color="auto" w:fill="E6E6E6"/>
          </w:tcPr>
          <w:p>
            <w:pPr>
              <w:spacing w:after="0"/>
              <w:rPr>
                <w:sz w:val="22"/>
                <w:szCs w:val="22"/>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80</w:t>
            </w:r>
          </w:p>
        </w:tc>
        <w:tc>
          <w:tcPr>
            <w:tcW w:w="60" w:type="dxa"/>
            <w:vAlign w:val="bottom"/>
            <w:shd w:val="clear" w:color="auto" w:fill="E6E6E6"/>
          </w:tcPr>
          <w:p>
            <w:pPr>
              <w:spacing w:after="0"/>
              <w:rPr>
                <w:sz w:val="22"/>
                <w:szCs w:val="22"/>
                <w:color w:val="auto"/>
              </w:rPr>
            </w:pPr>
          </w:p>
        </w:tc>
        <w:tc>
          <w:tcPr>
            <w:tcW w:w="480" w:type="dxa"/>
            <w:vAlign w:val="bottom"/>
            <w:shd w:val="clear" w:color="auto" w:fill="E6E6E6"/>
          </w:tcPr>
          <w:p>
            <w:pPr>
              <w:spacing w:after="0"/>
              <w:rPr>
                <w:sz w:val="22"/>
                <w:szCs w:val="22"/>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79</w:t>
            </w:r>
          </w:p>
        </w:tc>
      </w:tr>
      <w:tr>
        <w:trPr>
          <w:trHeight w:val="254"/>
        </w:trPr>
        <w:tc>
          <w:tcPr>
            <w:tcW w:w="6880" w:type="dxa"/>
            <w:vAlign w:val="bottom"/>
            <w:gridSpan w:val="2"/>
          </w:tcPr>
          <w:p>
            <w:pPr>
              <w:ind w:left="40"/>
              <w:spacing w:after="0"/>
              <w:rPr>
                <w:sz w:val="20"/>
                <w:szCs w:val="20"/>
                <w:color w:val="auto"/>
              </w:rPr>
            </w:pPr>
            <w:r>
              <w:rPr>
                <w:rFonts w:ascii="Arial" w:cs="Arial" w:eastAsia="Arial" w:hAnsi="Arial"/>
                <w:sz w:val="20"/>
                <w:szCs w:val="20"/>
                <w:color w:val="auto"/>
                <w:w w:val="89"/>
              </w:rPr>
              <w:t xml:space="preserve">Non-current assets </w:t>
            </w:r>
            <w:r>
              <w:rPr>
                <w:rFonts w:ascii="Arial" w:cs="Arial" w:eastAsia="Arial" w:hAnsi="Arial"/>
                <w:sz w:val="20"/>
                <w:szCs w:val="20"/>
                <w:color w:val="BDBDBD"/>
                <w:w w:val="89"/>
              </w:rPr>
              <w:t>. . . . . . . . . . . . . . . . . . . . . . . . . . . . . . . . . . . . . . . . . . . . . . . . . . . . .</w:t>
            </w:r>
          </w:p>
        </w:tc>
        <w:tc>
          <w:tcPr>
            <w:tcW w:w="340" w:type="dxa"/>
            <w:vAlign w:val="bottom"/>
          </w:tcPr>
          <w:p>
            <w:pPr>
              <w:jc w:val="right"/>
              <w:spacing w:after="0"/>
              <w:rPr>
                <w:sz w:val="20"/>
                <w:szCs w:val="20"/>
                <w:color w:val="auto"/>
              </w:rPr>
            </w:pPr>
            <w:r>
              <w:rPr>
                <w:rFonts w:ascii="Arial" w:cs="Arial" w:eastAsia="Arial" w:hAnsi="Arial"/>
                <w:sz w:val="20"/>
                <w:szCs w:val="20"/>
                <w:color w:val="BDBDBD"/>
                <w:w w:val="93"/>
              </w:rPr>
              <w:t>. .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1,131</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1,175</w:t>
            </w:r>
          </w:p>
        </w:tc>
      </w:tr>
      <w:tr>
        <w:trPr>
          <w:trHeight w:val="254"/>
        </w:trPr>
        <w:tc>
          <w:tcPr>
            <w:tcW w:w="6880" w:type="dxa"/>
            <w:vAlign w:val="bottom"/>
            <w:gridSpan w:val="2"/>
            <w:shd w:val="clear" w:color="auto" w:fill="E6E6E6"/>
          </w:tcPr>
          <w:p>
            <w:pPr>
              <w:ind w:left="40"/>
              <w:spacing w:after="0"/>
              <w:rPr>
                <w:sz w:val="20"/>
                <w:szCs w:val="20"/>
                <w:color w:val="auto"/>
              </w:rPr>
            </w:pPr>
            <w:r>
              <w:rPr>
                <w:rFonts w:ascii="Arial" w:cs="Arial" w:eastAsia="Arial" w:hAnsi="Arial"/>
                <w:sz w:val="20"/>
                <w:szCs w:val="20"/>
                <w:color w:val="auto"/>
                <w:w w:val="91"/>
              </w:rPr>
              <w:t xml:space="preserve">Current liabilities </w:t>
            </w:r>
            <w:r>
              <w:rPr>
                <w:rFonts w:ascii="Arial" w:cs="Arial" w:eastAsia="Arial" w:hAnsi="Arial"/>
                <w:sz w:val="20"/>
                <w:szCs w:val="20"/>
                <w:color w:val="BDBDBD"/>
                <w:w w:val="91"/>
              </w:rPr>
              <w:t>. . . . . . . . . . . . . . . . . . . . . . . . . . . . . . . . . . . . . . . . . . . . . . . . . . . . . .</w:t>
            </w:r>
          </w:p>
        </w:tc>
        <w:tc>
          <w:tcPr>
            <w:tcW w:w="340" w:type="dxa"/>
            <w:vAlign w:val="bottom"/>
            <w:shd w:val="clear" w:color="auto" w:fill="E6E6E6"/>
          </w:tcPr>
          <w:p>
            <w:pPr>
              <w:jc w:val="right"/>
              <w:spacing w:after="0"/>
              <w:rPr>
                <w:sz w:val="20"/>
                <w:szCs w:val="20"/>
                <w:color w:val="auto"/>
              </w:rPr>
            </w:pPr>
            <w:r>
              <w:rPr>
                <w:rFonts w:ascii="Arial" w:cs="Arial" w:eastAsia="Arial" w:hAnsi="Arial"/>
                <w:sz w:val="20"/>
                <w:szCs w:val="20"/>
                <w:color w:val="BDBDBD"/>
                <w:w w:val="93"/>
              </w:rPr>
              <w:t>. . .</w:t>
            </w:r>
          </w:p>
        </w:tc>
        <w:tc>
          <w:tcPr>
            <w:tcW w:w="80" w:type="dxa"/>
            <w:vAlign w:val="bottom"/>
            <w:shd w:val="clear" w:color="auto" w:fill="E6E6E6"/>
          </w:tcPr>
          <w:p>
            <w:pPr>
              <w:spacing w:after="0"/>
              <w:rPr>
                <w:sz w:val="22"/>
                <w:szCs w:val="22"/>
                <w:color w:val="auto"/>
              </w:rPr>
            </w:pPr>
          </w:p>
        </w:tc>
        <w:tc>
          <w:tcPr>
            <w:tcW w:w="220" w:type="dxa"/>
            <w:vAlign w:val="bottom"/>
            <w:shd w:val="clear" w:color="auto" w:fill="E6E6E6"/>
          </w:tcPr>
          <w:p>
            <w:pPr>
              <w:spacing w:after="0"/>
              <w:rPr>
                <w:sz w:val="22"/>
                <w:szCs w:val="22"/>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61</w:t>
            </w:r>
          </w:p>
        </w:tc>
        <w:tc>
          <w:tcPr>
            <w:tcW w:w="60" w:type="dxa"/>
            <w:vAlign w:val="bottom"/>
            <w:shd w:val="clear" w:color="auto" w:fill="E6E6E6"/>
          </w:tcPr>
          <w:p>
            <w:pPr>
              <w:spacing w:after="0"/>
              <w:rPr>
                <w:sz w:val="22"/>
                <w:szCs w:val="22"/>
                <w:color w:val="auto"/>
              </w:rPr>
            </w:pPr>
          </w:p>
        </w:tc>
        <w:tc>
          <w:tcPr>
            <w:tcW w:w="480" w:type="dxa"/>
            <w:vAlign w:val="bottom"/>
            <w:shd w:val="clear" w:color="auto" w:fill="E6E6E6"/>
          </w:tcPr>
          <w:p>
            <w:pPr>
              <w:spacing w:after="0"/>
              <w:rPr>
                <w:sz w:val="22"/>
                <w:szCs w:val="22"/>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61</w:t>
            </w:r>
          </w:p>
        </w:tc>
      </w:tr>
      <w:tr>
        <w:trPr>
          <w:trHeight w:val="254"/>
        </w:trPr>
        <w:tc>
          <w:tcPr>
            <w:tcW w:w="6880" w:type="dxa"/>
            <w:vAlign w:val="bottom"/>
            <w:gridSpan w:val="2"/>
          </w:tcPr>
          <w:p>
            <w:pPr>
              <w:ind w:left="40"/>
              <w:spacing w:after="0"/>
              <w:rPr>
                <w:sz w:val="20"/>
                <w:szCs w:val="20"/>
                <w:color w:val="auto"/>
              </w:rPr>
            </w:pPr>
            <w:r>
              <w:rPr>
                <w:rFonts w:ascii="Arial" w:cs="Arial" w:eastAsia="Arial" w:hAnsi="Arial"/>
                <w:sz w:val="20"/>
                <w:szCs w:val="20"/>
                <w:color w:val="auto"/>
                <w:w w:val="91"/>
              </w:rPr>
              <w:t xml:space="preserve">Non-current liabilities  </w:t>
            </w:r>
            <w:r>
              <w:rPr>
                <w:rFonts w:ascii="Arial" w:cs="Arial" w:eastAsia="Arial" w:hAnsi="Arial"/>
                <w:sz w:val="20"/>
                <w:szCs w:val="20"/>
                <w:color w:val="BDBDBD"/>
                <w:w w:val="91"/>
              </w:rPr>
              <w:t>. . . . . . . . . . . . . . . . . . . . . . . . . . . . . . . . . . . . . . . . . . . . . . . . . .</w:t>
            </w:r>
          </w:p>
        </w:tc>
        <w:tc>
          <w:tcPr>
            <w:tcW w:w="340" w:type="dxa"/>
            <w:vAlign w:val="bottom"/>
          </w:tcPr>
          <w:p>
            <w:pPr>
              <w:jc w:val="right"/>
              <w:spacing w:after="0"/>
              <w:rPr>
                <w:sz w:val="20"/>
                <w:szCs w:val="20"/>
                <w:color w:val="auto"/>
              </w:rPr>
            </w:pPr>
            <w:r>
              <w:rPr>
                <w:rFonts w:ascii="Arial" w:cs="Arial" w:eastAsia="Arial" w:hAnsi="Arial"/>
                <w:sz w:val="20"/>
                <w:szCs w:val="20"/>
                <w:color w:val="BDBDBD"/>
                <w:w w:val="93"/>
              </w:rPr>
              <w:t>. .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776</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824</w:t>
            </w:r>
          </w:p>
        </w:tc>
      </w:tr>
      <w:tr>
        <w:trPr>
          <w:trHeight w:val="254"/>
        </w:trPr>
        <w:tc>
          <w:tcPr>
            <w:tcW w:w="5840" w:type="dxa"/>
            <w:vAlign w:val="bottom"/>
            <w:shd w:val="clear" w:color="auto" w:fill="E6E6E6"/>
          </w:tcPr>
          <w:p>
            <w:pPr>
              <w:ind w:left="40"/>
              <w:spacing w:after="0" w:line="254" w:lineRule="exact"/>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23"/>
                <w:szCs w:val="23"/>
                <w:b w:val="1"/>
                <w:bCs w:val="1"/>
                <w:color w:val="auto"/>
                <w:vertAlign w:val="superscript"/>
              </w:rPr>
              <w:t>(a)</w:t>
            </w:r>
          </w:p>
        </w:tc>
        <w:tc>
          <w:tcPr>
            <w:tcW w:w="1040" w:type="dxa"/>
            <w:vAlign w:val="bottom"/>
            <w:shd w:val="clear" w:color="auto" w:fill="E6E6E6"/>
          </w:tcPr>
          <w:p>
            <w:pPr>
              <w:spacing w:after="0"/>
              <w:rPr>
                <w:sz w:val="22"/>
                <w:szCs w:val="22"/>
                <w:color w:val="auto"/>
              </w:rPr>
            </w:pPr>
          </w:p>
        </w:tc>
        <w:tc>
          <w:tcPr>
            <w:tcW w:w="34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220" w:type="dxa"/>
            <w:vAlign w:val="bottom"/>
            <w:shd w:val="clear" w:color="auto" w:fill="E6E6E6"/>
          </w:tcPr>
          <w:p>
            <w:pPr>
              <w:spacing w:after="0"/>
              <w:rPr>
                <w:sz w:val="22"/>
                <w:szCs w:val="22"/>
                <w:color w:val="auto"/>
              </w:rPr>
            </w:pPr>
          </w:p>
        </w:tc>
        <w:tc>
          <w:tcPr>
            <w:tcW w:w="120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480" w:type="dxa"/>
            <w:vAlign w:val="bottom"/>
            <w:shd w:val="clear" w:color="auto" w:fill="E6E6E6"/>
          </w:tcPr>
          <w:p>
            <w:pPr>
              <w:spacing w:after="0"/>
              <w:rPr>
                <w:sz w:val="22"/>
                <w:szCs w:val="22"/>
                <w:color w:val="auto"/>
              </w:rPr>
            </w:pPr>
          </w:p>
        </w:tc>
        <w:tc>
          <w:tcPr>
            <w:tcW w:w="940" w:type="dxa"/>
            <w:vAlign w:val="bottom"/>
            <w:shd w:val="clear" w:color="auto" w:fill="E6E6E6"/>
          </w:tcPr>
          <w:p>
            <w:pPr>
              <w:spacing w:after="0"/>
              <w:rPr>
                <w:sz w:val="22"/>
                <w:szCs w:val="22"/>
                <w:color w:val="auto"/>
              </w:rPr>
            </w:pPr>
          </w:p>
        </w:tc>
      </w:tr>
      <w:tr>
        <w:trPr>
          <w:trHeight w:val="254"/>
        </w:trPr>
        <w:tc>
          <w:tcPr>
            <w:tcW w:w="6880" w:type="dxa"/>
            <w:vAlign w:val="bottom"/>
            <w:gridSpan w:val="2"/>
          </w:tcPr>
          <w:p>
            <w:pPr>
              <w:ind w:left="40"/>
              <w:spacing w:after="0"/>
              <w:rPr>
                <w:sz w:val="20"/>
                <w:szCs w:val="20"/>
                <w:color w:val="auto"/>
              </w:rPr>
            </w:pPr>
            <w:r>
              <w:rPr>
                <w:rFonts w:ascii="Arial" w:cs="Arial" w:eastAsia="Arial" w:hAnsi="Arial"/>
                <w:sz w:val="20"/>
                <w:szCs w:val="20"/>
                <w:color w:val="auto"/>
                <w:w w:val="89"/>
              </w:rPr>
              <w:t xml:space="preserve">Current assets </w:t>
            </w:r>
            <w:r>
              <w:rPr>
                <w:rFonts w:ascii="Arial" w:cs="Arial" w:eastAsia="Arial" w:hAnsi="Arial"/>
                <w:sz w:val="20"/>
                <w:szCs w:val="20"/>
                <w:color w:val="BDBDBD"/>
                <w:w w:val="89"/>
              </w:rPr>
              <w:t>. . . . . . . . . . . . . . . . . . . . . . . . . . . . . . . . . . . . . . . . . . . . . . . . . . . . . . . . .</w:t>
            </w:r>
          </w:p>
        </w:tc>
        <w:tc>
          <w:tcPr>
            <w:tcW w:w="340" w:type="dxa"/>
            <w:vAlign w:val="bottom"/>
          </w:tcPr>
          <w:p>
            <w:pPr>
              <w:jc w:val="right"/>
              <w:spacing w:after="0"/>
              <w:rPr>
                <w:sz w:val="20"/>
                <w:szCs w:val="20"/>
                <w:color w:val="auto"/>
              </w:rPr>
            </w:pPr>
            <w:r>
              <w:rPr>
                <w:rFonts w:ascii="Arial" w:cs="Arial" w:eastAsia="Arial" w:hAnsi="Arial"/>
                <w:sz w:val="20"/>
                <w:szCs w:val="20"/>
                <w:color w:val="BDBDBD"/>
                <w:w w:val="93"/>
              </w:rPr>
              <w:t>. .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54"/>
        </w:trPr>
        <w:tc>
          <w:tcPr>
            <w:tcW w:w="6880" w:type="dxa"/>
            <w:vAlign w:val="bottom"/>
            <w:gridSpan w:val="2"/>
            <w:shd w:val="clear" w:color="auto" w:fill="E6E6E6"/>
          </w:tcPr>
          <w:p>
            <w:pPr>
              <w:ind w:left="40"/>
              <w:spacing w:after="0"/>
              <w:rPr>
                <w:sz w:val="20"/>
                <w:szCs w:val="20"/>
                <w:color w:val="auto"/>
              </w:rPr>
            </w:pPr>
            <w:r>
              <w:rPr>
                <w:rFonts w:ascii="Arial" w:cs="Arial" w:eastAsia="Arial" w:hAnsi="Arial"/>
                <w:sz w:val="20"/>
                <w:szCs w:val="20"/>
                <w:color w:val="auto"/>
                <w:w w:val="89"/>
              </w:rPr>
              <w:t xml:space="preserve">Non-current assets </w:t>
            </w:r>
            <w:r>
              <w:rPr>
                <w:rFonts w:ascii="Arial" w:cs="Arial" w:eastAsia="Arial" w:hAnsi="Arial"/>
                <w:sz w:val="20"/>
                <w:szCs w:val="20"/>
                <w:color w:val="BDBDBD"/>
                <w:w w:val="89"/>
              </w:rPr>
              <w:t>. . . . . . . . . . . . . . . . . . . . . . . . . . . . . . . . . . . . . . . . . . . . . . . . . . . . .</w:t>
            </w:r>
          </w:p>
        </w:tc>
        <w:tc>
          <w:tcPr>
            <w:tcW w:w="340" w:type="dxa"/>
            <w:vAlign w:val="bottom"/>
            <w:shd w:val="clear" w:color="auto" w:fill="E6E6E6"/>
          </w:tcPr>
          <w:p>
            <w:pPr>
              <w:jc w:val="right"/>
              <w:spacing w:after="0"/>
              <w:rPr>
                <w:sz w:val="20"/>
                <w:szCs w:val="20"/>
                <w:color w:val="auto"/>
              </w:rPr>
            </w:pPr>
            <w:r>
              <w:rPr>
                <w:rFonts w:ascii="Arial" w:cs="Arial" w:eastAsia="Arial" w:hAnsi="Arial"/>
                <w:sz w:val="20"/>
                <w:szCs w:val="20"/>
                <w:color w:val="BDBDBD"/>
                <w:w w:val="93"/>
              </w:rPr>
              <w:t>. . .</w:t>
            </w:r>
          </w:p>
        </w:tc>
        <w:tc>
          <w:tcPr>
            <w:tcW w:w="80" w:type="dxa"/>
            <w:vAlign w:val="bottom"/>
            <w:shd w:val="clear" w:color="auto" w:fill="E6E6E6"/>
          </w:tcPr>
          <w:p>
            <w:pPr>
              <w:spacing w:after="0"/>
              <w:rPr>
                <w:sz w:val="22"/>
                <w:szCs w:val="22"/>
                <w:color w:val="auto"/>
              </w:rPr>
            </w:pPr>
          </w:p>
        </w:tc>
        <w:tc>
          <w:tcPr>
            <w:tcW w:w="220" w:type="dxa"/>
            <w:vAlign w:val="bottom"/>
            <w:shd w:val="clear" w:color="auto" w:fill="E6E6E6"/>
          </w:tcPr>
          <w:p>
            <w:pPr>
              <w:spacing w:after="0"/>
              <w:rPr>
                <w:sz w:val="22"/>
                <w:szCs w:val="22"/>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135</w:t>
            </w:r>
          </w:p>
        </w:tc>
        <w:tc>
          <w:tcPr>
            <w:tcW w:w="60" w:type="dxa"/>
            <w:vAlign w:val="bottom"/>
            <w:shd w:val="clear" w:color="auto" w:fill="E6E6E6"/>
          </w:tcPr>
          <w:p>
            <w:pPr>
              <w:spacing w:after="0"/>
              <w:rPr>
                <w:sz w:val="22"/>
                <w:szCs w:val="22"/>
                <w:color w:val="auto"/>
              </w:rPr>
            </w:pPr>
          </w:p>
        </w:tc>
        <w:tc>
          <w:tcPr>
            <w:tcW w:w="480" w:type="dxa"/>
            <w:vAlign w:val="bottom"/>
            <w:shd w:val="clear" w:color="auto" w:fill="E6E6E6"/>
          </w:tcPr>
          <w:p>
            <w:pPr>
              <w:spacing w:after="0"/>
              <w:rPr>
                <w:sz w:val="22"/>
                <w:szCs w:val="22"/>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157</w:t>
            </w:r>
          </w:p>
        </w:tc>
      </w:tr>
      <w:tr>
        <w:trPr>
          <w:trHeight w:val="254"/>
        </w:trPr>
        <w:tc>
          <w:tcPr>
            <w:tcW w:w="6880" w:type="dxa"/>
            <w:vAlign w:val="bottom"/>
            <w:gridSpan w:val="2"/>
          </w:tcPr>
          <w:p>
            <w:pPr>
              <w:ind w:left="40"/>
              <w:spacing w:after="0"/>
              <w:rPr>
                <w:sz w:val="20"/>
                <w:szCs w:val="20"/>
                <w:color w:val="auto"/>
              </w:rPr>
            </w:pPr>
            <w:r>
              <w:rPr>
                <w:rFonts w:ascii="Arial" w:cs="Arial" w:eastAsia="Arial" w:hAnsi="Arial"/>
                <w:sz w:val="20"/>
                <w:szCs w:val="20"/>
                <w:color w:val="auto"/>
                <w:w w:val="91"/>
              </w:rPr>
              <w:t xml:space="preserve">Current liabilities </w:t>
            </w:r>
            <w:r>
              <w:rPr>
                <w:rFonts w:ascii="Arial" w:cs="Arial" w:eastAsia="Arial" w:hAnsi="Arial"/>
                <w:sz w:val="20"/>
                <w:szCs w:val="20"/>
                <w:color w:val="BDBDBD"/>
                <w:w w:val="91"/>
              </w:rPr>
              <w:t>. . . . . . . . . . . . . . . . . . . . . . . . . . . . . . . . . . . . . . . . . . . . . . . . . . . . . .</w:t>
            </w:r>
          </w:p>
        </w:tc>
        <w:tc>
          <w:tcPr>
            <w:tcW w:w="340" w:type="dxa"/>
            <w:vAlign w:val="bottom"/>
          </w:tcPr>
          <w:p>
            <w:pPr>
              <w:jc w:val="right"/>
              <w:spacing w:after="0"/>
              <w:rPr>
                <w:sz w:val="20"/>
                <w:szCs w:val="20"/>
                <w:color w:val="auto"/>
              </w:rPr>
            </w:pPr>
            <w:r>
              <w:rPr>
                <w:rFonts w:ascii="Arial" w:cs="Arial" w:eastAsia="Arial" w:hAnsi="Arial"/>
                <w:sz w:val="20"/>
                <w:szCs w:val="20"/>
                <w:color w:val="BDBDBD"/>
                <w:w w:val="93"/>
              </w:rPr>
              <w:t>. .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54"/>
        </w:trPr>
        <w:tc>
          <w:tcPr>
            <w:tcW w:w="6880" w:type="dxa"/>
            <w:vAlign w:val="bottom"/>
            <w:gridSpan w:val="2"/>
            <w:shd w:val="clear" w:color="auto" w:fill="E6E6E6"/>
          </w:tcPr>
          <w:p>
            <w:pPr>
              <w:ind w:left="40"/>
              <w:spacing w:after="0"/>
              <w:rPr>
                <w:sz w:val="20"/>
                <w:szCs w:val="20"/>
                <w:color w:val="auto"/>
              </w:rPr>
            </w:pPr>
            <w:r>
              <w:rPr>
                <w:rFonts w:ascii="Arial" w:cs="Arial" w:eastAsia="Arial" w:hAnsi="Arial"/>
                <w:sz w:val="20"/>
                <w:szCs w:val="20"/>
                <w:color w:val="auto"/>
                <w:w w:val="91"/>
              </w:rPr>
              <w:t xml:space="preserve">Non-current liabilities  </w:t>
            </w:r>
            <w:r>
              <w:rPr>
                <w:rFonts w:ascii="Arial" w:cs="Arial" w:eastAsia="Arial" w:hAnsi="Arial"/>
                <w:sz w:val="20"/>
                <w:szCs w:val="20"/>
                <w:color w:val="BDBDBD"/>
                <w:w w:val="91"/>
              </w:rPr>
              <w:t>. . . . . . . . . . . . . . . . . . . . . . . . . . . . . . . . . . . . . . . . . . . . . . . . . .</w:t>
            </w:r>
          </w:p>
        </w:tc>
        <w:tc>
          <w:tcPr>
            <w:tcW w:w="340" w:type="dxa"/>
            <w:vAlign w:val="bottom"/>
            <w:shd w:val="clear" w:color="auto" w:fill="E6E6E6"/>
          </w:tcPr>
          <w:p>
            <w:pPr>
              <w:jc w:val="right"/>
              <w:spacing w:after="0"/>
              <w:rPr>
                <w:sz w:val="20"/>
                <w:szCs w:val="20"/>
                <w:color w:val="auto"/>
              </w:rPr>
            </w:pPr>
            <w:r>
              <w:rPr>
                <w:rFonts w:ascii="Arial" w:cs="Arial" w:eastAsia="Arial" w:hAnsi="Arial"/>
                <w:sz w:val="20"/>
                <w:szCs w:val="20"/>
                <w:color w:val="BDBDBD"/>
                <w:w w:val="93"/>
              </w:rPr>
              <w:t>. . .</w:t>
            </w:r>
          </w:p>
        </w:tc>
        <w:tc>
          <w:tcPr>
            <w:tcW w:w="80" w:type="dxa"/>
            <w:vAlign w:val="bottom"/>
            <w:shd w:val="clear" w:color="auto" w:fill="E6E6E6"/>
          </w:tcPr>
          <w:p>
            <w:pPr>
              <w:spacing w:after="0"/>
              <w:rPr>
                <w:sz w:val="22"/>
                <w:szCs w:val="22"/>
                <w:color w:val="auto"/>
              </w:rPr>
            </w:pPr>
          </w:p>
        </w:tc>
        <w:tc>
          <w:tcPr>
            <w:tcW w:w="220" w:type="dxa"/>
            <w:vAlign w:val="bottom"/>
            <w:shd w:val="clear" w:color="auto" w:fill="E6E6E6"/>
          </w:tcPr>
          <w:p>
            <w:pPr>
              <w:spacing w:after="0"/>
              <w:rPr>
                <w:sz w:val="22"/>
                <w:szCs w:val="22"/>
                <w:color w:val="auto"/>
              </w:rPr>
            </w:pPr>
          </w:p>
        </w:tc>
        <w:tc>
          <w:tcPr>
            <w:tcW w:w="12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81</w:t>
            </w:r>
          </w:p>
        </w:tc>
        <w:tc>
          <w:tcPr>
            <w:tcW w:w="60" w:type="dxa"/>
            <w:vAlign w:val="bottom"/>
            <w:shd w:val="clear" w:color="auto" w:fill="E6E6E6"/>
          </w:tcPr>
          <w:p>
            <w:pPr>
              <w:spacing w:after="0"/>
              <w:rPr>
                <w:sz w:val="22"/>
                <w:szCs w:val="22"/>
                <w:color w:val="auto"/>
              </w:rPr>
            </w:pPr>
          </w:p>
        </w:tc>
        <w:tc>
          <w:tcPr>
            <w:tcW w:w="480" w:type="dxa"/>
            <w:vAlign w:val="bottom"/>
            <w:shd w:val="clear" w:color="auto" w:fill="E6E6E6"/>
          </w:tcPr>
          <w:p>
            <w:pPr>
              <w:spacing w:after="0"/>
              <w:rPr>
                <w:sz w:val="22"/>
                <w:szCs w:val="22"/>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-817880</wp:posOffset>
            </wp:positionV>
            <wp:extent cx="4612640"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78">
                      <a:extLst>
                        <a:ext uri="{28A0092B-C50C-407E-A947-70E740481C1C}"/>
                      </a:extLst>
                    </a:blip>
                    <a:srcRect/>
                    <a:stretch>
                      <a:fillRect/>
                    </a:stretch>
                  </pic:blipFill>
                  <pic:spPr bwMode="auto">
                    <a:xfrm>
                      <a:off x="0" y="0"/>
                      <a:ext cx="4612640" cy="254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-12065</wp:posOffset>
            </wp:positionV>
            <wp:extent cx="4612640"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79">
                      <a:extLst>
                        <a:ext uri="{28A0092B-C50C-407E-A947-70E740481C1C}"/>
                      </a:extLst>
                    </a:blip>
                    <a:srcRect/>
                    <a:stretch>
                      <a:fillRect/>
                    </a:stretch>
                  </pic:blipFill>
                  <pic:spPr bwMode="auto">
                    <a:xfrm>
                      <a:off x="0" y="0"/>
                      <a:ext cx="4612640" cy="254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-2540</wp:posOffset>
                </wp:positionH>
                <wp:positionV relativeFrom="paragraph">
                  <wp:posOffset>110490</wp:posOffset>
                </wp:positionV>
                <wp:extent cx="1259840" cy="0"/>
                <wp:wrapNone/>
                <wp:docPr id="234" name="Shape 2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598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34" o:spid="_x0000_s12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8.7pt" to="99pt,8.7pt" o:allowincell="f" strokecolor="#000000" strokeweight="1pt"/>
            </w:pict>
          </mc:Fallback>
        </mc:AlternateContent>
      </w:r>
    </w:p>
    <w:p>
      <w:pPr>
        <w:spacing w:after="0" w:line="175" w:lineRule="exact"/>
        <w:rPr>
          <w:sz w:val="20"/>
          <w:szCs w:val="20"/>
          <w:color w:val="auto"/>
        </w:rPr>
      </w:pPr>
    </w:p>
    <w:p>
      <w:pPr>
        <w:ind w:left="280" w:hanging="195"/>
        <w:spacing w:after="0"/>
        <w:tabs>
          <w:tab w:leader="none" w:pos="280" w:val="left"/>
        </w:tabs>
        <w:numPr>
          <w:ilvl w:val="0"/>
          <w:numId w:val="62"/>
        </w:numPr>
        <w:rPr>
          <w:rFonts w:ascii="Arial" w:cs="Arial" w:eastAsia="Arial" w:hAnsi="Arial"/>
          <w:sz w:val="23"/>
          <w:szCs w:val="23"/>
          <w:color w:val="auto"/>
          <w:vertAlign w:val="superscript"/>
        </w:rPr>
      </w:pPr>
      <w:r>
        <w:rPr>
          <w:rFonts w:ascii="Arial" w:cs="Arial" w:eastAsia="Arial" w:hAnsi="Arial"/>
          <w:sz w:val="14"/>
          <w:szCs w:val="14"/>
          <w:color w:val="auto"/>
        </w:rPr>
        <w:t>Includes Avenal, Elkhorn Ridge, San Juan Mesa and Rosie Central BESS.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Variable Interest Entities, or VIEs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Entities that are Consolidated</w:t>
      </w:r>
    </w:p>
    <w:p>
      <w:pPr>
        <w:spacing w:after="0" w:line="196" w:lineRule="exact"/>
        <w:rPr>
          <w:sz w:val="20"/>
          <w:szCs w:val="20"/>
          <w:color w:val="auto"/>
        </w:rPr>
      </w:pPr>
    </w:p>
    <w:p>
      <w:pPr>
        <w:jc w:val="both"/>
        <w:ind w:firstLine="448"/>
        <w:spacing w:after="0" w:line="268" w:lineRule="auto"/>
        <w:rPr>
          <w:sz w:val="20"/>
          <w:szCs w:val="20"/>
          <w:color w:val="auto"/>
        </w:rPr>
      </w:pPr>
      <w:r>
        <w:rPr>
          <w:rFonts w:ascii="Arial" w:cs="Arial" w:eastAsia="Arial" w:hAnsi="Arial"/>
          <w:sz w:val="19"/>
          <w:szCs w:val="19"/>
          <w:color w:val="auto"/>
        </w:rPr>
        <w:t xml:space="preserve">The Company has a controlling financial interest in certain entities which have been identified as VIEs under ASC 810, </w:t>
      </w:r>
      <w:r>
        <w:rPr>
          <w:rFonts w:ascii="Arial" w:cs="Arial" w:eastAsia="Arial" w:hAnsi="Arial"/>
          <w:sz w:val="19"/>
          <w:szCs w:val="19"/>
          <w:b w:val="1"/>
          <w:bCs w:val="1"/>
          <w:i w:val="1"/>
          <w:iCs w:val="1"/>
          <w:color w:val="auto"/>
        </w:rPr>
        <w:t>Consolidations</w:t>
      </w:r>
      <w:r>
        <w:rPr>
          <w:rFonts w:ascii="Arial" w:cs="Arial" w:eastAsia="Arial" w:hAnsi="Arial"/>
          <w:sz w:val="19"/>
          <w:szCs w:val="19"/>
          <w:color w:val="auto"/>
        </w:rPr>
        <w:t>. These arrangements are primarily related to tax equity arrangements entered into with third parties in order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monetize certain tax credits associated with wind and solar facilities. The Company also has a controlling financial interest in certain partnership arrangements with third-party investors, which also have been identified as VIEs. Under the Company’s arrangements that have been identified as VIEs, the third-party investors are allocated earnings, tax attributes and distributable cash in accordance with the respective limited liability company agreements. Many of these arrangements also provide a mechanism to facilitate achievement of the investor’s specified return by providing incremental cash distributions to the investor at a specified date if the specified return has not yet been achieved.</w:t>
      </w:r>
    </w:p>
    <w:p>
      <w:pPr>
        <w:sectPr>
          <w:pgSz w:w="11880" w:h="15480" w:orient="portrait"/>
          <w:cols w:equalWidth="0" w:num="1">
            <w:col w:w="10200"/>
          </w:cols>
          <w:pgMar w:left="840" w:top="411"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ectPr>
          <w:pgSz w:w="11880" w:h="15480" w:orient="portrait"/>
          <w:cols w:equalWidth="0" w:num="1">
            <w:col w:w="10200"/>
          </w:cols>
          <w:pgMar w:left="840" w:top="411" w:right="840" w:bottom="0" w:gutter="0" w:footer="0" w:header="0"/>
          <w:type w:val="continuous"/>
        </w:sectPr>
      </w:pPr>
    </w:p>
    <w:bookmarkStart w:id="100" w:name="page101"/>
    <w:bookmarkEnd w:id="100"/>
    <w:p>
      <w:pPr>
        <w:ind w:left="440"/>
        <w:spacing w:after="0"/>
        <w:rPr>
          <w:sz w:val="20"/>
          <w:szCs w:val="20"/>
          <w:color w:val="auto"/>
        </w:rPr>
      </w:pPr>
      <w:r>
        <w:rPr>
          <w:rFonts w:ascii="Arial" w:cs="Arial" w:eastAsia="Arial" w:hAnsi="Arial"/>
          <w:sz w:val="20"/>
          <w:szCs w:val="20"/>
          <w:color w:val="auto"/>
        </w:rPr>
        <w:t>The following is a summary of significant activity during 2023 related to the Company’s consolidated VIEs:</w:t>
      </w:r>
    </w:p>
    <w:p>
      <w:pPr>
        <w:spacing w:after="0" w:line="183" w:lineRule="exact"/>
        <w:rPr>
          <w:sz w:val="20"/>
          <w:szCs w:val="20"/>
          <w:color w:val="auto"/>
        </w:rPr>
      </w:pPr>
    </w:p>
    <w:p>
      <w:pPr>
        <w:jc w:val="both"/>
        <w:ind w:firstLine="448"/>
        <w:spacing w:after="0" w:line="288" w:lineRule="auto"/>
        <w:rPr>
          <w:sz w:val="20"/>
          <w:szCs w:val="20"/>
          <w:color w:val="auto"/>
        </w:rPr>
      </w:pPr>
      <w:r>
        <w:rPr>
          <w:rFonts w:ascii="Arial" w:cs="Arial" w:eastAsia="Arial" w:hAnsi="Arial"/>
          <w:sz w:val="18"/>
          <w:szCs w:val="18"/>
          <w:b w:val="1"/>
          <w:bCs w:val="1"/>
          <w:i w:val="1"/>
          <w:iCs w:val="1"/>
          <w:color w:val="auto"/>
        </w:rPr>
        <w:t xml:space="preserve">DGPV Funds </w:t>
      </w:r>
      <w:r>
        <w:rPr>
          <w:rFonts w:ascii="Arial" w:cs="Arial" w:eastAsia="Arial" w:hAnsi="Arial"/>
          <w:sz w:val="18"/>
          <w:szCs w:val="18"/>
          <w:color w:val="auto"/>
        </w:rPr>
        <w:t>— On December 29, 2023, the Company, through its indirect subsidiary, DGPV 4 LLC, acquired 100%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Class A membership interests in DGPV Fund 4 LLC, a tax equity fund that owns several distributed solar projects, from the tax equity investor in DGPV Fund 4 LLC for $3 million. Prior to the acquisition, the Company consolidated DGPV Fund 4 LLC through its ownership of the Class B membership interests and role as managing member and the Class A membership interests were reflected as redeemable noncontrolling interest on the Company’s consolidated balance sheet. The difference between the historical cost of the Company’s redeemable noncontrolling interest of $20 million and the cash paid of $3 million was recorded as an adjustment between additional paid-in capital and CEG’s noncontrolling interest balance.</w:t>
      </w:r>
    </w:p>
    <w:p>
      <w:pPr>
        <w:spacing w:after="0" w:line="112" w:lineRule="exact"/>
        <w:rPr>
          <w:sz w:val="20"/>
          <w:szCs w:val="20"/>
          <w:color w:val="auto"/>
        </w:rPr>
      </w:pPr>
    </w:p>
    <w:p>
      <w:pPr>
        <w:jc w:val="both"/>
        <w:ind w:firstLine="448"/>
        <w:spacing w:after="0" w:line="254" w:lineRule="auto"/>
        <w:rPr>
          <w:sz w:val="20"/>
          <w:szCs w:val="20"/>
          <w:color w:val="auto"/>
        </w:rPr>
      </w:pPr>
      <w:r>
        <w:rPr>
          <w:rFonts w:ascii="Arial" w:cs="Arial" w:eastAsia="Arial" w:hAnsi="Arial"/>
          <w:sz w:val="20"/>
          <w:szCs w:val="20"/>
          <w:b w:val="1"/>
          <w:bCs w:val="1"/>
          <w:i w:val="1"/>
          <w:iCs w:val="1"/>
          <w:color w:val="auto"/>
        </w:rPr>
        <w:t xml:space="preserve">Alta TE Holdco </w:t>
      </w:r>
      <w:r>
        <w:rPr>
          <w:rFonts w:ascii="Arial" w:cs="Arial" w:eastAsia="Arial" w:hAnsi="Arial"/>
          <w:sz w:val="20"/>
          <w:szCs w:val="20"/>
          <w:color w:val="auto"/>
        </w:rPr>
        <w:t>— On December 6, 2023, the Company, through its indirect subsidiary, Clearway Energy Operating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LLC, acquired 100% of the Class A membership interests in Alta X-XI TE Holdco, LLC, or Alta TE Holdco, a tax equity fund that owns the Alta X and XI wind projects, from the tax equity investor in Alta TE Holdco for $10 million. Prior to the acquisition, the Company consolidated Alta TE Holdco through its ownership of the Class B membership interests and role as managing member, and the Class A membership interests were reflected as noncontrolling interest on the Company’s consolidated balance sheet. The difference between the historical cost of the Company’s noncontrolling interest of $37 million and the cash paid of $10 million was recorded as an adjustment between additional paid-in capital and CEG’s noncontrolling interest balance.</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Lighthouse Partnerships</w:t>
      </w:r>
    </w:p>
    <w:p>
      <w:pPr>
        <w:spacing w:after="0" w:line="193" w:lineRule="exact"/>
        <w:rPr>
          <w:sz w:val="20"/>
          <w:szCs w:val="20"/>
          <w:color w:val="auto"/>
        </w:rPr>
      </w:pPr>
    </w:p>
    <w:p>
      <w:pPr>
        <w:jc w:val="both"/>
        <w:ind w:firstLine="448"/>
        <w:spacing w:after="0" w:line="286" w:lineRule="auto"/>
        <w:rPr>
          <w:sz w:val="20"/>
          <w:szCs w:val="20"/>
          <w:color w:val="auto"/>
        </w:rPr>
      </w:pPr>
      <w:r>
        <w:rPr>
          <w:rFonts w:ascii="Arial" w:cs="Arial" w:eastAsia="Arial" w:hAnsi="Arial"/>
          <w:sz w:val="18"/>
          <w:szCs w:val="18"/>
          <w:color w:val="auto"/>
        </w:rPr>
        <w:t xml:space="preserve">As described in Note 3, </w:t>
      </w:r>
      <w:r>
        <w:rPr>
          <w:rFonts w:ascii="Arial" w:cs="Arial" w:eastAsia="Arial" w:hAnsi="Arial"/>
          <w:sz w:val="18"/>
          <w:szCs w:val="18"/>
          <w:b w:val="1"/>
          <w:bCs w:val="1"/>
          <w:i w:val="1"/>
          <w:iCs w:val="1"/>
          <w:color w:val="auto"/>
        </w:rPr>
        <w:t>Acquisitions and Dispositions</w:t>
      </w:r>
      <w:r>
        <w:rPr>
          <w:rFonts w:ascii="Arial" w:cs="Arial" w:eastAsia="Arial" w:hAnsi="Arial"/>
          <w:sz w:val="18"/>
          <w:szCs w:val="18"/>
          <w:color w:val="auto"/>
        </w:rPr>
        <w:t>, on December 28, 2023, Lighthouse Renewable Holdco 2 LLC, an indirect subsidiary of the Company, acquired TSN1 BL Borrower Holdco LLC. The Company consolidates Lighthouse Renewable Holdco 2 LLC, a partnership between the Company and a cash equity investor, as a VIE as the Company is the primary beneficiary, through its role as managing member. The Company recorded the noncontrolling interest of the cash equity investor in TSN1 BL Borrower Holdco LLC at historical carrying amount, with the offset to additional paid-in capital. TSN1 BL Borrower Holdco LLC consolidates as primary beneficiary, TSN1 TE Holdco LLC, a tax equity fund that owns the Texas Solar Nova 1 solar project. The Class A membership interests in TSN1 TE Holdco LLC are held by a tax equity investor and are reflected as noncontrolling interest on the Company’s consolidated balance sheet.</w:t>
      </w:r>
    </w:p>
    <w:p>
      <w:pPr>
        <w:spacing w:after="0" w:line="119" w:lineRule="exact"/>
        <w:rPr>
          <w:sz w:val="20"/>
          <w:szCs w:val="20"/>
          <w:color w:val="auto"/>
        </w:rPr>
      </w:pPr>
    </w:p>
    <w:p>
      <w:pPr>
        <w:jc w:val="both"/>
        <w:ind w:firstLine="448"/>
        <w:spacing w:after="0" w:line="297" w:lineRule="auto"/>
        <w:rPr>
          <w:sz w:val="20"/>
          <w:szCs w:val="20"/>
          <w:color w:val="auto"/>
        </w:rPr>
      </w:pPr>
      <w:r>
        <w:rPr>
          <w:rFonts w:ascii="Arial" w:cs="Arial" w:eastAsia="Arial" w:hAnsi="Arial"/>
          <w:sz w:val="18"/>
          <w:szCs w:val="18"/>
          <w:color w:val="auto"/>
        </w:rPr>
        <w:t>On August 30, 2023, the Company and the cash equity investor in Lighthouse Renewable Holdco LLC and Lighthouse Renewable Holdco 2 LLC agreed to transfer Mesquite Star Class B Holdco LLC, the indirect owner of the Mesquite Star wind project, from Lighthouse Renewable Holdco LLC to Lighthouse Renewable Holdco 2 LLC. As the transfer was among entities under common control, the transaction was recognized at historical cost and no gain or loss was recognized.</w:t>
      </w:r>
    </w:p>
    <w:p>
      <w:pPr>
        <w:spacing w:after="0" w:line="105" w:lineRule="exact"/>
        <w:rPr>
          <w:sz w:val="20"/>
          <w:szCs w:val="20"/>
          <w:color w:val="auto"/>
        </w:rPr>
      </w:pPr>
    </w:p>
    <w:p>
      <w:pPr>
        <w:jc w:val="both"/>
        <w:ind w:firstLine="448"/>
        <w:spacing w:after="0" w:line="285" w:lineRule="auto"/>
        <w:rPr>
          <w:sz w:val="20"/>
          <w:szCs w:val="20"/>
          <w:color w:val="auto"/>
        </w:rPr>
      </w:pPr>
      <w:r>
        <w:rPr>
          <w:rFonts w:ascii="Arial" w:cs="Arial" w:eastAsia="Arial" w:hAnsi="Arial"/>
          <w:sz w:val="18"/>
          <w:szCs w:val="18"/>
          <w:b w:val="1"/>
          <w:bCs w:val="1"/>
          <w:i w:val="1"/>
          <w:iCs w:val="1"/>
          <w:color w:val="auto"/>
        </w:rPr>
        <w:t xml:space="preserve">VP-Arica TargetCo LLC </w:t>
      </w:r>
      <w:r>
        <w:rPr>
          <w:rFonts w:ascii="Arial" w:cs="Arial" w:eastAsia="Arial" w:hAnsi="Arial"/>
          <w:sz w:val="18"/>
          <w:szCs w:val="18"/>
          <w:color w:val="auto"/>
        </w:rPr>
        <w:t>— As described in Note 3,</w:t>
      </w:r>
      <w:r>
        <w:rPr>
          <w:rFonts w:ascii="Arial" w:cs="Arial" w:eastAsia="Arial" w:hAnsi="Arial"/>
          <w:sz w:val="18"/>
          <w:szCs w:val="18"/>
          <w:b w:val="1"/>
          <w:bCs w:val="1"/>
          <w:i w:val="1"/>
          <w:iCs w:val="1"/>
          <w:color w:val="auto"/>
        </w:rPr>
        <w:t xml:space="preserve"> Acquisitions and Dispositions</w:t>
      </w:r>
      <w:r>
        <w:rPr>
          <w:rFonts w:ascii="Arial" w:cs="Arial" w:eastAsia="Arial" w:hAnsi="Arial"/>
          <w:sz w:val="18"/>
          <w:szCs w:val="18"/>
          <w:color w:val="auto"/>
        </w:rPr>
        <w:t>, on October 31, 2023, VP-Arica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Parent Holdco LLC, an indirect subsidiary of the Company, acquired the Class A membership interests in VP-Arica TargetCo LLC, which is a partnership. The Company consolidates VP-Arica TargetCo LLC as a VIE as the Company is the primary beneficiary. Through its membership interests in VP-Arica TargetCo LLC, the Company receives 40% of distributable cash. The Company recorded the noncontrolling interest of the cash equity investor in VP-Arica TargetCo LLC at historical carrying amount, with the offset to additional paid-in capital. VP-Arica TargetCo LLC consolidates as primary beneficiary and through its ownership of the Class B membership interests, VP-Arica TE Holdco LLC, a tax equity fund that owns the Victory Pass and Arica solar projects. The Class A membership interests in VP-Arica TE Holdco LLC are held by a tax equity investor and are reflected as noncontrolling interest on the Company’s consolidated balance sheet.</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Daggett Partnerships</w:t>
      </w:r>
    </w:p>
    <w:p>
      <w:pPr>
        <w:spacing w:after="0" w:line="193" w:lineRule="exact"/>
        <w:rPr>
          <w:sz w:val="20"/>
          <w:szCs w:val="20"/>
          <w:color w:val="auto"/>
        </w:rPr>
      </w:pPr>
    </w:p>
    <w:p>
      <w:pPr>
        <w:jc w:val="both"/>
        <w:ind w:firstLine="448"/>
        <w:spacing w:after="0" w:line="268" w:lineRule="auto"/>
        <w:rPr>
          <w:sz w:val="20"/>
          <w:szCs w:val="20"/>
          <w:color w:val="auto"/>
        </w:rPr>
      </w:pPr>
      <w:r>
        <w:rPr>
          <w:rFonts w:ascii="Arial" w:cs="Arial" w:eastAsia="Arial" w:hAnsi="Arial"/>
          <w:sz w:val="19"/>
          <w:szCs w:val="19"/>
          <w:color w:val="auto"/>
        </w:rPr>
        <w:t xml:space="preserve">As described in Note 3, </w:t>
      </w:r>
      <w:r>
        <w:rPr>
          <w:rFonts w:ascii="Arial" w:cs="Arial" w:eastAsia="Arial" w:hAnsi="Arial"/>
          <w:sz w:val="19"/>
          <w:szCs w:val="19"/>
          <w:b w:val="1"/>
          <w:bCs w:val="1"/>
          <w:i w:val="1"/>
          <w:iCs w:val="1"/>
          <w:color w:val="auto"/>
        </w:rPr>
        <w:t>Acquisitions and Dispositions</w:t>
      </w:r>
      <w:r>
        <w:rPr>
          <w:rFonts w:ascii="Arial" w:cs="Arial" w:eastAsia="Arial" w:hAnsi="Arial"/>
          <w:sz w:val="19"/>
          <w:szCs w:val="19"/>
          <w:color w:val="auto"/>
        </w:rPr>
        <w:t>, on August 30, 2023, Daggett Solar Investment LLC, an indirect subsidiary of the Company, acquired the Class A membership interests in Daggett 2 TargetCo LLC, which is a partnership. The Company consolidates Daggett 2 TargetCo LLC as a VIE as the Company is the primary beneficiary, through its role as managing member. Through its membership interests in Daggett 2 TargetCo LLC, the Company receives 25% of distributable cash. The Company recorded the acquired noncontrolling interest of the cash equity investor in Daggett 2 TargetCo LLC at historical carrying amount. Daggett 2 TargetCo LLC consolidates as primary beneficiary and through its ownership of the Class B membership interests, Daggett 2 TE Holdco LLC, a tax equity fund that owns the Daggett 2 solar project. The Class A membership interests in Daggett 2 TE Holdco LLC are held by a tax equity investor and are reflected as noncontrolling interest on the Company’s consolidated balance sheet.</w:t>
      </w:r>
    </w:p>
    <w:p>
      <w:pPr>
        <w:sectPr>
          <w:pgSz w:w="11880" w:h="15480" w:orient="portrait"/>
          <w:cols w:equalWidth="0" w:num="1">
            <w:col w:w="10200"/>
          </w:cols>
          <w:pgMar w:left="840" w:top="411"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ectPr>
          <w:pgSz w:w="11880" w:h="15480" w:orient="portrait"/>
          <w:cols w:equalWidth="0" w:num="1">
            <w:col w:w="10200"/>
          </w:cols>
          <w:pgMar w:left="840" w:top="411" w:right="840" w:bottom="0" w:gutter="0" w:footer="0" w:header="0"/>
          <w:type w:val="continuous"/>
        </w:sectPr>
      </w:pPr>
    </w:p>
    <w:bookmarkStart w:id="101" w:name="page102"/>
    <w:bookmarkEnd w:id="101"/>
    <w:p>
      <w:pPr>
        <w:jc w:val="both"/>
        <w:ind w:firstLine="448"/>
        <w:spacing w:after="0" w:line="266" w:lineRule="auto"/>
        <w:rPr>
          <w:sz w:val="20"/>
          <w:szCs w:val="20"/>
          <w:color w:val="auto"/>
        </w:rPr>
      </w:pPr>
      <w:r>
        <w:rPr>
          <w:rFonts w:ascii="Arial" w:cs="Arial" w:eastAsia="Arial" w:hAnsi="Arial"/>
          <w:sz w:val="19"/>
          <w:szCs w:val="19"/>
          <w:color w:val="auto"/>
        </w:rPr>
        <w:t xml:space="preserve">As described in Note 3, </w:t>
      </w:r>
      <w:r>
        <w:rPr>
          <w:rFonts w:ascii="Arial" w:cs="Arial" w:eastAsia="Arial" w:hAnsi="Arial"/>
          <w:sz w:val="19"/>
          <w:szCs w:val="19"/>
          <w:b w:val="1"/>
          <w:bCs w:val="1"/>
          <w:i w:val="1"/>
          <w:iCs w:val="1"/>
          <w:color w:val="auto"/>
        </w:rPr>
        <w:t>Acquisitions and Dispositions</w:t>
      </w:r>
      <w:r>
        <w:rPr>
          <w:rFonts w:ascii="Arial" w:cs="Arial" w:eastAsia="Arial" w:hAnsi="Arial"/>
          <w:sz w:val="19"/>
          <w:szCs w:val="19"/>
          <w:color w:val="auto"/>
        </w:rPr>
        <w:t>, on February 17, 2023, Daggett Solar Investment LLC acquired the Class A membership interests in Daggett TargetCo LLC while a cash equity investor acquired the Class B membership interests. The Company and the cash equity investor then contributed their Class A and B membership interests, respectively, into Daggett Renewable Holdco LLC, which is a partnership, and concurrently, Daggett TargetCo LLC became a wholly-owned subsidiary of Daggett Renewable Holdco LLC. Through its membership interests in Daggett Renewable Holdco LLC, the Company receives 25% of distributable cash. The Company consolidates Daggett Renewable Holdco LLC as a VIE as the Company is the primary beneficiary, through its role as managing member. The Company recorded the noncontrolling interest of the cash equity investor in Daggett Renewable Holdco LLC at historical carrying amount, with the offset to additional paid-in capital. Daggett TargetCo LLC consolidates as primary beneficiary and through its ownership of the Class B membership interests, Daggett TE Holdco LLC, a tax equity fund that owns the Daggett 3 solar project. The Class A membership interests in Daggett TE Holdco LLC are held by a tax equity investor and are reflected as noncontrolling interest on the Company’s consolidated balance sheet.</w:t>
      </w:r>
    </w:p>
    <w:p>
      <w:pPr>
        <w:spacing w:after="0" w:line="142" w:lineRule="exact"/>
        <w:rPr>
          <w:sz w:val="20"/>
          <w:szCs w:val="20"/>
          <w:color w:val="auto"/>
        </w:rPr>
      </w:pPr>
    </w:p>
    <w:p>
      <w:pPr>
        <w:jc w:val="both"/>
        <w:ind w:firstLine="448"/>
        <w:spacing w:after="0" w:line="280" w:lineRule="auto"/>
        <w:rPr>
          <w:sz w:val="20"/>
          <w:szCs w:val="20"/>
          <w:color w:val="auto"/>
        </w:rPr>
      </w:pPr>
      <w:r>
        <w:rPr>
          <w:rFonts w:ascii="Arial" w:cs="Arial" w:eastAsia="Arial" w:hAnsi="Arial"/>
          <w:sz w:val="20"/>
          <w:szCs w:val="20"/>
          <w:color w:val="auto"/>
        </w:rPr>
        <w:t>Summarized financial information for the Company’s consolidated VIEs consisted of the following as of December 31, 2023:</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restart"/>
          </w:tcPr>
          <w:p>
            <w:pPr>
              <w:jc w:val="right"/>
              <w:ind w:right="164"/>
              <w:spacing w:after="0"/>
              <w:rPr>
                <w:sz w:val="20"/>
                <w:szCs w:val="20"/>
                <w:color w:val="auto"/>
              </w:rPr>
            </w:pPr>
            <w:r>
              <w:rPr>
                <w:rFonts w:ascii="Arial" w:cs="Arial" w:eastAsia="Arial" w:hAnsi="Arial"/>
                <w:sz w:val="14"/>
                <w:szCs w:val="14"/>
                <w:b w:val="1"/>
                <w:bCs w:val="1"/>
                <w:color w:val="auto"/>
                <w:w w:val="97"/>
              </w:rPr>
              <w:t>Buckthorn</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restart"/>
          </w:tcPr>
          <w:p>
            <w:pPr>
              <w:jc w:val="right"/>
              <w:ind w:right="104"/>
              <w:spacing w:after="0"/>
              <w:rPr>
                <w:sz w:val="20"/>
                <w:szCs w:val="20"/>
                <w:color w:val="auto"/>
              </w:rPr>
            </w:pPr>
            <w:r>
              <w:rPr>
                <w:rFonts w:ascii="Arial" w:cs="Arial" w:eastAsia="Arial" w:hAnsi="Arial"/>
                <w:sz w:val="14"/>
                <w:szCs w:val="14"/>
                <w:b w:val="1"/>
                <w:bCs w:val="1"/>
                <w:color w:val="auto"/>
                <w:w w:val="94"/>
              </w:rPr>
              <w:t>Langford TE</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vMerge w:val="restart"/>
          </w:tcPr>
          <w:p>
            <w:pPr>
              <w:jc w:val="right"/>
              <w:ind w:right="264"/>
              <w:spacing w:after="0"/>
              <w:rPr>
                <w:sz w:val="20"/>
                <w:szCs w:val="20"/>
                <w:color w:val="auto"/>
              </w:rPr>
            </w:pPr>
            <w:r>
              <w:rPr>
                <w:rFonts w:ascii="Arial" w:cs="Arial" w:eastAsia="Arial" w:hAnsi="Arial"/>
                <w:sz w:val="14"/>
                <w:szCs w:val="14"/>
                <w:b w:val="1"/>
                <w:bCs w:val="1"/>
                <w:color w:val="auto"/>
              </w:rPr>
              <w:t>Daggett</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center"/>
              <w:ind w:right="126"/>
              <w:spacing w:after="0"/>
              <w:rPr>
                <w:sz w:val="20"/>
                <w:szCs w:val="20"/>
                <w:color w:val="auto"/>
              </w:rPr>
            </w:pPr>
            <w:r>
              <w:rPr>
                <w:rFonts w:ascii="Arial" w:cs="Arial" w:eastAsia="Arial" w:hAnsi="Arial"/>
                <w:sz w:val="14"/>
                <w:szCs w:val="14"/>
                <w:b w:val="1"/>
                <w:bCs w:val="1"/>
                <w:color w:val="auto"/>
                <w:w w:val="90"/>
              </w:rPr>
              <w:t>Lighthouse</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center"/>
              <w:ind w:right="106"/>
              <w:spacing w:after="0"/>
              <w:rPr>
                <w:sz w:val="20"/>
                <w:szCs w:val="20"/>
                <w:color w:val="auto"/>
              </w:rPr>
            </w:pPr>
            <w:r>
              <w:rPr>
                <w:rFonts w:ascii="Arial" w:cs="Arial" w:eastAsia="Arial" w:hAnsi="Arial"/>
                <w:sz w:val="14"/>
                <w:szCs w:val="14"/>
                <w:b w:val="1"/>
                <w:bCs w:val="1"/>
                <w:color w:val="auto"/>
                <w:w w:val="87"/>
              </w:rPr>
              <w:t>Lighthouse</w:t>
            </w:r>
          </w:p>
        </w:tc>
        <w:tc>
          <w:tcPr>
            <w:tcW w:w="0" w:type="dxa"/>
            <w:vAlign w:val="bottom"/>
          </w:tcPr>
          <w:p>
            <w:pPr>
              <w:spacing w:after="0"/>
              <w:rPr>
                <w:sz w:val="1"/>
                <w:szCs w:val="1"/>
                <w:color w:val="auto"/>
              </w:rPr>
            </w:pPr>
          </w:p>
        </w:tc>
      </w:tr>
      <w:tr>
        <w:trPr>
          <w:trHeight w:val="139"/>
        </w:trPr>
        <w:tc>
          <w:tcPr>
            <w:tcW w:w="28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2"/>
            <w:vMerge w:val="restart"/>
          </w:tcPr>
          <w:p>
            <w:pPr>
              <w:jc w:val="right"/>
              <w:ind w:right="1"/>
              <w:spacing w:after="0"/>
              <w:rPr>
                <w:sz w:val="20"/>
                <w:szCs w:val="20"/>
                <w:color w:val="auto"/>
              </w:rPr>
            </w:pPr>
            <w:r>
              <w:rPr>
                <w:rFonts w:ascii="Arial" w:cs="Arial" w:eastAsia="Arial" w:hAnsi="Arial"/>
                <w:sz w:val="14"/>
                <w:szCs w:val="14"/>
                <w:b w:val="1"/>
                <w:bCs w:val="1"/>
                <w:color w:val="auto"/>
                <w:w w:val="99"/>
              </w:rPr>
              <w:t xml:space="preserve">DGPV Funds </w:t>
            </w:r>
            <w:r>
              <w:rPr>
                <w:rFonts w:ascii="Arial" w:cs="Arial" w:eastAsia="Arial" w:hAnsi="Arial"/>
                <w:sz w:val="18"/>
                <w:szCs w:val="18"/>
                <w:b w:val="1"/>
                <w:bCs w:val="1"/>
                <w:color w:val="auto"/>
                <w:w w:val="99"/>
                <w:vertAlign w:val="superscript"/>
              </w:rPr>
              <w:t>(a)</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center"/>
              <w:ind w:right="126"/>
              <w:spacing w:after="0" w:line="139" w:lineRule="exact"/>
              <w:rPr>
                <w:sz w:val="20"/>
                <w:szCs w:val="20"/>
                <w:color w:val="auto"/>
              </w:rPr>
            </w:pPr>
            <w:r>
              <w:rPr>
                <w:rFonts w:ascii="Arial" w:cs="Arial" w:eastAsia="Arial" w:hAnsi="Arial"/>
                <w:sz w:val="14"/>
                <w:szCs w:val="14"/>
                <w:b w:val="1"/>
                <w:bCs w:val="1"/>
                <w:color w:val="auto"/>
                <w:w w:val="87"/>
              </w:rPr>
              <w:t>Renewable</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center"/>
              <w:ind w:right="106"/>
              <w:spacing w:after="0" w:line="139" w:lineRule="exact"/>
              <w:rPr>
                <w:sz w:val="20"/>
                <w:szCs w:val="20"/>
                <w:color w:val="auto"/>
              </w:rPr>
            </w:pPr>
            <w:r>
              <w:rPr>
                <w:rFonts w:ascii="Arial" w:cs="Arial" w:eastAsia="Arial" w:hAnsi="Arial"/>
                <w:sz w:val="14"/>
                <w:szCs w:val="14"/>
                <w:b w:val="1"/>
                <w:bCs w:val="1"/>
                <w:color w:val="auto"/>
                <w:w w:val="90"/>
              </w:rPr>
              <w:t>Renewable</w:t>
            </w:r>
          </w:p>
        </w:tc>
        <w:tc>
          <w:tcPr>
            <w:tcW w:w="0" w:type="dxa"/>
            <w:vAlign w:val="bottom"/>
          </w:tcPr>
          <w:p>
            <w:pPr>
              <w:spacing w:after="0"/>
              <w:rPr>
                <w:sz w:val="1"/>
                <w:szCs w:val="1"/>
                <w:color w:val="auto"/>
              </w:rPr>
            </w:pPr>
          </w:p>
        </w:tc>
      </w:tr>
      <w:tr>
        <w:trPr>
          <w:trHeight w:val="189"/>
        </w:trPr>
        <w:tc>
          <w:tcPr>
            <w:tcW w:w="2840" w:type="dxa"/>
            <w:vAlign w:val="bottom"/>
            <w:tcBorders>
              <w:bottom w:val="single" w:sz="8" w:color="E6E6E6"/>
            </w:tcBorders>
            <w:vMerge w:val="continue"/>
          </w:tcPr>
          <w:p>
            <w:pPr>
              <w:spacing w:after="0"/>
              <w:rPr>
                <w:sz w:val="16"/>
                <w:szCs w:val="16"/>
                <w:color w:val="auto"/>
              </w:rPr>
            </w:pPr>
          </w:p>
        </w:tc>
        <w:tc>
          <w:tcPr>
            <w:tcW w:w="1180" w:type="dxa"/>
            <w:vAlign w:val="bottom"/>
            <w:tcBorders>
              <w:bottom w:val="single" w:sz="8" w:color="auto"/>
            </w:tcBorders>
            <w:gridSpan w:val="2"/>
          </w:tcPr>
          <w:p>
            <w:pPr>
              <w:jc w:val="right"/>
              <w:ind w:right="44"/>
              <w:spacing w:after="0"/>
              <w:rPr>
                <w:sz w:val="20"/>
                <w:szCs w:val="20"/>
                <w:color w:val="auto"/>
              </w:rPr>
            </w:pPr>
            <w:r>
              <w:rPr>
                <w:rFonts w:ascii="Arial" w:cs="Arial" w:eastAsia="Arial" w:hAnsi="Arial"/>
                <w:sz w:val="14"/>
                <w:szCs w:val="14"/>
                <w:b w:val="1"/>
                <w:bCs w:val="1"/>
                <w:color w:val="auto"/>
              </w:rPr>
              <w:t>Holdings, LLC</w:t>
            </w:r>
          </w:p>
        </w:tc>
        <w:tc>
          <w:tcPr>
            <w:tcW w:w="60" w:type="dxa"/>
            <w:vAlign w:val="bottom"/>
            <w:tcBorders>
              <w:bottom w:val="single" w:sz="8" w:color="E6E6E6"/>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E6E6E6"/>
            </w:tcBorders>
          </w:tcPr>
          <w:p>
            <w:pPr>
              <w:spacing w:after="0"/>
              <w:rPr>
                <w:sz w:val="16"/>
                <w:szCs w:val="16"/>
                <w:color w:val="auto"/>
              </w:rPr>
            </w:pPr>
          </w:p>
        </w:tc>
        <w:tc>
          <w:tcPr>
            <w:tcW w:w="11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9"/>
              </w:rPr>
              <w:t>Partnership LLC</w:t>
            </w:r>
          </w:p>
        </w:tc>
        <w:tc>
          <w:tcPr>
            <w:tcW w:w="60" w:type="dxa"/>
            <w:vAlign w:val="bottom"/>
            <w:tcBorders>
              <w:bottom w:val="single" w:sz="8" w:color="E6E6E6"/>
            </w:tcBorders>
          </w:tcPr>
          <w:p>
            <w:pPr>
              <w:spacing w:after="0"/>
              <w:rPr>
                <w:sz w:val="16"/>
                <w:szCs w:val="16"/>
                <w:color w:val="auto"/>
              </w:rPr>
            </w:pPr>
          </w:p>
        </w:tc>
        <w:tc>
          <w:tcPr>
            <w:tcW w:w="1180" w:type="dxa"/>
            <w:vAlign w:val="bottom"/>
            <w:tcBorders>
              <w:bottom w:val="single" w:sz="8" w:color="auto"/>
            </w:tcBorders>
            <w:gridSpan w:val="2"/>
          </w:tcPr>
          <w:p>
            <w:pPr>
              <w:jc w:val="right"/>
              <w:ind w:right="44"/>
              <w:spacing w:after="0" w:line="189" w:lineRule="exact"/>
              <w:rPr>
                <w:sz w:val="20"/>
                <w:szCs w:val="20"/>
                <w:color w:val="auto"/>
              </w:rPr>
            </w:pPr>
            <w:r>
              <w:rPr>
                <w:rFonts w:ascii="Arial" w:cs="Arial" w:eastAsia="Arial" w:hAnsi="Arial"/>
                <w:sz w:val="14"/>
                <w:szCs w:val="14"/>
                <w:b w:val="1"/>
                <w:bCs w:val="1"/>
                <w:color w:val="auto"/>
                <w:w w:val="97"/>
              </w:rPr>
              <w:t xml:space="preserve">Partnerships </w:t>
            </w:r>
            <w:r>
              <w:rPr>
                <w:rFonts w:ascii="Arial" w:cs="Arial" w:eastAsia="Arial" w:hAnsi="Arial"/>
                <w:sz w:val="18"/>
                <w:szCs w:val="18"/>
                <w:b w:val="1"/>
                <w:bCs w:val="1"/>
                <w:color w:val="auto"/>
                <w:w w:val="97"/>
                <w:vertAlign w:val="superscript"/>
              </w:rPr>
              <w:t>(b)</w:t>
            </w:r>
          </w:p>
        </w:tc>
        <w:tc>
          <w:tcPr>
            <w:tcW w:w="60" w:type="dxa"/>
            <w:vAlign w:val="bottom"/>
            <w:tcBorders>
              <w:bottom w:val="single" w:sz="8" w:color="E6E6E6"/>
            </w:tcBorders>
          </w:tcPr>
          <w:p>
            <w:pPr>
              <w:spacing w:after="0"/>
              <w:rPr>
                <w:sz w:val="16"/>
                <w:szCs w:val="16"/>
                <w:color w:val="auto"/>
              </w:rPr>
            </w:pPr>
          </w:p>
        </w:tc>
        <w:tc>
          <w:tcPr>
            <w:tcW w:w="1180" w:type="dxa"/>
            <w:vAlign w:val="bottom"/>
            <w:tcBorders>
              <w:bottom w:val="single" w:sz="8" w:color="auto"/>
            </w:tcBorders>
            <w:gridSpan w:val="2"/>
          </w:tcPr>
          <w:p>
            <w:pPr>
              <w:jc w:val="center"/>
              <w:spacing w:after="0" w:line="189" w:lineRule="exact"/>
              <w:rPr>
                <w:sz w:val="20"/>
                <w:szCs w:val="20"/>
                <w:color w:val="auto"/>
              </w:rPr>
            </w:pPr>
            <w:r>
              <w:rPr>
                <w:rFonts w:ascii="Arial" w:cs="Arial" w:eastAsia="Arial" w:hAnsi="Arial"/>
                <w:sz w:val="14"/>
                <w:szCs w:val="14"/>
                <w:b w:val="1"/>
                <w:bCs w:val="1"/>
                <w:color w:val="auto"/>
                <w:w w:val="90"/>
              </w:rPr>
              <w:t xml:space="preserve">Holdco LLC </w:t>
            </w:r>
            <w:r>
              <w:rPr>
                <w:rFonts w:ascii="Arial" w:cs="Arial" w:eastAsia="Arial" w:hAnsi="Arial"/>
                <w:sz w:val="18"/>
                <w:szCs w:val="18"/>
                <w:b w:val="1"/>
                <w:bCs w:val="1"/>
                <w:color w:val="auto"/>
                <w:w w:val="90"/>
                <w:vertAlign w:val="superscript"/>
              </w:rPr>
              <w:t>(c)</w:t>
            </w:r>
          </w:p>
        </w:tc>
        <w:tc>
          <w:tcPr>
            <w:tcW w:w="60" w:type="dxa"/>
            <w:vAlign w:val="bottom"/>
            <w:tcBorders>
              <w:bottom w:val="single" w:sz="8" w:color="E6E6E6"/>
            </w:tcBorders>
          </w:tcPr>
          <w:p>
            <w:pPr>
              <w:spacing w:after="0"/>
              <w:rPr>
                <w:sz w:val="16"/>
                <w:szCs w:val="16"/>
                <w:color w:val="auto"/>
              </w:rPr>
            </w:pPr>
          </w:p>
        </w:tc>
        <w:tc>
          <w:tcPr>
            <w:tcW w:w="1180" w:type="dxa"/>
            <w:vAlign w:val="bottom"/>
            <w:tcBorders>
              <w:bottom w:val="single" w:sz="8" w:color="auto"/>
            </w:tcBorders>
            <w:gridSpan w:val="2"/>
          </w:tcPr>
          <w:p>
            <w:pPr>
              <w:jc w:val="center"/>
              <w:spacing w:after="0" w:line="189" w:lineRule="exact"/>
              <w:rPr>
                <w:sz w:val="20"/>
                <w:szCs w:val="20"/>
                <w:color w:val="auto"/>
              </w:rPr>
            </w:pPr>
            <w:r>
              <w:rPr>
                <w:rFonts w:ascii="Arial" w:cs="Arial" w:eastAsia="Arial" w:hAnsi="Arial"/>
                <w:sz w:val="14"/>
                <w:szCs w:val="14"/>
                <w:b w:val="1"/>
                <w:bCs w:val="1"/>
                <w:color w:val="auto"/>
                <w:w w:val="91"/>
              </w:rPr>
              <w:t xml:space="preserve">Holdco 2 LLC </w:t>
            </w:r>
            <w:r>
              <w:rPr>
                <w:rFonts w:ascii="Arial" w:cs="Arial" w:eastAsia="Arial" w:hAnsi="Arial"/>
                <w:sz w:val="18"/>
                <w:szCs w:val="18"/>
                <w:b w:val="1"/>
                <w:bCs w:val="1"/>
                <w:color w:val="auto"/>
                <w:w w:val="91"/>
                <w:vertAlign w:val="superscript"/>
              </w:rPr>
              <w:t>(d)</w:t>
            </w:r>
          </w:p>
        </w:tc>
        <w:tc>
          <w:tcPr>
            <w:tcW w:w="0" w:type="dxa"/>
            <w:vAlign w:val="bottom"/>
          </w:tcPr>
          <w:p>
            <w:pPr>
              <w:spacing w:after="0"/>
              <w:rPr>
                <w:sz w:val="1"/>
                <w:szCs w:val="1"/>
                <w:color w:val="auto"/>
              </w:rPr>
            </w:pPr>
          </w:p>
        </w:tc>
      </w:tr>
      <w:tr>
        <w:trPr>
          <w:trHeight w:val="181"/>
        </w:trPr>
        <w:tc>
          <w:tcPr>
            <w:tcW w:w="2840" w:type="dxa"/>
            <w:vAlign w:val="bottom"/>
            <w:shd w:val="clear" w:color="auto" w:fill="E6E6E6"/>
          </w:tcPr>
          <w:p>
            <w:pPr>
              <w:ind w:left="40"/>
              <w:spacing w:after="0" w:line="181" w:lineRule="exact"/>
              <w:rPr>
                <w:sz w:val="20"/>
                <w:szCs w:val="20"/>
                <w:color w:val="auto"/>
              </w:rPr>
            </w:pPr>
            <w:r>
              <w:rPr>
                <w:rFonts w:ascii="Arial" w:cs="Arial" w:eastAsia="Arial" w:hAnsi="Arial"/>
                <w:sz w:val="20"/>
                <w:szCs w:val="20"/>
                <w:color w:val="auto"/>
              </w:rPr>
              <w:t>Other current and non-current</w:t>
            </w:r>
          </w:p>
        </w:tc>
        <w:tc>
          <w:tcPr>
            <w:tcW w:w="22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96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4</w:t>
            </w:r>
          </w:p>
        </w:tc>
        <w:tc>
          <w:tcPr>
            <w:tcW w:w="540" w:type="dxa"/>
            <w:vAlign w:val="bottom"/>
            <w:gridSpan w:val="2"/>
            <w:vMerge w:val="restart"/>
            <w:shd w:val="clear" w:color="auto" w:fill="E6E6E6"/>
          </w:tcPr>
          <w:p>
            <w:pPr>
              <w:jc w:val="right"/>
              <w:ind w:right="250"/>
              <w:spacing w:after="0"/>
              <w:rPr>
                <w:sz w:val="20"/>
                <w:szCs w:val="20"/>
                <w:color w:val="auto"/>
              </w:rPr>
            </w:pPr>
            <w:r>
              <w:rPr>
                <w:rFonts w:ascii="Arial" w:cs="Arial" w:eastAsia="Arial" w:hAnsi="Arial"/>
                <w:sz w:val="20"/>
                <w:szCs w:val="20"/>
                <w:color w:val="auto"/>
              </w:rPr>
              <w:t>$</w:t>
            </w:r>
          </w:p>
        </w:tc>
        <w:tc>
          <w:tcPr>
            <w:tcW w:w="68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58</w:t>
            </w:r>
          </w:p>
        </w:tc>
        <w:tc>
          <w:tcPr>
            <w:tcW w:w="240" w:type="dxa"/>
            <w:vAlign w:val="bottom"/>
            <w:gridSpan w:val="2"/>
            <w:vMerge w:val="restart"/>
            <w:shd w:val="clear" w:color="auto" w:fill="E6E6E6"/>
          </w:tcPr>
          <w:p>
            <w:pPr>
              <w:ind w:left="120"/>
              <w:spacing w:after="0"/>
              <w:rPr>
                <w:sz w:val="20"/>
                <w:szCs w:val="20"/>
                <w:color w:val="auto"/>
              </w:rPr>
            </w:pPr>
            <w:r>
              <w:rPr>
                <w:rFonts w:ascii="Arial" w:cs="Arial" w:eastAsia="Arial" w:hAnsi="Arial"/>
                <w:sz w:val="20"/>
                <w:szCs w:val="20"/>
                <w:color w:val="auto"/>
                <w:w w:val="89"/>
              </w:rPr>
              <w:t>$</w:t>
            </w:r>
          </w:p>
        </w:tc>
        <w:tc>
          <w:tcPr>
            <w:tcW w:w="100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23</w:t>
            </w:r>
          </w:p>
        </w:tc>
        <w:tc>
          <w:tcPr>
            <w:tcW w:w="300" w:type="dxa"/>
            <w:vAlign w:val="bottom"/>
            <w:gridSpan w:val="2"/>
            <w:vMerge w:val="restart"/>
            <w:shd w:val="clear" w:color="auto" w:fill="E6E6E6"/>
          </w:tcPr>
          <w:p>
            <w:pPr>
              <w:jc w:val="right"/>
              <w:ind w:right="30"/>
              <w:spacing w:after="0"/>
              <w:rPr>
                <w:sz w:val="20"/>
                <w:szCs w:val="20"/>
                <w:color w:val="auto"/>
              </w:rPr>
            </w:pPr>
            <w:r>
              <w:rPr>
                <w:rFonts w:ascii="Arial" w:cs="Arial" w:eastAsia="Arial" w:hAnsi="Arial"/>
                <w:sz w:val="20"/>
                <w:szCs w:val="20"/>
                <w:color w:val="auto"/>
              </w:rPr>
              <w:t>$</w:t>
            </w:r>
          </w:p>
        </w:tc>
        <w:tc>
          <w:tcPr>
            <w:tcW w:w="94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167</w:t>
            </w:r>
          </w:p>
        </w:tc>
        <w:tc>
          <w:tcPr>
            <w:tcW w:w="260" w:type="dxa"/>
            <w:vAlign w:val="bottom"/>
            <w:gridSpan w:val="2"/>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980" w:type="dxa"/>
            <w:vAlign w:val="bottom"/>
            <w:vMerge w:val="restart"/>
            <w:shd w:val="clear" w:color="auto" w:fill="E6E6E6"/>
          </w:tcPr>
          <w:p>
            <w:pPr>
              <w:jc w:val="right"/>
              <w:ind w:right="6"/>
              <w:spacing w:after="0"/>
              <w:rPr>
                <w:sz w:val="20"/>
                <w:szCs w:val="20"/>
                <w:color w:val="auto"/>
              </w:rPr>
            </w:pPr>
            <w:r>
              <w:rPr>
                <w:rFonts w:ascii="Arial" w:cs="Arial" w:eastAsia="Arial" w:hAnsi="Arial"/>
                <w:sz w:val="20"/>
                <w:szCs w:val="20"/>
                <w:color w:val="auto"/>
              </w:rPr>
              <w:t>68</w:t>
            </w:r>
          </w:p>
        </w:tc>
        <w:tc>
          <w:tcPr>
            <w:tcW w:w="260" w:type="dxa"/>
            <w:vAlign w:val="bottom"/>
            <w:gridSpan w:val="2"/>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98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135</w:t>
            </w:r>
          </w:p>
        </w:tc>
        <w:tc>
          <w:tcPr>
            <w:tcW w:w="0" w:type="dxa"/>
            <w:vAlign w:val="bottom"/>
          </w:tcPr>
          <w:p>
            <w:pPr>
              <w:spacing w:after="0"/>
              <w:rPr>
                <w:sz w:val="1"/>
                <w:szCs w:val="1"/>
                <w:color w:val="auto"/>
              </w:rPr>
            </w:pPr>
          </w:p>
        </w:tc>
      </w:tr>
      <w:tr>
        <w:trPr>
          <w:trHeight w:val="272"/>
        </w:trPr>
        <w:tc>
          <w:tcPr>
            <w:tcW w:w="2840" w:type="dxa"/>
            <w:vAlign w:val="bottom"/>
            <w:shd w:val="clear" w:color="auto" w:fill="E6E6E6"/>
          </w:tcPr>
          <w:p>
            <w:pPr>
              <w:jc w:val="right"/>
              <w:spacing w:after="0"/>
              <w:rPr>
                <w:sz w:val="20"/>
                <w:szCs w:val="20"/>
                <w:color w:val="auto"/>
              </w:rPr>
            </w:pPr>
            <w:r>
              <w:rPr>
                <w:rFonts w:ascii="Arial" w:cs="Arial" w:eastAsia="Arial" w:hAnsi="Arial"/>
                <w:sz w:val="20"/>
                <w:szCs w:val="20"/>
                <w:color w:val="auto"/>
                <w:w w:val="95"/>
              </w:rPr>
              <w:t xml:space="preserve">assets </w:t>
            </w:r>
            <w:r>
              <w:rPr>
                <w:rFonts w:ascii="Arial" w:cs="Arial" w:eastAsia="Arial" w:hAnsi="Arial"/>
                <w:sz w:val="20"/>
                <w:szCs w:val="20"/>
                <w:color w:val="BDBDBD"/>
                <w:w w:val="95"/>
              </w:rPr>
              <w:t>. . . . . . . . . . . . . . . . . . . . .</w:t>
            </w:r>
          </w:p>
        </w:tc>
        <w:tc>
          <w:tcPr>
            <w:tcW w:w="220" w:type="dxa"/>
            <w:vAlign w:val="bottom"/>
            <w:vMerge w:val="continue"/>
            <w:shd w:val="clear" w:color="auto" w:fill="E6E6E6"/>
          </w:tcPr>
          <w:p>
            <w:pPr>
              <w:spacing w:after="0"/>
              <w:rPr>
                <w:sz w:val="23"/>
                <w:szCs w:val="23"/>
                <w:color w:val="auto"/>
              </w:rPr>
            </w:pPr>
          </w:p>
        </w:tc>
        <w:tc>
          <w:tcPr>
            <w:tcW w:w="960" w:type="dxa"/>
            <w:vAlign w:val="bottom"/>
            <w:vMerge w:val="continue"/>
            <w:shd w:val="clear" w:color="auto" w:fill="E6E6E6"/>
          </w:tcPr>
          <w:p>
            <w:pPr>
              <w:spacing w:after="0"/>
              <w:rPr>
                <w:sz w:val="23"/>
                <w:szCs w:val="23"/>
                <w:color w:val="auto"/>
              </w:rPr>
            </w:pPr>
          </w:p>
        </w:tc>
        <w:tc>
          <w:tcPr>
            <w:tcW w:w="540" w:type="dxa"/>
            <w:vAlign w:val="bottom"/>
            <w:gridSpan w:val="2"/>
            <w:vMerge w:val="continue"/>
            <w:shd w:val="clear" w:color="auto" w:fill="E6E6E6"/>
          </w:tcPr>
          <w:p>
            <w:pPr>
              <w:spacing w:after="0"/>
              <w:rPr>
                <w:sz w:val="23"/>
                <w:szCs w:val="23"/>
                <w:color w:val="auto"/>
              </w:rPr>
            </w:pPr>
          </w:p>
        </w:tc>
        <w:tc>
          <w:tcPr>
            <w:tcW w:w="680" w:type="dxa"/>
            <w:vAlign w:val="bottom"/>
            <w:vMerge w:val="continue"/>
            <w:shd w:val="clear" w:color="auto" w:fill="E6E6E6"/>
          </w:tcPr>
          <w:p>
            <w:pPr>
              <w:spacing w:after="0"/>
              <w:rPr>
                <w:sz w:val="23"/>
                <w:szCs w:val="23"/>
                <w:color w:val="auto"/>
              </w:rPr>
            </w:pPr>
          </w:p>
        </w:tc>
        <w:tc>
          <w:tcPr>
            <w:tcW w:w="240" w:type="dxa"/>
            <w:vAlign w:val="bottom"/>
            <w:gridSpan w:val="2"/>
            <w:vMerge w:val="continue"/>
            <w:shd w:val="clear" w:color="auto" w:fill="E6E6E6"/>
          </w:tcPr>
          <w:p>
            <w:pPr>
              <w:spacing w:after="0"/>
              <w:rPr>
                <w:sz w:val="23"/>
                <w:szCs w:val="23"/>
                <w:color w:val="auto"/>
              </w:rPr>
            </w:pPr>
          </w:p>
        </w:tc>
        <w:tc>
          <w:tcPr>
            <w:tcW w:w="1000" w:type="dxa"/>
            <w:vAlign w:val="bottom"/>
            <w:vMerge w:val="continue"/>
            <w:shd w:val="clear" w:color="auto" w:fill="E6E6E6"/>
          </w:tcPr>
          <w:p>
            <w:pPr>
              <w:spacing w:after="0"/>
              <w:rPr>
                <w:sz w:val="23"/>
                <w:szCs w:val="23"/>
                <w:color w:val="auto"/>
              </w:rPr>
            </w:pPr>
          </w:p>
        </w:tc>
        <w:tc>
          <w:tcPr>
            <w:tcW w:w="300" w:type="dxa"/>
            <w:vAlign w:val="bottom"/>
            <w:gridSpan w:val="2"/>
            <w:vMerge w:val="continue"/>
            <w:shd w:val="clear" w:color="auto" w:fill="E6E6E6"/>
          </w:tcPr>
          <w:p>
            <w:pPr>
              <w:spacing w:after="0"/>
              <w:rPr>
                <w:sz w:val="23"/>
                <w:szCs w:val="23"/>
                <w:color w:val="auto"/>
              </w:rPr>
            </w:pPr>
          </w:p>
        </w:tc>
        <w:tc>
          <w:tcPr>
            <w:tcW w:w="940" w:type="dxa"/>
            <w:vAlign w:val="bottom"/>
            <w:vMerge w:val="continue"/>
            <w:shd w:val="clear" w:color="auto" w:fill="E6E6E6"/>
          </w:tcPr>
          <w:p>
            <w:pPr>
              <w:spacing w:after="0"/>
              <w:rPr>
                <w:sz w:val="23"/>
                <w:szCs w:val="23"/>
                <w:color w:val="auto"/>
              </w:rPr>
            </w:pPr>
          </w:p>
        </w:tc>
        <w:tc>
          <w:tcPr>
            <w:tcW w:w="260" w:type="dxa"/>
            <w:vAlign w:val="bottom"/>
            <w:gridSpan w:val="2"/>
            <w:vMerge w:val="continue"/>
            <w:shd w:val="clear" w:color="auto" w:fill="E6E6E6"/>
          </w:tcPr>
          <w:p>
            <w:pPr>
              <w:spacing w:after="0"/>
              <w:rPr>
                <w:sz w:val="23"/>
                <w:szCs w:val="23"/>
                <w:color w:val="auto"/>
              </w:rPr>
            </w:pPr>
          </w:p>
        </w:tc>
        <w:tc>
          <w:tcPr>
            <w:tcW w:w="980" w:type="dxa"/>
            <w:vAlign w:val="bottom"/>
            <w:vMerge w:val="continue"/>
            <w:shd w:val="clear" w:color="auto" w:fill="E6E6E6"/>
          </w:tcPr>
          <w:p>
            <w:pPr>
              <w:spacing w:after="0"/>
              <w:rPr>
                <w:sz w:val="23"/>
                <w:szCs w:val="23"/>
                <w:color w:val="auto"/>
              </w:rPr>
            </w:pPr>
          </w:p>
        </w:tc>
        <w:tc>
          <w:tcPr>
            <w:tcW w:w="260" w:type="dxa"/>
            <w:vAlign w:val="bottom"/>
            <w:gridSpan w:val="2"/>
            <w:vMerge w:val="continue"/>
            <w:shd w:val="clear" w:color="auto" w:fill="E6E6E6"/>
          </w:tcPr>
          <w:p>
            <w:pPr>
              <w:spacing w:after="0"/>
              <w:rPr>
                <w:sz w:val="23"/>
                <w:szCs w:val="23"/>
                <w:color w:val="auto"/>
              </w:rPr>
            </w:pPr>
          </w:p>
        </w:tc>
        <w:tc>
          <w:tcPr>
            <w:tcW w:w="980" w:type="dxa"/>
            <w:vAlign w:val="bottom"/>
            <w:vMerge w:val="continue"/>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92"/>
        </w:trPr>
        <w:tc>
          <w:tcPr>
            <w:tcW w:w="2840" w:type="dxa"/>
            <w:vAlign w:val="bottom"/>
          </w:tcPr>
          <w:p>
            <w:pPr>
              <w:jc w:val="right"/>
              <w:spacing w:after="0"/>
              <w:rPr>
                <w:sz w:val="20"/>
                <w:szCs w:val="20"/>
                <w:color w:val="auto"/>
              </w:rPr>
            </w:pPr>
            <w:r>
              <w:rPr>
                <w:rFonts w:ascii="Arial" w:cs="Arial" w:eastAsia="Arial" w:hAnsi="Arial"/>
                <w:sz w:val="20"/>
                <w:szCs w:val="20"/>
                <w:color w:val="auto"/>
                <w:w w:val="92"/>
              </w:rPr>
              <w:t xml:space="preserve">Property, plant and equipment </w:t>
            </w:r>
            <w:r>
              <w:rPr>
                <w:rFonts w:ascii="Arial" w:cs="Arial" w:eastAsia="Arial" w:hAnsi="Arial"/>
                <w:sz w:val="20"/>
                <w:szCs w:val="20"/>
                <w:color w:val="BDBDBD"/>
                <w:w w:val="92"/>
              </w:rPr>
              <w:t>. . .</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185</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381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115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988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ind w:right="6"/>
              <w:spacing w:after="0"/>
              <w:rPr>
                <w:sz w:val="20"/>
                <w:szCs w:val="20"/>
                <w:color w:val="auto"/>
              </w:rPr>
            </w:pPr>
            <w:r>
              <w:rPr>
                <w:rFonts w:ascii="Arial" w:cs="Arial" w:eastAsia="Arial" w:hAnsi="Arial"/>
                <w:sz w:val="20"/>
                <w:szCs w:val="20"/>
                <w:color w:val="auto"/>
              </w:rPr>
              <w:t>415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1,086</w:t>
            </w:r>
          </w:p>
        </w:tc>
        <w:tc>
          <w:tcPr>
            <w:tcW w:w="0" w:type="dxa"/>
            <w:vAlign w:val="bottom"/>
          </w:tcPr>
          <w:p>
            <w:pPr>
              <w:spacing w:after="0"/>
              <w:rPr>
                <w:sz w:val="1"/>
                <w:szCs w:val="1"/>
                <w:color w:val="auto"/>
              </w:rPr>
            </w:pPr>
          </w:p>
        </w:tc>
      </w:tr>
      <w:tr>
        <w:trPr>
          <w:trHeight w:val="295"/>
        </w:trPr>
        <w:tc>
          <w:tcPr>
            <w:tcW w:w="28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w w:val="90"/>
              </w:rPr>
              <w:t xml:space="preserve">Intangible assets </w:t>
            </w:r>
            <w:r>
              <w:rPr>
                <w:rFonts w:ascii="Arial" w:cs="Arial" w:eastAsia="Arial" w:hAnsi="Arial"/>
                <w:sz w:val="20"/>
                <w:szCs w:val="20"/>
                <w:color w:val="BDBDBD"/>
                <w:w w:val="90"/>
              </w:rPr>
              <w:t>. . . . . . . . . . . . . .</w:t>
            </w:r>
          </w:p>
        </w:tc>
        <w:tc>
          <w:tcPr>
            <w:tcW w:w="22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480" w:type="dxa"/>
            <w:vAlign w:val="bottom"/>
            <w:tcBorders>
              <w:bottom w:val="single" w:sz="8" w:color="auto"/>
            </w:tcBorders>
            <w:shd w:val="clear" w:color="auto" w:fill="E6E6E6"/>
          </w:tcPr>
          <w:p>
            <w:pPr>
              <w:spacing w:after="0"/>
              <w:rPr>
                <w:sz w:val="24"/>
                <w:szCs w:val="24"/>
                <w:color w:val="auto"/>
              </w:rPr>
            </w:pPr>
          </w:p>
        </w:tc>
        <w:tc>
          <w:tcPr>
            <w:tcW w:w="6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w:t>
            </w:r>
          </w:p>
        </w:tc>
        <w:tc>
          <w:tcPr>
            <w:tcW w:w="6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shd w:val="clear" w:color="auto" w:fill="E6E6E6"/>
          </w:tcPr>
          <w:p>
            <w:pPr>
              <w:jc w:val="right"/>
              <w:ind w:right="6"/>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82"/>
        </w:trPr>
        <w:tc>
          <w:tcPr>
            <w:tcW w:w="2840" w:type="dxa"/>
            <w:vAlign w:val="bottom"/>
          </w:tcPr>
          <w:p>
            <w:pPr>
              <w:jc w:val="right"/>
              <w:spacing w:after="0"/>
              <w:rPr>
                <w:sz w:val="20"/>
                <w:szCs w:val="20"/>
                <w:color w:val="auto"/>
              </w:rPr>
            </w:pPr>
            <w:r>
              <w:rPr>
                <w:rFonts w:ascii="Arial" w:cs="Arial" w:eastAsia="Arial" w:hAnsi="Arial"/>
                <w:sz w:val="20"/>
                <w:szCs w:val="20"/>
                <w:color w:val="auto"/>
                <w:w w:val="93"/>
              </w:rPr>
              <w:t xml:space="preserve">Total assets </w:t>
            </w:r>
            <w:r>
              <w:rPr>
                <w:rFonts w:ascii="Arial" w:cs="Arial" w:eastAsia="Arial" w:hAnsi="Arial"/>
                <w:sz w:val="20"/>
                <w:szCs w:val="20"/>
                <w:color w:val="BDBDBD"/>
                <w:w w:val="93"/>
              </w:rPr>
              <w:t>. . . . . . . . . . . . . . . . .</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189</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440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138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1,155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ind w:right="6"/>
              <w:spacing w:after="0"/>
              <w:rPr>
                <w:sz w:val="20"/>
                <w:szCs w:val="20"/>
                <w:color w:val="auto"/>
              </w:rPr>
            </w:pPr>
            <w:r>
              <w:rPr>
                <w:rFonts w:ascii="Arial" w:cs="Arial" w:eastAsia="Arial" w:hAnsi="Arial"/>
                <w:sz w:val="20"/>
                <w:szCs w:val="20"/>
                <w:color w:val="auto"/>
              </w:rPr>
              <w:t>483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1,223</w:t>
            </w:r>
          </w:p>
        </w:tc>
        <w:tc>
          <w:tcPr>
            <w:tcW w:w="0" w:type="dxa"/>
            <w:vAlign w:val="bottom"/>
          </w:tcPr>
          <w:p>
            <w:pPr>
              <w:spacing w:after="0"/>
              <w:rPr>
                <w:sz w:val="1"/>
                <w:szCs w:val="1"/>
                <w:color w:val="auto"/>
              </w:rPr>
            </w:pPr>
          </w:p>
        </w:tc>
      </w:tr>
      <w:tr>
        <w:trPr>
          <w:trHeight w:val="295"/>
        </w:trPr>
        <w:tc>
          <w:tcPr>
            <w:tcW w:w="28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w w:val="94"/>
              </w:rPr>
              <w:t>Current and non-current liabilities</w:t>
            </w:r>
          </w:p>
        </w:tc>
        <w:tc>
          <w:tcPr>
            <w:tcW w:w="22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12</w:t>
            </w:r>
          </w:p>
        </w:tc>
        <w:tc>
          <w:tcPr>
            <w:tcW w:w="60" w:type="dxa"/>
            <w:vAlign w:val="bottom"/>
            <w:tcBorders>
              <w:bottom w:val="single" w:sz="8" w:color="E6E6E6"/>
            </w:tcBorders>
            <w:shd w:val="clear" w:color="auto" w:fill="E6E6E6"/>
          </w:tcPr>
          <w:p>
            <w:pPr>
              <w:spacing w:after="0"/>
              <w:rPr>
                <w:sz w:val="24"/>
                <w:szCs w:val="24"/>
                <w:color w:val="auto"/>
              </w:rPr>
            </w:pPr>
          </w:p>
        </w:tc>
        <w:tc>
          <w:tcPr>
            <w:tcW w:w="480" w:type="dxa"/>
            <w:vAlign w:val="bottom"/>
            <w:tcBorders>
              <w:bottom w:val="single" w:sz="8" w:color="auto"/>
            </w:tcBorders>
            <w:shd w:val="clear" w:color="auto" w:fill="E6E6E6"/>
          </w:tcPr>
          <w:p>
            <w:pPr>
              <w:spacing w:after="0"/>
              <w:rPr>
                <w:sz w:val="24"/>
                <w:szCs w:val="24"/>
                <w:color w:val="auto"/>
              </w:rPr>
            </w:pPr>
          </w:p>
        </w:tc>
        <w:tc>
          <w:tcPr>
            <w:tcW w:w="6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50</w:t>
            </w:r>
          </w:p>
        </w:tc>
        <w:tc>
          <w:tcPr>
            <w:tcW w:w="6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63</w:t>
            </w:r>
          </w:p>
        </w:tc>
        <w:tc>
          <w:tcPr>
            <w:tcW w:w="60" w:type="dxa"/>
            <w:vAlign w:val="bottom"/>
            <w:tcBorders>
              <w:bottom w:val="single" w:sz="8" w:color="auto"/>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464</w:t>
            </w:r>
          </w:p>
        </w:tc>
        <w:tc>
          <w:tcPr>
            <w:tcW w:w="6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shd w:val="clear" w:color="auto" w:fill="E6E6E6"/>
          </w:tcPr>
          <w:p>
            <w:pPr>
              <w:jc w:val="right"/>
              <w:ind w:right="6"/>
              <w:spacing w:after="0"/>
              <w:rPr>
                <w:sz w:val="20"/>
                <w:szCs w:val="20"/>
                <w:color w:val="auto"/>
              </w:rPr>
            </w:pPr>
            <w:r>
              <w:rPr>
                <w:rFonts w:ascii="Arial" w:cs="Arial" w:eastAsia="Arial" w:hAnsi="Arial"/>
                <w:sz w:val="20"/>
                <w:szCs w:val="20"/>
                <w:color w:val="auto"/>
              </w:rPr>
              <w:t>139</w:t>
            </w:r>
          </w:p>
        </w:tc>
        <w:tc>
          <w:tcPr>
            <w:tcW w:w="6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447</w:t>
            </w:r>
          </w:p>
        </w:tc>
        <w:tc>
          <w:tcPr>
            <w:tcW w:w="0" w:type="dxa"/>
            <w:vAlign w:val="bottom"/>
          </w:tcPr>
          <w:p>
            <w:pPr>
              <w:spacing w:after="0"/>
              <w:rPr>
                <w:sz w:val="1"/>
                <w:szCs w:val="1"/>
                <w:color w:val="auto"/>
              </w:rPr>
            </w:pPr>
          </w:p>
        </w:tc>
      </w:tr>
      <w:tr>
        <w:trPr>
          <w:trHeight w:val="282"/>
        </w:trPr>
        <w:tc>
          <w:tcPr>
            <w:tcW w:w="2840" w:type="dxa"/>
            <w:vAlign w:val="bottom"/>
          </w:tcPr>
          <w:p>
            <w:pPr>
              <w:jc w:val="right"/>
              <w:spacing w:after="0"/>
              <w:rPr>
                <w:sz w:val="20"/>
                <w:szCs w:val="20"/>
                <w:color w:val="auto"/>
              </w:rPr>
            </w:pPr>
            <w:r>
              <w:rPr>
                <w:rFonts w:ascii="Arial" w:cs="Arial" w:eastAsia="Arial" w:hAnsi="Arial"/>
                <w:sz w:val="20"/>
                <w:szCs w:val="20"/>
                <w:color w:val="auto"/>
                <w:w w:val="98"/>
              </w:rPr>
              <w:t xml:space="preserve">Total liabilities </w:t>
            </w:r>
            <w:r>
              <w:rPr>
                <w:rFonts w:ascii="Arial" w:cs="Arial" w:eastAsia="Arial" w:hAnsi="Arial"/>
                <w:sz w:val="20"/>
                <w:szCs w:val="20"/>
                <w:color w:val="BDBDBD"/>
                <w:w w:val="98"/>
              </w:rPr>
              <w:t>. . . . . . . . . . . . . .</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12</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50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63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464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ind w:right="6"/>
              <w:spacing w:after="0"/>
              <w:rPr>
                <w:sz w:val="20"/>
                <w:szCs w:val="20"/>
                <w:color w:val="auto"/>
              </w:rPr>
            </w:pPr>
            <w:r>
              <w:rPr>
                <w:rFonts w:ascii="Arial" w:cs="Arial" w:eastAsia="Arial" w:hAnsi="Arial"/>
                <w:sz w:val="20"/>
                <w:szCs w:val="20"/>
                <w:color w:val="auto"/>
              </w:rPr>
              <w:t>139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447</w:t>
            </w:r>
          </w:p>
        </w:tc>
        <w:tc>
          <w:tcPr>
            <w:tcW w:w="0" w:type="dxa"/>
            <w:vAlign w:val="bottom"/>
          </w:tcPr>
          <w:p>
            <w:pPr>
              <w:spacing w:after="0"/>
              <w:rPr>
                <w:sz w:val="1"/>
                <w:szCs w:val="1"/>
                <w:color w:val="auto"/>
              </w:rPr>
            </w:pPr>
          </w:p>
        </w:tc>
      </w:tr>
      <w:tr>
        <w:trPr>
          <w:trHeight w:val="313"/>
        </w:trPr>
        <w:tc>
          <w:tcPr>
            <w:tcW w:w="28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w w:val="92"/>
              </w:rPr>
              <w:t xml:space="preserve">Noncontrolling interest </w:t>
            </w:r>
            <w:r>
              <w:rPr>
                <w:rFonts w:ascii="Arial" w:cs="Arial" w:eastAsia="Arial" w:hAnsi="Arial"/>
                <w:sz w:val="20"/>
                <w:szCs w:val="20"/>
                <w:color w:val="BDBDBD"/>
                <w:w w:val="92"/>
              </w:rPr>
              <w:t>. . . . . . . . .</w:t>
            </w:r>
          </w:p>
        </w:tc>
        <w:tc>
          <w:tcPr>
            <w:tcW w:w="22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15</w:t>
            </w:r>
          </w:p>
        </w:tc>
        <w:tc>
          <w:tcPr>
            <w:tcW w:w="60" w:type="dxa"/>
            <w:vAlign w:val="bottom"/>
            <w:tcBorders>
              <w:bottom w:val="single" w:sz="8" w:color="E6E6E6"/>
            </w:tcBorders>
            <w:shd w:val="clear" w:color="auto" w:fill="E6E6E6"/>
          </w:tcPr>
          <w:p>
            <w:pPr>
              <w:spacing w:after="0"/>
              <w:rPr>
                <w:sz w:val="24"/>
                <w:szCs w:val="24"/>
                <w:color w:val="auto"/>
              </w:rPr>
            </w:pPr>
          </w:p>
        </w:tc>
        <w:tc>
          <w:tcPr>
            <w:tcW w:w="480" w:type="dxa"/>
            <w:vAlign w:val="bottom"/>
            <w:tcBorders>
              <w:bottom w:val="single" w:sz="8" w:color="auto"/>
            </w:tcBorders>
            <w:shd w:val="clear" w:color="auto" w:fill="E6E6E6"/>
          </w:tcPr>
          <w:p>
            <w:pPr>
              <w:spacing w:after="0"/>
              <w:rPr>
                <w:sz w:val="24"/>
                <w:szCs w:val="24"/>
                <w:color w:val="auto"/>
              </w:rPr>
            </w:pPr>
          </w:p>
        </w:tc>
        <w:tc>
          <w:tcPr>
            <w:tcW w:w="6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w:t>
            </w:r>
          </w:p>
        </w:tc>
        <w:tc>
          <w:tcPr>
            <w:tcW w:w="6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66</w:t>
            </w:r>
          </w:p>
        </w:tc>
        <w:tc>
          <w:tcPr>
            <w:tcW w:w="6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827</w:t>
            </w:r>
          </w:p>
        </w:tc>
        <w:tc>
          <w:tcPr>
            <w:tcW w:w="6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shd w:val="clear" w:color="auto" w:fill="E6E6E6"/>
          </w:tcPr>
          <w:p>
            <w:pPr>
              <w:jc w:val="right"/>
              <w:ind w:right="6"/>
              <w:spacing w:after="0"/>
              <w:rPr>
                <w:sz w:val="20"/>
                <w:szCs w:val="20"/>
                <w:color w:val="auto"/>
              </w:rPr>
            </w:pPr>
            <w:r>
              <w:rPr>
                <w:rFonts w:ascii="Arial" w:cs="Arial" w:eastAsia="Arial" w:hAnsi="Arial"/>
                <w:sz w:val="20"/>
                <w:szCs w:val="20"/>
                <w:color w:val="auto"/>
              </w:rPr>
              <w:t>254</w:t>
            </w:r>
          </w:p>
        </w:tc>
        <w:tc>
          <w:tcPr>
            <w:tcW w:w="6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590</w:t>
            </w:r>
          </w:p>
        </w:tc>
        <w:tc>
          <w:tcPr>
            <w:tcW w:w="0" w:type="dxa"/>
            <w:vAlign w:val="bottom"/>
          </w:tcPr>
          <w:p>
            <w:pPr>
              <w:spacing w:after="0"/>
              <w:rPr>
                <w:sz w:val="1"/>
                <w:szCs w:val="1"/>
                <w:color w:val="auto"/>
              </w:rPr>
            </w:pPr>
          </w:p>
        </w:tc>
      </w:tr>
      <w:tr>
        <w:trPr>
          <w:trHeight w:val="192"/>
        </w:trPr>
        <w:tc>
          <w:tcPr>
            <w:tcW w:w="2840" w:type="dxa"/>
            <w:vAlign w:val="bottom"/>
          </w:tcPr>
          <w:p>
            <w:pPr>
              <w:jc w:val="right"/>
              <w:ind w:right="182"/>
              <w:spacing w:after="0" w:line="192" w:lineRule="exact"/>
              <w:rPr>
                <w:sz w:val="20"/>
                <w:szCs w:val="20"/>
                <w:color w:val="auto"/>
              </w:rPr>
            </w:pPr>
            <w:r>
              <w:rPr>
                <w:rFonts w:ascii="Arial" w:cs="Arial" w:eastAsia="Arial" w:hAnsi="Arial"/>
                <w:sz w:val="20"/>
                <w:szCs w:val="20"/>
                <w:color w:val="auto"/>
                <w:w w:val="95"/>
              </w:rPr>
              <w:t>Net assets less noncontrolling</w:t>
            </w:r>
          </w:p>
        </w:tc>
        <w:tc>
          <w:tcPr>
            <w:tcW w:w="2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960" w:type="dxa"/>
            <w:vAlign w:val="bottom"/>
            <w:vMerge w:val="restart"/>
          </w:tcPr>
          <w:p>
            <w:pPr>
              <w:jc w:val="right"/>
              <w:spacing w:after="0"/>
              <w:rPr>
                <w:sz w:val="20"/>
                <w:szCs w:val="20"/>
                <w:color w:val="auto"/>
              </w:rPr>
            </w:pPr>
            <w:r>
              <w:rPr>
                <w:rFonts w:ascii="Arial" w:cs="Arial" w:eastAsia="Arial" w:hAnsi="Arial"/>
                <w:sz w:val="20"/>
                <w:szCs w:val="20"/>
                <w:color w:val="auto"/>
              </w:rPr>
              <w:t>162</w:t>
            </w:r>
          </w:p>
        </w:tc>
        <w:tc>
          <w:tcPr>
            <w:tcW w:w="540" w:type="dxa"/>
            <w:vAlign w:val="bottom"/>
            <w:gridSpan w:val="2"/>
            <w:vMerge w:val="restart"/>
          </w:tcPr>
          <w:p>
            <w:pPr>
              <w:jc w:val="right"/>
              <w:ind w:right="250"/>
              <w:spacing w:after="0"/>
              <w:rPr>
                <w:sz w:val="20"/>
                <w:szCs w:val="20"/>
                <w:color w:val="auto"/>
              </w:rPr>
            </w:pPr>
            <w:r>
              <w:rPr>
                <w:rFonts w:ascii="Arial" w:cs="Arial" w:eastAsia="Arial" w:hAnsi="Arial"/>
                <w:sz w:val="20"/>
                <w:szCs w:val="20"/>
                <w:color w:val="auto"/>
              </w:rPr>
              <w:t>$</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387</w:t>
            </w:r>
          </w:p>
        </w:tc>
        <w:tc>
          <w:tcPr>
            <w:tcW w:w="240" w:type="dxa"/>
            <w:vAlign w:val="bottom"/>
            <w:gridSpan w:val="2"/>
            <w:vMerge w:val="restart"/>
          </w:tcPr>
          <w:p>
            <w:pPr>
              <w:ind w:left="120"/>
              <w:spacing w:after="0"/>
              <w:rPr>
                <w:sz w:val="20"/>
                <w:szCs w:val="20"/>
                <w:color w:val="auto"/>
              </w:rPr>
            </w:pPr>
            <w:r>
              <w:rPr>
                <w:rFonts w:ascii="Arial" w:cs="Arial" w:eastAsia="Arial" w:hAnsi="Arial"/>
                <w:sz w:val="20"/>
                <w:szCs w:val="20"/>
                <w:color w:val="auto"/>
                <w:w w:val="89"/>
              </w:rPr>
              <w:t>$</w:t>
            </w: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9</w:t>
            </w:r>
          </w:p>
        </w:tc>
        <w:tc>
          <w:tcPr>
            <w:tcW w:w="300" w:type="dxa"/>
            <w:vAlign w:val="bottom"/>
            <w:gridSpan w:val="2"/>
            <w:vMerge w:val="restart"/>
          </w:tcPr>
          <w:p>
            <w:pPr>
              <w:jc w:val="right"/>
              <w:ind w:right="30"/>
              <w:spacing w:after="0"/>
              <w:rPr>
                <w:sz w:val="20"/>
                <w:szCs w:val="20"/>
                <w:color w:val="auto"/>
              </w:rPr>
            </w:pPr>
            <w:r>
              <w:rPr>
                <w:rFonts w:ascii="Arial" w:cs="Arial" w:eastAsia="Arial" w:hAnsi="Arial"/>
                <w:sz w:val="20"/>
                <w:szCs w:val="20"/>
                <w:color w:val="auto"/>
              </w:rPr>
              <w:t>$</w:t>
            </w: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(136)</w:t>
            </w:r>
          </w:p>
        </w:tc>
        <w:tc>
          <w:tcPr>
            <w:tcW w:w="26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980" w:type="dxa"/>
            <w:vAlign w:val="bottom"/>
            <w:vMerge w:val="restart"/>
          </w:tcPr>
          <w:p>
            <w:pPr>
              <w:jc w:val="right"/>
              <w:ind w:right="6"/>
              <w:spacing w:after="0"/>
              <w:rPr>
                <w:sz w:val="20"/>
                <w:szCs w:val="20"/>
                <w:color w:val="auto"/>
              </w:rPr>
            </w:pPr>
            <w:r>
              <w:rPr>
                <w:rFonts w:ascii="Arial" w:cs="Arial" w:eastAsia="Arial" w:hAnsi="Arial"/>
                <w:sz w:val="20"/>
                <w:szCs w:val="20"/>
                <w:color w:val="auto"/>
              </w:rPr>
              <w:t>90</w:t>
            </w:r>
          </w:p>
        </w:tc>
        <w:tc>
          <w:tcPr>
            <w:tcW w:w="26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rPr>
              <w:t>186</w:t>
            </w:r>
          </w:p>
        </w:tc>
        <w:tc>
          <w:tcPr>
            <w:tcW w:w="0" w:type="dxa"/>
            <w:vAlign w:val="bottom"/>
          </w:tcPr>
          <w:p>
            <w:pPr>
              <w:spacing w:after="0"/>
              <w:rPr>
                <w:sz w:val="1"/>
                <w:szCs w:val="1"/>
                <w:color w:val="auto"/>
              </w:rPr>
            </w:pPr>
          </w:p>
        </w:tc>
      </w:tr>
      <w:tr>
        <w:trPr>
          <w:trHeight w:val="242"/>
        </w:trPr>
        <w:tc>
          <w:tcPr>
            <w:tcW w:w="2840" w:type="dxa"/>
            <w:vAlign w:val="bottom"/>
          </w:tcPr>
          <w:p>
            <w:pPr>
              <w:jc w:val="right"/>
              <w:spacing w:after="0"/>
              <w:rPr>
                <w:sz w:val="20"/>
                <w:szCs w:val="20"/>
                <w:color w:val="auto"/>
              </w:rPr>
            </w:pPr>
            <w:r>
              <w:rPr>
                <w:rFonts w:ascii="Arial" w:cs="Arial" w:eastAsia="Arial" w:hAnsi="Arial"/>
                <w:sz w:val="20"/>
                <w:szCs w:val="20"/>
                <w:color w:val="auto"/>
              </w:rPr>
              <w:t xml:space="preserve">interest </w:t>
            </w:r>
            <w:r>
              <w:rPr>
                <w:rFonts w:ascii="Arial" w:cs="Arial" w:eastAsia="Arial" w:hAnsi="Arial"/>
                <w:sz w:val="20"/>
                <w:szCs w:val="20"/>
                <w:color w:val="BDBDBD"/>
              </w:rPr>
              <w:t>. . . . . . . . . . . . . . . . . .</w:t>
            </w:r>
          </w:p>
        </w:tc>
        <w:tc>
          <w:tcPr>
            <w:tcW w:w="22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540" w:type="dxa"/>
            <w:vAlign w:val="bottom"/>
            <w:gridSpan w:val="2"/>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240" w:type="dxa"/>
            <w:vAlign w:val="bottom"/>
            <w:gridSpan w:val="2"/>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300" w:type="dxa"/>
            <w:vAlign w:val="bottom"/>
            <w:gridSpan w:val="2"/>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260" w:type="dxa"/>
            <w:vAlign w:val="bottom"/>
            <w:gridSpan w:val="2"/>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260" w:type="dxa"/>
            <w:vAlign w:val="bottom"/>
            <w:gridSpan w:val="2"/>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1794510</wp:posOffset>
            </wp:positionH>
            <wp:positionV relativeFrom="paragraph">
              <wp:posOffset>-1774825</wp:posOffset>
            </wp:positionV>
            <wp:extent cx="4697730"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180">
                      <a:extLst>
                        <a:ext uri="{28A0092B-C50C-407E-A947-70E740481C1C}"/>
                      </a:extLst>
                    </a:blip>
                    <a:srcRect/>
                    <a:stretch>
                      <a:fillRect/>
                    </a:stretch>
                  </pic:blipFill>
                  <pic:spPr bwMode="auto">
                    <a:xfrm>
                      <a:off x="0" y="0"/>
                      <a:ext cx="4697730" cy="25400"/>
                    </a:xfrm>
                    <a:prstGeom prst="rect">
                      <a:avLst/>
                    </a:prstGeom>
                    <a:noFill/>
                  </pic:spPr>
                </pic:pic>
              </a:graphicData>
            </a:graphic>
          </wp:anchor>
        </w:drawing>
        <w:drawing>
          <wp:anchor simplePos="0" relativeHeight="251657728" behindDoc="1" locked="0" layoutInCell="0" allowOverlap="1">
            <wp:simplePos x="0" y="0"/>
            <wp:positionH relativeFrom="column">
              <wp:posOffset>1794510</wp:posOffset>
            </wp:positionH>
            <wp:positionV relativeFrom="paragraph">
              <wp:posOffset>-1101725</wp:posOffset>
            </wp:positionV>
            <wp:extent cx="4697730"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81">
                      <a:extLst>
                        <a:ext uri="{28A0092B-C50C-407E-A947-70E740481C1C}"/>
                      </a:extLst>
                    </a:blip>
                    <a:srcRect/>
                    <a:stretch>
                      <a:fillRect/>
                    </a:stretch>
                  </pic:blipFill>
                  <pic:spPr bwMode="auto">
                    <a:xfrm>
                      <a:off x="0" y="0"/>
                      <a:ext cx="4697730" cy="25400"/>
                    </a:xfrm>
                    <a:prstGeom prst="rect">
                      <a:avLst/>
                    </a:prstGeom>
                    <a:noFill/>
                  </pic:spPr>
                </pic:pic>
              </a:graphicData>
            </a:graphic>
          </wp:anchor>
        </w:drawing>
        <w:drawing>
          <wp:anchor simplePos="0" relativeHeight="251657728" behindDoc="1" locked="0" layoutInCell="0" allowOverlap="1">
            <wp:simplePos x="0" y="0"/>
            <wp:positionH relativeFrom="column">
              <wp:posOffset>1794510</wp:posOffset>
            </wp:positionH>
            <wp:positionV relativeFrom="paragraph">
              <wp:posOffset>-722630</wp:posOffset>
            </wp:positionV>
            <wp:extent cx="4697730"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182">
                      <a:extLst>
                        <a:ext uri="{28A0092B-C50C-407E-A947-70E740481C1C}"/>
                      </a:extLst>
                    </a:blip>
                    <a:srcRect/>
                    <a:stretch>
                      <a:fillRect/>
                    </a:stretch>
                  </pic:blipFill>
                  <pic:spPr bwMode="auto">
                    <a:xfrm>
                      <a:off x="0" y="0"/>
                      <a:ext cx="4697730" cy="25400"/>
                    </a:xfrm>
                    <a:prstGeom prst="rect">
                      <a:avLst/>
                    </a:prstGeom>
                    <a:noFill/>
                  </pic:spPr>
                </pic:pic>
              </a:graphicData>
            </a:graphic>
          </wp:anchor>
        </w:drawing>
        <w:drawing>
          <wp:anchor simplePos="0" relativeHeight="251657728" behindDoc="1" locked="0" layoutInCell="0" allowOverlap="1">
            <wp:simplePos x="0" y="0"/>
            <wp:positionH relativeFrom="column">
              <wp:posOffset>1794510</wp:posOffset>
            </wp:positionH>
            <wp:positionV relativeFrom="paragraph">
              <wp:posOffset>-343535</wp:posOffset>
            </wp:positionV>
            <wp:extent cx="4697730"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183">
                      <a:extLst>
                        <a:ext uri="{28A0092B-C50C-407E-A947-70E740481C1C}"/>
                      </a:extLst>
                    </a:blip>
                    <a:srcRect/>
                    <a:stretch>
                      <a:fillRect/>
                    </a:stretch>
                  </pic:blipFill>
                  <pic:spPr bwMode="auto">
                    <a:xfrm>
                      <a:off x="0" y="0"/>
                      <a:ext cx="4697730" cy="254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-2540</wp:posOffset>
                </wp:positionH>
                <wp:positionV relativeFrom="paragraph">
                  <wp:posOffset>91440</wp:posOffset>
                </wp:positionV>
                <wp:extent cx="1259840" cy="0"/>
                <wp:wrapNone/>
                <wp:docPr id="239" name="Shape 2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598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39" o:spid="_x0000_s12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7.2pt" to="99pt,7.2pt" o:allowincell="f" strokecolor="#000000" strokeweight="1pt"/>
            </w:pict>
          </mc:Fallback>
        </mc:AlternateContent>
      </w:r>
    </w:p>
    <w:p>
      <w:pPr>
        <w:spacing w:after="0" w:line="201" w:lineRule="exact"/>
        <w:rPr>
          <w:sz w:val="20"/>
          <w:szCs w:val="20"/>
          <w:color w:val="auto"/>
        </w:rPr>
      </w:pPr>
    </w:p>
    <w:p>
      <w:pPr>
        <w:ind w:left="80" w:firstLine="5"/>
        <w:spacing w:after="0" w:line="208" w:lineRule="auto"/>
        <w:tabs>
          <w:tab w:leader="none" w:pos="320" w:val="left"/>
        </w:tabs>
        <w:numPr>
          <w:ilvl w:val="0"/>
          <w:numId w:val="63"/>
        </w:numPr>
        <w:rPr>
          <w:rFonts w:ascii="Arial" w:cs="Arial" w:eastAsia="Arial" w:hAnsi="Arial"/>
          <w:sz w:val="26"/>
          <w:szCs w:val="26"/>
          <w:color w:val="auto"/>
          <w:vertAlign w:val="superscript"/>
        </w:rPr>
      </w:pPr>
      <w:r>
        <w:rPr>
          <w:rFonts w:ascii="Arial" w:cs="Arial" w:eastAsia="Arial" w:hAnsi="Arial"/>
          <w:sz w:val="16"/>
          <w:szCs w:val="16"/>
          <w:color w:val="auto"/>
        </w:rPr>
        <w:t>DGPV Funds is comprised of Clearway &amp; EFS Distributed Solar LLC, Golden Puma Fund LLC, Renew Solar CS4 Fund LLC and Chestnut Fund LLC, which are all tax equity funds.</w:t>
      </w:r>
    </w:p>
    <w:p>
      <w:pPr>
        <w:spacing w:after="0" w:line="51" w:lineRule="exact"/>
        <w:rPr>
          <w:rFonts w:ascii="Arial" w:cs="Arial" w:eastAsia="Arial" w:hAnsi="Arial"/>
          <w:sz w:val="26"/>
          <w:szCs w:val="26"/>
          <w:color w:val="auto"/>
          <w:vertAlign w:val="superscript"/>
        </w:rPr>
      </w:pPr>
    </w:p>
    <w:p>
      <w:pPr>
        <w:ind w:left="80" w:firstLine="5"/>
        <w:spacing w:after="0" w:line="208" w:lineRule="auto"/>
        <w:tabs>
          <w:tab w:leader="none" w:pos="349" w:val="left"/>
        </w:tabs>
        <w:numPr>
          <w:ilvl w:val="0"/>
          <w:numId w:val="63"/>
        </w:numPr>
        <w:rPr>
          <w:rFonts w:ascii="Arial" w:cs="Arial" w:eastAsia="Arial" w:hAnsi="Arial"/>
          <w:sz w:val="26"/>
          <w:szCs w:val="26"/>
          <w:color w:val="auto"/>
          <w:vertAlign w:val="superscript"/>
        </w:rPr>
      </w:pPr>
      <w:r>
        <w:rPr>
          <w:rFonts w:ascii="Arial" w:cs="Arial" w:eastAsia="Arial" w:hAnsi="Arial"/>
          <w:sz w:val="16"/>
          <w:szCs w:val="16"/>
          <w:color w:val="auto"/>
        </w:rPr>
        <w:t>Daggett Partnerships includes Daggett 2 TargetCo LLC, which consolidates Daggett 2 TE Holdco LLC, a consolidated VIE, and Daggett Renewable Holdco LLC, which consolidates Daggett TE Holdco LLC, a consolidated VIE.</w:t>
      </w:r>
    </w:p>
    <w:p>
      <w:pPr>
        <w:ind w:left="300" w:hanging="215"/>
        <w:spacing w:after="0" w:line="207" w:lineRule="auto"/>
        <w:tabs>
          <w:tab w:leader="none" w:pos="300" w:val="left"/>
        </w:tabs>
        <w:numPr>
          <w:ilvl w:val="0"/>
          <w:numId w:val="63"/>
        </w:numPr>
        <w:rPr>
          <w:rFonts w:ascii="Arial" w:cs="Arial" w:eastAsia="Arial" w:hAnsi="Arial"/>
          <w:sz w:val="26"/>
          <w:szCs w:val="26"/>
          <w:color w:val="auto"/>
          <w:vertAlign w:val="superscript"/>
        </w:rPr>
      </w:pPr>
      <w:r>
        <w:rPr>
          <w:rFonts w:ascii="Arial" w:cs="Arial" w:eastAsia="Arial" w:hAnsi="Arial"/>
          <w:sz w:val="16"/>
          <w:szCs w:val="16"/>
          <w:color w:val="auto"/>
        </w:rPr>
        <w:t>Lighthouse Renewable Holdco LLC consolidates Black Rock TE Holdco LLC and Mililani TE Holdco LLC, which are consolidated VIEs.</w:t>
      </w:r>
    </w:p>
    <w:p>
      <w:pPr>
        <w:spacing w:after="0" w:line="70" w:lineRule="exact"/>
        <w:rPr>
          <w:rFonts w:ascii="Arial" w:cs="Arial" w:eastAsia="Arial" w:hAnsi="Arial"/>
          <w:sz w:val="26"/>
          <w:szCs w:val="26"/>
          <w:color w:val="auto"/>
          <w:vertAlign w:val="superscript"/>
        </w:rPr>
      </w:pPr>
    </w:p>
    <w:p>
      <w:pPr>
        <w:ind w:left="80" w:right="240" w:firstLine="5"/>
        <w:spacing w:after="0" w:line="208" w:lineRule="auto"/>
        <w:tabs>
          <w:tab w:leader="none" w:pos="310" w:val="left"/>
        </w:tabs>
        <w:numPr>
          <w:ilvl w:val="0"/>
          <w:numId w:val="63"/>
        </w:numPr>
        <w:rPr>
          <w:rFonts w:ascii="Arial" w:cs="Arial" w:eastAsia="Arial" w:hAnsi="Arial"/>
          <w:sz w:val="26"/>
          <w:szCs w:val="26"/>
          <w:color w:val="auto"/>
          <w:vertAlign w:val="superscript"/>
        </w:rPr>
      </w:pPr>
      <w:r>
        <w:rPr>
          <w:rFonts w:ascii="Arial" w:cs="Arial" w:eastAsia="Arial" w:hAnsi="Arial"/>
          <w:sz w:val="16"/>
          <w:szCs w:val="16"/>
          <w:color w:val="auto"/>
        </w:rPr>
        <w:t>Lighthouse Renewable Holdco 2 LLC consolidates Mesquite Sky TE Holdco LLC, Mesquite Star Tax Equity Holdco LLC and TSN1 TE Holdco LLC, which are consolidated VIEs.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(In millions)</w:t>
            </w:r>
          </w:p>
        </w:tc>
        <w:tc>
          <w:tcPr>
            <w:tcW w:w="11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Oahu Solar LLC</w:t>
            </w:r>
          </w:p>
        </w:tc>
        <w:tc>
          <w:tcPr>
            <w:tcW w:w="60" w:type="dxa"/>
            <w:vAlign w:val="bottom"/>
          </w:tcPr>
          <w:p>
            <w:pPr>
              <w:spacing w:after="0"/>
              <w:rPr>
                <w:sz w:val="14"/>
                <w:szCs w:val="14"/>
                <w:color w:val="auto"/>
              </w:rPr>
            </w:pPr>
          </w:p>
        </w:tc>
        <w:tc>
          <w:tcPr>
            <w:tcW w:w="1180" w:type="dxa"/>
            <w:vAlign w:val="bottom"/>
            <w:gridSpan w:val="2"/>
          </w:tcPr>
          <w:p>
            <w:pPr>
              <w:jc w:val="right"/>
              <w:ind w:right="24"/>
              <w:spacing w:after="0"/>
              <w:rPr>
                <w:sz w:val="20"/>
                <w:szCs w:val="20"/>
                <w:color w:val="auto"/>
              </w:rPr>
            </w:pPr>
            <w:r>
              <w:rPr>
                <w:rFonts w:ascii="Arial" w:cs="Arial" w:eastAsia="Arial" w:hAnsi="Arial"/>
                <w:sz w:val="14"/>
                <w:szCs w:val="14"/>
                <w:b w:val="1"/>
                <w:bCs w:val="1"/>
                <w:color w:val="auto"/>
              </w:rPr>
              <w:t>Rattlesnake TE</w:t>
            </w:r>
          </w:p>
        </w:tc>
        <w:tc>
          <w:tcPr>
            <w:tcW w:w="60" w:type="dxa"/>
            <w:vAlign w:val="bottom"/>
          </w:tcPr>
          <w:p>
            <w:pPr>
              <w:spacing w:after="0"/>
              <w:rPr>
                <w:sz w:val="14"/>
                <w:szCs w:val="14"/>
                <w:color w:val="auto"/>
              </w:rPr>
            </w:pPr>
          </w:p>
        </w:tc>
        <w:tc>
          <w:tcPr>
            <w:tcW w:w="1180" w:type="dxa"/>
            <w:vAlign w:val="bottom"/>
            <w:gridSpan w:val="2"/>
          </w:tcPr>
          <w:p>
            <w:pPr>
              <w:jc w:val="right"/>
              <w:ind w:right="24"/>
              <w:spacing w:after="0"/>
              <w:rPr>
                <w:sz w:val="20"/>
                <w:szCs w:val="20"/>
                <w:color w:val="auto"/>
              </w:rPr>
            </w:pPr>
            <w:r>
              <w:rPr>
                <w:rFonts w:ascii="Arial" w:cs="Arial" w:eastAsia="Arial" w:hAnsi="Arial"/>
                <w:sz w:val="14"/>
                <w:szCs w:val="14"/>
                <w:b w:val="1"/>
                <w:bCs w:val="1"/>
                <w:color w:val="auto"/>
              </w:rPr>
              <w:t>Rosie TargetCo</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204"/>
              <w:spacing w:after="0"/>
              <w:rPr>
                <w:sz w:val="20"/>
                <w:szCs w:val="20"/>
                <w:color w:val="auto"/>
              </w:rPr>
            </w:pPr>
            <w:r>
              <w:rPr>
                <w:rFonts w:ascii="Arial" w:cs="Arial" w:eastAsia="Arial" w:hAnsi="Arial"/>
                <w:sz w:val="14"/>
                <w:szCs w:val="14"/>
                <w:b w:val="1"/>
                <w:bCs w:val="1"/>
                <w:color w:val="auto"/>
              </w:rPr>
              <w:t>VP-Arica</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Arial" w:cs="Arial" w:eastAsia="Arial" w:hAnsi="Arial"/>
                <w:sz w:val="14"/>
                <w:szCs w:val="14"/>
                <w:b w:val="1"/>
                <w:bCs w:val="1"/>
                <w:color w:val="auto"/>
                <w:w w:val="93"/>
              </w:rPr>
              <w:t>Wildorado TE</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vMerge w:val="restart"/>
          </w:tcPr>
          <w:p>
            <w:pPr>
              <w:jc w:val="right"/>
              <w:ind w:right="244"/>
              <w:spacing w:after="0"/>
              <w:rPr>
                <w:sz w:val="20"/>
                <w:szCs w:val="20"/>
                <w:color w:val="auto"/>
              </w:rPr>
            </w:pPr>
            <w:r>
              <w:rPr>
                <w:rFonts w:ascii="Arial" w:cs="Arial" w:eastAsia="Arial" w:hAnsi="Arial"/>
                <w:sz w:val="14"/>
                <w:szCs w:val="14"/>
                <w:b w:val="1"/>
                <w:bCs w:val="1"/>
                <w:color w:val="auto"/>
              </w:rPr>
              <w:t xml:space="preserve">Other </w:t>
            </w:r>
            <w:r>
              <w:rPr>
                <w:rFonts w:ascii="Arial" w:cs="Arial" w:eastAsia="Arial" w:hAnsi="Arial"/>
                <w:sz w:val="18"/>
                <w:szCs w:val="18"/>
                <w:b w:val="1"/>
                <w:bCs w:val="1"/>
                <w:color w:val="auto"/>
                <w:vertAlign w:val="superscript"/>
              </w:rPr>
              <w:t>(b)</w:t>
            </w:r>
          </w:p>
        </w:tc>
        <w:tc>
          <w:tcPr>
            <w:tcW w:w="0" w:type="dxa"/>
            <w:vAlign w:val="bottom"/>
          </w:tcPr>
          <w:p>
            <w:pPr>
              <w:spacing w:after="0"/>
              <w:rPr>
                <w:sz w:val="1"/>
                <w:szCs w:val="1"/>
                <w:color w:val="auto"/>
              </w:rPr>
            </w:pPr>
          </w:p>
        </w:tc>
      </w:tr>
      <w:tr>
        <w:trPr>
          <w:trHeight w:val="189"/>
        </w:trPr>
        <w:tc>
          <w:tcPr>
            <w:tcW w:w="2840" w:type="dxa"/>
            <w:vAlign w:val="bottom"/>
            <w:tcBorders>
              <w:bottom w:val="single" w:sz="8" w:color="E6E6E6"/>
            </w:tcBorders>
            <w:vMerge w:val="continue"/>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E6E6E6"/>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w w:val="96"/>
              </w:rPr>
              <w:t>Holdco LLC</w:t>
            </w:r>
          </w:p>
        </w:tc>
        <w:tc>
          <w:tcPr>
            <w:tcW w:w="60" w:type="dxa"/>
            <w:vAlign w:val="bottom"/>
            <w:tcBorders>
              <w:bottom w:val="single" w:sz="8" w:color="E6E6E6"/>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LLC</w:t>
            </w:r>
          </w:p>
        </w:tc>
        <w:tc>
          <w:tcPr>
            <w:tcW w:w="60" w:type="dxa"/>
            <w:vAlign w:val="bottom"/>
            <w:tcBorders>
              <w:bottom w:val="single" w:sz="8" w:color="E6E6E6"/>
            </w:tcBorders>
          </w:tcPr>
          <w:p>
            <w:pPr>
              <w:spacing w:after="0"/>
              <w:rPr>
                <w:sz w:val="16"/>
                <w:szCs w:val="16"/>
                <w:color w:val="auto"/>
              </w:rPr>
            </w:pPr>
          </w:p>
        </w:tc>
        <w:tc>
          <w:tcPr>
            <w:tcW w:w="1160" w:type="dxa"/>
            <w:vAlign w:val="bottom"/>
            <w:tcBorders>
              <w:bottom w:val="single" w:sz="8" w:color="auto"/>
            </w:tcBorders>
            <w:gridSpan w:val="2"/>
          </w:tcPr>
          <w:p>
            <w:pPr>
              <w:ind w:left="60"/>
              <w:spacing w:after="0" w:line="189" w:lineRule="exact"/>
              <w:rPr>
                <w:sz w:val="20"/>
                <w:szCs w:val="20"/>
                <w:color w:val="auto"/>
              </w:rPr>
            </w:pPr>
            <w:r>
              <w:rPr>
                <w:rFonts w:ascii="Arial" w:cs="Arial" w:eastAsia="Arial" w:hAnsi="Arial"/>
                <w:sz w:val="14"/>
                <w:szCs w:val="14"/>
                <w:b w:val="1"/>
                <w:bCs w:val="1"/>
                <w:color w:val="auto"/>
                <w:w w:val="97"/>
              </w:rPr>
              <w:t xml:space="preserve">TargetCo LLC </w:t>
            </w:r>
            <w:r>
              <w:rPr>
                <w:rFonts w:ascii="Arial" w:cs="Arial" w:eastAsia="Arial" w:hAnsi="Arial"/>
                <w:sz w:val="18"/>
                <w:szCs w:val="18"/>
                <w:b w:val="1"/>
                <w:bCs w:val="1"/>
                <w:color w:val="auto"/>
                <w:w w:val="97"/>
                <w:vertAlign w:val="superscript"/>
              </w:rPr>
              <w:t>(a)</w:t>
            </w:r>
          </w:p>
        </w:tc>
        <w:tc>
          <w:tcPr>
            <w:tcW w:w="60" w:type="dxa"/>
            <w:vAlign w:val="bottom"/>
            <w:tcBorders>
              <w:bottom w:val="single" w:sz="8" w:color="E6E6E6"/>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26"/>
              <w:spacing w:after="0"/>
              <w:rPr>
                <w:sz w:val="20"/>
                <w:szCs w:val="20"/>
                <w:color w:val="auto"/>
              </w:rPr>
            </w:pPr>
            <w:r>
              <w:rPr>
                <w:rFonts w:ascii="Arial" w:cs="Arial" w:eastAsia="Arial" w:hAnsi="Arial"/>
                <w:sz w:val="14"/>
                <w:szCs w:val="14"/>
                <w:b w:val="1"/>
                <w:bCs w:val="1"/>
                <w:color w:val="auto"/>
                <w:w w:val="99"/>
              </w:rPr>
              <w:t>Holdco LLC</w:t>
            </w:r>
          </w:p>
        </w:tc>
        <w:tc>
          <w:tcPr>
            <w:tcW w:w="60" w:type="dxa"/>
            <w:vAlign w:val="bottom"/>
            <w:tcBorders>
              <w:bottom w:val="single" w:sz="8" w:color="E6E6E6"/>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840" w:type="dxa"/>
            <w:vAlign w:val="bottom"/>
            <w:shd w:val="clear" w:color="auto" w:fill="E6E6E6"/>
          </w:tcPr>
          <w:p>
            <w:pPr>
              <w:ind w:left="40"/>
              <w:spacing w:after="0" w:line="181" w:lineRule="exact"/>
              <w:rPr>
                <w:sz w:val="20"/>
                <w:szCs w:val="20"/>
                <w:color w:val="auto"/>
              </w:rPr>
            </w:pPr>
            <w:r>
              <w:rPr>
                <w:rFonts w:ascii="Arial" w:cs="Arial" w:eastAsia="Arial" w:hAnsi="Arial"/>
                <w:sz w:val="20"/>
                <w:szCs w:val="20"/>
                <w:color w:val="auto"/>
              </w:rPr>
              <w:t>Other current and non-current</w:t>
            </w:r>
          </w:p>
        </w:tc>
        <w:tc>
          <w:tcPr>
            <w:tcW w:w="480" w:type="dxa"/>
            <w:vAlign w:val="bottom"/>
            <w:vMerge w:val="restart"/>
            <w:shd w:val="clear" w:color="auto" w:fill="E6E6E6"/>
          </w:tcPr>
          <w:p>
            <w:pPr>
              <w:jc w:val="right"/>
              <w:ind w:right="230"/>
              <w:spacing w:after="0"/>
              <w:rPr>
                <w:sz w:val="20"/>
                <w:szCs w:val="20"/>
                <w:color w:val="auto"/>
              </w:rPr>
            </w:pPr>
            <w:r>
              <w:rPr>
                <w:rFonts w:ascii="Arial" w:cs="Arial" w:eastAsia="Arial" w:hAnsi="Arial"/>
                <w:sz w:val="20"/>
                <w:szCs w:val="20"/>
                <w:color w:val="auto"/>
              </w:rPr>
              <w:t>$</w:t>
            </w:r>
          </w:p>
        </w:tc>
        <w:tc>
          <w:tcPr>
            <w:tcW w:w="70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38</w:t>
            </w:r>
          </w:p>
        </w:tc>
        <w:tc>
          <w:tcPr>
            <w:tcW w:w="240" w:type="dxa"/>
            <w:vAlign w:val="bottom"/>
            <w:gridSpan w:val="2"/>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00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13</w:t>
            </w:r>
          </w:p>
        </w:tc>
        <w:tc>
          <w:tcPr>
            <w:tcW w:w="360" w:type="dxa"/>
            <w:vAlign w:val="bottom"/>
            <w:gridSpan w:val="2"/>
            <w:vMerge w:val="restart"/>
            <w:shd w:val="clear" w:color="auto" w:fill="E6E6E6"/>
          </w:tcPr>
          <w:p>
            <w:pPr>
              <w:jc w:val="right"/>
              <w:ind w:right="70"/>
              <w:spacing w:after="0"/>
              <w:rPr>
                <w:sz w:val="20"/>
                <w:szCs w:val="20"/>
                <w:color w:val="auto"/>
              </w:rPr>
            </w:pPr>
            <w:r>
              <w:rPr>
                <w:rFonts w:ascii="Arial" w:cs="Arial" w:eastAsia="Arial" w:hAnsi="Arial"/>
                <w:sz w:val="20"/>
                <w:szCs w:val="20"/>
                <w:color w:val="auto"/>
              </w:rPr>
              <w:t>$</w:t>
            </w:r>
          </w:p>
        </w:tc>
        <w:tc>
          <w:tcPr>
            <w:tcW w:w="88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298</w:t>
            </w:r>
          </w:p>
        </w:tc>
        <w:tc>
          <w:tcPr>
            <w:tcW w:w="280" w:type="dxa"/>
            <w:vAlign w:val="bottom"/>
            <w:gridSpan w:val="2"/>
            <w:vMerge w:val="restart"/>
            <w:shd w:val="clear" w:color="auto" w:fill="E6E6E6"/>
          </w:tcPr>
          <w:p>
            <w:pPr>
              <w:ind w:left="120"/>
              <w:spacing w:after="0"/>
              <w:rPr>
                <w:sz w:val="20"/>
                <w:szCs w:val="20"/>
                <w:color w:val="auto"/>
              </w:rPr>
            </w:pPr>
            <w:r>
              <w:rPr>
                <w:rFonts w:ascii="Arial" w:cs="Arial" w:eastAsia="Arial" w:hAnsi="Arial"/>
                <w:sz w:val="20"/>
                <w:szCs w:val="20"/>
                <w:color w:val="auto"/>
              </w:rPr>
              <w:t>$</w:t>
            </w:r>
          </w:p>
        </w:tc>
        <w:tc>
          <w:tcPr>
            <w:tcW w:w="94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101</w:t>
            </w:r>
          </w:p>
        </w:tc>
        <w:tc>
          <w:tcPr>
            <w:tcW w:w="220" w:type="dxa"/>
            <w:vAlign w:val="bottom"/>
            <w:gridSpan w:val="2"/>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020" w:type="dxa"/>
            <w:vAlign w:val="bottom"/>
            <w:vMerge w:val="restart"/>
            <w:shd w:val="clear" w:color="auto" w:fill="E6E6E6"/>
          </w:tcPr>
          <w:p>
            <w:pPr>
              <w:jc w:val="right"/>
              <w:ind w:right="6"/>
              <w:spacing w:after="0"/>
              <w:rPr>
                <w:sz w:val="20"/>
                <w:szCs w:val="20"/>
                <w:color w:val="auto"/>
              </w:rPr>
            </w:pPr>
            <w:r>
              <w:rPr>
                <w:rFonts w:ascii="Arial" w:cs="Arial" w:eastAsia="Arial" w:hAnsi="Arial"/>
                <w:sz w:val="20"/>
                <w:szCs w:val="20"/>
                <w:color w:val="auto"/>
              </w:rPr>
              <w:t>20</w:t>
            </w:r>
          </w:p>
        </w:tc>
        <w:tc>
          <w:tcPr>
            <w:tcW w:w="300" w:type="dxa"/>
            <w:vAlign w:val="bottom"/>
            <w:gridSpan w:val="2"/>
            <w:vMerge w:val="restart"/>
            <w:shd w:val="clear" w:color="auto" w:fill="E6E6E6"/>
          </w:tcPr>
          <w:p>
            <w:pPr>
              <w:jc w:val="right"/>
              <w:ind w:right="100"/>
              <w:spacing w:after="0"/>
              <w:rPr>
                <w:sz w:val="20"/>
                <w:szCs w:val="20"/>
                <w:color w:val="auto"/>
              </w:rPr>
            </w:pPr>
            <w:r>
              <w:rPr>
                <w:rFonts w:ascii="Arial" w:cs="Arial" w:eastAsia="Arial" w:hAnsi="Arial"/>
                <w:sz w:val="20"/>
                <w:szCs w:val="20"/>
                <w:color w:val="auto"/>
              </w:rPr>
              <w:t>$</w:t>
            </w:r>
          </w:p>
        </w:tc>
        <w:tc>
          <w:tcPr>
            <w:tcW w:w="94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24</w:t>
            </w:r>
          </w:p>
        </w:tc>
        <w:tc>
          <w:tcPr>
            <w:tcW w:w="0" w:type="dxa"/>
            <w:vAlign w:val="bottom"/>
          </w:tcPr>
          <w:p>
            <w:pPr>
              <w:spacing w:after="0"/>
              <w:rPr>
                <w:sz w:val="1"/>
                <w:szCs w:val="1"/>
                <w:color w:val="auto"/>
              </w:rPr>
            </w:pPr>
          </w:p>
        </w:tc>
      </w:tr>
      <w:tr>
        <w:trPr>
          <w:trHeight w:val="272"/>
        </w:trPr>
        <w:tc>
          <w:tcPr>
            <w:tcW w:w="2840" w:type="dxa"/>
            <w:vAlign w:val="bottom"/>
            <w:shd w:val="clear" w:color="auto" w:fill="E6E6E6"/>
          </w:tcPr>
          <w:p>
            <w:pPr>
              <w:jc w:val="right"/>
              <w:spacing w:after="0"/>
              <w:rPr>
                <w:sz w:val="20"/>
                <w:szCs w:val="20"/>
                <w:color w:val="auto"/>
              </w:rPr>
            </w:pPr>
            <w:r>
              <w:rPr>
                <w:rFonts w:ascii="Arial" w:cs="Arial" w:eastAsia="Arial" w:hAnsi="Arial"/>
                <w:sz w:val="20"/>
                <w:szCs w:val="20"/>
                <w:color w:val="auto"/>
                <w:w w:val="95"/>
              </w:rPr>
              <w:t xml:space="preserve">assets </w:t>
            </w:r>
            <w:r>
              <w:rPr>
                <w:rFonts w:ascii="Arial" w:cs="Arial" w:eastAsia="Arial" w:hAnsi="Arial"/>
                <w:sz w:val="20"/>
                <w:szCs w:val="20"/>
                <w:color w:val="BDBDBD"/>
                <w:w w:val="95"/>
              </w:rPr>
              <w:t>. . . . . . . . . . . . . . . . . . . . .</w:t>
            </w:r>
          </w:p>
        </w:tc>
        <w:tc>
          <w:tcPr>
            <w:tcW w:w="480" w:type="dxa"/>
            <w:vAlign w:val="bottom"/>
            <w:vMerge w:val="continue"/>
            <w:shd w:val="clear" w:color="auto" w:fill="E6E6E6"/>
          </w:tcPr>
          <w:p>
            <w:pPr>
              <w:spacing w:after="0"/>
              <w:rPr>
                <w:sz w:val="23"/>
                <w:szCs w:val="23"/>
                <w:color w:val="auto"/>
              </w:rPr>
            </w:pPr>
          </w:p>
        </w:tc>
        <w:tc>
          <w:tcPr>
            <w:tcW w:w="700" w:type="dxa"/>
            <w:vAlign w:val="bottom"/>
            <w:vMerge w:val="continue"/>
            <w:shd w:val="clear" w:color="auto" w:fill="E6E6E6"/>
          </w:tcPr>
          <w:p>
            <w:pPr>
              <w:spacing w:after="0"/>
              <w:rPr>
                <w:sz w:val="23"/>
                <w:szCs w:val="23"/>
                <w:color w:val="auto"/>
              </w:rPr>
            </w:pPr>
          </w:p>
        </w:tc>
        <w:tc>
          <w:tcPr>
            <w:tcW w:w="240" w:type="dxa"/>
            <w:vAlign w:val="bottom"/>
            <w:gridSpan w:val="2"/>
            <w:vMerge w:val="continue"/>
            <w:shd w:val="clear" w:color="auto" w:fill="E6E6E6"/>
          </w:tcPr>
          <w:p>
            <w:pPr>
              <w:spacing w:after="0"/>
              <w:rPr>
                <w:sz w:val="23"/>
                <w:szCs w:val="23"/>
                <w:color w:val="auto"/>
              </w:rPr>
            </w:pPr>
          </w:p>
        </w:tc>
        <w:tc>
          <w:tcPr>
            <w:tcW w:w="1000" w:type="dxa"/>
            <w:vAlign w:val="bottom"/>
            <w:vMerge w:val="continue"/>
            <w:shd w:val="clear" w:color="auto" w:fill="E6E6E6"/>
          </w:tcPr>
          <w:p>
            <w:pPr>
              <w:spacing w:after="0"/>
              <w:rPr>
                <w:sz w:val="23"/>
                <w:szCs w:val="23"/>
                <w:color w:val="auto"/>
              </w:rPr>
            </w:pPr>
          </w:p>
        </w:tc>
        <w:tc>
          <w:tcPr>
            <w:tcW w:w="360" w:type="dxa"/>
            <w:vAlign w:val="bottom"/>
            <w:gridSpan w:val="2"/>
            <w:vMerge w:val="continue"/>
            <w:shd w:val="clear" w:color="auto" w:fill="E6E6E6"/>
          </w:tcPr>
          <w:p>
            <w:pPr>
              <w:spacing w:after="0"/>
              <w:rPr>
                <w:sz w:val="23"/>
                <w:szCs w:val="23"/>
                <w:color w:val="auto"/>
              </w:rPr>
            </w:pPr>
          </w:p>
        </w:tc>
        <w:tc>
          <w:tcPr>
            <w:tcW w:w="880" w:type="dxa"/>
            <w:vAlign w:val="bottom"/>
            <w:vMerge w:val="continue"/>
            <w:shd w:val="clear" w:color="auto" w:fill="E6E6E6"/>
          </w:tcPr>
          <w:p>
            <w:pPr>
              <w:spacing w:after="0"/>
              <w:rPr>
                <w:sz w:val="23"/>
                <w:szCs w:val="23"/>
                <w:color w:val="auto"/>
              </w:rPr>
            </w:pPr>
          </w:p>
        </w:tc>
        <w:tc>
          <w:tcPr>
            <w:tcW w:w="280" w:type="dxa"/>
            <w:vAlign w:val="bottom"/>
            <w:gridSpan w:val="2"/>
            <w:vMerge w:val="continue"/>
            <w:shd w:val="clear" w:color="auto" w:fill="E6E6E6"/>
          </w:tcPr>
          <w:p>
            <w:pPr>
              <w:spacing w:after="0"/>
              <w:rPr>
                <w:sz w:val="23"/>
                <w:szCs w:val="23"/>
                <w:color w:val="auto"/>
              </w:rPr>
            </w:pPr>
          </w:p>
        </w:tc>
        <w:tc>
          <w:tcPr>
            <w:tcW w:w="940" w:type="dxa"/>
            <w:vAlign w:val="bottom"/>
            <w:vMerge w:val="continue"/>
            <w:shd w:val="clear" w:color="auto" w:fill="E6E6E6"/>
          </w:tcPr>
          <w:p>
            <w:pPr>
              <w:spacing w:after="0"/>
              <w:rPr>
                <w:sz w:val="23"/>
                <w:szCs w:val="23"/>
                <w:color w:val="auto"/>
              </w:rPr>
            </w:pPr>
          </w:p>
        </w:tc>
        <w:tc>
          <w:tcPr>
            <w:tcW w:w="220" w:type="dxa"/>
            <w:vAlign w:val="bottom"/>
            <w:gridSpan w:val="2"/>
            <w:vMerge w:val="continue"/>
            <w:shd w:val="clear" w:color="auto" w:fill="E6E6E6"/>
          </w:tcPr>
          <w:p>
            <w:pPr>
              <w:spacing w:after="0"/>
              <w:rPr>
                <w:sz w:val="23"/>
                <w:szCs w:val="23"/>
                <w:color w:val="auto"/>
              </w:rPr>
            </w:pPr>
          </w:p>
        </w:tc>
        <w:tc>
          <w:tcPr>
            <w:tcW w:w="1020" w:type="dxa"/>
            <w:vAlign w:val="bottom"/>
            <w:vMerge w:val="continue"/>
            <w:shd w:val="clear" w:color="auto" w:fill="E6E6E6"/>
          </w:tcPr>
          <w:p>
            <w:pPr>
              <w:spacing w:after="0"/>
              <w:rPr>
                <w:sz w:val="23"/>
                <w:szCs w:val="23"/>
                <w:color w:val="auto"/>
              </w:rPr>
            </w:pPr>
          </w:p>
        </w:tc>
        <w:tc>
          <w:tcPr>
            <w:tcW w:w="300" w:type="dxa"/>
            <w:vAlign w:val="bottom"/>
            <w:gridSpan w:val="2"/>
            <w:vMerge w:val="continue"/>
            <w:shd w:val="clear" w:color="auto" w:fill="E6E6E6"/>
          </w:tcPr>
          <w:p>
            <w:pPr>
              <w:spacing w:after="0"/>
              <w:rPr>
                <w:sz w:val="23"/>
                <w:szCs w:val="23"/>
                <w:color w:val="auto"/>
              </w:rPr>
            </w:pPr>
          </w:p>
        </w:tc>
        <w:tc>
          <w:tcPr>
            <w:tcW w:w="940" w:type="dxa"/>
            <w:vAlign w:val="bottom"/>
            <w:vMerge w:val="continue"/>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92"/>
        </w:trPr>
        <w:tc>
          <w:tcPr>
            <w:tcW w:w="2840" w:type="dxa"/>
            <w:vAlign w:val="bottom"/>
          </w:tcPr>
          <w:p>
            <w:pPr>
              <w:jc w:val="right"/>
              <w:spacing w:after="0"/>
              <w:rPr>
                <w:sz w:val="20"/>
                <w:szCs w:val="20"/>
                <w:color w:val="auto"/>
              </w:rPr>
            </w:pPr>
            <w:r>
              <w:rPr>
                <w:rFonts w:ascii="Arial" w:cs="Arial" w:eastAsia="Arial" w:hAnsi="Arial"/>
                <w:sz w:val="20"/>
                <w:szCs w:val="20"/>
                <w:color w:val="auto"/>
                <w:w w:val="92"/>
              </w:rPr>
              <w:t xml:space="preserve">Property, plant and equipment </w:t>
            </w:r>
            <w:r>
              <w:rPr>
                <w:rFonts w:ascii="Arial" w:cs="Arial" w:eastAsia="Arial" w:hAnsi="Arial"/>
                <w:sz w:val="20"/>
                <w:szCs w:val="20"/>
                <w:color w:val="BDBDBD"/>
                <w:w w:val="92"/>
              </w:rPr>
              <w:t>. . .</w:t>
            </w:r>
          </w:p>
        </w:tc>
        <w:tc>
          <w:tcPr>
            <w:tcW w:w="4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157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176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507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960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ind w:right="6"/>
              <w:spacing w:after="0"/>
              <w:rPr>
                <w:sz w:val="20"/>
                <w:szCs w:val="20"/>
                <w:color w:val="auto"/>
              </w:rPr>
            </w:pPr>
            <w:r>
              <w:rPr>
                <w:rFonts w:ascii="Arial" w:cs="Arial" w:eastAsia="Arial" w:hAnsi="Arial"/>
                <w:sz w:val="20"/>
                <w:szCs w:val="20"/>
                <w:color w:val="auto"/>
              </w:rPr>
              <w:t>194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238</w:t>
            </w:r>
          </w:p>
        </w:tc>
        <w:tc>
          <w:tcPr>
            <w:tcW w:w="0" w:type="dxa"/>
            <w:vAlign w:val="bottom"/>
          </w:tcPr>
          <w:p>
            <w:pPr>
              <w:spacing w:after="0"/>
              <w:rPr>
                <w:sz w:val="1"/>
                <w:szCs w:val="1"/>
                <w:color w:val="auto"/>
              </w:rPr>
            </w:pPr>
          </w:p>
        </w:tc>
      </w:tr>
      <w:tr>
        <w:trPr>
          <w:trHeight w:val="295"/>
        </w:trPr>
        <w:tc>
          <w:tcPr>
            <w:tcW w:w="28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w w:val="90"/>
              </w:rPr>
              <w:t xml:space="preserve">Intangible assets </w:t>
            </w:r>
            <w:r>
              <w:rPr>
                <w:rFonts w:ascii="Arial" w:cs="Arial" w:eastAsia="Arial" w:hAnsi="Arial"/>
                <w:sz w:val="20"/>
                <w:szCs w:val="20"/>
                <w:color w:val="BDBDBD"/>
                <w:w w:val="90"/>
              </w:rPr>
              <w:t>. . . . . . . . . . . . . .</w:t>
            </w:r>
          </w:p>
        </w:tc>
        <w:tc>
          <w:tcPr>
            <w:tcW w:w="480" w:type="dxa"/>
            <w:vAlign w:val="bottom"/>
            <w:tcBorders>
              <w:bottom w:val="single" w:sz="8" w:color="auto"/>
            </w:tcBorders>
            <w:shd w:val="clear" w:color="auto" w:fill="E6E6E6"/>
          </w:tcPr>
          <w:p>
            <w:pPr>
              <w:spacing w:after="0"/>
              <w:rPr>
                <w:sz w:val="24"/>
                <w:szCs w:val="24"/>
                <w:color w:val="auto"/>
              </w:rPr>
            </w:pPr>
          </w:p>
        </w:tc>
        <w:tc>
          <w:tcPr>
            <w:tcW w:w="7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spacing w:after="0"/>
              <w:rPr>
                <w:sz w:val="24"/>
                <w:szCs w:val="24"/>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ind w:right="6"/>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r>
        <w:trPr>
          <w:trHeight w:val="282"/>
        </w:trPr>
        <w:tc>
          <w:tcPr>
            <w:tcW w:w="2840" w:type="dxa"/>
            <w:vAlign w:val="bottom"/>
          </w:tcPr>
          <w:p>
            <w:pPr>
              <w:jc w:val="right"/>
              <w:spacing w:after="0"/>
              <w:rPr>
                <w:sz w:val="20"/>
                <w:szCs w:val="20"/>
                <w:color w:val="auto"/>
              </w:rPr>
            </w:pPr>
            <w:r>
              <w:rPr>
                <w:rFonts w:ascii="Arial" w:cs="Arial" w:eastAsia="Arial" w:hAnsi="Arial"/>
                <w:sz w:val="20"/>
                <w:szCs w:val="20"/>
                <w:color w:val="auto"/>
                <w:w w:val="93"/>
              </w:rPr>
              <w:t xml:space="preserve">Total assets </w:t>
            </w:r>
            <w:r>
              <w:rPr>
                <w:rFonts w:ascii="Arial" w:cs="Arial" w:eastAsia="Arial" w:hAnsi="Arial"/>
                <w:sz w:val="20"/>
                <w:szCs w:val="20"/>
                <w:color w:val="BDBDBD"/>
                <w:w w:val="93"/>
              </w:rPr>
              <w:t>. . . . . . . . . . . . . . . . .</w:t>
            </w:r>
          </w:p>
        </w:tc>
        <w:tc>
          <w:tcPr>
            <w:tcW w:w="4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195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189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805</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1,061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ind w:right="6"/>
              <w:spacing w:after="0"/>
              <w:rPr>
                <w:sz w:val="20"/>
                <w:szCs w:val="20"/>
                <w:color w:val="auto"/>
              </w:rPr>
            </w:pPr>
            <w:r>
              <w:rPr>
                <w:rFonts w:ascii="Arial" w:cs="Arial" w:eastAsia="Arial" w:hAnsi="Arial"/>
                <w:sz w:val="20"/>
                <w:szCs w:val="20"/>
                <w:color w:val="auto"/>
              </w:rPr>
              <w:t>214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278</w:t>
            </w:r>
          </w:p>
        </w:tc>
        <w:tc>
          <w:tcPr>
            <w:tcW w:w="0" w:type="dxa"/>
            <w:vAlign w:val="bottom"/>
          </w:tcPr>
          <w:p>
            <w:pPr>
              <w:spacing w:after="0"/>
              <w:rPr>
                <w:sz w:val="1"/>
                <w:szCs w:val="1"/>
                <w:color w:val="auto"/>
              </w:rPr>
            </w:pPr>
          </w:p>
        </w:tc>
      </w:tr>
      <w:tr>
        <w:trPr>
          <w:trHeight w:val="295"/>
        </w:trPr>
        <w:tc>
          <w:tcPr>
            <w:tcW w:w="28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w w:val="94"/>
              </w:rPr>
              <w:t>Current and non-current liabilities</w:t>
            </w:r>
          </w:p>
        </w:tc>
        <w:tc>
          <w:tcPr>
            <w:tcW w:w="480" w:type="dxa"/>
            <w:vAlign w:val="bottom"/>
            <w:tcBorders>
              <w:bottom w:val="single" w:sz="8" w:color="auto"/>
            </w:tcBorders>
            <w:shd w:val="clear" w:color="auto" w:fill="E6E6E6"/>
          </w:tcPr>
          <w:p>
            <w:pPr>
              <w:spacing w:after="0"/>
              <w:rPr>
                <w:sz w:val="24"/>
                <w:szCs w:val="24"/>
                <w:color w:val="auto"/>
              </w:rPr>
            </w:pPr>
          </w:p>
        </w:tc>
        <w:tc>
          <w:tcPr>
            <w:tcW w:w="7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22</w:t>
            </w:r>
          </w:p>
        </w:tc>
        <w:tc>
          <w:tcPr>
            <w:tcW w:w="6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17</w:t>
            </w:r>
          </w:p>
        </w:tc>
        <w:tc>
          <w:tcPr>
            <w:tcW w:w="6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spacing w:after="0"/>
              <w:rPr>
                <w:sz w:val="24"/>
                <w:szCs w:val="24"/>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376</w:t>
            </w:r>
          </w:p>
        </w:tc>
        <w:tc>
          <w:tcPr>
            <w:tcW w:w="6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834</w:t>
            </w: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ind w:right="6"/>
              <w:spacing w:after="0"/>
              <w:rPr>
                <w:sz w:val="20"/>
                <w:szCs w:val="20"/>
                <w:color w:val="auto"/>
              </w:rPr>
            </w:pPr>
            <w:r>
              <w:rPr>
                <w:rFonts w:ascii="Arial" w:cs="Arial" w:eastAsia="Arial" w:hAnsi="Arial"/>
                <w:sz w:val="20"/>
                <w:szCs w:val="20"/>
                <w:color w:val="auto"/>
              </w:rPr>
              <w:t>18</w:t>
            </w:r>
          </w:p>
        </w:tc>
        <w:tc>
          <w:tcPr>
            <w:tcW w:w="6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85</w:t>
            </w:r>
          </w:p>
        </w:tc>
        <w:tc>
          <w:tcPr>
            <w:tcW w:w="0" w:type="dxa"/>
            <w:vAlign w:val="bottom"/>
          </w:tcPr>
          <w:p>
            <w:pPr>
              <w:spacing w:after="0"/>
              <w:rPr>
                <w:sz w:val="1"/>
                <w:szCs w:val="1"/>
                <w:color w:val="auto"/>
              </w:rPr>
            </w:pPr>
          </w:p>
        </w:tc>
      </w:tr>
      <w:tr>
        <w:trPr>
          <w:trHeight w:val="282"/>
        </w:trPr>
        <w:tc>
          <w:tcPr>
            <w:tcW w:w="2840" w:type="dxa"/>
            <w:vAlign w:val="bottom"/>
          </w:tcPr>
          <w:p>
            <w:pPr>
              <w:jc w:val="right"/>
              <w:spacing w:after="0"/>
              <w:rPr>
                <w:sz w:val="20"/>
                <w:szCs w:val="20"/>
                <w:color w:val="auto"/>
              </w:rPr>
            </w:pPr>
            <w:r>
              <w:rPr>
                <w:rFonts w:ascii="Arial" w:cs="Arial" w:eastAsia="Arial" w:hAnsi="Arial"/>
                <w:sz w:val="20"/>
                <w:szCs w:val="20"/>
                <w:color w:val="auto"/>
                <w:w w:val="98"/>
              </w:rPr>
              <w:t xml:space="preserve">Total liabilities </w:t>
            </w:r>
            <w:r>
              <w:rPr>
                <w:rFonts w:ascii="Arial" w:cs="Arial" w:eastAsia="Arial" w:hAnsi="Arial"/>
                <w:sz w:val="20"/>
                <w:szCs w:val="20"/>
                <w:color w:val="BDBDBD"/>
                <w:w w:val="98"/>
              </w:rPr>
              <w:t>. . . . . . . . . . . . . .</w:t>
            </w:r>
          </w:p>
        </w:tc>
        <w:tc>
          <w:tcPr>
            <w:tcW w:w="4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22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376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834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ind w:right="6"/>
              <w:spacing w:after="0"/>
              <w:rPr>
                <w:sz w:val="20"/>
                <w:szCs w:val="20"/>
                <w:color w:val="auto"/>
              </w:rPr>
            </w:pPr>
            <w:r>
              <w:rPr>
                <w:rFonts w:ascii="Arial" w:cs="Arial" w:eastAsia="Arial" w:hAnsi="Arial"/>
                <w:sz w:val="20"/>
                <w:szCs w:val="20"/>
                <w:color w:val="auto"/>
              </w:rPr>
              <w:t>18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85</w:t>
            </w:r>
          </w:p>
        </w:tc>
        <w:tc>
          <w:tcPr>
            <w:tcW w:w="0" w:type="dxa"/>
            <w:vAlign w:val="bottom"/>
          </w:tcPr>
          <w:p>
            <w:pPr>
              <w:spacing w:after="0"/>
              <w:rPr>
                <w:sz w:val="1"/>
                <w:szCs w:val="1"/>
                <w:color w:val="auto"/>
              </w:rPr>
            </w:pPr>
          </w:p>
        </w:tc>
      </w:tr>
      <w:tr>
        <w:trPr>
          <w:trHeight w:val="313"/>
        </w:trPr>
        <w:tc>
          <w:tcPr>
            <w:tcW w:w="28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w w:val="92"/>
              </w:rPr>
              <w:t xml:space="preserve">Noncontrolling interest </w:t>
            </w:r>
            <w:r>
              <w:rPr>
                <w:rFonts w:ascii="Arial" w:cs="Arial" w:eastAsia="Arial" w:hAnsi="Arial"/>
                <w:sz w:val="20"/>
                <w:szCs w:val="20"/>
                <w:color w:val="BDBDBD"/>
                <w:w w:val="92"/>
              </w:rPr>
              <w:t>. . . . . . . . .</w:t>
            </w:r>
          </w:p>
        </w:tc>
        <w:tc>
          <w:tcPr>
            <w:tcW w:w="480" w:type="dxa"/>
            <w:vAlign w:val="bottom"/>
            <w:tcBorders>
              <w:bottom w:val="single" w:sz="8" w:color="auto"/>
            </w:tcBorders>
            <w:shd w:val="clear" w:color="auto" w:fill="E6E6E6"/>
          </w:tcPr>
          <w:p>
            <w:pPr>
              <w:spacing w:after="0"/>
              <w:rPr>
                <w:sz w:val="24"/>
                <w:szCs w:val="24"/>
                <w:color w:val="auto"/>
              </w:rPr>
            </w:pPr>
          </w:p>
        </w:tc>
        <w:tc>
          <w:tcPr>
            <w:tcW w:w="7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23</w:t>
            </w:r>
          </w:p>
        </w:tc>
        <w:tc>
          <w:tcPr>
            <w:tcW w:w="6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77</w:t>
            </w:r>
          </w:p>
        </w:tc>
        <w:tc>
          <w:tcPr>
            <w:tcW w:w="6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spacing w:after="0"/>
              <w:rPr>
                <w:sz w:val="24"/>
                <w:szCs w:val="24"/>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181</w:t>
            </w:r>
          </w:p>
        </w:tc>
        <w:tc>
          <w:tcPr>
            <w:tcW w:w="6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67</w:t>
            </w: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ind w:right="6"/>
              <w:spacing w:after="0"/>
              <w:rPr>
                <w:sz w:val="20"/>
                <w:szCs w:val="20"/>
                <w:color w:val="auto"/>
              </w:rPr>
            </w:pPr>
            <w:r>
              <w:rPr>
                <w:rFonts w:ascii="Arial" w:cs="Arial" w:eastAsia="Arial" w:hAnsi="Arial"/>
                <w:sz w:val="20"/>
                <w:szCs w:val="20"/>
                <w:color w:val="auto"/>
              </w:rPr>
              <w:t>99</w:t>
            </w:r>
          </w:p>
        </w:tc>
        <w:tc>
          <w:tcPr>
            <w:tcW w:w="6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95</w:t>
            </w:r>
          </w:p>
        </w:tc>
        <w:tc>
          <w:tcPr>
            <w:tcW w:w="0" w:type="dxa"/>
            <w:vAlign w:val="bottom"/>
          </w:tcPr>
          <w:p>
            <w:pPr>
              <w:spacing w:after="0"/>
              <w:rPr>
                <w:sz w:val="1"/>
                <w:szCs w:val="1"/>
                <w:color w:val="auto"/>
              </w:rPr>
            </w:pPr>
          </w:p>
        </w:tc>
      </w:tr>
      <w:tr>
        <w:trPr>
          <w:trHeight w:val="192"/>
        </w:trPr>
        <w:tc>
          <w:tcPr>
            <w:tcW w:w="2840" w:type="dxa"/>
            <w:vAlign w:val="bottom"/>
          </w:tcPr>
          <w:p>
            <w:pPr>
              <w:jc w:val="right"/>
              <w:ind w:right="182"/>
              <w:spacing w:after="0" w:line="192" w:lineRule="exact"/>
              <w:rPr>
                <w:sz w:val="20"/>
                <w:szCs w:val="20"/>
                <w:color w:val="auto"/>
              </w:rPr>
            </w:pPr>
            <w:r>
              <w:rPr>
                <w:rFonts w:ascii="Arial" w:cs="Arial" w:eastAsia="Arial" w:hAnsi="Arial"/>
                <w:sz w:val="20"/>
                <w:szCs w:val="20"/>
                <w:color w:val="auto"/>
                <w:w w:val="95"/>
              </w:rPr>
              <w:t>Net assets less noncontrolling</w:t>
            </w:r>
          </w:p>
        </w:tc>
        <w:tc>
          <w:tcPr>
            <w:tcW w:w="480" w:type="dxa"/>
            <w:vAlign w:val="bottom"/>
            <w:vMerge w:val="restart"/>
          </w:tcPr>
          <w:p>
            <w:pPr>
              <w:jc w:val="right"/>
              <w:ind w:right="230"/>
              <w:spacing w:after="0"/>
              <w:rPr>
                <w:sz w:val="20"/>
                <w:szCs w:val="20"/>
                <w:color w:val="auto"/>
              </w:rPr>
            </w:pPr>
            <w:r>
              <w:rPr>
                <w:rFonts w:ascii="Arial" w:cs="Arial" w:eastAsia="Arial" w:hAnsi="Arial"/>
                <w:sz w:val="20"/>
                <w:szCs w:val="20"/>
                <w:color w:val="auto"/>
              </w:rPr>
              <w:t>$</w:t>
            </w:r>
          </w:p>
        </w:tc>
        <w:tc>
          <w:tcPr>
            <w:tcW w:w="700" w:type="dxa"/>
            <w:vAlign w:val="bottom"/>
            <w:vMerge w:val="restart"/>
          </w:tcPr>
          <w:p>
            <w:pPr>
              <w:jc w:val="right"/>
              <w:spacing w:after="0"/>
              <w:rPr>
                <w:sz w:val="20"/>
                <w:szCs w:val="20"/>
                <w:color w:val="auto"/>
              </w:rPr>
            </w:pPr>
            <w:r>
              <w:rPr>
                <w:rFonts w:ascii="Arial" w:cs="Arial" w:eastAsia="Arial" w:hAnsi="Arial"/>
                <w:sz w:val="20"/>
                <w:szCs w:val="20"/>
                <w:color w:val="auto"/>
              </w:rPr>
              <w:t>150</w:t>
            </w:r>
          </w:p>
        </w:tc>
        <w:tc>
          <w:tcPr>
            <w:tcW w:w="24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95</w:t>
            </w:r>
          </w:p>
        </w:tc>
        <w:tc>
          <w:tcPr>
            <w:tcW w:w="360" w:type="dxa"/>
            <w:vAlign w:val="bottom"/>
            <w:gridSpan w:val="2"/>
            <w:vMerge w:val="restart"/>
          </w:tcPr>
          <w:p>
            <w:pPr>
              <w:jc w:val="right"/>
              <w:ind w:right="70"/>
              <w:spacing w:after="0"/>
              <w:rPr>
                <w:sz w:val="20"/>
                <w:szCs w:val="20"/>
                <w:color w:val="auto"/>
              </w:rPr>
            </w:pPr>
            <w:r>
              <w:rPr>
                <w:rFonts w:ascii="Arial" w:cs="Arial" w:eastAsia="Arial" w:hAnsi="Arial"/>
                <w:sz w:val="20"/>
                <w:szCs w:val="20"/>
                <w:color w:val="auto"/>
              </w:rPr>
              <w:t>$</w:t>
            </w: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248</w:t>
            </w:r>
          </w:p>
        </w:tc>
        <w:tc>
          <w:tcPr>
            <w:tcW w:w="280" w:type="dxa"/>
            <w:vAlign w:val="bottom"/>
            <w:gridSpan w:val="2"/>
            <w:vMerge w:val="restart"/>
          </w:tcPr>
          <w:p>
            <w:pPr>
              <w:ind w:left="120"/>
              <w:spacing w:after="0"/>
              <w:rPr>
                <w:sz w:val="20"/>
                <w:szCs w:val="20"/>
                <w:color w:val="auto"/>
              </w:rPr>
            </w:pPr>
            <w:r>
              <w:rPr>
                <w:rFonts w:ascii="Arial" w:cs="Arial" w:eastAsia="Arial" w:hAnsi="Arial"/>
                <w:sz w:val="20"/>
                <w:szCs w:val="20"/>
                <w:color w:val="auto"/>
              </w:rPr>
              <w:t>$</w:t>
            </w: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160</w:t>
            </w:r>
          </w:p>
        </w:tc>
        <w:tc>
          <w:tcPr>
            <w:tcW w:w="22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1020" w:type="dxa"/>
            <w:vAlign w:val="bottom"/>
            <w:vMerge w:val="restart"/>
          </w:tcPr>
          <w:p>
            <w:pPr>
              <w:jc w:val="right"/>
              <w:ind w:right="6"/>
              <w:spacing w:after="0"/>
              <w:rPr>
                <w:sz w:val="20"/>
                <w:szCs w:val="20"/>
                <w:color w:val="auto"/>
              </w:rPr>
            </w:pPr>
            <w:r>
              <w:rPr>
                <w:rFonts w:ascii="Arial" w:cs="Arial" w:eastAsia="Arial" w:hAnsi="Arial"/>
                <w:sz w:val="20"/>
                <w:szCs w:val="20"/>
                <w:color w:val="auto"/>
              </w:rPr>
              <w:t>97</w:t>
            </w:r>
          </w:p>
        </w:tc>
        <w:tc>
          <w:tcPr>
            <w:tcW w:w="300" w:type="dxa"/>
            <w:vAlign w:val="bottom"/>
            <w:gridSpan w:val="2"/>
            <w:vMerge w:val="restart"/>
          </w:tcPr>
          <w:p>
            <w:pPr>
              <w:jc w:val="right"/>
              <w:ind w:right="100"/>
              <w:spacing w:after="0"/>
              <w:rPr>
                <w:sz w:val="20"/>
                <w:szCs w:val="20"/>
                <w:color w:val="auto"/>
              </w:rPr>
            </w:pPr>
            <w:r>
              <w:rPr>
                <w:rFonts w:ascii="Arial" w:cs="Arial" w:eastAsia="Arial" w:hAnsi="Arial"/>
                <w:sz w:val="20"/>
                <w:szCs w:val="20"/>
                <w:color w:val="auto"/>
              </w:rPr>
              <w:t>$</w:t>
            </w: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98</w:t>
            </w:r>
          </w:p>
        </w:tc>
        <w:tc>
          <w:tcPr>
            <w:tcW w:w="0" w:type="dxa"/>
            <w:vAlign w:val="bottom"/>
          </w:tcPr>
          <w:p>
            <w:pPr>
              <w:spacing w:after="0"/>
              <w:rPr>
                <w:sz w:val="1"/>
                <w:szCs w:val="1"/>
                <w:color w:val="auto"/>
              </w:rPr>
            </w:pPr>
          </w:p>
        </w:tc>
      </w:tr>
      <w:tr>
        <w:trPr>
          <w:trHeight w:val="242"/>
        </w:trPr>
        <w:tc>
          <w:tcPr>
            <w:tcW w:w="2840" w:type="dxa"/>
            <w:vAlign w:val="bottom"/>
          </w:tcPr>
          <w:p>
            <w:pPr>
              <w:jc w:val="right"/>
              <w:spacing w:after="0"/>
              <w:rPr>
                <w:sz w:val="20"/>
                <w:szCs w:val="20"/>
                <w:color w:val="auto"/>
              </w:rPr>
            </w:pPr>
            <w:r>
              <w:rPr>
                <w:rFonts w:ascii="Arial" w:cs="Arial" w:eastAsia="Arial" w:hAnsi="Arial"/>
                <w:sz w:val="20"/>
                <w:szCs w:val="20"/>
                <w:color w:val="auto"/>
              </w:rPr>
              <w:t xml:space="preserve">interest </w:t>
            </w:r>
            <w:r>
              <w:rPr>
                <w:rFonts w:ascii="Arial" w:cs="Arial" w:eastAsia="Arial" w:hAnsi="Arial"/>
                <w:sz w:val="20"/>
                <w:szCs w:val="20"/>
                <w:color w:val="BDBDBD"/>
              </w:rPr>
              <w:t>. . . . . . . . . . . . . . . . . .</w:t>
            </w:r>
          </w:p>
        </w:tc>
        <w:tc>
          <w:tcPr>
            <w:tcW w:w="480" w:type="dxa"/>
            <w:vAlign w:val="bottom"/>
            <w:vMerge w:val="continue"/>
          </w:tcPr>
          <w:p>
            <w:pPr>
              <w:spacing w:after="0"/>
              <w:rPr>
                <w:sz w:val="21"/>
                <w:szCs w:val="21"/>
                <w:color w:val="auto"/>
              </w:rPr>
            </w:pPr>
          </w:p>
        </w:tc>
        <w:tc>
          <w:tcPr>
            <w:tcW w:w="700" w:type="dxa"/>
            <w:vAlign w:val="bottom"/>
            <w:vMerge w:val="continue"/>
          </w:tcPr>
          <w:p>
            <w:pPr>
              <w:spacing w:after="0"/>
              <w:rPr>
                <w:sz w:val="21"/>
                <w:szCs w:val="21"/>
                <w:color w:val="auto"/>
              </w:rPr>
            </w:pPr>
          </w:p>
        </w:tc>
        <w:tc>
          <w:tcPr>
            <w:tcW w:w="240" w:type="dxa"/>
            <w:vAlign w:val="bottom"/>
            <w:gridSpan w:val="2"/>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360" w:type="dxa"/>
            <w:vAlign w:val="bottom"/>
            <w:gridSpan w:val="2"/>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280" w:type="dxa"/>
            <w:vAlign w:val="bottom"/>
            <w:gridSpan w:val="2"/>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220" w:type="dxa"/>
            <w:vAlign w:val="bottom"/>
            <w:gridSpan w:val="2"/>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300" w:type="dxa"/>
            <w:vAlign w:val="bottom"/>
            <w:gridSpan w:val="2"/>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1794510</wp:posOffset>
            </wp:positionH>
            <wp:positionV relativeFrom="paragraph">
              <wp:posOffset>-1774825</wp:posOffset>
            </wp:positionV>
            <wp:extent cx="4697730"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184">
                      <a:extLst>
                        <a:ext uri="{28A0092B-C50C-407E-A947-70E740481C1C}"/>
                      </a:extLst>
                    </a:blip>
                    <a:srcRect/>
                    <a:stretch>
                      <a:fillRect/>
                    </a:stretch>
                  </pic:blipFill>
                  <pic:spPr bwMode="auto">
                    <a:xfrm>
                      <a:off x="0" y="0"/>
                      <a:ext cx="4697730" cy="25400"/>
                    </a:xfrm>
                    <a:prstGeom prst="rect">
                      <a:avLst/>
                    </a:prstGeom>
                    <a:noFill/>
                  </pic:spPr>
                </pic:pic>
              </a:graphicData>
            </a:graphic>
          </wp:anchor>
        </w:drawing>
        <w:drawing>
          <wp:anchor simplePos="0" relativeHeight="251657728" behindDoc="1" locked="0" layoutInCell="0" allowOverlap="1">
            <wp:simplePos x="0" y="0"/>
            <wp:positionH relativeFrom="column">
              <wp:posOffset>1794510</wp:posOffset>
            </wp:positionH>
            <wp:positionV relativeFrom="paragraph">
              <wp:posOffset>-1101725</wp:posOffset>
            </wp:positionV>
            <wp:extent cx="4697730"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185">
                      <a:extLst>
                        <a:ext uri="{28A0092B-C50C-407E-A947-70E740481C1C}"/>
                      </a:extLst>
                    </a:blip>
                    <a:srcRect/>
                    <a:stretch>
                      <a:fillRect/>
                    </a:stretch>
                  </pic:blipFill>
                  <pic:spPr bwMode="auto">
                    <a:xfrm>
                      <a:off x="0" y="0"/>
                      <a:ext cx="4697730" cy="25400"/>
                    </a:xfrm>
                    <a:prstGeom prst="rect">
                      <a:avLst/>
                    </a:prstGeom>
                    <a:noFill/>
                  </pic:spPr>
                </pic:pic>
              </a:graphicData>
            </a:graphic>
          </wp:anchor>
        </w:drawing>
        <w:drawing>
          <wp:anchor simplePos="0" relativeHeight="251657728" behindDoc="1" locked="0" layoutInCell="0" allowOverlap="1">
            <wp:simplePos x="0" y="0"/>
            <wp:positionH relativeFrom="column">
              <wp:posOffset>1794510</wp:posOffset>
            </wp:positionH>
            <wp:positionV relativeFrom="paragraph">
              <wp:posOffset>-722630</wp:posOffset>
            </wp:positionV>
            <wp:extent cx="4697730"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186">
                      <a:extLst>
                        <a:ext uri="{28A0092B-C50C-407E-A947-70E740481C1C}"/>
                      </a:extLst>
                    </a:blip>
                    <a:srcRect/>
                    <a:stretch>
                      <a:fillRect/>
                    </a:stretch>
                  </pic:blipFill>
                  <pic:spPr bwMode="auto">
                    <a:xfrm>
                      <a:off x="0" y="0"/>
                      <a:ext cx="4697730" cy="25400"/>
                    </a:xfrm>
                    <a:prstGeom prst="rect">
                      <a:avLst/>
                    </a:prstGeom>
                    <a:noFill/>
                  </pic:spPr>
                </pic:pic>
              </a:graphicData>
            </a:graphic>
          </wp:anchor>
        </w:drawing>
        <w:drawing>
          <wp:anchor simplePos="0" relativeHeight="251657728" behindDoc="1" locked="0" layoutInCell="0" allowOverlap="1">
            <wp:simplePos x="0" y="0"/>
            <wp:positionH relativeFrom="column">
              <wp:posOffset>1794510</wp:posOffset>
            </wp:positionH>
            <wp:positionV relativeFrom="paragraph">
              <wp:posOffset>-343535</wp:posOffset>
            </wp:positionV>
            <wp:extent cx="4697730"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187">
                      <a:extLst>
                        <a:ext uri="{28A0092B-C50C-407E-A947-70E740481C1C}"/>
                      </a:extLst>
                    </a:blip>
                    <a:srcRect/>
                    <a:stretch>
                      <a:fillRect/>
                    </a:stretch>
                  </pic:blipFill>
                  <pic:spPr bwMode="auto">
                    <a:xfrm>
                      <a:off x="0" y="0"/>
                      <a:ext cx="4697730" cy="254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-2540</wp:posOffset>
                </wp:positionH>
                <wp:positionV relativeFrom="paragraph">
                  <wp:posOffset>91440</wp:posOffset>
                </wp:positionV>
                <wp:extent cx="1259840" cy="0"/>
                <wp:wrapNone/>
                <wp:docPr id="244" name="Shape 2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598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44" o:spid="_x0000_s12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7.2pt" to="99pt,7.2pt" o:allowincell="f" strokecolor="#000000" strokeweight="1pt"/>
            </w:pict>
          </mc:Fallback>
        </mc:AlternateContent>
      </w:r>
    </w:p>
    <w:p>
      <w:pPr>
        <w:spacing w:after="0" w:line="111" w:lineRule="exact"/>
        <w:rPr>
          <w:sz w:val="20"/>
          <w:szCs w:val="20"/>
          <w:color w:val="auto"/>
        </w:rPr>
      </w:pPr>
    </w:p>
    <w:p>
      <w:pPr>
        <w:ind w:left="300" w:hanging="215"/>
        <w:spacing w:after="0"/>
        <w:tabs>
          <w:tab w:leader="none" w:pos="300" w:val="left"/>
        </w:tabs>
        <w:numPr>
          <w:ilvl w:val="0"/>
          <w:numId w:val="64"/>
        </w:numPr>
        <w:rPr>
          <w:rFonts w:ascii="Arial" w:cs="Arial" w:eastAsia="Arial" w:hAnsi="Arial"/>
          <w:sz w:val="26"/>
          <w:szCs w:val="26"/>
          <w:color w:val="auto"/>
          <w:vertAlign w:val="superscript"/>
        </w:rPr>
      </w:pPr>
      <w:r>
        <w:rPr>
          <w:rFonts w:ascii="Arial" w:cs="Arial" w:eastAsia="Arial" w:hAnsi="Arial"/>
          <w:sz w:val="16"/>
          <w:szCs w:val="16"/>
          <w:color w:val="auto"/>
        </w:rPr>
        <w:t>VP-Arica TargetCo LLC consolidates VP-Arica TE Holdco LLC, a consolidated VIE that owns the Victory Pass and Arica solar projects.</w:t>
      </w:r>
    </w:p>
    <w:p>
      <w:pPr>
        <w:spacing w:after="0" w:line="70" w:lineRule="exact"/>
        <w:rPr>
          <w:rFonts w:ascii="Arial" w:cs="Arial" w:eastAsia="Arial" w:hAnsi="Arial"/>
          <w:sz w:val="26"/>
          <w:szCs w:val="26"/>
          <w:color w:val="auto"/>
          <w:vertAlign w:val="superscript"/>
        </w:rPr>
      </w:pPr>
    </w:p>
    <w:p>
      <w:pPr>
        <w:ind w:left="320" w:hanging="235"/>
        <w:spacing w:after="0" w:line="181" w:lineRule="auto"/>
        <w:tabs>
          <w:tab w:leader="none" w:pos="320" w:val="left"/>
        </w:tabs>
        <w:numPr>
          <w:ilvl w:val="0"/>
          <w:numId w:val="64"/>
        </w:numPr>
        <w:rPr>
          <w:rFonts w:ascii="Arial" w:cs="Arial" w:eastAsia="Arial" w:hAnsi="Arial"/>
          <w:sz w:val="24"/>
          <w:szCs w:val="24"/>
          <w:color w:val="auto"/>
          <w:vertAlign w:val="superscript"/>
        </w:rPr>
      </w:pPr>
      <w:r>
        <w:rPr>
          <w:rFonts w:ascii="Arial" w:cs="Arial" w:eastAsia="Arial" w:hAnsi="Arial"/>
          <w:sz w:val="15"/>
          <w:szCs w:val="15"/>
          <w:color w:val="auto"/>
        </w:rPr>
        <w:t>Other is comprised of Elbow Creek TE Holdco LLC, Pinnacle Repowering TE Holdco LLC and the Spring Canyon projects.</w:t>
      </w:r>
    </w:p>
    <w:p>
      <w:pPr>
        <w:sectPr>
          <w:pgSz w:w="11880" w:h="15480" w:orient="portrait"/>
          <w:cols w:equalWidth="0" w:num="1">
            <w:col w:w="10200"/>
          </w:cols>
          <w:pgMar w:left="840" w:top="40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100</w:t>
      </w:r>
    </w:p>
    <w:p>
      <w:pPr>
        <w:sectPr>
          <w:pgSz w:w="11880" w:h="15480" w:orient="portrait"/>
          <w:cols w:equalWidth="0" w:num="1">
            <w:col w:w="10200"/>
          </w:cols>
          <w:pgMar w:left="840" w:top="408" w:right="840" w:bottom="0" w:gutter="0" w:footer="0" w:header="0"/>
          <w:type w:val="continuous"/>
        </w:sectPr>
      </w:pPr>
    </w:p>
    <w:bookmarkStart w:id="102" w:name="page103"/>
    <w:bookmarkEnd w:id="102"/>
    <w:p>
      <w:pPr>
        <w:spacing w:after="0"/>
        <w:rPr>
          <w:sz w:val="20"/>
          <w:szCs w:val="20"/>
          <w:color w:val="auto"/>
        </w:rPr>
      </w:pPr>
      <w:r>
        <w:rPr>
          <w:rFonts w:ascii="Arial" w:cs="Arial" w:eastAsia="Arial" w:hAnsi="Arial"/>
          <w:sz w:val="20"/>
          <w:szCs w:val="20"/>
          <w:b w:val="1"/>
          <w:bCs w:val="1"/>
          <w:color w:val="auto"/>
        </w:rPr>
        <w:t>Note 6 — Fair Value of Financial Instruments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Fair Value Accounting under ASC 820</w:t>
      </w:r>
    </w:p>
    <w:p>
      <w:pPr>
        <w:spacing w:after="0" w:line="196" w:lineRule="exact"/>
        <w:rPr>
          <w:sz w:val="20"/>
          <w:szCs w:val="20"/>
          <w:color w:val="auto"/>
        </w:rPr>
      </w:pPr>
    </w:p>
    <w:p>
      <w:pPr>
        <w:ind w:firstLine="448"/>
        <w:spacing w:after="0" w:line="280" w:lineRule="auto"/>
        <w:rPr>
          <w:sz w:val="20"/>
          <w:szCs w:val="20"/>
          <w:color w:val="auto"/>
        </w:rPr>
      </w:pPr>
      <w:r>
        <w:rPr>
          <w:rFonts w:ascii="Arial" w:cs="Arial" w:eastAsia="Arial" w:hAnsi="Arial"/>
          <w:sz w:val="20"/>
          <w:szCs w:val="20"/>
          <w:color w:val="auto"/>
        </w:rPr>
        <w:t>ASC 820 establishes a fair value hierarchy that prioritizes the inputs to valuation techniques used to measure fair value into three levels as follows:</w:t>
      </w:r>
    </w:p>
    <w:p>
      <w:pPr>
        <w:spacing w:after="0" w:line="1" w:lineRule="exact"/>
        <w:rPr>
          <w:sz w:val="20"/>
          <w:szCs w:val="20"/>
          <w:color w:val="auto"/>
        </w:rPr>
      </w:pPr>
    </w:p>
    <w:p>
      <w:pPr>
        <w:ind w:left="1340" w:hanging="270"/>
        <w:spacing w:after="0" w:line="280" w:lineRule="auto"/>
        <w:tabs>
          <w:tab w:leader="none" w:pos="1340" w:val="left"/>
        </w:tabs>
        <w:numPr>
          <w:ilvl w:val="0"/>
          <w:numId w:val="65"/>
        </w:numPr>
        <w:rPr>
          <w:rFonts w:ascii="Arial" w:cs="Arial" w:eastAsia="Arial" w:hAnsi="Arial"/>
          <w:sz w:val="20"/>
          <w:szCs w:val="20"/>
          <w:color w:val="auto"/>
        </w:rPr>
      </w:pPr>
      <w:r>
        <w:rPr>
          <w:rFonts w:ascii="Arial" w:cs="Arial" w:eastAsia="Arial" w:hAnsi="Arial"/>
          <w:sz w:val="20"/>
          <w:szCs w:val="20"/>
          <w:color w:val="auto"/>
        </w:rPr>
        <w:t>Level 1—quoted prices (unadjusted) in active markets for identical assets or liabilities that the Company has the ability to access as of the measurement date.</w:t>
      </w:r>
    </w:p>
    <w:p>
      <w:pPr>
        <w:ind w:left="1340" w:hanging="270"/>
        <w:spacing w:after="0" w:line="280" w:lineRule="auto"/>
        <w:tabs>
          <w:tab w:leader="none" w:pos="1340" w:val="left"/>
        </w:tabs>
        <w:numPr>
          <w:ilvl w:val="0"/>
          <w:numId w:val="65"/>
        </w:numPr>
        <w:rPr>
          <w:rFonts w:ascii="Arial" w:cs="Arial" w:eastAsia="Arial" w:hAnsi="Arial"/>
          <w:sz w:val="20"/>
          <w:szCs w:val="20"/>
          <w:color w:val="auto"/>
        </w:rPr>
      </w:pPr>
      <w:r>
        <w:rPr>
          <w:rFonts w:ascii="Arial" w:cs="Arial" w:eastAsia="Arial" w:hAnsi="Arial"/>
          <w:sz w:val="20"/>
          <w:szCs w:val="20"/>
          <w:color w:val="auto"/>
        </w:rPr>
        <w:t>Level 2—inputs other than quoted prices included within Level 1 that are directly observable for the asset or liability or indirectly observable through corroboration with observable market data.</w:t>
      </w:r>
    </w:p>
    <w:p>
      <w:pPr>
        <w:ind w:left="1340" w:hanging="270"/>
        <w:spacing w:after="0" w:line="280" w:lineRule="auto"/>
        <w:tabs>
          <w:tab w:leader="none" w:pos="1340" w:val="left"/>
        </w:tabs>
        <w:numPr>
          <w:ilvl w:val="0"/>
          <w:numId w:val="65"/>
        </w:numPr>
        <w:rPr>
          <w:rFonts w:ascii="Arial" w:cs="Arial" w:eastAsia="Arial" w:hAnsi="Arial"/>
          <w:sz w:val="20"/>
          <w:szCs w:val="20"/>
          <w:color w:val="auto"/>
        </w:rPr>
      </w:pPr>
      <w:r>
        <w:rPr>
          <w:rFonts w:ascii="Arial" w:cs="Arial" w:eastAsia="Arial" w:hAnsi="Arial"/>
          <w:sz w:val="20"/>
          <w:szCs w:val="20"/>
          <w:color w:val="auto"/>
        </w:rPr>
        <w:t>Level 3—unobservable inputs for the asset or liability only used when there is little, if any, market activity for the asset or liability at the measurement date.</w:t>
      </w:r>
    </w:p>
    <w:p>
      <w:pPr>
        <w:spacing w:after="0" w:line="60" w:lineRule="exact"/>
        <w:rPr>
          <w:sz w:val="20"/>
          <w:szCs w:val="20"/>
          <w:color w:val="auto"/>
        </w:rPr>
      </w:pPr>
    </w:p>
    <w:p>
      <w:pPr>
        <w:ind w:firstLine="448"/>
        <w:spacing w:after="0" w:line="308" w:lineRule="auto"/>
        <w:rPr>
          <w:sz w:val="20"/>
          <w:szCs w:val="20"/>
          <w:color w:val="auto"/>
        </w:rPr>
      </w:pPr>
      <w:r>
        <w:rPr>
          <w:rFonts w:ascii="Arial" w:cs="Arial" w:eastAsia="Arial" w:hAnsi="Arial"/>
          <w:sz w:val="19"/>
          <w:szCs w:val="19"/>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9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For cash and cash equivalents, restricted cash, accounts receivable — trade, note receivable — affiliate, accounts payable</w:t>
      </w:r>
    </w:p>
    <w:p>
      <w:pPr>
        <w:spacing w:after="0" w:line="43" w:lineRule="exact"/>
        <w:rPr>
          <w:sz w:val="20"/>
          <w:szCs w:val="20"/>
          <w:color w:val="auto"/>
        </w:rPr>
      </w:pPr>
    </w:p>
    <w:p>
      <w:pPr>
        <w:spacing w:after="0" w:line="338" w:lineRule="auto"/>
        <w:rPr>
          <w:sz w:val="20"/>
          <w:szCs w:val="20"/>
          <w:color w:val="auto"/>
        </w:rPr>
      </w:pPr>
      <w:r>
        <w:rPr>
          <w:rFonts w:ascii="Arial" w:cs="Arial" w:eastAsia="Arial" w:hAnsi="Arial"/>
          <w:sz w:val="18"/>
          <w:szCs w:val="18"/>
          <w:color w:val="auto"/>
        </w:rPr>
        <w:t>— trade, accounts payable — affiliates and accrued expenses and other current liabilities, the carrying amounts approximates fair value because of the short-term maturity of those instruments and are classified as Level 1 within the fair value hierarchy.</w:t>
      </w:r>
    </w:p>
    <w:p>
      <w:pPr>
        <w:spacing w:after="0" w:line="74" w:lineRule="exact"/>
        <w:rPr>
          <w:sz w:val="20"/>
          <w:szCs w:val="20"/>
          <w:color w:val="auto"/>
        </w:rPr>
      </w:pPr>
    </w:p>
    <w:p>
      <w:pPr>
        <w:ind w:firstLine="448"/>
        <w:spacing w:after="0" w:line="280" w:lineRule="auto"/>
        <w:rPr>
          <w:sz w:val="20"/>
          <w:szCs w:val="20"/>
          <w:color w:val="auto"/>
        </w:rPr>
      </w:pPr>
      <w:r>
        <w:rPr>
          <w:rFonts w:ascii="Arial" w:cs="Arial" w:eastAsia="Arial" w:hAnsi="Arial"/>
          <w:sz w:val="20"/>
          <w:szCs w:val="20"/>
          <w:color w:val="auto"/>
        </w:rPr>
        <w:t>The carrying amounts and estimated fair values of the Company’s recorded financial instruments not carried at fair market value or that do not approximate fair value are as follows:</w:t>
      </w:r>
    </w:p>
    <w:p>
      <w:pPr>
        <w:spacing w:after="0" w:line="75" w:lineRule="exact"/>
        <w:rPr>
          <w:sz w:val="20"/>
          <w:szCs w:val="20"/>
          <w:color w:val="auto"/>
        </w:rPr>
      </w:pPr>
    </w:p>
    <w:tbl>
      <w:tblPr>
        <w:tblLayout w:type="fixed"/>
        <w:tblInd w:w="5600" w:type="dxa"/>
        <w:tblCellMar>
          <w:top w:w="0" w:type="dxa"/>
          <w:left w:w="0" w:type="dxa"/>
          <w:bottom w:w="0" w:type="dxa"/>
          <w:right w:w="0" w:type="dxa"/>
        </w:tblCellMar>
      </w:tblPr>
      <w:tr>
        <w:trPr>
          <w:trHeight w:val="217"/>
        </w:trPr>
        <w:tc>
          <w:tcPr>
            <w:tcW w:w="2280" w:type="dxa"/>
            <w:vAlign w:val="bottom"/>
            <w:tcBorders>
              <w:bottom w:val="single" w:sz="8" w:color="auto"/>
            </w:tcBorders>
            <w:gridSpan w:val="2"/>
          </w:tcPr>
          <w:p>
            <w:pPr>
              <w:ind w:left="300"/>
              <w:spacing w:after="0"/>
              <w:rPr>
                <w:sz w:val="20"/>
                <w:szCs w:val="20"/>
                <w:color w:val="auto"/>
              </w:rPr>
            </w:pPr>
            <w:r>
              <w:rPr>
                <w:rFonts w:ascii="Arial" w:cs="Arial" w:eastAsia="Arial" w:hAnsi="Arial"/>
                <w:sz w:val="16"/>
                <w:szCs w:val="16"/>
                <w:b w:val="1"/>
                <w:bCs w:val="1"/>
                <w:color w:val="auto"/>
              </w:rPr>
              <w:t>As of December 31, 2023</w:t>
            </w:r>
          </w:p>
        </w:tc>
        <w:tc>
          <w:tcPr>
            <w:tcW w:w="80" w:type="dxa"/>
            <w:vAlign w:val="bottom"/>
          </w:tcPr>
          <w:p>
            <w:pPr>
              <w:spacing w:after="0"/>
              <w:rPr>
                <w:sz w:val="18"/>
                <w:szCs w:val="18"/>
                <w:color w:val="auto"/>
              </w:rPr>
            </w:pPr>
          </w:p>
        </w:tc>
        <w:tc>
          <w:tcPr>
            <w:tcW w:w="2240" w:type="dxa"/>
            <w:vAlign w:val="bottom"/>
            <w:tcBorders>
              <w:bottom w:val="single" w:sz="8" w:color="auto"/>
            </w:tcBorders>
            <w:gridSpan w:val="2"/>
          </w:tcPr>
          <w:p>
            <w:pPr>
              <w:ind w:left="280"/>
              <w:spacing w:after="0"/>
              <w:rPr>
                <w:sz w:val="20"/>
                <w:szCs w:val="20"/>
                <w:color w:val="auto"/>
              </w:rPr>
            </w:pPr>
            <w:r>
              <w:rPr>
                <w:rFonts w:ascii="Arial" w:cs="Arial" w:eastAsia="Arial" w:hAnsi="Arial"/>
                <w:sz w:val="16"/>
                <w:szCs w:val="16"/>
                <w:b w:val="1"/>
                <w:bCs w:val="1"/>
                <w:color w:val="auto"/>
              </w:rPr>
              <w:t>As of December 31, 2022</w:t>
            </w:r>
          </w:p>
        </w:tc>
        <w:tc>
          <w:tcPr>
            <w:tcW w:w="0" w:type="dxa"/>
            <w:vAlign w:val="bottom"/>
          </w:tcPr>
          <w:p>
            <w:pPr>
              <w:spacing w:after="0"/>
              <w:rPr>
                <w:sz w:val="1"/>
                <w:szCs w:val="1"/>
                <w:color w:val="auto"/>
              </w:rPr>
            </w:pPr>
          </w:p>
        </w:tc>
      </w:tr>
      <w:tr>
        <w:trPr>
          <w:trHeight w:val="140"/>
        </w:trPr>
        <w:tc>
          <w:tcPr>
            <w:tcW w:w="1100" w:type="dxa"/>
            <w:vAlign w:val="bottom"/>
          </w:tcPr>
          <w:p>
            <w:pPr>
              <w:jc w:val="center"/>
              <w:spacing w:after="0" w:line="140" w:lineRule="exact"/>
              <w:rPr>
                <w:sz w:val="20"/>
                <w:szCs w:val="20"/>
                <w:color w:val="auto"/>
              </w:rPr>
            </w:pPr>
            <w:r>
              <w:rPr>
                <w:rFonts w:ascii="Arial" w:cs="Arial" w:eastAsia="Arial" w:hAnsi="Arial"/>
                <w:sz w:val="16"/>
                <w:szCs w:val="16"/>
                <w:b w:val="1"/>
                <w:bCs w:val="1"/>
                <w:color w:val="auto"/>
                <w:w w:val="97"/>
              </w:rPr>
              <w:t>Carrying</w:t>
            </w:r>
          </w:p>
        </w:tc>
        <w:tc>
          <w:tcPr>
            <w:tcW w:w="1180" w:type="dxa"/>
            <w:vAlign w:val="bottom"/>
            <w:vMerge w:val="restart"/>
          </w:tcPr>
          <w:p>
            <w:pPr>
              <w:ind w:left="260"/>
              <w:spacing w:after="0"/>
              <w:rPr>
                <w:sz w:val="20"/>
                <w:szCs w:val="20"/>
                <w:color w:val="auto"/>
              </w:rPr>
            </w:pPr>
            <w:r>
              <w:rPr>
                <w:rFonts w:ascii="Arial" w:cs="Arial" w:eastAsia="Arial" w:hAnsi="Arial"/>
                <w:sz w:val="16"/>
                <w:szCs w:val="16"/>
                <w:b w:val="1"/>
                <w:bCs w:val="1"/>
                <w:color w:val="auto"/>
              </w:rPr>
              <w:t>Fair Value</w:t>
            </w:r>
          </w:p>
        </w:tc>
        <w:tc>
          <w:tcPr>
            <w:tcW w:w="80" w:type="dxa"/>
            <w:vAlign w:val="bottom"/>
          </w:tcPr>
          <w:p>
            <w:pPr>
              <w:spacing w:after="0"/>
              <w:rPr>
                <w:sz w:val="12"/>
                <w:szCs w:val="12"/>
                <w:color w:val="auto"/>
              </w:rPr>
            </w:pPr>
          </w:p>
        </w:tc>
        <w:tc>
          <w:tcPr>
            <w:tcW w:w="1100" w:type="dxa"/>
            <w:vAlign w:val="bottom"/>
          </w:tcPr>
          <w:p>
            <w:pPr>
              <w:ind w:left="220"/>
              <w:spacing w:after="0" w:line="140" w:lineRule="exact"/>
              <w:rPr>
                <w:sz w:val="20"/>
                <w:szCs w:val="20"/>
                <w:color w:val="auto"/>
              </w:rPr>
            </w:pPr>
            <w:r>
              <w:rPr>
                <w:rFonts w:ascii="Arial" w:cs="Arial" w:eastAsia="Arial" w:hAnsi="Arial"/>
                <w:sz w:val="16"/>
                <w:szCs w:val="16"/>
                <w:b w:val="1"/>
                <w:bCs w:val="1"/>
                <w:color w:val="auto"/>
              </w:rPr>
              <w:t>Carrying</w:t>
            </w:r>
          </w:p>
        </w:tc>
        <w:tc>
          <w:tcPr>
            <w:tcW w:w="1140" w:type="dxa"/>
            <w:vAlign w:val="bottom"/>
            <w:vMerge w:val="restart"/>
          </w:tcPr>
          <w:p>
            <w:pPr>
              <w:ind w:left="240"/>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1"/>
        </w:trPr>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2"/>
              </w:rPr>
              <w:t>Amount</w:t>
            </w:r>
          </w:p>
        </w:tc>
        <w:tc>
          <w:tcPr>
            <w:tcW w:w="11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ind w:left="260"/>
              <w:spacing w:after="0"/>
              <w:rPr>
                <w:sz w:val="20"/>
                <w:szCs w:val="20"/>
                <w:color w:val="auto"/>
              </w:rPr>
            </w:pPr>
            <w:r>
              <w:rPr>
                <w:rFonts w:ascii="Arial" w:cs="Arial" w:eastAsia="Arial" w:hAnsi="Arial"/>
                <w:sz w:val="16"/>
                <w:szCs w:val="16"/>
                <w:b w:val="1"/>
                <w:bCs w:val="1"/>
                <w:color w:val="auto"/>
              </w:rPr>
              <w:t>Amount</w:t>
            </w: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3550920</wp:posOffset>
                </wp:positionH>
                <wp:positionV relativeFrom="paragraph">
                  <wp:posOffset>6985</wp:posOffset>
                </wp:positionV>
                <wp:extent cx="692150" cy="0"/>
                <wp:wrapNone/>
                <wp:docPr id="245" name="Shape 2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21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45" o:spid="_x0000_s12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9.6pt,0.55pt" to="334.1pt,0.5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4309110</wp:posOffset>
                </wp:positionH>
                <wp:positionV relativeFrom="paragraph">
                  <wp:posOffset>6985</wp:posOffset>
                </wp:positionV>
                <wp:extent cx="692150" cy="0"/>
                <wp:wrapNone/>
                <wp:docPr id="246" name="Shape 2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21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46" o:spid="_x0000_s12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9.3pt,0.55pt" to="393.8pt,0.5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5048250</wp:posOffset>
                </wp:positionH>
                <wp:positionV relativeFrom="paragraph">
                  <wp:posOffset>6985</wp:posOffset>
                </wp:positionV>
                <wp:extent cx="692150" cy="0"/>
                <wp:wrapNone/>
                <wp:docPr id="247" name="Shape 2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21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47" o:spid="_x0000_s12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7.5pt,0.55pt" to="452pt,0.5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5787390</wp:posOffset>
                </wp:positionH>
                <wp:positionV relativeFrom="paragraph">
                  <wp:posOffset>6985</wp:posOffset>
                </wp:positionV>
                <wp:extent cx="692150" cy="0"/>
                <wp:wrapNone/>
                <wp:docPr id="248" name="Shape 2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21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48" o:spid="_x0000_s12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5.7pt,0.55pt" to="510.2pt,0.55pt" o:allowincell="f" strokecolor="#000000" strokeweight="1pt"/>
            </w:pict>
          </mc:Fallback>
        </mc:AlternateContent>
      </w:r>
    </w:p>
    <w:p>
      <w:pPr>
        <w:spacing w:after="0" w:line="3" w:lineRule="exact"/>
        <w:rPr>
          <w:sz w:val="20"/>
          <w:szCs w:val="20"/>
          <w:color w:val="auto"/>
        </w:rPr>
      </w:pPr>
    </w:p>
    <w:p>
      <w:pPr>
        <w:ind w:left="7480"/>
        <w:spacing w:after="0"/>
        <w:rPr>
          <w:sz w:val="20"/>
          <w:szCs w:val="20"/>
          <w:color w:val="auto"/>
        </w:rPr>
      </w:pPr>
      <w:r>
        <w:rPr>
          <w:rFonts w:ascii="Arial" w:cs="Arial" w:eastAsia="Arial" w:hAnsi="Arial"/>
          <w:sz w:val="16"/>
          <w:szCs w:val="16"/>
          <w:b w:val="1"/>
          <w:bCs w:val="1"/>
          <w:color w:val="auto"/>
        </w:rPr>
        <w:t>(In millions)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27305</wp:posOffset>
                </wp:positionV>
                <wp:extent cx="6481445" cy="180340"/>
                <wp:wrapNone/>
                <wp:docPr id="249" name="Shape 2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1445" cy="180340"/>
                        </a:xfrm>
                        <a:prstGeom prst="rect">
                          <a:avLst/>
                        </a:prstGeom>
                        <a:solidFill>
                          <a:srgbClr val="E6E6E6"/>
                        </a:solidFill>
                      </wps:spPr>
                      <wps:bodyPr/>
                    </wps:wsp>
                  </a:graphicData>
                </a:graphic>
              </wp:anchor>
            </w:drawing>
          </mc:Choice>
          <mc:Fallback>
            <w:pict>
              <v:rect id="Shape 249" o:spid="_x0000_s1274" style="position:absolute;margin-left:-0.1499pt;margin-top:2.15pt;width:510.35pt;height:1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30"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Liabilities:</w:t>
      </w:r>
    </w:p>
    <w:p>
      <w:pPr>
        <w:spacing w:after="0" w:line="54" w:lineRule="exact"/>
        <w:rPr>
          <w:sz w:val="20"/>
          <w:szCs w:val="20"/>
          <w:color w:val="auto"/>
        </w:rPr>
      </w:pPr>
    </w:p>
    <w:p>
      <w:pPr>
        <w:ind w:left="180"/>
        <w:spacing w:after="0"/>
        <w:tabs>
          <w:tab w:leader="none" w:pos="6140" w:val="left"/>
          <w:tab w:leader="none" w:pos="6820" w:val="left"/>
          <w:tab w:leader="none" w:pos="7320" w:val="left"/>
          <w:tab w:leader="none" w:pos="7980" w:val="left"/>
          <w:tab w:leader="none" w:pos="8500" w:val="left"/>
          <w:tab w:leader="none" w:pos="9140" w:val="left"/>
          <w:tab w:leader="none" w:pos="9660" w:val="left"/>
        </w:tabs>
        <w:rPr>
          <w:sz w:val="20"/>
          <w:szCs w:val="20"/>
          <w:color w:val="auto"/>
        </w:rPr>
      </w:pPr>
      <w:r>
        <w:rPr>
          <w:rFonts w:ascii="Arial" w:cs="Arial" w:eastAsia="Arial" w:hAnsi="Arial"/>
          <w:sz w:val="20"/>
          <w:szCs w:val="20"/>
          <w:color w:val="auto"/>
        </w:rPr>
        <w:t xml:space="preserve">Long-term debt, including current portion </w:t>
      </w:r>
      <w:r>
        <w:rPr>
          <w:rFonts w:ascii="Arial" w:cs="Arial" w:eastAsia="Arial" w:hAnsi="Arial"/>
          <w:sz w:val="25"/>
          <w:szCs w:val="25"/>
          <w:color w:val="auto"/>
          <w:vertAlign w:val="superscript"/>
        </w:rPr>
        <w:t>(a)</w:t>
      </w:r>
      <w:r>
        <w:rPr>
          <w:rFonts w:ascii="Arial" w:cs="Arial" w:eastAsia="Arial" w:hAnsi="Arial"/>
          <w:sz w:val="20"/>
          <w:szCs w:val="20"/>
          <w:color w:val="auto"/>
        </w:rPr>
        <w:t xml:space="preserve">  </w:t>
      </w:r>
      <w:r>
        <w:rPr>
          <w:rFonts w:ascii="Arial" w:cs="Arial" w:eastAsia="Arial" w:hAnsi="Arial"/>
          <w:sz w:val="20"/>
          <w:szCs w:val="20"/>
          <w:color w:val="BDBDBD"/>
        </w:rPr>
        <w:t>. . . . . . . . . . . . . . . . . .</w:t>
      </w:r>
      <w:r>
        <w:rPr>
          <w:rFonts w:ascii="Arial" w:cs="Arial" w:eastAsia="Arial" w:hAnsi="Arial"/>
          <w:sz w:val="20"/>
          <w:szCs w:val="20"/>
          <w:color w:val="auto"/>
        </w:rPr>
        <w:t xml:space="preserve"> $</w:t>
      </w:r>
      <w:r>
        <w:rPr>
          <w:sz w:val="20"/>
          <w:szCs w:val="20"/>
          <w:color w:val="auto"/>
        </w:rPr>
        <w:tab/>
      </w:r>
      <w:r>
        <w:rPr>
          <w:rFonts w:ascii="Arial" w:cs="Arial" w:eastAsia="Arial" w:hAnsi="Arial"/>
          <w:sz w:val="20"/>
          <w:szCs w:val="20"/>
          <w:color w:val="auto"/>
        </w:rPr>
        <w:t>8,102</w:t>
        <w:tab/>
        <w:t>$</w:t>
      </w:r>
      <w:r>
        <w:rPr>
          <w:sz w:val="20"/>
          <w:szCs w:val="20"/>
          <w:color w:val="auto"/>
        </w:rPr>
        <w:tab/>
      </w:r>
      <w:r>
        <w:rPr>
          <w:rFonts w:ascii="Arial" w:cs="Arial" w:eastAsia="Arial" w:hAnsi="Arial"/>
          <w:sz w:val="20"/>
          <w:szCs w:val="20"/>
          <w:color w:val="auto"/>
        </w:rPr>
        <w:t>7,611</w:t>
        <w:tab/>
        <w:t>$</w:t>
      </w:r>
      <w:r>
        <w:rPr>
          <w:sz w:val="20"/>
          <w:szCs w:val="20"/>
          <w:color w:val="auto"/>
        </w:rPr>
        <w:tab/>
      </w:r>
      <w:r>
        <w:rPr>
          <w:rFonts w:ascii="Arial" w:cs="Arial" w:eastAsia="Arial" w:hAnsi="Arial"/>
          <w:sz w:val="20"/>
          <w:szCs w:val="20"/>
          <w:color w:val="auto"/>
        </w:rPr>
        <w:t>6,874</w:t>
        <w:tab/>
        <w:t>$</w:t>
      </w:r>
      <w:r>
        <w:rPr>
          <w:sz w:val="20"/>
          <w:szCs w:val="20"/>
          <w:color w:val="auto"/>
        </w:rPr>
        <w:tab/>
      </w:r>
      <w:r>
        <w:rPr>
          <w:rFonts w:ascii="Arial" w:cs="Arial" w:eastAsia="Arial" w:hAnsi="Arial"/>
          <w:sz w:val="17"/>
          <w:szCs w:val="17"/>
          <w:color w:val="auto"/>
        </w:rPr>
        <w:t>6,288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113030</wp:posOffset>
                </wp:positionV>
                <wp:extent cx="1259840" cy="0"/>
                <wp:wrapNone/>
                <wp:docPr id="250" name="Shape 2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598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50" o:spid="_x0000_s12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8.9pt" to="99pt,8.9pt" o:allowincell="f" strokecolor="#000000" strokeweight="1pt"/>
            </w:pict>
          </mc:Fallback>
        </mc:AlternateContent>
      </w:r>
    </w:p>
    <w:p>
      <w:pPr>
        <w:spacing w:after="0" w:line="185" w:lineRule="exact"/>
        <w:rPr>
          <w:sz w:val="20"/>
          <w:szCs w:val="20"/>
          <w:color w:val="auto"/>
        </w:rPr>
      </w:pPr>
    </w:p>
    <w:p>
      <w:pPr>
        <w:ind w:left="320" w:hanging="235"/>
        <w:spacing w:after="0"/>
        <w:tabs>
          <w:tab w:leader="none" w:pos="320" w:val="left"/>
        </w:tabs>
        <w:numPr>
          <w:ilvl w:val="0"/>
          <w:numId w:val="67"/>
        </w:numPr>
        <w:rPr>
          <w:rFonts w:ascii="Arial" w:cs="Arial" w:eastAsia="Arial" w:hAnsi="Arial"/>
          <w:sz w:val="23"/>
          <w:szCs w:val="23"/>
          <w:color w:val="auto"/>
          <w:vertAlign w:val="superscript"/>
        </w:rPr>
      </w:pPr>
      <w:r>
        <w:rPr>
          <w:rFonts w:ascii="Arial" w:cs="Arial" w:eastAsia="Arial" w:hAnsi="Arial"/>
          <w:sz w:val="16"/>
          <w:szCs w:val="16"/>
          <w:color w:val="auto"/>
        </w:rPr>
        <w:t>Excludes net debt issuance costs, which are recorded as a reduction to long-term debt on the Company’s consolidated balance sheets.</w:t>
      </w:r>
    </w:p>
    <w:p>
      <w:pPr>
        <w:spacing w:after="0" w:line="164" w:lineRule="exact"/>
        <w:rPr>
          <w:sz w:val="20"/>
          <w:szCs w:val="20"/>
          <w:color w:val="auto"/>
        </w:rPr>
      </w:pPr>
    </w:p>
    <w:p>
      <w:pPr>
        <w:jc w:val="both"/>
        <w:ind w:firstLine="448"/>
        <w:spacing w:after="0" w:line="292" w:lineRule="auto"/>
        <w:rPr>
          <w:sz w:val="20"/>
          <w:szCs w:val="20"/>
          <w:color w:val="auto"/>
        </w:rPr>
      </w:pPr>
      <w:r>
        <w:rPr>
          <w:rFonts w:ascii="Arial" w:cs="Arial" w:eastAsia="Arial" w:hAnsi="Arial"/>
          <w:sz w:val="18"/>
          <w:szCs w:val="18"/>
          <w:color w:val="auto"/>
        </w:rPr>
        <w:t>The fair value of the Company’s publicly-traded long-term debt is based on quoted market prices and is classified as Level 2 within the fair value hierarchy. The fair value of debt securities, non-publicly traded long-term debt and certain notes receivable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rPr>
              <w:t>As of December 31, 2023</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b w:val="1"/>
                <w:bCs w:val="1"/>
                <w:color w:val="auto"/>
              </w:rPr>
              <w:t>As of December 31, 2022</w:t>
            </w:r>
          </w:p>
        </w:tc>
      </w:tr>
      <w:tr>
        <w:trPr>
          <w:trHeight w:val="234"/>
        </w:trPr>
        <w:tc>
          <w:tcPr>
            <w:tcW w:w="5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Level 2</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4"/>
              <w:spacing w:after="0"/>
              <w:rPr>
                <w:sz w:val="20"/>
                <w:szCs w:val="20"/>
                <w:color w:val="auto"/>
              </w:rPr>
            </w:pPr>
            <w:r>
              <w:rPr>
                <w:rFonts w:ascii="Arial" w:cs="Arial" w:eastAsia="Arial" w:hAnsi="Arial"/>
                <w:sz w:val="16"/>
                <w:szCs w:val="16"/>
                <w:b w:val="1"/>
                <w:bCs w:val="1"/>
                <w:color w:val="auto"/>
                <w:w w:val="99"/>
              </w:rPr>
              <w:t>Level 3</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Level 2</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6"/>
                <w:szCs w:val="16"/>
                <w:b w:val="1"/>
                <w:bCs w:val="1"/>
                <w:color w:val="auto"/>
                <w:w w:val="99"/>
              </w:rPr>
              <w:t>Level 3</w:t>
            </w:r>
          </w:p>
        </w:tc>
      </w:tr>
      <w:tr>
        <w:trPr>
          <w:trHeight w:val="221"/>
        </w:trPr>
        <w:tc>
          <w:tcPr>
            <w:tcW w:w="5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gridSpan w:val="4"/>
          </w:tcPr>
          <w:p>
            <w:pPr>
              <w:jc w:val="right"/>
              <w:ind w:right="614"/>
              <w:spacing w:after="0"/>
              <w:rPr>
                <w:sz w:val="20"/>
                <w:szCs w:val="20"/>
                <w:color w:val="auto"/>
              </w:rPr>
            </w:pPr>
            <w:r>
              <w:rPr>
                <w:rFonts w:ascii="Arial" w:cs="Arial" w:eastAsia="Arial" w:hAnsi="Arial"/>
                <w:sz w:val="16"/>
                <w:szCs w:val="16"/>
                <w:b w:val="1"/>
                <w:bCs w:val="1"/>
                <w:color w:val="auto"/>
              </w:rPr>
              <w:t>(In millions)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307"/>
        </w:trPr>
        <w:tc>
          <w:tcPr>
            <w:tcW w:w="5620" w:type="dxa"/>
            <w:vAlign w:val="bottom"/>
            <w:shd w:val="clear" w:color="auto" w:fill="E6E6E6"/>
          </w:tcPr>
          <w:p>
            <w:pPr>
              <w:ind w:left="180"/>
              <w:spacing w:after="0"/>
              <w:rPr>
                <w:sz w:val="20"/>
                <w:szCs w:val="20"/>
                <w:color w:val="auto"/>
              </w:rPr>
            </w:pPr>
            <w:r>
              <w:rPr>
                <w:rFonts w:ascii="Arial" w:cs="Arial" w:eastAsia="Arial" w:hAnsi="Arial"/>
                <w:sz w:val="20"/>
                <w:szCs w:val="20"/>
                <w:color w:val="auto"/>
                <w:w w:val="93"/>
              </w:rPr>
              <w:t xml:space="preserve">Long-term debt, including current portion </w:t>
            </w:r>
            <w:r>
              <w:rPr>
                <w:rFonts w:ascii="Arial" w:cs="Arial" w:eastAsia="Arial" w:hAnsi="Arial"/>
                <w:sz w:val="20"/>
                <w:szCs w:val="20"/>
                <w:color w:val="BDBDBD"/>
                <w:w w:val="93"/>
              </w:rPr>
              <w:t>. . . . . . . . . . . . . . . . . . . .</w:t>
            </w:r>
          </w:p>
        </w:tc>
        <w:tc>
          <w:tcPr>
            <w:tcW w:w="2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1,939</w:t>
            </w:r>
          </w:p>
        </w:tc>
        <w:tc>
          <w:tcPr>
            <w:tcW w:w="300" w:type="dxa"/>
            <w:vAlign w:val="bottom"/>
            <w:gridSpan w:val="2"/>
            <w:shd w:val="clear" w:color="auto" w:fill="E6E6E6"/>
          </w:tcPr>
          <w:p>
            <w:pPr>
              <w:jc w:val="right"/>
              <w:ind w:right="80"/>
              <w:spacing w:after="0"/>
              <w:rPr>
                <w:sz w:val="20"/>
                <w:szCs w:val="20"/>
                <w:color w:val="auto"/>
              </w:rPr>
            </w:pPr>
            <w:r>
              <w:rPr>
                <w:rFonts w:ascii="Arial" w:cs="Arial" w:eastAsia="Arial" w:hAnsi="Arial"/>
                <w:sz w:val="20"/>
                <w:szCs w:val="20"/>
                <w:color w:val="auto"/>
              </w:rPr>
              <w:t>$</w:t>
            </w: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5,672</w:t>
            </w:r>
          </w:p>
        </w:tc>
        <w:tc>
          <w:tcPr>
            <w:tcW w:w="300" w:type="dxa"/>
            <w:vAlign w:val="bottom"/>
            <w:gridSpan w:val="2"/>
            <w:shd w:val="clear" w:color="auto" w:fill="E6E6E6"/>
          </w:tcPr>
          <w:p>
            <w:pPr>
              <w:jc w:val="right"/>
              <w:ind w:right="80"/>
              <w:spacing w:after="0"/>
              <w:rPr>
                <w:sz w:val="20"/>
                <w:szCs w:val="20"/>
                <w:color w:val="auto"/>
              </w:rPr>
            </w:pPr>
            <w:r>
              <w:rPr>
                <w:rFonts w:ascii="Arial" w:cs="Arial" w:eastAsia="Arial" w:hAnsi="Arial"/>
                <w:sz w:val="20"/>
                <w:szCs w:val="20"/>
                <w:color w:val="auto"/>
              </w:rPr>
              <w:t>$</w:t>
            </w: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1,834</w:t>
            </w:r>
          </w:p>
        </w:tc>
        <w:tc>
          <w:tcPr>
            <w:tcW w:w="300" w:type="dxa"/>
            <w:vAlign w:val="bottom"/>
            <w:gridSpan w:val="2"/>
            <w:shd w:val="clear" w:color="auto" w:fill="E6E6E6"/>
          </w:tcPr>
          <w:p>
            <w:pPr>
              <w:jc w:val="right"/>
              <w:ind w:right="80"/>
              <w:spacing w:after="0"/>
              <w:rPr>
                <w:sz w:val="20"/>
                <w:szCs w:val="20"/>
                <w:color w:val="auto"/>
              </w:rPr>
            </w:pPr>
            <w:r>
              <w:rPr>
                <w:rFonts w:ascii="Arial" w:cs="Arial" w:eastAsia="Arial" w:hAnsi="Arial"/>
                <w:sz w:val="20"/>
                <w:szCs w:val="20"/>
                <w:color w:val="auto"/>
              </w:rPr>
              <w:t>$</w:t>
            </w: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4,454</w:t>
            </w:r>
          </w:p>
        </w:tc>
      </w:tr>
    </w:tbl>
    <w:p>
      <w:pPr>
        <w:spacing w:after="0" w:line="200" w:lineRule="exact"/>
        <w:rPr>
          <w:sz w:val="20"/>
          <w:szCs w:val="20"/>
          <w:color w:val="auto"/>
        </w:rPr>
      </w:pPr>
    </w:p>
    <w:p>
      <w:pPr>
        <w:sectPr>
          <w:pgSz w:w="11880" w:h="15480" w:orient="portrait"/>
          <w:cols w:equalWidth="0" w:num="1">
            <w:col w:w="10200"/>
          </w:cols>
          <w:pgMar w:left="840" w:top="404"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101</w:t>
      </w:r>
    </w:p>
    <w:p>
      <w:pPr>
        <w:sectPr>
          <w:pgSz w:w="11880" w:h="15480" w:orient="portrait"/>
          <w:cols w:equalWidth="0" w:num="1">
            <w:col w:w="10200"/>
          </w:cols>
          <w:pgMar w:left="840" w:top="404" w:right="840" w:bottom="0" w:gutter="0" w:footer="0" w:header="0"/>
          <w:type w:val="continuous"/>
        </w:sectPr>
      </w:pPr>
    </w:p>
    <w:bookmarkStart w:id="103" w:name="page104"/>
    <w:bookmarkEnd w:id="103"/>
    <w:p>
      <w:pPr>
        <w:ind w:left="100"/>
        <w:spacing w:after="0"/>
        <w:rPr>
          <w:sz w:val="20"/>
          <w:szCs w:val="20"/>
          <w:color w:val="auto"/>
        </w:rPr>
      </w:pPr>
      <w:r>
        <w:rPr>
          <w:rFonts w:ascii="Arial" w:cs="Arial" w:eastAsia="Arial" w:hAnsi="Arial"/>
          <w:sz w:val="20"/>
          <w:szCs w:val="20"/>
          <w:b w:val="1"/>
          <w:bCs w:val="1"/>
          <w:i w:val="1"/>
          <w:iCs w:val="1"/>
          <w:color w:val="auto"/>
        </w:rPr>
        <w:t>Recurring Fair Value Measurements</w:t>
      </w:r>
    </w:p>
    <w:p>
      <w:pPr>
        <w:spacing w:after="0" w:line="196" w:lineRule="exact"/>
        <w:rPr>
          <w:sz w:val="20"/>
          <w:szCs w:val="20"/>
          <w:color w:val="auto"/>
        </w:rPr>
      </w:pPr>
    </w:p>
    <w:p>
      <w:pPr>
        <w:jc w:val="both"/>
        <w:ind w:left="100" w:right="20" w:firstLine="448"/>
        <w:spacing w:after="0" w:line="265" w:lineRule="auto"/>
        <w:rPr>
          <w:sz w:val="20"/>
          <w:szCs w:val="20"/>
          <w:color w:val="auto"/>
        </w:rPr>
      </w:pPr>
      <w:r>
        <w:rPr>
          <w:rFonts w:ascii="Arial" w:cs="Arial" w:eastAsia="Arial" w:hAnsi="Arial"/>
          <w:sz w:val="20"/>
          <w:szCs w:val="20"/>
          <w:color w:val="auto"/>
        </w:rPr>
        <w:t>The Company records its derivative assets and liabilities at fair market value on its consolidated balance sheets. The following table presents assets and liabilities measured and recorded at fair value on the Company’s consolidated balance sheets on a recurring basis and their level within the fair value hierarchy:</w:t>
      </w:r>
    </w:p>
    <w:p>
      <w:pPr>
        <w:spacing w:after="0" w:line="103" w:lineRule="exact"/>
        <w:rPr>
          <w:sz w:val="20"/>
          <w:szCs w:val="20"/>
          <w:color w:val="auto"/>
        </w:rPr>
      </w:pPr>
    </w:p>
    <w:tbl>
      <w:tblPr>
        <w:tblLayout w:type="fixed"/>
        <w:tblInd w:w="100" w:type="dxa"/>
        <w:tblCellMar>
          <w:top w:w="0" w:type="dxa"/>
          <w:left w:w="0" w:type="dxa"/>
          <w:bottom w:w="0" w:type="dxa"/>
          <w:right w:w="0" w:type="dxa"/>
        </w:tblCellMar>
      </w:tblPr>
      <w:tr>
        <w:trPr>
          <w:trHeight w:val="217"/>
        </w:trPr>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00" w:type="dxa"/>
            <w:vAlign w:val="bottom"/>
            <w:tcBorders>
              <w:bottom w:val="single" w:sz="8" w:color="auto"/>
            </w:tcBorders>
            <w:gridSpan w:val="5"/>
          </w:tcPr>
          <w:p>
            <w:pPr>
              <w:jc w:val="right"/>
              <w:ind w:right="725"/>
              <w:spacing w:after="0"/>
              <w:rPr>
                <w:sz w:val="20"/>
                <w:szCs w:val="20"/>
                <w:color w:val="auto"/>
              </w:rPr>
            </w:pPr>
            <w:r>
              <w:rPr>
                <w:rFonts w:ascii="Arial" w:cs="Arial" w:eastAsia="Arial" w:hAnsi="Arial"/>
                <w:sz w:val="16"/>
                <w:szCs w:val="16"/>
                <w:b w:val="1"/>
                <w:bCs w:val="1"/>
                <w:color w:val="auto"/>
              </w:rPr>
              <w:t>As of December 31, 2023</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705"/>
              <w:spacing w:after="0"/>
              <w:rPr>
                <w:sz w:val="20"/>
                <w:szCs w:val="20"/>
                <w:color w:val="auto"/>
              </w:rPr>
            </w:pPr>
            <w:r>
              <w:rPr>
                <w:rFonts w:ascii="Arial" w:cs="Arial" w:eastAsia="Arial" w:hAnsi="Arial"/>
                <w:sz w:val="16"/>
                <w:szCs w:val="16"/>
                <w:b w:val="1"/>
                <w:bCs w:val="1"/>
                <w:color w:val="auto"/>
              </w:rPr>
              <w:t>As of December 31, 2022</w:t>
            </w:r>
          </w:p>
        </w:tc>
        <w:tc>
          <w:tcPr>
            <w:tcW w:w="0" w:type="dxa"/>
            <w:vAlign w:val="bottom"/>
          </w:tcPr>
          <w:p>
            <w:pPr>
              <w:spacing w:after="0"/>
              <w:rPr>
                <w:sz w:val="1"/>
                <w:szCs w:val="1"/>
                <w:color w:val="auto"/>
              </w:rPr>
            </w:pPr>
          </w:p>
        </w:tc>
      </w:tr>
      <w:tr>
        <w:trPr>
          <w:trHeight w:val="264"/>
        </w:trPr>
        <w:tc>
          <w:tcPr>
            <w:tcW w:w="3400" w:type="dxa"/>
            <w:vAlign w:val="bottom"/>
            <w:vMerge w:val="restart"/>
          </w:tcPr>
          <w:p>
            <w:pPr>
              <w:ind w:left="40"/>
              <w:spacing w:after="0"/>
              <w:rPr>
                <w:sz w:val="20"/>
                <w:szCs w:val="20"/>
                <w:color w:val="auto"/>
              </w:rPr>
            </w:pPr>
            <w:r>
              <w:rPr>
                <w:rFonts w:ascii="Arial" w:cs="Arial" w:eastAsia="Arial" w:hAnsi="Arial"/>
                <w:sz w:val="20"/>
                <w:szCs w:val="20"/>
                <w:b w:val="1"/>
                <w:bCs w:val="1"/>
                <w:color w:val="auto"/>
              </w:rPr>
              <w:t>(In millions)</w:t>
            </w:r>
          </w:p>
        </w:tc>
        <w:tc>
          <w:tcPr>
            <w:tcW w:w="140" w:type="dxa"/>
            <w:vAlign w:val="bottom"/>
          </w:tcPr>
          <w:p>
            <w:pPr>
              <w:spacing w:after="0"/>
              <w:rPr>
                <w:sz w:val="22"/>
                <w:szCs w:val="22"/>
                <w:color w:val="auto"/>
              </w:rPr>
            </w:pPr>
          </w:p>
        </w:tc>
        <w:tc>
          <w:tcPr>
            <w:tcW w:w="1200" w:type="dxa"/>
            <w:vAlign w:val="bottom"/>
            <w:tcBorders>
              <w:bottom w:val="single" w:sz="8" w:color="auto"/>
            </w:tcBorders>
          </w:tcPr>
          <w:p>
            <w:pPr>
              <w:jc w:val="center"/>
              <w:ind w:left="315"/>
              <w:spacing w:after="0"/>
              <w:rPr>
                <w:sz w:val="20"/>
                <w:szCs w:val="20"/>
                <w:color w:val="auto"/>
              </w:rPr>
            </w:pPr>
            <w:r>
              <w:rPr>
                <w:rFonts w:ascii="Arial" w:cs="Arial" w:eastAsia="Arial" w:hAnsi="Arial"/>
                <w:sz w:val="16"/>
                <w:szCs w:val="16"/>
                <w:b w:val="1"/>
                <w:bCs w:val="1"/>
                <w:color w:val="auto"/>
                <w:w w:val="94"/>
              </w:rPr>
              <w:t>Fair Value</w:t>
            </w:r>
          </w:p>
        </w:tc>
        <w:tc>
          <w:tcPr>
            <w:tcW w:w="4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65"/>
              <w:spacing w:after="0"/>
              <w:rPr>
                <w:sz w:val="20"/>
                <w:szCs w:val="20"/>
                <w:color w:val="auto"/>
              </w:rPr>
            </w:pPr>
            <w:r>
              <w:rPr>
                <w:rFonts w:ascii="Arial" w:cs="Arial" w:eastAsia="Arial" w:hAnsi="Arial"/>
                <w:sz w:val="16"/>
                <w:szCs w:val="16"/>
                <w:b w:val="1"/>
                <w:bCs w:val="1"/>
                <w:color w:val="auto"/>
              </w:rPr>
              <w:t xml:space="preserve">Fair Value </w:t>
            </w:r>
            <w:r>
              <w:rPr>
                <w:rFonts w:ascii="Arial" w:cs="Arial" w:eastAsia="Arial" w:hAnsi="Arial"/>
                <w:sz w:val="20"/>
                <w:szCs w:val="20"/>
                <w:b w:val="1"/>
                <w:bCs w:val="1"/>
                <w:color w:val="auto"/>
                <w:vertAlign w:val="superscript"/>
              </w:rPr>
              <w:t>(a)</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Fair Value</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65"/>
              <w:spacing w:after="0"/>
              <w:rPr>
                <w:sz w:val="20"/>
                <w:szCs w:val="20"/>
                <w:color w:val="auto"/>
              </w:rPr>
            </w:pPr>
            <w:r>
              <w:rPr>
                <w:rFonts w:ascii="Arial" w:cs="Arial" w:eastAsia="Arial" w:hAnsi="Arial"/>
                <w:sz w:val="16"/>
                <w:szCs w:val="16"/>
                <w:b w:val="1"/>
                <w:bCs w:val="1"/>
                <w:color w:val="auto"/>
              </w:rPr>
              <w:t xml:space="preserve">Fair Value </w:t>
            </w:r>
            <w:r>
              <w:rPr>
                <w:rFonts w:ascii="Arial" w:cs="Arial" w:eastAsia="Arial" w:hAnsi="Arial"/>
                <w:sz w:val="20"/>
                <w:szCs w:val="20"/>
                <w:b w:val="1"/>
                <w:bCs w:val="1"/>
                <w:color w:val="auto"/>
                <w:vertAlign w:val="superscript"/>
              </w:rPr>
              <w:t>(a)</w:t>
            </w:r>
          </w:p>
        </w:tc>
        <w:tc>
          <w:tcPr>
            <w:tcW w:w="0" w:type="dxa"/>
            <w:vAlign w:val="bottom"/>
          </w:tcPr>
          <w:p>
            <w:pPr>
              <w:spacing w:after="0"/>
              <w:rPr>
                <w:sz w:val="1"/>
                <w:szCs w:val="1"/>
                <w:color w:val="auto"/>
              </w:rPr>
            </w:pPr>
          </w:p>
        </w:tc>
      </w:tr>
      <w:tr>
        <w:trPr>
          <w:trHeight w:val="219"/>
        </w:trPr>
        <w:tc>
          <w:tcPr>
            <w:tcW w:w="3400" w:type="dxa"/>
            <w:vAlign w:val="bottom"/>
            <w:tcBorders>
              <w:bottom w:val="single" w:sz="8" w:color="E6E6E6"/>
            </w:tcBorders>
            <w:vMerge w:val="continue"/>
          </w:tcPr>
          <w:p>
            <w:pPr>
              <w:spacing w:after="0"/>
              <w:rPr>
                <w:sz w:val="19"/>
                <w:szCs w:val="19"/>
                <w:color w:val="auto"/>
              </w:rPr>
            </w:pPr>
          </w:p>
        </w:tc>
        <w:tc>
          <w:tcPr>
            <w:tcW w:w="140" w:type="dxa"/>
            <w:vAlign w:val="bottom"/>
            <w:tcBorders>
              <w:bottom w:val="single" w:sz="8" w:color="E6E6E6"/>
            </w:tcBorders>
          </w:tcPr>
          <w:p>
            <w:pPr>
              <w:spacing w:after="0"/>
              <w:rPr>
                <w:sz w:val="19"/>
                <w:szCs w:val="19"/>
                <w:color w:val="auto"/>
              </w:rPr>
            </w:pPr>
          </w:p>
        </w:tc>
        <w:tc>
          <w:tcPr>
            <w:tcW w:w="1200" w:type="dxa"/>
            <w:vAlign w:val="bottom"/>
            <w:tcBorders>
              <w:bottom w:val="single" w:sz="8" w:color="auto"/>
            </w:tcBorders>
          </w:tcPr>
          <w:p>
            <w:pPr>
              <w:jc w:val="center"/>
              <w:ind w:left="315"/>
              <w:spacing w:after="0" w:line="219" w:lineRule="exact"/>
              <w:rPr>
                <w:sz w:val="20"/>
                <w:szCs w:val="20"/>
                <w:color w:val="auto"/>
              </w:rPr>
            </w:pPr>
            <w:r>
              <w:rPr>
                <w:rFonts w:ascii="Arial" w:cs="Arial" w:eastAsia="Arial" w:hAnsi="Arial"/>
                <w:sz w:val="16"/>
                <w:szCs w:val="16"/>
                <w:b w:val="1"/>
                <w:bCs w:val="1"/>
                <w:color w:val="auto"/>
                <w:w w:val="84"/>
              </w:rPr>
              <w:t xml:space="preserve">Level 2 </w:t>
            </w:r>
            <w:r>
              <w:rPr>
                <w:rFonts w:ascii="Arial" w:cs="Arial" w:eastAsia="Arial" w:hAnsi="Arial"/>
                <w:sz w:val="20"/>
                <w:szCs w:val="20"/>
                <w:b w:val="1"/>
                <w:bCs w:val="1"/>
                <w:color w:val="auto"/>
                <w:w w:val="84"/>
                <w:vertAlign w:val="superscript"/>
              </w:rPr>
              <w:t>(b)</w:t>
            </w: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E6E6E6"/>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65"/>
              <w:spacing w:after="0"/>
              <w:rPr>
                <w:sz w:val="20"/>
                <w:szCs w:val="20"/>
                <w:color w:val="auto"/>
              </w:rPr>
            </w:pPr>
            <w:r>
              <w:rPr>
                <w:rFonts w:ascii="Arial" w:cs="Arial" w:eastAsia="Arial" w:hAnsi="Arial"/>
                <w:sz w:val="16"/>
                <w:szCs w:val="16"/>
                <w:b w:val="1"/>
                <w:bCs w:val="1"/>
                <w:color w:val="auto"/>
              </w:rPr>
              <w:t>Level 3</w:t>
            </w:r>
          </w:p>
        </w:tc>
        <w:tc>
          <w:tcPr>
            <w:tcW w:w="60" w:type="dxa"/>
            <w:vAlign w:val="bottom"/>
            <w:tcBorders>
              <w:bottom w:val="single" w:sz="8" w:color="E6E6E6"/>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Level 2</w:t>
            </w:r>
          </w:p>
        </w:tc>
        <w:tc>
          <w:tcPr>
            <w:tcW w:w="80" w:type="dxa"/>
            <w:vAlign w:val="bottom"/>
            <w:tcBorders>
              <w:bottom w:val="single" w:sz="8" w:color="E6E6E6"/>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65"/>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44"/>
        </w:trPr>
        <w:tc>
          <w:tcPr>
            <w:tcW w:w="3400" w:type="dxa"/>
            <w:vAlign w:val="bottom"/>
            <w:shd w:val="clear" w:color="auto" w:fill="E6E6E6"/>
          </w:tcPr>
          <w:p>
            <w:pPr>
              <w:ind w:left="40"/>
              <w:spacing w:after="0"/>
              <w:rPr>
                <w:sz w:val="20"/>
                <w:szCs w:val="20"/>
                <w:color w:val="auto"/>
              </w:rPr>
            </w:pPr>
            <w:r>
              <w:rPr>
                <w:rFonts w:ascii="Arial" w:cs="Arial" w:eastAsia="Arial" w:hAnsi="Arial"/>
                <w:sz w:val="20"/>
                <w:szCs w:val="20"/>
                <w:b w:val="1"/>
                <w:bCs w:val="1"/>
                <w:color w:val="auto"/>
              </w:rPr>
              <w:t>Derivative assets</w:t>
            </w:r>
          </w:p>
        </w:tc>
        <w:tc>
          <w:tcPr>
            <w:tcW w:w="140" w:type="dxa"/>
            <w:vAlign w:val="bottom"/>
            <w:shd w:val="clear" w:color="auto" w:fill="E6E6E6"/>
          </w:tcPr>
          <w:p>
            <w:pPr>
              <w:spacing w:after="0"/>
              <w:rPr>
                <w:sz w:val="21"/>
                <w:szCs w:val="21"/>
                <w:color w:val="auto"/>
              </w:rPr>
            </w:pPr>
          </w:p>
        </w:tc>
        <w:tc>
          <w:tcPr>
            <w:tcW w:w="1200" w:type="dxa"/>
            <w:vAlign w:val="bottom"/>
            <w:shd w:val="clear" w:color="auto" w:fill="E6E6E6"/>
          </w:tcPr>
          <w:p>
            <w:pPr>
              <w:spacing w:after="0"/>
              <w:rPr>
                <w:sz w:val="21"/>
                <w:szCs w:val="21"/>
                <w:color w:val="auto"/>
              </w:rPr>
            </w:pPr>
          </w:p>
        </w:tc>
        <w:tc>
          <w:tcPr>
            <w:tcW w:w="40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260" w:type="dxa"/>
            <w:vAlign w:val="bottom"/>
            <w:shd w:val="clear" w:color="auto" w:fill="E6E6E6"/>
          </w:tcPr>
          <w:p>
            <w:pPr>
              <w:spacing w:after="0"/>
              <w:rPr>
                <w:sz w:val="21"/>
                <w:szCs w:val="21"/>
                <w:color w:val="auto"/>
              </w:rPr>
            </w:pPr>
          </w:p>
        </w:tc>
        <w:tc>
          <w:tcPr>
            <w:tcW w:w="136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32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136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3400" w:type="dxa"/>
            <w:vAlign w:val="bottom"/>
          </w:tcPr>
          <w:p>
            <w:pPr>
              <w:jc w:val="right"/>
              <w:spacing w:after="0"/>
              <w:rPr>
                <w:sz w:val="20"/>
                <w:szCs w:val="20"/>
                <w:color w:val="auto"/>
              </w:rPr>
            </w:pPr>
            <w:r>
              <w:rPr>
                <w:rFonts w:ascii="Arial" w:cs="Arial" w:eastAsia="Arial" w:hAnsi="Arial"/>
                <w:sz w:val="20"/>
                <w:szCs w:val="20"/>
                <w:color w:val="auto"/>
                <w:w w:val="95"/>
              </w:rPr>
              <w:t xml:space="preserve">Energy-related commodity contracts </w:t>
            </w:r>
            <w:r>
              <w:rPr>
                <w:rFonts w:ascii="Arial" w:cs="Arial" w:eastAsia="Arial" w:hAnsi="Arial"/>
                <w:sz w:val="25"/>
                <w:szCs w:val="25"/>
                <w:color w:val="auto"/>
                <w:w w:val="95"/>
                <w:vertAlign w:val="superscript"/>
              </w:rPr>
              <w:t>(c)</w:t>
            </w:r>
          </w:p>
        </w:tc>
        <w:tc>
          <w:tcPr>
            <w:tcW w:w="1340" w:type="dxa"/>
            <w:vAlign w:val="bottom"/>
            <w:gridSpan w:val="2"/>
          </w:tcPr>
          <w:p>
            <w:pPr>
              <w:ind w:left="20"/>
              <w:spacing w:after="0"/>
              <w:rPr>
                <w:sz w:val="20"/>
                <w:szCs w:val="20"/>
                <w:color w:val="auto"/>
              </w:rPr>
            </w:pPr>
            <w:r>
              <w:rPr>
                <w:rFonts w:ascii="Arial" w:cs="Arial" w:eastAsia="Arial" w:hAnsi="Arial"/>
                <w:sz w:val="20"/>
                <w:szCs w:val="20"/>
                <w:color w:val="BDBDBD"/>
              </w:rPr>
              <w:t xml:space="preserve">. </w:t>
            </w:r>
            <w:r>
              <w:rPr>
                <w:rFonts w:ascii="Arial" w:cs="Arial" w:eastAsia="Arial" w:hAnsi="Arial"/>
                <w:sz w:val="20"/>
                <w:szCs w:val="20"/>
                <w:color w:val="000000"/>
              </w:rPr>
              <w:t>$</w:t>
            </w:r>
          </w:p>
        </w:tc>
        <w:tc>
          <w:tcPr>
            <w:tcW w:w="400" w:type="dxa"/>
            <w:vAlign w:val="bottom"/>
          </w:tcPr>
          <w:p>
            <w:pPr>
              <w:jc w:val="right"/>
              <w:spacing w:after="0"/>
              <w:rPr>
                <w:sz w:val="20"/>
                <w:szCs w:val="20"/>
                <w:color w:val="auto"/>
              </w:rPr>
            </w:pPr>
            <w:r>
              <w:rPr>
                <w:rFonts w:ascii="Arial" w:cs="Arial" w:eastAsia="Arial" w:hAnsi="Arial"/>
                <w:sz w:val="20"/>
                <w:szCs w:val="20"/>
                <w:color w:val="auto"/>
              </w:rPr>
              <w:t>2</w:t>
            </w:r>
          </w:p>
        </w:tc>
        <w:tc>
          <w:tcPr>
            <w:tcW w:w="340" w:type="dxa"/>
            <w:vAlign w:val="bottom"/>
            <w:gridSpan w:val="2"/>
          </w:tcPr>
          <w:p>
            <w:pPr>
              <w:jc w:val="right"/>
              <w:ind w:right="1"/>
              <w:spacing w:after="0"/>
              <w:rPr>
                <w:sz w:val="20"/>
                <w:szCs w:val="20"/>
                <w:color w:val="auto"/>
              </w:rPr>
            </w:pPr>
            <w:r>
              <w:rPr>
                <w:rFonts w:ascii="Arial" w:cs="Arial" w:eastAsia="Arial" w:hAnsi="Arial"/>
                <w:sz w:val="20"/>
                <w:szCs w:val="20"/>
                <w:color w:val="auto"/>
              </w:rPr>
              <w:t>$</w:t>
            </w:r>
          </w:p>
        </w:tc>
        <w:tc>
          <w:tcPr>
            <w:tcW w:w="1360" w:type="dxa"/>
            <w:vAlign w:val="bottom"/>
          </w:tcPr>
          <w:p>
            <w:pPr>
              <w:jc w:val="right"/>
              <w:spacing w:after="0"/>
              <w:rPr>
                <w:sz w:val="20"/>
                <w:szCs w:val="20"/>
                <w:color w:val="auto"/>
              </w:rPr>
            </w:pPr>
            <w:r>
              <w:rPr>
                <w:rFonts w:ascii="Arial" w:cs="Arial" w:eastAsia="Arial" w:hAnsi="Arial"/>
                <w:sz w:val="20"/>
                <w:szCs w:val="20"/>
                <w:color w:val="auto"/>
              </w:rPr>
              <w:t>—</w:t>
            </w:r>
          </w:p>
        </w:tc>
        <w:tc>
          <w:tcPr>
            <w:tcW w:w="360" w:type="dxa"/>
            <w:vAlign w:val="bottom"/>
            <w:gridSpan w:val="2"/>
          </w:tcPr>
          <w:p>
            <w:pPr>
              <w:jc w:val="right"/>
              <w:ind w:right="41"/>
              <w:spacing w:after="0"/>
              <w:rPr>
                <w:sz w:val="20"/>
                <w:szCs w:val="20"/>
                <w:color w:val="auto"/>
              </w:rPr>
            </w:pPr>
            <w:r>
              <w:rPr>
                <w:rFonts w:ascii="Arial" w:cs="Arial" w:eastAsia="Arial" w:hAnsi="Arial"/>
                <w:sz w:val="20"/>
                <w:szCs w:val="20"/>
                <w:color w:val="auto"/>
              </w:rPr>
              <w:t>$</w:t>
            </w:r>
          </w:p>
        </w:tc>
        <w:tc>
          <w:tcPr>
            <w:tcW w:w="1320" w:type="dxa"/>
            <w:vAlign w:val="bottom"/>
          </w:tcPr>
          <w:p>
            <w:pPr>
              <w:ind w:left="1040"/>
              <w:spacing w:after="0"/>
              <w:rPr>
                <w:sz w:val="20"/>
                <w:szCs w:val="20"/>
                <w:color w:val="auto"/>
              </w:rPr>
            </w:pPr>
            <w:r>
              <w:rPr>
                <w:rFonts w:ascii="Arial" w:cs="Arial" w:eastAsia="Arial" w:hAnsi="Arial"/>
                <w:sz w:val="20"/>
                <w:szCs w:val="20"/>
                <w:color w:val="auto"/>
              </w:rPr>
              <w:t>—</w:t>
            </w:r>
          </w:p>
        </w:tc>
        <w:tc>
          <w:tcPr>
            <w:tcW w:w="320" w:type="dxa"/>
            <w:vAlign w:val="bottom"/>
            <w:gridSpan w:val="2"/>
          </w:tcPr>
          <w:p>
            <w:pPr>
              <w:jc w:val="right"/>
              <w:ind w:right="1"/>
              <w:spacing w:after="0"/>
              <w:rPr>
                <w:sz w:val="20"/>
                <w:szCs w:val="20"/>
                <w:color w:val="auto"/>
              </w:rPr>
            </w:pPr>
            <w:r>
              <w:rPr>
                <w:rFonts w:ascii="Arial" w:cs="Arial" w:eastAsia="Arial" w:hAnsi="Arial"/>
                <w:sz w:val="20"/>
                <w:szCs w:val="20"/>
                <w:color w:val="auto"/>
              </w:rPr>
              <w:t>$</w:t>
            </w:r>
          </w:p>
        </w:tc>
        <w:tc>
          <w:tcPr>
            <w:tcW w:w="13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8"/>
        </w:trPr>
        <w:tc>
          <w:tcPr>
            <w:tcW w:w="3400" w:type="dxa"/>
            <w:vAlign w:val="bottom"/>
            <w:shd w:val="clear" w:color="auto" w:fill="E6E6E6"/>
          </w:tcPr>
          <w:p>
            <w:pPr>
              <w:jc w:val="right"/>
              <w:spacing w:after="0"/>
              <w:rPr>
                <w:sz w:val="20"/>
                <w:szCs w:val="20"/>
                <w:color w:val="auto"/>
              </w:rPr>
            </w:pPr>
            <w:r>
              <w:rPr>
                <w:rFonts w:ascii="Arial" w:cs="Arial" w:eastAsia="Arial" w:hAnsi="Arial"/>
                <w:sz w:val="20"/>
                <w:szCs w:val="20"/>
                <w:color w:val="auto"/>
                <w:w w:val="96"/>
              </w:rPr>
              <w:t xml:space="preserve">Interest rate contracts </w:t>
            </w:r>
            <w:r>
              <w:rPr>
                <w:rFonts w:ascii="Arial" w:cs="Arial" w:eastAsia="Arial" w:hAnsi="Arial"/>
                <w:sz w:val="20"/>
                <w:szCs w:val="20"/>
                <w:color w:val="BDBDBD"/>
                <w:w w:val="96"/>
              </w:rPr>
              <w:t>. . . . . . . . . . . . . .</w:t>
            </w:r>
          </w:p>
        </w:tc>
        <w:tc>
          <w:tcPr>
            <w:tcW w:w="140" w:type="dxa"/>
            <w:vAlign w:val="bottom"/>
            <w:shd w:val="clear" w:color="auto" w:fill="E6E6E6"/>
          </w:tcPr>
          <w:p>
            <w:pPr>
              <w:ind w:left="20"/>
              <w:spacing w:after="0"/>
              <w:rPr>
                <w:sz w:val="20"/>
                <w:szCs w:val="20"/>
                <w:color w:val="auto"/>
              </w:rPr>
            </w:pPr>
            <w:r>
              <w:rPr>
                <w:rFonts w:ascii="Arial" w:cs="Arial" w:eastAsia="Arial" w:hAnsi="Arial"/>
                <w:sz w:val="20"/>
                <w:szCs w:val="20"/>
                <w:color w:val="BDBDBD"/>
              </w:rPr>
              <w:t>.</w:t>
            </w:r>
          </w:p>
        </w:tc>
        <w:tc>
          <w:tcPr>
            <w:tcW w:w="1200" w:type="dxa"/>
            <w:vAlign w:val="bottom"/>
            <w:shd w:val="clear" w:color="auto" w:fill="E6E6E6"/>
          </w:tcPr>
          <w:p>
            <w:pPr>
              <w:spacing w:after="0"/>
              <w:rPr>
                <w:sz w:val="24"/>
                <w:szCs w:val="24"/>
                <w:color w:val="auto"/>
              </w:rPr>
            </w:pPr>
          </w:p>
        </w:tc>
        <w:tc>
          <w:tcPr>
            <w:tcW w:w="400" w:type="dxa"/>
            <w:vAlign w:val="bottom"/>
            <w:shd w:val="clear" w:color="auto" w:fill="E6E6E6"/>
          </w:tcPr>
          <w:p>
            <w:pPr>
              <w:jc w:val="right"/>
              <w:spacing w:after="0"/>
              <w:rPr>
                <w:sz w:val="20"/>
                <w:szCs w:val="20"/>
                <w:color w:val="auto"/>
              </w:rPr>
            </w:pPr>
            <w:r>
              <w:rPr>
                <w:rFonts w:ascii="Arial" w:cs="Arial" w:eastAsia="Arial" w:hAnsi="Arial"/>
                <w:sz w:val="20"/>
                <w:szCs w:val="20"/>
                <w:color w:val="auto"/>
                <w:w w:val="89"/>
              </w:rPr>
              <w:t>121</w:t>
            </w:r>
          </w:p>
        </w:tc>
        <w:tc>
          <w:tcPr>
            <w:tcW w:w="8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3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1320" w:type="dxa"/>
            <w:vAlign w:val="bottom"/>
            <w:shd w:val="clear" w:color="auto" w:fill="E6E6E6"/>
          </w:tcPr>
          <w:p>
            <w:pPr>
              <w:ind w:left="1040"/>
              <w:spacing w:after="0"/>
              <w:rPr>
                <w:sz w:val="20"/>
                <w:szCs w:val="20"/>
                <w:color w:val="auto"/>
              </w:rPr>
            </w:pPr>
            <w:r>
              <w:rPr>
                <w:rFonts w:ascii="Arial" w:cs="Arial" w:eastAsia="Arial" w:hAnsi="Arial"/>
                <w:sz w:val="20"/>
                <w:szCs w:val="20"/>
                <w:color w:val="auto"/>
              </w:rPr>
              <w:t>89</w:t>
            </w:r>
          </w:p>
        </w:tc>
        <w:tc>
          <w:tcPr>
            <w:tcW w:w="8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3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8"/>
        </w:trPr>
        <w:tc>
          <w:tcPr>
            <w:tcW w:w="3400" w:type="dxa"/>
            <w:vAlign w:val="bottom"/>
            <w:tcBorders>
              <w:bottom w:val="single" w:sz="8" w:color="E6E6E6"/>
            </w:tcBorders>
          </w:tcPr>
          <w:p>
            <w:pPr>
              <w:jc w:val="right"/>
              <w:spacing w:after="0"/>
              <w:rPr>
                <w:sz w:val="20"/>
                <w:szCs w:val="20"/>
                <w:color w:val="auto"/>
              </w:rPr>
            </w:pPr>
            <w:r>
              <w:rPr>
                <w:rFonts w:ascii="Arial" w:cs="Arial" w:eastAsia="Arial" w:hAnsi="Arial"/>
                <w:sz w:val="20"/>
                <w:szCs w:val="20"/>
                <w:b w:val="1"/>
                <w:bCs w:val="1"/>
                <w:color w:val="auto"/>
                <w:w w:val="90"/>
              </w:rPr>
              <w:t xml:space="preserve">Other financial instruments </w:t>
            </w:r>
            <w:r>
              <w:rPr>
                <w:rFonts w:ascii="Arial" w:cs="Arial" w:eastAsia="Arial" w:hAnsi="Arial"/>
                <w:sz w:val="25"/>
                <w:szCs w:val="25"/>
                <w:b w:val="1"/>
                <w:bCs w:val="1"/>
                <w:color w:val="auto"/>
                <w:w w:val="90"/>
                <w:vertAlign w:val="superscript"/>
              </w:rPr>
              <w:t>(d)</w:t>
            </w:r>
            <w:r>
              <w:rPr>
                <w:rFonts w:ascii="Arial" w:cs="Arial" w:eastAsia="Arial" w:hAnsi="Arial"/>
                <w:sz w:val="20"/>
                <w:szCs w:val="20"/>
                <w:b w:val="1"/>
                <w:bCs w:val="1"/>
                <w:color w:val="auto"/>
                <w:w w:val="90"/>
              </w:rPr>
              <w:t xml:space="preserve">  </w:t>
            </w:r>
            <w:r>
              <w:rPr>
                <w:rFonts w:ascii="Arial" w:cs="Arial" w:eastAsia="Arial" w:hAnsi="Arial"/>
                <w:sz w:val="20"/>
                <w:szCs w:val="20"/>
                <w:b w:val="1"/>
                <w:bCs w:val="1"/>
                <w:color w:val="BDBDBD"/>
                <w:w w:val="90"/>
              </w:rPr>
              <w:t>. . . . . . .</w:t>
            </w:r>
          </w:p>
        </w:tc>
        <w:tc>
          <w:tcPr>
            <w:tcW w:w="140" w:type="dxa"/>
            <w:vAlign w:val="bottom"/>
            <w:tcBorders>
              <w:bottom w:val="single" w:sz="8" w:color="E6E6E6"/>
            </w:tcBorders>
          </w:tcPr>
          <w:p>
            <w:pPr>
              <w:ind w:left="20"/>
              <w:spacing w:after="0"/>
              <w:rPr>
                <w:sz w:val="20"/>
                <w:szCs w:val="20"/>
                <w:color w:val="auto"/>
              </w:rPr>
            </w:pPr>
            <w:r>
              <w:rPr>
                <w:rFonts w:ascii="Arial" w:cs="Arial" w:eastAsia="Arial" w:hAnsi="Arial"/>
                <w:sz w:val="20"/>
                <w:szCs w:val="20"/>
                <w:b w:val="1"/>
                <w:bCs w:val="1"/>
                <w:color w:val="BDBDBD"/>
              </w:rPr>
              <w:t>.</w:t>
            </w:r>
          </w:p>
        </w:tc>
        <w:tc>
          <w:tcPr>
            <w:tcW w:w="1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w:t>
            </w:r>
          </w:p>
        </w:tc>
        <w:tc>
          <w:tcPr>
            <w:tcW w:w="60" w:type="dxa"/>
            <w:vAlign w:val="bottom"/>
            <w:tcBorders>
              <w:bottom w:val="single" w:sz="8" w:color="E6E6E6"/>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ind w:left="1040"/>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w:t>
            </w:r>
          </w:p>
        </w:tc>
        <w:tc>
          <w:tcPr>
            <w:tcW w:w="0" w:type="dxa"/>
            <w:vAlign w:val="bottom"/>
          </w:tcPr>
          <w:p>
            <w:pPr>
              <w:spacing w:after="0"/>
              <w:rPr>
                <w:sz w:val="1"/>
                <w:szCs w:val="1"/>
                <w:color w:val="auto"/>
              </w:rPr>
            </w:pPr>
          </w:p>
        </w:tc>
      </w:tr>
      <w:tr>
        <w:trPr>
          <w:trHeight w:val="254"/>
        </w:trPr>
        <w:tc>
          <w:tcPr>
            <w:tcW w:w="3400" w:type="dxa"/>
            <w:vAlign w:val="bottom"/>
            <w:tcBorders>
              <w:bottom w:val="single" w:sz="8" w:color="E6E6E6"/>
            </w:tcBorders>
            <w:shd w:val="clear" w:color="auto" w:fill="E6E6E6"/>
          </w:tcPr>
          <w:p>
            <w:pPr>
              <w:jc w:val="right"/>
              <w:spacing w:after="0" w:line="214" w:lineRule="exact"/>
              <w:rPr>
                <w:sz w:val="20"/>
                <w:szCs w:val="20"/>
                <w:color w:val="auto"/>
              </w:rPr>
            </w:pPr>
            <w:r>
              <w:rPr>
                <w:rFonts w:ascii="Arial" w:cs="Arial" w:eastAsia="Arial" w:hAnsi="Arial"/>
                <w:sz w:val="20"/>
                <w:szCs w:val="20"/>
                <w:b w:val="1"/>
                <w:bCs w:val="1"/>
                <w:color w:val="BDBDBD"/>
              </w:rPr>
              <w:t>. . . . . . . . . . . . . . . . . . . .</w:t>
            </w:r>
            <w:r>
              <w:rPr>
                <w:rFonts w:ascii="Arial" w:cs="Arial" w:eastAsia="Arial" w:hAnsi="Arial"/>
                <w:sz w:val="20"/>
                <w:szCs w:val="20"/>
                <w:b w:val="1"/>
                <w:bCs w:val="1"/>
                <w:color w:val="000000"/>
              </w:rPr>
              <w:t>Totalassets</w:t>
            </w:r>
          </w:p>
        </w:tc>
        <w:tc>
          <w:tcPr>
            <w:tcW w:w="140" w:type="dxa"/>
            <w:vAlign w:val="bottom"/>
            <w:tcBorders>
              <w:bottom w:val="single" w:sz="8" w:color="E6E6E6"/>
            </w:tcBorders>
            <w:shd w:val="clear" w:color="auto" w:fill="E6E6E6"/>
          </w:tcPr>
          <w:p>
            <w:pPr>
              <w:ind w:left="40"/>
              <w:spacing w:after="0" w:line="184" w:lineRule="exact"/>
              <w:rPr>
                <w:sz w:val="20"/>
                <w:szCs w:val="20"/>
                <w:color w:val="auto"/>
              </w:rPr>
            </w:pPr>
            <w:r>
              <w:rPr>
                <w:rFonts w:ascii="Arial" w:cs="Arial" w:eastAsia="Arial" w:hAnsi="Arial"/>
                <w:sz w:val="20"/>
                <w:szCs w:val="20"/>
                <w:b w:val="1"/>
                <w:bCs w:val="1"/>
                <w:color w:val="BDBDBD"/>
              </w:rPr>
              <w:t>.</w:t>
            </w:r>
          </w:p>
        </w:tc>
        <w:tc>
          <w:tcPr>
            <w:tcW w:w="1200" w:type="dxa"/>
            <w:vAlign w:val="bottom"/>
            <w:tcBorders>
              <w:bottom w:val="single" w:sz="8" w:color="auto"/>
            </w:tcBorders>
            <w:shd w:val="clear" w:color="auto" w:fill="E6E6E6"/>
          </w:tcPr>
          <w:p>
            <w:pPr>
              <w:jc w:val="right"/>
              <w:ind w:right="975"/>
              <w:spacing w:after="0" w:line="214" w:lineRule="exact"/>
              <w:rPr>
                <w:sz w:val="20"/>
                <w:szCs w:val="20"/>
                <w:color w:val="auto"/>
              </w:rPr>
            </w:pPr>
            <w:r>
              <w:rPr>
                <w:rFonts w:ascii="Arial" w:cs="Arial" w:eastAsia="Arial" w:hAnsi="Arial"/>
                <w:sz w:val="20"/>
                <w:szCs w:val="20"/>
                <w:color w:val="auto"/>
              </w:rPr>
              <w:t>$</w:t>
            </w:r>
          </w:p>
        </w:tc>
        <w:tc>
          <w:tcPr>
            <w:tcW w:w="400" w:type="dxa"/>
            <w:vAlign w:val="bottom"/>
            <w:tcBorders>
              <w:bottom w:val="single" w:sz="8" w:color="auto"/>
            </w:tcBorders>
            <w:shd w:val="clear" w:color="auto" w:fill="E6E6E6"/>
          </w:tcPr>
          <w:p>
            <w:pPr>
              <w:jc w:val="right"/>
              <w:spacing w:after="0" w:line="214" w:lineRule="exact"/>
              <w:rPr>
                <w:sz w:val="20"/>
                <w:szCs w:val="20"/>
                <w:color w:val="auto"/>
              </w:rPr>
            </w:pPr>
            <w:r>
              <w:rPr>
                <w:rFonts w:ascii="Arial" w:cs="Arial" w:eastAsia="Arial" w:hAnsi="Arial"/>
                <w:sz w:val="20"/>
                <w:szCs w:val="20"/>
                <w:color w:val="auto"/>
                <w:w w:val="89"/>
              </w:rPr>
              <w:t>123</w:t>
            </w:r>
          </w:p>
        </w:tc>
        <w:tc>
          <w:tcPr>
            <w:tcW w:w="80" w:type="dxa"/>
            <w:vAlign w:val="bottom"/>
            <w:tcBorders>
              <w:bottom w:val="single" w:sz="8" w:color="E6E6E6"/>
            </w:tcBorders>
            <w:shd w:val="clear" w:color="auto" w:fill="E6E6E6"/>
          </w:tcPr>
          <w:p>
            <w:pPr>
              <w:spacing w:after="0"/>
              <w:rPr>
                <w:sz w:val="22"/>
                <w:szCs w:val="22"/>
                <w:color w:val="auto"/>
              </w:rPr>
            </w:pPr>
          </w:p>
        </w:tc>
        <w:tc>
          <w:tcPr>
            <w:tcW w:w="260" w:type="dxa"/>
            <w:vAlign w:val="bottom"/>
            <w:tcBorders>
              <w:bottom w:val="single" w:sz="8" w:color="auto"/>
            </w:tcBorders>
            <w:shd w:val="clear" w:color="auto" w:fill="E6E6E6"/>
          </w:tcPr>
          <w:p>
            <w:pPr>
              <w:jc w:val="right"/>
              <w:ind w:right="1"/>
              <w:spacing w:after="0" w:line="214" w:lineRule="exact"/>
              <w:rPr>
                <w:sz w:val="20"/>
                <w:szCs w:val="20"/>
                <w:color w:val="auto"/>
              </w:rPr>
            </w:pPr>
            <w:r>
              <w:rPr>
                <w:rFonts w:ascii="Arial" w:cs="Arial" w:eastAsia="Arial" w:hAnsi="Arial"/>
                <w:sz w:val="20"/>
                <w:szCs w:val="20"/>
                <w:color w:val="auto"/>
              </w:rPr>
              <w:t>$</w:t>
            </w:r>
          </w:p>
        </w:tc>
        <w:tc>
          <w:tcPr>
            <w:tcW w:w="1360" w:type="dxa"/>
            <w:vAlign w:val="bottom"/>
            <w:tcBorders>
              <w:bottom w:val="single" w:sz="8" w:color="auto"/>
            </w:tcBorders>
            <w:shd w:val="clear" w:color="auto" w:fill="E6E6E6"/>
          </w:tcPr>
          <w:p>
            <w:pPr>
              <w:jc w:val="right"/>
              <w:spacing w:after="0" w:line="214" w:lineRule="exact"/>
              <w:rPr>
                <w:sz w:val="20"/>
                <w:szCs w:val="20"/>
                <w:color w:val="auto"/>
              </w:rPr>
            </w:pPr>
            <w:r>
              <w:rPr>
                <w:rFonts w:ascii="Arial" w:cs="Arial" w:eastAsia="Arial" w:hAnsi="Arial"/>
                <w:sz w:val="20"/>
                <w:szCs w:val="20"/>
                <w:color w:val="auto"/>
              </w:rPr>
              <w:t>13</w:t>
            </w:r>
          </w:p>
        </w:tc>
        <w:tc>
          <w:tcPr>
            <w:tcW w:w="60" w:type="dxa"/>
            <w:vAlign w:val="bottom"/>
            <w:tcBorders>
              <w:bottom w:val="single" w:sz="8" w:color="E6E6E6"/>
            </w:tcBorders>
            <w:shd w:val="clear" w:color="auto" w:fill="E6E6E6"/>
          </w:tcPr>
          <w:p>
            <w:pPr>
              <w:spacing w:after="0"/>
              <w:rPr>
                <w:sz w:val="22"/>
                <w:szCs w:val="22"/>
                <w:color w:val="auto"/>
              </w:rPr>
            </w:pPr>
          </w:p>
        </w:tc>
        <w:tc>
          <w:tcPr>
            <w:tcW w:w="300" w:type="dxa"/>
            <w:vAlign w:val="bottom"/>
            <w:tcBorders>
              <w:bottom w:val="single" w:sz="8" w:color="auto"/>
            </w:tcBorders>
            <w:shd w:val="clear" w:color="auto" w:fill="E6E6E6"/>
          </w:tcPr>
          <w:p>
            <w:pPr>
              <w:jc w:val="right"/>
              <w:ind w:right="41"/>
              <w:spacing w:after="0" w:line="214" w:lineRule="exact"/>
              <w:rPr>
                <w:sz w:val="20"/>
                <w:szCs w:val="20"/>
                <w:color w:val="auto"/>
              </w:rPr>
            </w:pPr>
            <w:r>
              <w:rPr>
                <w:rFonts w:ascii="Arial" w:cs="Arial" w:eastAsia="Arial" w:hAnsi="Arial"/>
                <w:sz w:val="20"/>
                <w:szCs w:val="20"/>
                <w:color w:val="auto"/>
              </w:rPr>
              <w:t>$</w:t>
            </w:r>
          </w:p>
        </w:tc>
        <w:tc>
          <w:tcPr>
            <w:tcW w:w="1320" w:type="dxa"/>
            <w:vAlign w:val="bottom"/>
            <w:tcBorders>
              <w:bottom w:val="single" w:sz="8" w:color="auto"/>
            </w:tcBorders>
            <w:shd w:val="clear" w:color="auto" w:fill="E6E6E6"/>
          </w:tcPr>
          <w:p>
            <w:pPr>
              <w:ind w:left="1040"/>
              <w:spacing w:after="0" w:line="214" w:lineRule="exact"/>
              <w:rPr>
                <w:sz w:val="20"/>
                <w:szCs w:val="20"/>
                <w:color w:val="auto"/>
              </w:rPr>
            </w:pPr>
            <w:r>
              <w:rPr>
                <w:rFonts w:ascii="Arial" w:cs="Arial" w:eastAsia="Arial" w:hAnsi="Arial"/>
                <w:sz w:val="20"/>
                <w:szCs w:val="20"/>
                <w:color w:val="auto"/>
              </w:rPr>
              <w:t>89</w:t>
            </w:r>
          </w:p>
        </w:tc>
        <w:tc>
          <w:tcPr>
            <w:tcW w:w="80" w:type="dxa"/>
            <w:vAlign w:val="bottom"/>
            <w:tcBorders>
              <w:bottom w:val="single" w:sz="8" w:color="E6E6E6"/>
            </w:tcBorders>
            <w:shd w:val="clear" w:color="auto" w:fill="E6E6E6"/>
          </w:tcPr>
          <w:p>
            <w:pPr>
              <w:spacing w:after="0"/>
              <w:rPr>
                <w:sz w:val="22"/>
                <w:szCs w:val="22"/>
                <w:color w:val="auto"/>
              </w:rPr>
            </w:pPr>
          </w:p>
        </w:tc>
        <w:tc>
          <w:tcPr>
            <w:tcW w:w="240" w:type="dxa"/>
            <w:vAlign w:val="bottom"/>
            <w:tcBorders>
              <w:bottom w:val="single" w:sz="8" w:color="auto"/>
            </w:tcBorders>
            <w:shd w:val="clear" w:color="auto" w:fill="E6E6E6"/>
          </w:tcPr>
          <w:p>
            <w:pPr>
              <w:jc w:val="right"/>
              <w:ind w:right="1"/>
              <w:spacing w:after="0" w:line="214" w:lineRule="exact"/>
              <w:rPr>
                <w:sz w:val="20"/>
                <w:szCs w:val="20"/>
                <w:color w:val="auto"/>
              </w:rPr>
            </w:pPr>
            <w:r>
              <w:rPr>
                <w:rFonts w:ascii="Arial" w:cs="Arial" w:eastAsia="Arial" w:hAnsi="Arial"/>
                <w:sz w:val="20"/>
                <w:szCs w:val="20"/>
                <w:color w:val="auto"/>
              </w:rPr>
              <w:t>$</w:t>
            </w:r>
          </w:p>
        </w:tc>
        <w:tc>
          <w:tcPr>
            <w:tcW w:w="1360" w:type="dxa"/>
            <w:vAlign w:val="bottom"/>
            <w:tcBorders>
              <w:bottom w:val="single" w:sz="8" w:color="auto"/>
            </w:tcBorders>
            <w:shd w:val="clear" w:color="auto" w:fill="E6E6E6"/>
          </w:tcPr>
          <w:p>
            <w:pPr>
              <w:jc w:val="right"/>
              <w:spacing w:after="0" w:line="214" w:lineRule="exact"/>
              <w:rPr>
                <w:sz w:val="20"/>
                <w:szCs w:val="20"/>
                <w:color w:val="auto"/>
              </w:rPr>
            </w:pPr>
            <w:r>
              <w:rPr>
                <w:rFonts w:ascii="Arial" w:cs="Arial" w:eastAsia="Arial" w:hAnsi="Arial"/>
                <w:sz w:val="20"/>
                <w:szCs w:val="20"/>
                <w:color w:val="auto"/>
              </w:rPr>
              <w:t>17</w:t>
            </w:r>
          </w:p>
        </w:tc>
        <w:tc>
          <w:tcPr>
            <w:tcW w:w="0" w:type="dxa"/>
            <w:vAlign w:val="bottom"/>
          </w:tcPr>
          <w:p>
            <w:pPr>
              <w:spacing w:after="0"/>
              <w:rPr>
                <w:sz w:val="1"/>
                <w:szCs w:val="1"/>
                <w:color w:val="auto"/>
              </w:rPr>
            </w:pPr>
          </w:p>
        </w:tc>
      </w:tr>
      <w:tr>
        <w:trPr>
          <w:trHeight w:val="247"/>
        </w:trPr>
        <w:tc>
          <w:tcPr>
            <w:tcW w:w="3400" w:type="dxa"/>
            <w:vAlign w:val="bottom"/>
          </w:tcPr>
          <w:p>
            <w:pPr>
              <w:ind w:left="40"/>
              <w:spacing w:after="0"/>
              <w:rPr>
                <w:sz w:val="20"/>
                <w:szCs w:val="20"/>
                <w:color w:val="auto"/>
              </w:rPr>
            </w:pPr>
            <w:r>
              <w:rPr>
                <w:rFonts w:ascii="Arial" w:cs="Arial" w:eastAsia="Arial" w:hAnsi="Arial"/>
                <w:sz w:val="20"/>
                <w:szCs w:val="20"/>
                <w:b w:val="1"/>
                <w:bCs w:val="1"/>
                <w:color w:val="auto"/>
              </w:rPr>
              <w:t>Derivative liabilities</w:t>
            </w: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5"/>
        </w:trPr>
        <w:tc>
          <w:tcPr>
            <w:tcW w:w="3400" w:type="dxa"/>
            <w:vAlign w:val="bottom"/>
            <w:shd w:val="clear" w:color="auto" w:fill="E6E6E6"/>
          </w:tcPr>
          <w:p>
            <w:pPr>
              <w:jc w:val="right"/>
              <w:spacing w:after="0"/>
              <w:rPr>
                <w:sz w:val="20"/>
                <w:szCs w:val="20"/>
                <w:color w:val="auto"/>
              </w:rPr>
            </w:pPr>
            <w:r>
              <w:rPr>
                <w:rFonts w:ascii="Arial" w:cs="Arial" w:eastAsia="Arial" w:hAnsi="Arial"/>
                <w:sz w:val="20"/>
                <w:szCs w:val="20"/>
                <w:color w:val="auto"/>
                <w:w w:val="95"/>
              </w:rPr>
              <w:t xml:space="preserve">Energy-related commodity contracts </w:t>
            </w:r>
            <w:r>
              <w:rPr>
                <w:rFonts w:ascii="Arial" w:cs="Arial" w:eastAsia="Arial" w:hAnsi="Arial"/>
                <w:sz w:val="25"/>
                <w:szCs w:val="25"/>
                <w:color w:val="auto"/>
                <w:w w:val="95"/>
                <w:vertAlign w:val="superscript"/>
              </w:rPr>
              <w:t>(e)</w:t>
            </w:r>
          </w:p>
        </w:tc>
        <w:tc>
          <w:tcPr>
            <w:tcW w:w="1340" w:type="dxa"/>
            <w:vAlign w:val="bottom"/>
            <w:gridSpan w:val="2"/>
            <w:shd w:val="clear" w:color="auto" w:fill="E6E6E6"/>
          </w:tcPr>
          <w:p>
            <w:pPr>
              <w:ind w:left="20"/>
              <w:spacing w:after="0"/>
              <w:rPr>
                <w:sz w:val="20"/>
                <w:szCs w:val="20"/>
                <w:color w:val="auto"/>
              </w:rPr>
            </w:pPr>
            <w:r>
              <w:rPr>
                <w:rFonts w:ascii="Arial" w:cs="Arial" w:eastAsia="Arial" w:hAnsi="Arial"/>
                <w:sz w:val="20"/>
                <w:szCs w:val="20"/>
                <w:color w:val="BDBDBD"/>
              </w:rPr>
              <w:t xml:space="preserve">. </w:t>
            </w:r>
            <w:r>
              <w:rPr>
                <w:rFonts w:ascii="Arial" w:cs="Arial" w:eastAsia="Arial" w:hAnsi="Arial"/>
                <w:sz w:val="20"/>
                <w:szCs w:val="20"/>
                <w:color w:val="000000"/>
              </w:rPr>
              <w:t>$</w:t>
            </w:r>
          </w:p>
        </w:tc>
        <w:tc>
          <w:tcPr>
            <w:tcW w:w="4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340" w:type="dxa"/>
            <w:vAlign w:val="bottom"/>
            <w:gridSpan w:val="2"/>
            <w:shd w:val="clear" w:color="auto" w:fill="E6E6E6"/>
          </w:tcPr>
          <w:p>
            <w:pPr>
              <w:jc w:val="right"/>
              <w:ind w:right="1"/>
              <w:spacing w:after="0"/>
              <w:rPr>
                <w:sz w:val="20"/>
                <w:szCs w:val="20"/>
                <w:color w:val="auto"/>
              </w:rPr>
            </w:pPr>
            <w:r>
              <w:rPr>
                <w:rFonts w:ascii="Arial" w:cs="Arial" w:eastAsia="Arial" w:hAnsi="Arial"/>
                <w:sz w:val="20"/>
                <w:szCs w:val="20"/>
                <w:color w:val="auto"/>
              </w:rPr>
              <w:t>$</w:t>
            </w:r>
          </w:p>
        </w:tc>
        <w:tc>
          <w:tcPr>
            <w:tcW w:w="13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330</w:t>
            </w:r>
          </w:p>
        </w:tc>
        <w:tc>
          <w:tcPr>
            <w:tcW w:w="360" w:type="dxa"/>
            <w:vAlign w:val="bottom"/>
            <w:gridSpan w:val="2"/>
            <w:shd w:val="clear" w:color="auto" w:fill="E6E6E6"/>
          </w:tcPr>
          <w:p>
            <w:pPr>
              <w:jc w:val="right"/>
              <w:ind w:right="41"/>
              <w:spacing w:after="0"/>
              <w:rPr>
                <w:sz w:val="20"/>
                <w:szCs w:val="20"/>
                <w:color w:val="auto"/>
              </w:rPr>
            </w:pPr>
            <w:r>
              <w:rPr>
                <w:rFonts w:ascii="Arial" w:cs="Arial" w:eastAsia="Arial" w:hAnsi="Arial"/>
                <w:sz w:val="20"/>
                <w:szCs w:val="20"/>
                <w:color w:val="auto"/>
              </w:rPr>
              <w:t>$</w:t>
            </w:r>
          </w:p>
        </w:tc>
        <w:tc>
          <w:tcPr>
            <w:tcW w:w="1320" w:type="dxa"/>
            <w:vAlign w:val="bottom"/>
            <w:shd w:val="clear" w:color="auto" w:fill="E6E6E6"/>
          </w:tcPr>
          <w:p>
            <w:pPr>
              <w:ind w:left="1040"/>
              <w:spacing w:after="0"/>
              <w:rPr>
                <w:sz w:val="20"/>
                <w:szCs w:val="20"/>
                <w:color w:val="auto"/>
              </w:rPr>
            </w:pPr>
            <w:r>
              <w:rPr>
                <w:rFonts w:ascii="Arial" w:cs="Arial" w:eastAsia="Arial" w:hAnsi="Arial"/>
                <w:sz w:val="20"/>
                <w:szCs w:val="20"/>
                <w:color w:val="auto"/>
              </w:rPr>
              <w:t>—</w:t>
            </w:r>
          </w:p>
        </w:tc>
        <w:tc>
          <w:tcPr>
            <w:tcW w:w="320" w:type="dxa"/>
            <w:vAlign w:val="bottom"/>
            <w:gridSpan w:val="2"/>
            <w:shd w:val="clear" w:color="auto" w:fill="E6E6E6"/>
          </w:tcPr>
          <w:p>
            <w:pPr>
              <w:jc w:val="right"/>
              <w:ind w:right="1"/>
              <w:spacing w:after="0"/>
              <w:rPr>
                <w:sz w:val="20"/>
                <w:szCs w:val="20"/>
                <w:color w:val="auto"/>
              </w:rPr>
            </w:pPr>
            <w:r>
              <w:rPr>
                <w:rFonts w:ascii="Arial" w:cs="Arial" w:eastAsia="Arial" w:hAnsi="Arial"/>
                <w:sz w:val="20"/>
                <w:szCs w:val="20"/>
                <w:color w:val="auto"/>
              </w:rPr>
              <w:t>$</w:t>
            </w:r>
          </w:p>
        </w:tc>
        <w:tc>
          <w:tcPr>
            <w:tcW w:w="13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353</w:t>
            </w:r>
          </w:p>
        </w:tc>
        <w:tc>
          <w:tcPr>
            <w:tcW w:w="0" w:type="dxa"/>
            <w:vAlign w:val="bottom"/>
          </w:tcPr>
          <w:p>
            <w:pPr>
              <w:spacing w:after="0"/>
              <w:rPr>
                <w:sz w:val="1"/>
                <w:szCs w:val="1"/>
                <w:color w:val="auto"/>
              </w:rPr>
            </w:pPr>
          </w:p>
        </w:tc>
      </w:tr>
      <w:tr>
        <w:trPr>
          <w:trHeight w:val="288"/>
        </w:trPr>
        <w:tc>
          <w:tcPr>
            <w:tcW w:w="3400" w:type="dxa"/>
            <w:vAlign w:val="bottom"/>
            <w:tcBorders>
              <w:bottom w:val="single" w:sz="8" w:color="E6E6E6"/>
            </w:tcBorders>
          </w:tcPr>
          <w:p>
            <w:pPr>
              <w:jc w:val="right"/>
              <w:spacing w:after="0"/>
              <w:rPr>
                <w:sz w:val="20"/>
                <w:szCs w:val="20"/>
                <w:color w:val="auto"/>
              </w:rPr>
            </w:pPr>
            <w:r>
              <w:rPr>
                <w:rFonts w:ascii="Arial" w:cs="Arial" w:eastAsia="Arial" w:hAnsi="Arial"/>
                <w:sz w:val="20"/>
                <w:szCs w:val="20"/>
                <w:color w:val="auto"/>
                <w:w w:val="96"/>
              </w:rPr>
              <w:t xml:space="preserve">Interest rate contracts </w:t>
            </w:r>
            <w:r>
              <w:rPr>
                <w:rFonts w:ascii="Arial" w:cs="Arial" w:eastAsia="Arial" w:hAnsi="Arial"/>
                <w:sz w:val="20"/>
                <w:szCs w:val="20"/>
                <w:color w:val="BDBDBD"/>
                <w:w w:val="96"/>
              </w:rPr>
              <w:t>. . . . . . . . . . . . . .</w:t>
            </w:r>
          </w:p>
        </w:tc>
        <w:tc>
          <w:tcPr>
            <w:tcW w:w="140" w:type="dxa"/>
            <w:vAlign w:val="bottom"/>
            <w:tcBorders>
              <w:bottom w:val="single" w:sz="8" w:color="E6E6E6"/>
            </w:tcBorders>
          </w:tcPr>
          <w:p>
            <w:pPr>
              <w:ind w:left="20"/>
              <w:spacing w:after="0"/>
              <w:rPr>
                <w:sz w:val="20"/>
                <w:szCs w:val="20"/>
                <w:color w:val="auto"/>
              </w:rPr>
            </w:pPr>
            <w:r>
              <w:rPr>
                <w:rFonts w:ascii="Arial" w:cs="Arial" w:eastAsia="Arial" w:hAnsi="Arial"/>
                <w:sz w:val="20"/>
                <w:szCs w:val="20"/>
                <w:color w:val="BDBDBD"/>
              </w:rPr>
              <w:t>.</w:t>
            </w:r>
          </w:p>
        </w:tc>
        <w:tc>
          <w:tcPr>
            <w:tcW w:w="1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w:t>
            </w:r>
          </w:p>
        </w:tc>
        <w:tc>
          <w:tcPr>
            <w:tcW w:w="80" w:type="dxa"/>
            <w:vAlign w:val="bottom"/>
            <w:tcBorders>
              <w:bottom w:val="single" w:sz="8" w:color="E6E6E6"/>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E6E6E6"/>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ind w:left="1040"/>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1"/>
        </w:trPr>
        <w:tc>
          <w:tcPr>
            <w:tcW w:w="3400" w:type="dxa"/>
            <w:vAlign w:val="bottom"/>
            <w:shd w:val="clear" w:color="auto" w:fill="E6E6E6"/>
          </w:tcPr>
          <w:p>
            <w:pPr>
              <w:jc w:val="right"/>
              <w:spacing w:after="0"/>
              <w:rPr>
                <w:sz w:val="20"/>
                <w:szCs w:val="20"/>
                <w:color w:val="auto"/>
              </w:rPr>
            </w:pPr>
            <w:r>
              <w:rPr>
                <w:rFonts w:ascii="Arial" w:cs="Arial" w:eastAsia="Arial" w:hAnsi="Arial"/>
                <w:sz w:val="20"/>
                <w:szCs w:val="20"/>
                <w:b w:val="1"/>
                <w:bCs w:val="1"/>
                <w:color w:val="BDBDBD"/>
              </w:rPr>
              <w:t>.</w:t>
            </w:r>
            <w:r>
              <w:rPr>
                <w:rFonts w:ascii="Arial" w:cs="Arial" w:eastAsia="Arial" w:hAnsi="Arial"/>
                <w:sz w:val="20"/>
                <w:szCs w:val="20"/>
                <w:b w:val="1"/>
                <w:bCs w:val="1"/>
                <w:color w:val="000000"/>
              </w:rPr>
              <w:t>Totalliabilities</w:t>
            </w:r>
            <w:r>
              <w:rPr>
                <w:rFonts w:ascii="Arial" w:cs="Arial" w:eastAsia="Arial" w:hAnsi="Arial"/>
                <w:sz w:val="20"/>
                <w:szCs w:val="20"/>
                <w:b w:val="1"/>
                <w:bCs w:val="1"/>
                <w:color w:val="BDBDBD"/>
              </w:rPr>
              <w:t>................</w:t>
            </w:r>
          </w:p>
        </w:tc>
        <w:tc>
          <w:tcPr>
            <w:tcW w:w="1340" w:type="dxa"/>
            <w:vAlign w:val="bottom"/>
            <w:gridSpan w:val="2"/>
            <w:shd w:val="clear" w:color="auto" w:fill="E6E6E6"/>
          </w:tcPr>
          <w:p>
            <w:pPr>
              <w:ind w:left="20"/>
              <w:spacing w:after="0"/>
              <w:rPr>
                <w:sz w:val="20"/>
                <w:szCs w:val="20"/>
                <w:color w:val="auto"/>
              </w:rPr>
            </w:pPr>
            <w:r>
              <w:rPr>
                <w:rFonts w:ascii="Arial" w:cs="Arial" w:eastAsia="Arial" w:hAnsi="Arial"/>
                <w:sz w:val="20"/>
                <w:szCs w:val="20"/>
                <w:b w:val="1"/>
                <w:bCs w:val="1"/>
                <w:color w:val="BDBDBD"/>
              </w:rPr>
              <w:t xml:space="preserve">. </w:t>
            </w:r>
            <w:r>
              <w:rPr>
                <w:rFonts w:ascii="Arial" w:cs="Arial" w:eastAsia="Arial" w:hAnsi="Arial"/>
                <w:sz w:val="20"/>
                <w:szCs w:val="20"/>
                <w:color w:val="000000"/>
              </w:rPr>
              <w:t>$</w:t>
            </w:r>
          </w:p>
        </w:tc>
        <w:tc>
          <w:tcPr>
            <w:tcW w:w="4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w:t>
            </w:r>
          </w:p>
        </w:tc>
        <w:tc>
          <w:tcPr>
            <w:tcW w:w="340" w:type="dxa"/>
            <w:vAlign w:val="bottom"/>
            <w:gridSpan w:val="2"/>
            <w:shd w:val="clear" w:color="auto" w:fill="E6E6E6"/>
          </w:tcPr>
          <w:p>
            <w:pPr>
              <w:jc w:val="right"/>
              <w:ind w:right="1"/>
              <w:spacing w:after="0"/>
              <w:rPr>
                <w:sz w:val="20"/>
                <w:szCs w:val="20"/>
                <w:color w:val="auto"/>
              </w:rPr>
            </w:pPr>
            <w:r>
              <w:rPr>
                <w:rFonts w:ascii="Arial" w:cs="Arial" w:eastAsia="Arial" w:hAnsi="Arial"/>
                <w:sz w:val="20"/>
                <w:szCs w:val="20"/>
                <w:color w:val="auto"/>
              </w:rPr>
              <w:t>$</w:t>
            </w:r>
          </w:p>
        </w:tc>
        <w:tc>
          <w:tcPr>
            <w:tcW w:w="13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330</w:t>
            </w:r>
          </w:p>
        </w:tc>
        <w:tc>
          <w:tcPr>
            <w:tcW w:w="360" w:type="dxa"/>
            <w:vAlign w:val="bottom"/>
            <w:gridSpan w:val="2"/>
            <w:shd w:val="clear" w:color="auto" w:fill="E6E6E6"/>
          </w:tcPr>
          <w:p>
            <w:pPr>
              <w:jc w:val="right"/>
              <w:ind w:right="41"/>
              <w:spacing w:after="0"/>
              <w:rPr>
                <w:sz w:val="20"/>
                <w:szCs w:val="20"/>
                <w:color w:val="auto"/>
              </w:rPr>
            </w:pPr>
            <w:r>
              <w:rPr>
                <w:rFonts w:ascii="Arial" w:cs="Arial" w:eastAsia="Arial" w:hAnsi="Arial"/>
                <w:sz w:val="20"/>
                <w:szCs w:val="20"/>
                <w:color w:val="auto"/>
              </w:rPr>
              <w:t>$</w:t>
            </w:r>
          </w:p>
        </w:tc>
        <w:tc>
          <w:tcPr>
            <w:tcW w:w="1320" w:type="dxa"/>
            <w:vAlign w:val="bottom"/>
            <w:shd w:val="clear" w:color="auto" w:fill="E6E6E6"/>
          </w:tcPr>
          <w:p>
            <w:pPr>
              <w:ind w:left="1040"/>
              <w:spacing w:after="0"/>
              <w:rPr>
                <w:sz w:val="20"/>
                <w:szCs w:val="20"/>
                <w:color w:val="auto"/>
              </w:rPr>
            </w:pPr>
            <w:r>
              <w:rPr>
                <w:rFonts w:ascii="Arial" w:cs="Arial" w:eastAsia="Arial" w:hAnsi="Arial"/>
                <w:sz w:val="20"/>
                <w:szCs w:val="20"/>
                <w:color w:val="auto"/>
              </w:rPr>
              <w:t>—</w:t>
            </w:r>
          </w:p>
        </w:tc>
        <w:tc>
          <w:tcPr>
            <w:tcW w:w="320" w:type="dxa"/>
            <w:vAlign w:val="bottom"/>
            <w:gridSpan w:val="2"/>
            <w:shd w:val="clear" w:color="auto" w:fill="E6E6E6"/>
          </w:tcPr>
          <w:p>
            <w:pPr>
              <w:jc w:val="right"/>
              <w:ind w:right="1"/>
              <w:spacing w:after="0"/>
              <w:rPr>
                <w:sz w:val="20"/>
                <w:szCs w:val="20"/>
                <w:color w:val="auto"/>
              </w:rPr>
            </w:pPr>
            <w:r>
              <w:rPr>
                <w:rFonts w:ascii="Arial" w:cs="Arial" w:eastAsia="Arial" w:hAnsi="Arial"/>
                <w:sz w:val="20"/>
                <w:szCs w:val="20"/>
                <w:color w:val="auto"/>
              </w:rPr>
              <w:t>$</w:t>
            </w:r>
          </w:p>
        </w:tc>
        <w:tc>
          <w:tcPr>
            <w:tcW w:w="13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353</w:t>
            </w:r>
          </w:p>
        </w:tc>
        <w:tc>
          <w:tcPr>
            <w:tcW w:w="0" w:type="dxa"/>
            <w:vAlign w:val="bottom"/>
          </w:tcPr>
          <w:p>
            <w:pPr>
              <w:spacing w:after="0"/>
              <w:rPr>
                <w:sz w:val="1"/>
                <w:szCs w:val="1"/>
                <w:color w:val="auto"/>
              </w:rPr>
            </w:pPr>
          </w:p>
        </w:tc>
      </w:tr>
      <w:tr>
        <w:trPr>
          <w:trHeight w:val="27"/>
        </w:trPr>
        <w:tc>
          <w:tcPr>
            <w:tcW w:w="3400" w:type="dxa"/>
            <w:vAlign w:val="bottom"/>
            <w:tcBorders>
              <w:top w:val="single" w:sz="8" w:color="E6E6E6"/>
            </w:tcBorders>
          </w:tcPr>
          <w:p>
            <w:pPr>
              <w:spacing w:after="0"/>
              <w:rPr>
                <w:sz w:val="2"/>
                <w:szCs w:val="2"/>
                <w:color w:val="auto"/>
              </w:rPr>
            </w:pPr>
          </w:p>
        </w:tc>
        <w:tc>
          <w:tcPr>
            <w:tcW w:w="140" w:type="dxa"/>
            <w:vAlign w:val="bottom"/>
            <w:tcBorders>
              <w:top w:val="single" w:sz="8" w:color="E6E6E6"/>
            </w:tcBorders>
          </w:tcPr>
          <w:p>
            <w:pPr>
              <w:spacing w:after="0"/>
              <w:rPr>
                <w:sz w:val="2"/>
                <w:szCs w:val="2"/>
                <w:color w:val="auto"/>
              </w:rPr>
            </w:pPr>
          </w:p>
        </w:tc>
        <w:tc>
          <w:tcPr>
            <w:tcW w:w="1200" w:type="dxa"/>
            <w:vAlign w:val="bottom"/>
            <w:tcBorders>
              <w:top w:val="single" w:sz="8" w:color="auto"/>
            </w:tcBorders>
            <w:shd w:val="clear" w:color="auto" w:fill="000000"/>
          </w:tcPr>
          <w:p>
            <w:pPr>
              <w:spacing w:after="0"/>
              <w:rPr>
                <w:sz w:val="2"/>
                <w:szCs w:val="2"/>
                <w:color w:val="auto"/>
              </w:rPr>
            </w:pPr>
          </w:p>
        </w:tc>
        <w:tc>
          <w:tcPr>
            <w:tcW w:w="40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E6E6E6"/>
            </w:tcBorders>
          </w:tcPr>
          <w:p>
            <w:pPr>
              <w:spacing w:after="0"/>
              <w:rPr>
                <w:sz w:val="2"/>
                <w:szCs w:val="2"/>
                <w:color w:val="auto"/>
              </w:rPr>
            </w:pPr>
          </w:p>
        </w:tc>
        <w:tc>
          <w:tcPr>
            <w:tcW w:w="260" w:type="dxa"/>
            <w:vAlign w:val="bottom"/>
            <w:tcBorders>
              <w:top w:val="single" w:sz="8" w:color="auto"/>
            </w:tcBorders>
            <w:shd w:val="clear" w:color="auto" w:fill="000000"/>
          </w:tcPr>
          <w:p>
            <w:pPr>
              <w:spacing w:after="0"/>
              <w:rPr>
                <w:sz w:val="2"/>
                <w:szCs w:val="2"/>
                <w:color w:val="auto"/>
              </w:rPr>
            </w:pPr>
          </w:p>
        </w:tc>
        <w:tc>
          <w:tcPr>
            <w:tcW w:w="136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E6E6E6"/>
            </w:tcBorders>
          </w:tcPr>
          <w:p>
            <w:pPr>
              <w:spacing w:after="0"/>
              <w:rPr>
                <w:sz w:val="2"/>
                <w:szCs w:val="2"/>
                <w:color w:val="auto"/>
              </w:rPr>
            </w:pPr>
          </w:p>
        </w:tc>
        <w:tc>
          <w:tcPr>
            <w:tcW w:w="300" w:type="dxa"/>
            <w:vAlign w:val="bottom"/>
            <w:tcBorders>
              <w:top w:val="single" w:sz="8" w:color="auto"/>
            </w:tcBorders>
            <w:shd w:val="clear" w:color="auto" w:fill="000000"/>
          </w:tcPr>
          <w:p>
            <w:pPr>
              <w:spacing w:after="0"/>
              <w:rPr>
                <w:sz w:val="2"/>
                <w:szCs w:val="2"/>
                <w:color w:val="auto"/>
              </w:rPr>
            </w:pPr>
          </w:p>
        </w:tc>
        <w:tc>
          <w:tcPr>
            <w:tcW w:w="132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E6E6E6"/>
            </w:tcBorders>
          </w:tcPr>
          <w:p>
            <w:pPr>
              <w:spacing w:after="0"/>
              <w:rPr>
                <w:sz w:val="2"/>
                <w:szCs w:val="2"/>
                <w:color w:val="auto"/>
              </w:rPr>
            </w:pPr>
          </w:p>
        </w:tc>
        <w:tc>
          <w:tcPr>
            <w:tcW w:w="240" w:type="dxa"/>
            <w:vAlign w:val="bottom"/>
            <w:tcBorders>
              <w:top w:val="single" w:sz="8" w:color="auto"/>
            </w:tcBorders>
            <w:shd w:val="clear" w:color="auto" w:fill="000000"/>
          </w:tcPr>
          <w:p>
            <w:pPr>
              <w:spacing w:after="0"/>
              <w:rPr>
                <w:sz w:val="2"/>
                <w:szCs w:val="2"/>
                <w:color w:val="auto"/>
              </w:rPr>
            </w:pPr>
          </w:p>
        </w:tc>
        <w:tc>
          <w:tcPr>
            <w:tcW w:w="1360" w:type="dxa"/>
            <w:vAlign w:val="bottom"/>
            <w:tcBorders>
              <w:top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2294255</wp:posOffset>
            </wp:positionH>
            <wp:positionV relativeFrom="paragraph">
              <wp:posOffset>-1670685</wp:posOffset>
            </wp:positionV>
            <wp:extent cx="426148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188">
                      <a:extLst>
                        <a:ext uri="{28A0092B-C50C-407E-A947-70E740481C1C}"/>
                      </a:extLst>
                    </a:blip>
                    <a:srcRect/>
                    <a:stretch>
                      <a:fillRect/>
                    </a:stretch>
                  </pic:blipFill>
                  <pic:spPr bwMode="auto">
                    <a:xfrm>
                      <a:off x="0" y="0"/>
                      <a:ext cx="4261485" cy="25400"/>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-941070</wp:posOffset>
            </wp:positionV>
            <wp:extent cx="426148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189">
                      <a:extLst>
                        <a:ext uri="{28A0092B-C50C-407E-A947-70E740481C1C}"/>
                      </a:extLst>
                    </a:blip>
                    <a:srcRect/>
                    <a:stretch>
                      <a:fillRect/>
                    </a:stretch>
                  </pic:blipFill>
                  <pic:spPr bwMode="auto">
                    <a:xfrm>
                      <a:off x="0" y="0"/>
                      <a:ext cx="4261485" cy="25400"/>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-792480</wp:posOffset>
            </wp:positionV>
            <wp:extent cx="4261485" cy="508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190">
                      <a:extLst>
                        <a:ext uri="{28A0092B-C50C-407E-A947-70E740481C1C}"/>
                      </a:extLst>
                    </a:blip>
                    <a:srcRect/>
                    <a:stretch>
                      <a:fillRect/>
                    </a:stretch>
                  </pic:blipFill>
                  <pic:spPr bwMode="auto">
                    <a:xfrm>
                      <a:off x="0" y="0"/>
                      <a:ext cx="4261485" cy="50800"/>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-220345</wp:posOffset>
            </wp:positionV>
            <wp:extent cx="426148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191">
                      <a:extLst>
                        <a:ext uri="{28A0092B-C50C-407E-A947-70E740481C1C}"/>
                      </a:extLst>
                    </a:blip>
                    <a:srcRect/>
                    <a:stretch>
                      <a:fillRect/>
                    </a:stretch>
                  </pic:blipFill>
                  <pic:spPr bwMode="auto">
                    <a:xfrm>
                      <a:off x="0" y="0"/>
                      <a:ext cx="4261485" cy="25400"/>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-43815</wp:posOffset>
            </wp:positionV>
            <wp:extent cx="4261485" cy="508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192">
                      <a:extLst>
                        <a:ext uri="{28A0092B-C50C-407E-A947-70E740481C1C}"/>
                      </a:extLst>
                    </a:blip>
                    <a:srcRect/>
                    <a:stretch>
                      <a:fillRect/>
                    </a:stretch>
                  </pic:blipFill>
                  <pic:spPr bwMode="auto">
                    <a:xfrm>
                      <a:off x="0" y="0"/>
                      <a:ext cx="4261485" cy="508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60325</wp:posOffset>
                </wp:positionH>
                <wp:positionV relativeFrom="paragraph">
                  <wp:posOffset>91440</wp:posOffset>
                </wp:positionV>
                <wp:extent cx="1260475" cy="0"/>
                <wp:wrapNone/>
                <wp:docPr id="256" name="Shape 2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604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56" o:spid="_x0000_s12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5pt,7.2pt" to="104pt,7.2pt" o:allowincell="f" strokecolor="#000000" strokeweight="1pt"/>
            </w:pict>
          </mc:Fallback>
        </mc:AlternateContent>
      </w:r>
    </w:p>
    <w:p>
      <w:pPr>
        <w:spacing w:after="0" w:line="117" w:lineRule="exact"/>
        <w:rPr>
          <w:sz w:val="20"/>
          <w:szCs w:val="20"/>
          <w:color w:val="auto"/>
        </w:rPr>
      </w:pPr>
    </w:p>
    <w:p>
      <w:pPr>
        <w:ind w:left="420" w:hanging="235"/>
        <w:spacing w:after="0"/>
        <w:tabs>
          <w:tab w:leader="none" w:pos="420" w:val="left"/>
        </w:tabs>
        <w:numPr>
          <w:ilvl w:val="0"/>
          <w:numId w:val="68"/>
        </w:numPr>
        <w:rPr>
          <w:rFonts w:ascii="Arial" w:cs="Arial" w:eastAsia="Arial" w:hAnsi="Arial"/>
          <w:sz w:val="26"/>
          <w:szCs w:val="26"/>
          <w:color w:val="auto"/>
          <w:vertAlign w:val="superscript"/>
        </w:rPr>
      </w:pPr>
      <w:r>
        <w:rPr>
          <w:rFonts w:ascii="Arial" w:cs="Arial" w:eastAsia="Arial" w:hAnsi="Arial"/>
          <w:sz w:val="18"/>
          <w:szCs w:val="18"/>
          <w:color w:val="auto"/>
        </w:rPr>
        <w:t>There were no derivative assets or liabilities classified as Level 1 as of December 31, 2023 and 2022.</w:t>
      </w:r>
    </w:p>
    <w:p>
      <w:pPr>
        <w:spacing w:after="0" w:line="64" w:lineRule="exact"/>
        <w:rPr>
          <w:rFonts w:ascii="Arial" w:cs="Arial" w:eastAsia="Arial" w:hAnsi="Arial"/>
          <w:sz w:val="26"/>
          <w:szCs w:val="26"/>
          <w:color w:val="auto"/>
          <w:vertAlign w:val="superscript"/>
        </w:rPr>
      </w:pPr>
    </w:p>
    <w:p>
      <w:pPr>
        <w:ind w:left="180" w:firstLine="5"/>
        <w:spacing w:after="0" w:line="217" w:lineRule="auto"/>
        <w:tabs>
          <w:tab w:leader="none" w:pos="455" w:val="left"/>
        </w:tabs>
        <w:numPr>
          <w:ilvl w:val="0"/>
          <w:numId w:val="68"/>
        </w:numPr>
        <w:rPr>
          <w:rFonts w:ascii="Arial" w:cs="Arial" w:eastAsia="Arial" w:hAnsi="Arial"/>
          <w:sz w:val="26"/>
          <w:szCs w:val="26"/>
          <w:color w:val="auto"/>
          <w:vertAlign w:val="superscript"/>
        </w:rPr>
      </w:pPr>
      <w:r>
        <w:rPr>
          <w:rFonts w:ascii="Arial" w:cs="Arial" w:eastAsia="Arial" w:hAnsi="Arial"/>
          <w:sz w:val="18"/>
          <w:szCs w:val="18"/>
          <w:color w:val="auto"/>
        </w:rPr>
        <w:t>The Company’s interest rate swaps are measured at fair value using an income approach, which use readily observable inputs, such as forward interest rates (e.g., SOFR) and contractual terms to estimate fair value.</w:t>
      </w:r>
    </w:p>
    <w:p>
      <w:pPr>
        <w:spacing w:after="0" w:line="1" w:lineRule="exact"/>
        <w:rPr>
          <w:rFonts w:ascii="Arial" w:cs="Arial" w:eastAsia="Arial" w:hAnsi="Arial"/>
          <w:sz w:val="26"/>
          <w:szCs w:val="26"/>
          <w:color w:val="auto"/>
          <w:vertAlign w:val="superscript"/>
        </w:rPr>
      </w:pPr>
    </w:p>
    <w:p>
      <w:pPr>
        <w:ind w:left="420" w:hanging="235"/>
        <w:spacing w:after="0" w:line="231" w:lineRule="auto"/>
        <w:tabs>
          <w:tab w:leader="none" w:pos="420" w:val="left"/>
        </w:tabs>
        <w:numPr>
          <w:ilvl w:val="0"/>
          <w:numId w:val="68"/>
        </w:numPr>
        <w:rPr>
          <w:rFonts w:ascii="Arial" w:cs="Arial" w:eastAsia="Arial" w:hAnsi="Arial"/>
          <w:sz w:val="26"/>
          <w:szCs w:val="26"/>
          <w:color w:val="auto"/>
          <w:vertAlign w:val="superscript"/>
        </w:rPr>
      </w:pPr>
      <w:r>
        <w:rPr>
          <w:rFonts w:ascii="Arial" w:cs="Arial" w:eastAsia="Arial" w:hAnsi="Arial"/>
          <w:sz w:val="18"/>
          <w:szCs w:val="18"/>
          <w:color w:val="auto"/>
        </w:rPr>
        <w:t>Includes long-term backbone transportation service contracts entered into by El Segundo and Walnut Creek during 2023.</w:t>
      </w:r>
    </w:p>
    <w:p>
      <w:pPr>
        <w:spacing w:after="0" w:line="64" w:lineRule="exact"/>
        <w:rPr>
          <w:rFonts w:ascii="Arial" w:cs="Arial" w:eastAsia="Arial" w:hAnsi="Arial"/>
          <w:sz w:val="26"/>
          <w:szCs w:val="26"/>
          <w:color w:val="auto"/>
          <w:vertAlign w:val="superscript"/>
        </w:rPr>
      </w:pPr>
    </w:p>
    <w:p>
      <w:pPr>
        <w:ind w:left="420" w:hanging="235"/>
        <w:spacing w:after="0" w:line="188" w:lineRule="auto"/>
        <w:tabs>
          <w:tab w:leader="none" w:pos="420" w:val="left"/>
        </w:tabs>
        <w:numPr>
          <w:ilvl w:val="0"/>
          <w:numId w:val="68"/>
        </w:numPr>
        <w:rPr>
          <w:rFonts w:ascii="Arial" w:cs="Arial" w:eastAsia="Arial" w:hAnsi="Arial"/>
          <w:sz w:val="26"/>
          <w:szCs w:val="26"/>
          <w:color w:val="auto"/>
          <w:vertAlign w:val="superscript"/>
        </w:rPr>
      </w:pPr>
      <w:r>
        <w:rPr>
          <w:rFonts w:ascii="Arial" w:cs="Arial" w:eastAsia="Arial" w:hAnsi="Arial"/>
          <w:sz w:val="18"/>
          <w:szCs w:val="18"/>
          <w:color w:val="auto"/>
        </w:rPr>
        <w:t>Includes SREC contract.</w:t>
      </w:r>
    </w:p>
    <w:p>
      <w:pPr>
        <w:spacing w:after="0" w:line="64" w:lineRule="exact"/>
        <w:rPr>
          <w:rFonts w:ascii="Arial" w:cs="Arial" w:eastAsia="Arial" w:hAnsi="Arial"/>
          <w:sz w:val="26"/>
          <w:szCs w:val="26"/>
          <w:color w:val="auto"/>
          <w:vertAlign w:val="superscript"/>
        </w:rPr>
      </w:pPr>
    </w:p>
    <w:p>
      <w:pPr>
        <w:ind w:left="180" w:right="20" w:firstLine="5"/>
        <w:spacing w:after="0" w:line="217" w:lineRule="auto"/>
        <w:tabs>
          <w:tab w:leader="none" w:pos="418" w:val="left"/>
        </w:tabs>
        <w:numPr>
          <w:ilvl w:val="0"/>
          <w:numId w:val="68"/>
        </w:numPr>
        <w:rPr>
          <w:rFonts w:ascii="Arial" w:cs="Arial" w:eastAsia="Arial" w:hAnsi="Arial"/>
          <w:sz w:val="26"/>
          <w:szCs w:val="26"/>
          <w:color w:val="auto"/>
          <w:vertAlign w:val="superscript"/>
        </w:rPr>
      </w:pPr>
      <w:r>
        <w:rPr>
          <w:rFonts w:ascii="Arial" w:cs="Arial" w:eastAsia="Arial" w:hAnsi="Arial"/>
          <w:sz w:val="18"/>
          <w:szCs w:val="18"/>
          <w:color w:val="auto"/>
        </w:rPr>
        <w:t>Includes $325 million related to long-term power commodity contracts and $5 million related to short-term heat rate call option contracts entered into by El Segundo, Marsh Landing and Walnut Creek during 2023.</w:t>
      </w:r>
    </w:p>
    <w:p>
      <w:pPr>
        <w:spacing w:after="0" w:line="155" w:lineRule="exact"/>
        <w:rPr>
          <w:sz w:val="20"/>
          <w:szCs w:val="20"/>
          <w:color w:val="auto"/>
        </w:rPr>
      </w:pPr>
    </w:p>
    <w:p>
      <w:pPr>
        <w:jc w:val="both"/>
        <w:ind w:left="100" w:right="20" w:firstLine="448"/>
        <w:spacing w:after="0" w:line="280" w:lineRule="auto"/>
        <w:rPr>
          <w:sz w:val="20"/>
          <w:szCs w:val="20"/>
          <w:color w:val="auto"/>
        </w:rPr>
      </w:pPr>
      <w:r>
        <w:rPr>
          <w:rFonts w:ascii="Arial" w:cs="Arial" w:eastAsia="Arial" w:hAnsi="Arial"/>
          <w:sz w:val="20"/>
          <w:szCs w:val="20"/>
          <w:color w:val="auto"/>
        </w:rPr>
        <w:t>The following table reconciles the beginning and ending balances for instruments that are recognized at fair value in the consolidated financial statements using significant unobservable inputs: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gridSpan w:val="4"/>
          </w:tcPr>
          <w:p>
            <w:pPr>
              <w:jc w:val="center"/>
              <w:ind w:right="243"/>
              <w:spacing w:after="0"/>
              <w:rPr>
                <w:sz w:val="20"/>
                <w:szCs w:val="20"/>
                <w:color w:val="auto"/>
              </w:rPr>
            </w:pPr>
            <w:r>
              <w:rPr>
                <w:rFonts w:ascii="Arial" w:cs="Arial" w:eastAsia="Arial" w:hAnsi="Arial"/>
                <w:sz w:val="16"/>
                <w:szCs w:val="16"/>
                <w:b w:val="1"/>
                <w:bCs w:val="1"/>
                <w:color w:val="auto"/>
                <w:w w:val="89"/>
              </w:rPr>
              <w:t>Year ended December 31,</w:t>
            </w:r>
          </w:p>
        </w:tc>
        <w:tc>
          <w:tcPr>
            <w:tcW w:w="0" w:type="dxa"/>
            <w:vAlign w:val="bottom"/>
          </w:tcPr>
          <w:p>
            <w:pPr>
              <w:spacing w:after="0"/>
              <w:rPr>
                <w:sz w:val="1"/>
                <w:szCs w:val="1"/>
                <w:color w:val="auto"/>
              </w:rPr>
            </w:pPr>
          </w:p>
        </w:tc>
      </w:tr>
      <w:tr>
        <w:trPr>
          <w:trHeight w:val="234"/>
        </w:trPr>
        <w:tc>
          <w:tcPr>
            <w:tcW w:w="6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708"/>
              <w:spacing w:after="0"/>
              <w:rPr>
                <w:sz w:val="20"/>
                <w:szCs w:val="20"/>
                <w:color w:val="auto"/>
              </w:rPr>
            </w:pPr>
            <w:r>
              <w:rPr>
                <w:rFonts w:ascii="Arial" w:cs="Arial" w:eastAsia="Arial" w:hAnsi="Arial"/>
                <w:sz w:val="16"/>
                <w:szCs w:val="16"/>
                <w:b w:val="1"/>
                <w:bCs w:val="1"/>
                <w:color w:val="auto"/>
              </w:rPr>
              <w:t>2023</w:t>
            </w:r>
          </w:p>
        </w:tc>
        <w:tc>
          <w:tcPr>
            <w:tcW w:w="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703"/>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85"/>
        </w:trPr>
        <w:tc>
          <w:tcPr>
            <w:tcW w:w="6280" w:type="dxa"/>
            <w:vAlign w:val="bottom"/>
            <w:vMerge w:val="restart"/>
          </w:tcPr>
          <w:p>
            <w:pPr>
              <w:jc w:val="right"/>
              <w:ind w:right="5081"/>
              <w:spacing w:after="0"/>
              <w:rPr>
                <w:sz w:val="20"/>
                <w:szCs w:val="20"/>
                <w:color w:val="auto"/>
              </w:rPr>
            </w:pPr>
            <w:r>
              <w:rPr>
                <w:rFonts w:ascii="Arial" w:cs="Arial" w:eastAsia="Arial" w:hAnsi="Arial"/>
                <w:sz w:val="20"/>
                <w:szCs w:val="20"/>
                <w:b w:val="1"/>
                <w:bCs w:val="1"/>
                <w:color w:val="auto"/>
                <w:w w:val="96"/>
              </w:rPr>
              <w:t>(In millions)</w:t>
            </w:r>
          </w:p>
        </w:tc>
        <w:tc>
          <w:tcPr>
            <w:tcW w:w="340" w:type="dxa"/>
            <w:vAlign w:val="bottom"/>
          </w:tcPr>
          <w:p>
            <w:pPr>
              <w:spacing w:after="0"/>
              <w:rPr>
                <w:sz w:val="16"/>
                <w:szCs w:val="16"/>
                <w:color w:val="auto"/>
              </w:rPr>
            </w:pPr>
          </w:p>
        </w:tc>
        <w:tc>
          <w:tcPr>
            <w:tcW w:w="3600" w:type="dxa"/>
            <w:vAlign w:val="bottom"/>
            <w:gridSpan w:val="4"/>
          </w:tcPr>
          <w:p>
            <w:pPr>
              <w:jc w:val="center"/>
              <w:ind w:right="243"/>
              <w:spacing w:after="0"/>
              <w:rPr>
                <w:sz w:val="20"/>
                <w:szCs w:val="20"/>
                <w:color w:val="auto"/>
              </w:rPr>
            </w:pPr>
            <w:r>
              <w:rPr>
                <w:rFonts w:ascii="Arial" w:cs="Arial" w:eastAsia="Arial" w:hAnsi="Arial"/>
                <w:sz w:val="16"/>
                <w:szCs w:val="16"/>
                <w:b w:val="1"/>
                <w:bCs w:val="1"/>
                <w:color w:val="auto"/>
                <w:w w:val="90"/>
              </w:rPr>
              <w:t>Fair Value Measurement Using Significant</w:t>
            </w:r>
          </w:p>
        </w:tc>
        <w:tc>
          <w:tcPr>
            <w:tcW w:w="0" w:type="dxa"/>
            <w:vAlign w:val="bottom"/>
          </w:tcPr>
          <w:p>
            <w:pPr>
              <w:spacing w:after="0"/>
              <w:rPr>
                <w:sz w:val="1"/>
                <w:szCs w:val="1"/>
                <w:color w:val="auto"/>
              </w:rPr>
            </w:pPr>
          </w:p>
        </w:tc>
      </w:tr>
      <w:tr>
        <w:trPr>
          <w:trHeight w:val="213"/>
        </w:trPr>
        <w:tc>
          <w:tcPr>
            <w:tcW w:w="6280" w:type="dxa"/>
            <w:vAlign w:val="bottom"/>
            <w:tcBorders>
              <w:bottom w:val="single" w:sz="8" w:color="E6E6E6"/>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gridSpan w:val="4"/>
          </w:tcPr>
          <w:p>
            <w:pPr>
              <w:jc w:val="center"/>
              <w:ind w:right="243"/>
              <w:spacing w:after="0"/>
              <w:rPr>
                <w:sz w:val="20"/>
                <w:szCs w:val="20"/>
                <w:color w:val="auto"/>
              </w:rPr>
            </w:pPr>
            <w:r>
              <w:rPr>
                <w:rFonts w:ascii="Arial" w:cs="Arial" w:eastAsia="Arial" w:hAnsi="Arial"/>
                <w:sz w:val="16"/>
                <w:szCs w:val="16"/>
                <w:b w:val="1"/>
                <w:bCs w:val="1"/>
                <w:color w:val="auto"/>
                <w:w w:val="90"/>
              </w:rPr>
              <w:t>Unobservable Inputs (Level 3)</w:t>
            </w:r>
          </w:p>
        </w:tc>
        <w:tc>
          <w:tcPr>
            <w:tcW w:w="0" w:type="dxa"/>
            <w:vAlign w:val="bottom"/>
          </w:tcPr>
          <w:p>
            <w:pPr>
              <w:spacing w:after="0"/>
              <w:rPr>
                <w:sz w:val="1"/>
                <w:szCs w:val="1"/>
                <w:color w:val="auto"/>
              </w:rPr>
            </w:pPr>
          </w:p>
        </w:tc>
      </w:tr>
      <w:tr>
        <w:trPr>
          <w:trHeight w:val="289"/>
        </w:trPr>
        <w:tc>
          <w:tcPr>
            <w:tcW w:w="6280" w:type="dxa"/>
            <w:vAlign w:val="bottom"/>
            <w:shd w:val="clear" w:color="auto" w:fill="E6E6E6"/>
          </w:tcPr>
          <w:p>
            <w:pPr>
              <w:jc w:val="right"/>
              <w:ind w:right="21"/>
              <w:spacing w:after="0"/>
              <w:rPr>
                <w:sz w:val="20"/>
                <w:szCs w:val="20"/>
                <w:color w:val="auto"/>
              </w:rPr>
            </w:pPr>
            <w:r>
              <w:rPr>
                <w:rFonts w:ascii="Arial" w:cs="Arial" w:eastAsia="Arial" w:hAnsi="Arial"/>
                <w:sz w:val="20"/>
                <w:szCs w:val="20"/>
                <w:b w:val="1"/>
                <w:bCs w:val="1"/>
                <w:color w:val="auto"/>
                <w:w w:val="90"/>
              </w:rPr>
              <w:t xml:space="preserve">Beginning balance </w:t>
            </w:r>
            <w:r>
              <w:rPr>
                <w:rFonts w:ascii="Arial" w:cs="Arial" w:eastAsia="Arial" w:hAnsi="Arial"/>
                <w:sz w:val="20"/>
                <w:szCs w:val="20"/>
                <w:b w:val="1"/>
                <w:bCs w:val="1"/>
                <w:color w:val="BDBDBD"/>
                <w:w w:val="90"/>
              </w:rPr>
              <w:t>. . . . . . . . . . . . . . . . . . . . . . . . . . . . . . . . . . . . . . . . . . . . .</w:t>
            </w:r>
          </w:p>
        </w:tc>
        <w:tc>
          <w:tcPr>
            <w:tcW w:w="340" w:type="dxa"/>
            <w:vAlign w:val="bottom"/>
            <w:shd w:val="clear" w:color="auto" w:fill="E6E6E6"/>
          </w:tcPr>
          <w:p>
            <w:pPr>
              <w:jc w:val="right"/>
              <w:ind w:right="81"/>
              <w:spacing w:after="0"/>
              <w:rPr>
                <w:sz w:val="20"/>
                <w:szCs w:val="20"/>
                <w:color w:val="auto"/>
              </w:rPr>
            </w:pPr>
            <w:r>
              <w:rPr>
                <w:rFonts w:ascii="Arial" w:cs="Arial" w:eastAsia="Arial" w:hAnsi="Arial"/>
                <w:sz w:val="20"/>
                <w:szCs w:val="20"/>
                <w:color w:val="auto"/>
              </w:rPr>
              <w:t>$</w:t>
            </w:r>
          </w:p>
        </w:tc>
        <w:tc>
          <w:tcPr>
            <w:tcW w:w="16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(336)</w:t>
            </w:r>
          </w:p>
        </w:tc>
        <w:tc>
          <w:tcPr>
            <w:tcW w:w="540" w:type="dxa"/>
            <w:vAlign w:val="bottom"/>
            <w:gridSpan w:val="2"/>
            <w:shd w:val="clear" w:color="auto" w:fill="E6E6E6"/>
          </w:tcPr>
          <w:p>
            <w:pPr>
              <w:jc w:val="right"/>
              <w:ind w:right="221"/>
              <w:spacing w:after="0"/>
              <w:rPr>
                <w:sz w:val="20"/>
                <w:szCs w:val="20"/>
                <w:color w:val="auto"/>
              </w:rPr>
            </w:pPr>
            <w:r>
              <w:rPr>
                <w:rFonts w:ascii="Arial" w:cs="Arial" w:eastAsia="Arial" w:hAnsi="Arial"/>
                <w:sz w:val="20"/>
                <w:szCs w:val="20"/>
                <w:color w:val="auto"/>
              </w:rPr>
              <w:t>$</w:t>
            </w:r>
          </w:p>
        </w:tc>
        <w:tc>
          <w:tcPr>
            <w:tcW w:w="14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(154)</w:t>
            </w:r>
          </w:p>
        </w:tc>
        <w:tc>
          <w:tcPr>
            <w:tcW w:w="0" w:type="dxa"/>
            <w:vAlign w:val="bottom"/>
          </w:tcPr>
          <w:p>
            <w:pPr>
              <w:spacing w:after="0"/>
              <w:rPr>
                <w:sz w:val="1"/>
                <w:szCs w:val="1"/>
                <w:color w:val="auto"/>
              </w:rPr>
            </w:pPr>
          </w:p>
        </w:tc>
      </w:tr>
      <w:tr>
        <w:trPr>
          <w:trHeight w:val="292"/>
        </w:trPr>
        <w:tc>
          <w:tcPr>
            <w:tcW w:w="6280" w:type="dxa"/>
            <w:vAlign w:val="bottom"/>
          </w:tcPr>
          <w:p>
            <w:pPr>
              <w:jc w:val="right"/>
              <w:ind w:right="21"/>
              <w:spacing w:after="0"/>
              <w:rPr>
                <w:sz w:val="20"/>
                <w:szCs w:val="20"/>
                <w:color w:val="auto"/>
              </w:rPr>
            </w:pPr>
            <w:r>
              <w:rPr>
                <w:rFonts w:ascii="Arial" w:cs="Arial" w:eastAsia="Arial" w:hAnsi="Arial"/>
                <w:sz w:val="20"/>
                <w:szCs w:val="20"/>
                <w:color w:val="auto"/>
                <w:w w:val="89"/>
              </w:rPr>
              <w:t xml:space="preserve">Settlements </w:t>
            </w:r>
            <w:r>
              <w:rPr>
                <w:rFonts w:ascii="Arial" w:cs="Arial" w:eastAsia="Arial" w:hAnsi="Arial"/>
                <w:sz w:val="20"/>
                <w:szCs w:val="20"/>
                <w:color w:val="BDBDBD"/>
                <w:w w:val="89"/>
              </w:rPr>
              <w:t>. . . . . . . . . . . . . . . . . . . . . . . . . . . . . . . . . . . . . . . . . . . . . . . . . . . .</w:t>
            </w:r>
          </w:p>
        </w:tc>
        <w:tc>
          <w:tcPr>
            <w:tcW w:w="3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28</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61</w:t>
            </w:r>
          </w:p>
        </w:tc>
        <w:tc>
          <w:tcPr>
            <w:tcW w:w="0" w:type="dxa"/>
            <w:vAlign w:val="bottom"/>
          </w:tcPr>
          <w:p>
            <w:pPr>
              <w:spacing w:after="0"/>
              <w:rPr>
                <w:sz w:val="1"/>
                <w:szCs w:val="1"/>
                <w:color w:val="auto"/>
              </w:rPr>
            </w:pPr>
          </w:p>
        </w:tc>
      </w:tr>
      <w:tr>
        <w:trPr>
          <w:trHeight w:val="305"/>
        </w:trPr>
        <w:tc>
          <w:tcPr>
            <w:tcW w:w="6280" w:type="dxa"/>
            <w:vAlign w:val="bottom"/>
            <w:shd w:val="clear" w:color="auto" w:fill="E6E6E6"/>
          </w:tcPr>
          <w:p>
            <w:pPr>
              <w:jc w:val="right"/>
              <w:ind w:right="21"/>
              <w:spacing w:after="0"/>
              <w:rPr>
                <w:sz w:val="20"/>
                <w:szCs w:val="20"/>
                <w:color w:val="auto"/>
              </w:rPr>
            </w:pPr>
            <w:r>
              <w:rPr>
                <w:rFonts w:ascii="Arial" w:cs="Arial" w:eastAsia="Arial" w:hAnsi="Arial"/>
                <w:sz w:val="20"/>
                <w:szCs w:val="20"/>
                <w:color w:val="auto"/>
                <w:w w:val="91"/>
              </w:rPr>
              <w:t xml:space="preserve">Additions due to loss of NPNS exception </w:t>
            </w:r>
            <w:r>
              <w:rPr>
                <w:rFonts w:ascii="Arial" w:cs="Arial" w:eastAsia="Arial" w:hAnsi="Arial"/>
                <w:sz w:val="20"/>
                <w:szCs w:val="20"/>
                <w:color w:val="BDBDBD"/>
                <w:w w:val="91"/>
              </w:rPr>
              <w:t>. . . . . . . . . . . . . . . . . . . . . . . . . . . .</w:t>
            </w:r>
          </w:p>
        </w:tc>
        <w:tc>
          <w:tcPr>
            <w:tcW w:w="340" w:type="dxa"/>
            <w:vAlign w:val="bottom"/>
            <w:shd w:val="clear" w:color="auto" w:fill="E6E6E6"/>
          </w:tcPr>
          <w:p>
            <w:pPr>
              <w:spacing w:after="0"/>
              <w:rPr>
                <w:sz w:val="24"/>
                <w:szCs w:val="24"/>
                <w:color w:val="auto"/>
              </w:rPr>
            </w:pPr>
          </w:p>
        </w:tc>
        <w:tc>
          <w:tcPr>
            <w:tcW w:w="16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60" w:type="dxa"/>
            <w:vAlign w:val="bottom"/>
            <w:shd w:val="clear" w:color="auto" w:fill="E6E6E6"/>
          </w:tcPr>
          <w:p>
            <w:pPr>
              <w:spacing w:after="0"/>
              <w:rPr>
                <w:sz w:val="24"/>
                <w:szCs w:val="24"/>
                <w:color w:val="auto"/>
              </w:rPr>
            </w:pPr>
          </w:p>
        </w:tc>
        <w:tc>
          <w:tcPr>
            <w:tcW w:w="480" w:type="dxa"/>
            <w:vAlign w:val="bottom"/>
            <w:shd w:val="clear" w:color="auto" w:fill="E6E6E6"/>
          </w:tcPr>
          <w:p>
            <w:pPr>
              <w:spacing w:after="0"/>
              <w:rPr>
                <w:sz w:val="24"/>
                <w:szCs w:val="24"/>
                <w:color w:val="auto"/>
              </w:rPr>
            </w:pPr>
          </w:p>
        </w:tc>
        <w:tc>
          <w:tcPr>
            <w:tcW w:w="14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(22)</w:t>
            </w:r>
          </w:p>
        </w:tc>
        <w:tc>
          <w:tcPr>
            <w:tcW w:w="0" w:type="dxa"/>
            <w:vAlign w:val="bottom"/>
          </w:tcPr>
          <w:p>
            <w:pPr>
              <w:spacing w:after="0"/>
              <w:rPr>
                <w:sz w:val="1"/>
                <w:szCs w:val="1"/>
                <w:color w:val="auto"/>
              </w:rPr>
            </w:pPr>
          </w:p>
        </w:tc>
      </w:tr>
      <w:tr>
        <w:trPr>
          <w:trHeight w:val="289"/>
        </w:trPr>
        <w:tc>
          <w:tcPr>
            <w:tcW w:w="6280" w:type="dxa"/>
            <w:vAlign w:val="bottom"/>
            <w:tcBorders>
              <w:bottom w:val="single" w:sz="8" w:color="E6E6E6"/>
            </w:tcBorders>
          </w:tcPr>
          <w:p>
            <w:pPr>
              <w:jc w:val="right"/>
              <w:ind w:right="21"/>
              <w:spacing w:after="0"/>
              <w:rPr>
                <w:sz w:val="20"/>
                <w:szCs w:val="20"/>
                <w:color w:val="auto"/>
              </w:rPr>
            </w:pPr>
            <w:r>
              <w:rPr>
                <w:rFonts w:ascii="Arial" w:cs="Arial" w:eastAsia="Arial" w:hAnsi="Arial"/>
                <w:sz w:val="20"/>
                <w:szCs w:val="20"/>
                <w:color w:val="auto"/>
                <w:w w:val="91"/>
              </w:rPr>
              <w:t xml:space="preserve">Total losses for the period included in earnings </w:t>
            </w:r>
            <w:r>
              <w:rPr>
                <w:rFonts w:ascii="Arial" w:cs="Arial" w:eastAsia="Arial" w:hAnsi="Arial"/>
                <w:sz w:val="20"/>
                <w:szCs w:val="20"/>
                <w:color w:val="BDBDBD"/>
                <w:w w:val="91"/>
              </w:rPr>
              <w:t>. . . . . . . . . . . . . . . . . . . . . . .</w:t>
            </w:r>
          </w:p>
        </w:tc>
        <w:tc>
          <w:tcPr>
            <w:tcW w:w="3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w:t>
            </w:r>
          </w:p>
        </w:tc>
        <w:tc>
          <w:tcPr>
            <w:tcW w:w="60" w:type="dxa"/>
            <w:vAlign w:val="bottom"/>
            <w:tcBorders>
              <w:bottom w:val="single" w:sz="8" w:color="E6E6E6"/>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(221)</w:t>
            </w:r>
          </w:p>
        </w:tc>
        <w:tc>
          <w:tcPr>
            <w:tcW w:w="0" w:type="dxa"/>
            <w:vAlign w:val="bottom"/>
          </w:tcPr>
          <w:p>
            <w:pPr>
              <w:spacing w:after="0"/>
              <w:rPr>
                <w:sz w:val="1"/>
                <w:szCs w:val="1"/>
                <w:color w:val="auto"/>
              </w:rPr>
            </w:pPr>
          </w:p>
        </w:tc>
      </w:tr>
      <w:tr>
        <w:trPr>
          <w:trHeight w:val="298"/>
        </w:trPr>
        <w:tc>
          <w:tcPr>
            <w:tcW w:w="6280" w:type="dxa"/>
            <w:vAlign w:val="bottom"/>
            <w:tcBorders>
              <w:bottom w:val="single" w:sz="8" w:color="E6E6E6"/>
            </w:tcBorders>
            <w:shd w:val="clear" w:color="auto" w:fill="E6E6E6"/>
          </w:tcPr>
          <w:p>
            <w:pPr>
              <w:jc w:val="right"/>
              <w:ind w:right="21"/>
              <w:spacing w:after="0"/>
              <w:rPr>
                <w:sz w:val="20"/>
                <w:szCs w:val="20"/>
                <w:color w:val="auto"/>
              </w:rPr>
            </w:pPr>
            <w:r>
              <w:rPr>
                <w:rFonts w:ascii="Arial" w:cs="Arial" w:eastAsia="Arial" w:hAnsi="Arial"/>
                <w:sz w:val="20"/>
                <w:szCs w:val="20"/>
                <w:b w:val="1"/>
                <w:bCs w:val="1"/>
                <w:color w:val="auto"/>
                <w:w w:val="90"/>
              </w:rPr>
              <w:t xml:space="preserve">Ending balance </w:t>
            </w:r>
            <w:r>
              <w:rPr>
                <w:rFonts w:ascii="Arial" w:cs="Arial" w:eastAsia="Arial" w:hAnsi="Arial"/>
                <w:sz w:val="20"/>
                <w:szCs w:val="20"/>
                <w:b w:val="1"/>
                <w:bCs w:val="1"/>
                <w:color w:val="BDBDBD"/>
                <w:w w:val="90"/>
              </w:rPr>
              <w:t>. . . . . . . . . . . . . . . . . . . . . . . . . . . . . . . . . . . . . . . . . . . . . . . .</w:t>
            </w:r>
          </w:p>
        </w:tc>
        <w:tc>
          <w:tcPr>
            <w:tcW w:w="340" w:type="dxa"/>
            <w:vAlign w:val="bottom"/>
            <w:tcBorders>
              <w:bottom w:val="single" w:sz="8" w:color="auto"/>
            </w:tcBorders>
            <w:shd w:val="clear" w:color="auto" w:fill="E6E6E6"/>
          </w:tcPr>
          <w:p>
            <w:pPr>
              <w:jc w:val="right"/>
              <w:ind w:right="81"/>
              <w:spacing w:after="0"/>
              <w:rPr>
                <w:sz w:val="20"/>
                <w:szCs w:val="20"/>
                <w:color w:val="auto"/>
              </w:rPr>
            </w:pPr>
            <w:r>
              <w:rPr>
                <w:rFonts w:ascii="Arial" w:cs="Arial" w:eastAsia="Arial" w:hAnsi="Arial"/>
                <w:sz w:val="20"/>
                <w:szCs w:val="20"/>
                <w:color w:val="auto"/>
              </w:rPr>
              <w:t>$</w:t>
            </w:r>
          </w:p>
        </w:tc>
        <w:tc>
          <w:tcPr>
            <w:tcW w:w="16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(317)</w:t>
            </w:r>
          </w:p>
        </w:tc>
        <w:tc>
          <w:tcPr>
            <w:tcW w:w="60" w:type="dxa"/>
            <w:vAlign w:val="bottom"/>
            <w:tcBorders>
              <w:bottom w:val="single" w:sz="8" w:color="E6E6E6"/>
            </w:tcBorders>
            <w:shd w:val="clear" w:color="auto" w:fill="E6E6E6"/>
          </w:tcPr>
          <w:p>
            <w:pPr>
              <w:spacing w:after="0"/>
              <w:rPr>
                <w:sz w:val="24"/>
                <w:szCs w:val="24"/>
                <w:color w:val="auto"/>
              </w:rPr>
            </w:pPr>
          </w:p>
        </w:tc>
        <w:tc>
          <w:tcPr>
            <w:tcW w:w="480" w:type="dxa"/>
            <w:vAlign w:val="bottom"/>
            <w:tcBorders>
              <w:bottom w:val="single" w:sz="8" w:color="auto"/>
            </w:tcBorders>
            <w:shd w:val="clear" w:color="auto" w:fill="E6E6E6"/>
          </w:tcPr>
          <w:p>
            <w:pPr>
              <w:jc w:val="right"/>
              <w:ind w:right="221"/>
              <w:spacing w:after="0"/>
              <w:rPr>
                <w:sz w:val="20"/>
                <w:szCs w:val="20"/>
                <w:color w:val="auto"/>
              </w:rPr>
            </w:pPr>
            <w:r>
              <w:rPr>
                <w:rFonts w:ascii="Arial" w:cs="Arial" w:eastAsia="Arial" w:hAnsi="Arial"/>
                <w:sz w:val="20"/>
                <w:szCs w:val="20"/>
                <w:color w:val="auto"/>
              </w:rPr>
              <w:t>$</w:t>
            </w:r>
          </w:p>
        </w:tc>
        <w:tc>
          <w:tcPr>
            <w:tcW w:w="14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(336)</w:t>
            </w:r>
          </w:p>
        </w:tc>
        <w:tc>
          <w:tcPr>
            <w:tcW w:w="0" w:type="dxa"/>
            <w:vAlign w:val="bottom"/>
          </w:tcPr>
          <w:p>
            <w:pPr>
              <w:spacing w:after="0"/>
              <w:rPr>
                <w:sz w:val="1"/>
                <w:szCs w:val="1"/>
                <w:color w:val="auto"/>
              </w:rPr>
            </w:pPr>
          </w:p>
        </w:tc>
      </w:tr>
      <w:tr>
        <w:trPr>
          <w:trHeight w:val="191"/>
        </w:trPr>
        <w:tc>
          <w:tcPr>
            <w:tcW w:w="6280" w:type="dxa"/>
            <w:vAlign w:val="bottom"/>
          </w:tcPr>
          <w:p>
            <w:pPr>
              <w:jc w:val="right"/>
              <w:ind w:right="121"/>
              <w:spacing w:after="0" w:line="191" w:lineRule="exact"/>
              <w:rPr>
                <w:sz w:val="20"/>
                <w:szCs w:val="20"/>
                <w:color w:val="auto"/>
              </w:rPr>
            </w:pPr>
            <w:r>
              <w:rPr>
                <w:rFonts w:ascii="Arial" w:cs="Arial" w:eastAsia="Arial" w:hAnsi="Arial"/>
                <w:sz w:val="20"/>
                <w:szCs w:val="20"/>
                <w:color w:val="auto"/>
                <w:w w:val="92"/>
              </w:rPr>
              <w:t>Change in unrealized losses included in earnings for derivatives and other</w:t>
            </w:r>
          </w:p>
        </w:tc>
        <w:tc>
          <w:tcPr>
            <w:tcW w:w="340" w:type="dxa"/>
            <w:vAlign w:val="bottom"/>
            <w:vMerge w:val="restart"/>
          </w:tcPr>
          <w:p>
            <w:pPr>
              <w:jc w:val="right"/>
              <w:ind w:right="81"/>
              <w:spacing w:after="0"/>
              <w:rPr>
                <w:sz w:val="20"/>
                <w:szCs w:val="20"/>
                <w:color w:val="auto"/>
              </w:rPr>
            </w:pPr>
            <w:r>
              <w:rPr>
                <w:rFonts w:ascii="Arial" w:cs="Arial" w:eastAsia="Arial" w:hAnsi="Arial"/>
                <w:sz w:val="20"/>
                <w:szCs w:val="20"/>
                <w:color w:val="auto"/>
              </w:rPr>
              <w:t>$</w:t>
            </w:r>
          </w:p>
        </w:tc>
        <w:tc>
          <w:tcPr>
            <w:tcW w:w="1600" w:type="dxa"/>
            <w:vAlign w:val="bottom"/>
            <w:vMerge w:val="restart"/>
          </w:tcPr>
          <w:p>
            <w:pPr>
              <w:jc w:val="right"/>
              <w:spacing w:after="0"/>
              <w:rPr>
                <w:sz w:val="20"/>
                <w:szCs w:val="20"/>
                <w:color w:val="auto"/>
              </w:rPr>
            </w:pPr>
            <w:r>
              <w:rPr>
                <w:rFonts w:ascii="Arial" w:cs="Arial" w:eastAsia="Arial" w:hAnsi="Arial"/>
                <w:sz w:val="20"/>
                <w:szCs w:val="20"/>
                <w:color w:val="auto"/>
              </w:rPr>
              <w:t>(9)</w:t>
            </w:r>
          </w:p>
        </w:tc>
        <w:tc>
          <w:tcPr>
            <w:tcW w:w="540" w:type="dxa"/>
            <w:vAlign w:val="bottom"/>
            <w:gridSpan w:val="2"/>
            <w:vMerge w:val="restart"/>
          </w:tcPr>
          <w:p>
            <w:pPr>
              <w:jc w:val="right"/>
              <w:ind w:right="221"/>
              <w:spacing w:after="0"/>
              <w:rPr>
                <w:sz w:val="20"/>
                <w:szCs w:val="20"/>
                <w:color w:val="auto"/>
              </w:rPr>
            </w:pPr>
            <w:r>
              <w:rPr>
                <w:rFonts w:ascii="Arial" w:cs="Arial" w:eastAsia="Arial" w:hAnsi="Arial"/>
                <w:sz w:val="20"/>
                <w:szCs w:val="20"/>
                <w:color w:val="auto"/>
              </w:rPr>
              <w:t>$</w:t>
            </w:r>
          </w:p>
        </w:tc>
        <w:tc>
          <w:tcPr>
            <w:tcW w:w="1460" w:type="dxa"/>
            <w:vAlign w:val="bottom"/>
            <w:vMerge w:val="restart"/>
          </w:tcPr>
          <w:p>
            <w:pPr>
              <w:jc w:val="right"/>
              <w:spacing w:after="0"/>
              <w:rPr>
                <w:sz w:val="20"/>
                <w:szCs w:val="20"/>
                <w:color w:val="auto"/>
              </w:rPr>
            </w:pPr>
            <w:r>
              <w:rPr>
                <w:rFonts w:ascii="Arial" w:cs="Arial" w:eastAsia="Arial" w:hAnsi="Arial"/>
                <w:sz w:val="20"/>
                <w:szCs w:val="20"/>
                <w:color w:val="auto"/>
              </w:rPr>
              <w:t>(221)</w:t>
            </w:r>
          </w:p>
        </w:tc>
        <w:tc>
          <w:tcPr>
            <w:tcW w:w="0" w:type="dxa"/>
            <w:vAlign w:val="bottom"/>
          </w:tcPr>
          <w:p>
            <w:pPr>
              <w:spacing w:after="0"/>
              <w:rPr>
                <w:sz w:val="1"/>
                <w:szCs w:val="1"/>
                <w:color w:val="auto"/>
              </w:rPr>
            </w:pPr>
          </w:p>
        </w:tc>
      </w:tr>
      <w:tr>
        <w:trPr>
          <w:trHeight w:val="260"/>
        </w:trPr>
        <w:tc>
          <w:tcPr>
            <w:tcW w:w="6280" w:type="dxa"/>
            <w:vAlign w:val="bottom"/>
          </w:tcPr>
          <w:p>
            <w:pPr>
              <w:jc w:val="right"/>
              <w:ind w:right="21"/>
              <w:spacing w:after="0"/>
              <w:rPr>
                <w:sz w:val="20"/>
                <w:szCs w:val="20"/>
                <w:color w:val="auto"/>
              </w:rPr>
            </w:pPr>
            <w:r>
              <w:rPr>
                <w:rFonts w:ascii="Arial" w:cs="Arial" w:eastAsia="Arial" w:hAnsi="Arial"/>
                <w:sz w:val="20"/>
                <w:szCs w:val="20"/>
                <w:color w:val="auto"/>
                <w:w w:val="96"/>
              </w:rPr>
              <w:t xml:space="preserve">financial instruments held as of December 31, </w:t>
            </w:r>
            <w:r>
              <w:rPr>
                <w:rFonts w:ascii="Arial" w:cs="Arial" w:eastAsia="Arial" w:hAnsi="Arial"/>
                <w:sz w:val="20"/>
                <w:szCs w:val="20"/>
                <w:color w:val="BDBDBD"/>
                <w:w w:val="96"/>
              </w:rPr>
              <w:t>. . . . . . . . . . . . . . . . . . . . .</w:t>
            </w:r>
          </w:p>
        </w:tc>
        <w:tc>
          <w:tcPr>
            <w:tcW w:w="340" w:type="dxa"/>
            <w:vAlign w:val="bottom"/>
            <w:vMerge w:val="continue"/>
          </w:tcPr>
          <w:p>
            <w:pPr>
              <w:spacing w:after="0"/>
              <w:rPr>
                <w:sz w:val="22"/>
                <w:szCs w:val="22"/>
                <w:color w:val="auto"/>
              </w:rPr>
            </w:pPr>
          </w:p>
        </w:tc>
        <w:tc>
          <w:tcPr>
            <w:tcW w:w="1600" w:type="dxa"/>
            <w:vAlign w:val="bottom"/>
            <w:vMerge w:val="continue"/>
          </w:tcPr>
          <w:p>
            <w:pPr>
              <w:spacing w:after="0"/>
              <w:rPr>
                <w:sz w:val="22"/>
                <w:szCs w:val="22"/>
                <w:color w:val="auto"/>
              </w:rPr>
            </w:pPr>
          </w:p>
        </w:tc>
        <w:tc>
          <w:tcPr>
            <w:tcW w:w="540" w:type="dxa"/>
            <w:vAlign w:val="bottom"/>
            <w:gridSpan w:val="2"/>
            <w:vMerge w:val="continue"/>
          </w:tcPr>
          <w:p>
            <w:pPr>
              <w:spacing w:after="0"/>
              <w:rPr>
                <w:sz w:val="22"/>
                <w:szCs w:val="22"/>
                <w:color w:val="auto"/>
              </w:rPr>
            </w:pPr>
          </w:p>
        </w:tc>
        <w:tc>
          <w:tcPr>
            <w:tcW w:w="14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3981450</wp:posOffset>
            </wp:positionH>
            <wp:positionV relativeFrom="paragraph">
              <wp:posOffset>-1265555</wp:posOffset>
            </wp:positionV>
            <wp:extent cx="251777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193">
                      <a:extLst>
                        <a:ext uri="{28A0092B-C50C-407E-A947-70E740481C1C}"/>
                      </a:extLst>
                    </a:blip>
                    <a:srcRect/>
                    <a:stretch>
                      <a:fillRect/>
                    </a:stretch>
                  </pic:blipFill>
                  <pic:spPr bwMode="auto">
                    <a:xfrm>
                      <a:off x="0" y="0"/>
                      <a:ext cx="2517775" cy="25400"/>
                    </a:xfrm>
                    <a:prstGeom prst="rect">
                      <a:avLst/>
                    </a:prstGeom>
                    <a:noFill/>
                  </pic:spPr>
                </pic:pic>
              </a:graphicData>
            </a:graphic>
          </wp:anchor>
        </w:drawing>
        <w:drawing>
          <wp:anchor simplePos="0" relativeHeight="251657728" behindDoc="1" locked="0" layoutInCell="0" allowOverlap="1">
            <wp:simplePos x="0" y="0"/>
            <wp:positionH relativeFrom="column">
              <wp:posOffset>3981450</wp:posOffset>
            </wp:positionH>
            <wp:positionV relativeFrom="paragraph">
              <wp:posOffset>-507365</wp:posOffset>
            </wp:positionV>
            <wp:extent cx="251777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194">
                      <a:extLst>
                        <a:ext uri="{28A0092B-C50C-407E-A947-70E740481C1C}"/>
                      </a:extLst>
                    </a:blip>
                    <a:srcRect/>
                    <a:stretch>
                      <a:fillRect/>
                    </a:stretch>
                  </pic:blipFill>
                  <pic:spPr bwMode="auto">
                    <a:xfrm>
                      <a:off x="0" y="0"/>
                      <a:ext cx="2517775" cy="25400"/>
                    </a:xfrm>
                    <a:prstGeom prst="rect">
                      <a:avLst/>
                    </a:prstGeom>
                    <a:noFill/>
                  </pic:spPr>
                </pic:pic>
              </a:graphicData>
            </a:graphic>
          </wp:anchor>
        </w:drawing>
        <w:drawing>
          <wp:anchor simplePos="0" relativeHeight="251657728" behindDoc="1" locked="0" layoutInCell="0" allowOverlap="1">
            <wp:simplePos x="0" y="0"/>
            <wp:positionH relativeFrom="column">
              <wp:posOffset>3981450</wp:posOffset>
            </wp:positionH>
            <wp:positionV relativeFrom="paragraph">
              <wp:posOffset>-330200</wp:posOffset>
            </wp:positionV>
            <wp:extent cx="2517775" cy="508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195">
                      <a:extLst>
                        <a:ext uri="{28A0092B-C50C-407E-A947-70E740481C1C}"/>
                      </a:extLst>
                    </a:blip>
                    <a:srcRect/>
                    <a:stretch>
                      <a:fillRect/>
                    </a:stretch>
                  </pic:blipFill>
                  <pic:spPr bwMode="auto">
                    <a:xfrm>
                      <a:off x="0" y="0"/>
                      <a:ext cx="2517775" cy="50800"/>
                    </a:xfrm>
                    <a:prstGeom prst="rect">
                      <a:avLst/>
                    </a:prstGeom>
                    <a:noFill/>
                  </pic:spPr>
                </pic:pic>
              </a:graphicData>
            </a:graphic>
          </wp:anchor>
        </w:drawing>
      </w:r>
    </w:p>
    <w:p>
      <w:pPr>
        <w:spacing w:after="0" w:line="199" w:lineRule="exact"/>
        <w:rPr>
          <w:sz w:val="20"/>
          <w:szCs w:val="20"/>
          <w:color w:val="auto"/>
        </w:rPr>
      </w:pPr>
    </w:p>
    <w:p>
      <w:pPr>
        <w:ind w:left="100"/>
        <w:spacing w:after="0"/>
        <w:rPr>
          <w:sz w:val="20"/>
          <w:szCs w:val="20"/>
          <w:color w:val="auto"/>
        </w:rPr>
      </w:pPr>
      <w:r>
        <w:rPr>
          <w:rFonts w:ascii="Arial" w:cs="Arial" w:eastAsia="Arial" w:hAnsi="Arial"/>
          <w:sz w:val="20"/>
          <w:szCs w:val="20"/>
          <w:b w:val="1"/>
          <w:bCs w:val="1"/>
          <w:i w:val="1"/>
          <w:iCs w:val="1"/>
          <w:color w:val="auto"/>
        </w:rPr>
        <w:t>Derivative and Financial Instruments Fair Value Measurements</w:t>
      </w:r>
    </w:p>
    <w:p>
      <w:pPr>
        <w:spacing w:after="0" w:line="196" w:lineRule="exact"/>
        <w:rPr>
          <w:sz w:val="20"/>
          <w:szCs w:val="20"/>
          <w:color w:val="auto"/>
        </w:rPr>
      </w:pPr>
    </w:p>
    <w:p>
      <w:pPr>
        <w:jc w:val="both"/>
        <w:ind w:left="100" w:right="20" w:firstLine="448"/>
        <w:spacing w:after="0" w:line="255" w:lineRule="auto"/>
        <w:rPr>
          <w:sz w:val="20"/>
          <w:szCs w:val="20"/>
          <w:color w:val="auto"/>
        </w:rPr>
      </w:pPr>
      <w:r>
        <w:rPr>
          <w:rFonts w:ascii="Arial" w:cs="Arial" w:eastAsia="Arial" w:hAnsi="Arial"/>
          <w:sz w:val="20"/>
          <w:szCs w:val="20"/>
          <w:color w:val="auto"/>
        </w:rPr>
        <w:t>The Company’s contracts are non-exchange-traded and valued using prices provided by external sources. The Company uses quoted observable forward prices to value its energy-related commodity contracts, which includes long-term power commodity contracts and heat rate call option contracts. To the extent that observable forward prices are not available, the quoted prices reflect the average of the forward prices from the prior year, adjusted for inflation. As of December 31, 2023, contracts valued with prices provided by models and other valuation techniques make up 99% of derivative liabilities and 100% of other financial instruments.</w:t>
      </w:r>
    </w:p>
    <w:p>
      <w:pPr>
        <w:spacing w:after="0" w:line="146" w:lineRule="exact"/>
        <w:rPr>
          <w:sz w:val="20"/>
          <w:szCs w:val="20"/>
          <w:color w:val="auto"/>
        </w:rPr>
      </w:pPr>
    </w:p>
    <w:p>
      <w:pPr>
        <w:jc w:val="both"/>
        <w:ind w:left="100" w:right="20" w:firstLine="448"/>
        <w:spacing w:after="0" w:line="257" w:lineRule="auto"/>
        <w:rPr>
          <w:sz w:val="20"/>
          <w:szCs w:val="20"/>
          <w:color w:val="auto"/>
        </w:rPr>
      </w:pPr>
      <w:r>
        <w:rPr>
          <w:rFonts w:ascii="Arial" w:cs="Arial" w:eastAsia="Arial" w:hAnsi="Arial"/>
          <w:sz w:val="20"/>
          <w:szCs w:val="20"/>
          <w:color w:val="auto"/>
        </w:rPr>
        <w:t>The Company’s significant positions classified as Level 3 include physical and financial energy-related commodity contracts executed in illiquid markets. The significant unobservable inputs used in developing fair value include illiquid power tenors and location pricing, which is derived by extrapolating pricing as a basis to liquid locations. The tenor pricing and basis spread are based on observable market data when available or derived from historic prices and forward market prices from similar observable markets when not available.</w:t>
      </w:r>
    </w:p>
    <w:p>
      <w:pPr>
        <w:sectPr>
          <w:pgSz w:w="11880" w:h="15480" w:orient="portrait"/>
          <w:cols w:equalWidth="0" w:num="1">
            <w:col w:w="10320"/>
          </w:cols>
          <w:pgMar w:left="740" w:top="403"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102</w:t>
      </w:r>
    </w:p>
    <w:p>
      <w:pPr>
        <w:sectPr>
          <w:pgSz w:w="11880" w:h="15480" w:orient="portrait"/>
          <w:cols w:equalWidth="0" w:num="1">
            <w:col w:w="10320"/>
          </w:cols>
          <w:pgMar w:left="740" w:top="403" w:right="820" w:bottom="0" w:gutter="0" w:footer="0" w:header="0"/>
          <w:type w:val="continuous"/>
        </w:sectPr>
      </w:pPr>
    </w:p>
    <w:bookmarkStart w:id="104" w:name="page105"/>
    <w:bookmarkEnd w:id="104"/>
    <w:p>
      <w:pPr>
        <w:jc w:val="both"/>
        <w:ind w:left="4" w:firstLine="448"/>
        <w:spacing w:after="0" w:line="280" w:lineRule="auto"/>
        <w:rPr>
          <w:sz w:val="20"/>
          <w:szCs w:val="20"/>
          <w:color w:val="auto"/>
        </w:rPr>
      </w:pPr>
      <w:r>
        <w:rPr>
          <w:rFonts w:ascii="Arial" w:cs="Arial" w:eastAsia="Arial" w:hAnsi="Arial"/>
          <w:sz w:val="20"/>
          <w:szCs w:val="20"/>
          <w:color w:val="auto"/>
        </w:rPr>
        <w:t>The following table quantifies the significant unobservable inputs used in developing the fair value of the Company’s Level 3 positions as of December 31, 2023:</w:t>
      </w:r>
    </w:p>
    <w:p>
      <w:pPr>
        <w:spacing w:after="0" w:line="109" w:lineRule="exact"/>
        <w:rPr>
          <w:sz w:val="20"/>
          <w:szCs w:val="20"/>
          <w:color w:val="auto"/>
        </w:rPr>
      </w:pPr>
    </w:p>
    <w:tbl>
      <w:tblPr>
        <w:tblLayout w:type="fixed"/>
        <w:tblInd w:w="4" w:type="dxa"/>
        <w:tblCellMar>
          <w:top w:w="0" w:type="dxa"/>
          <w:left w:w="0" w:type="dxa"/>
          <w:bottom w:w="0" w:type="dxa"/>
          <w:right w:w="0" w:type="dxa"/>
        </w:tblCellMar>
      </w:tblPr>
      <w:tr>
        <w:trPr>
          <w:trHeight w:val="242"/>
        </w:trPr>
        <w:tc>
          <w:tcPr>
            <w:tcW w:w="202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December 31, 2023</w:t>
            </w:r>
          </w:p>
        </w:tc>
        <w:tc>
          <w:tcPr>
            <w:tcW w:w="10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20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1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Input/Range</w:t>
            </w: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40" w:type="dxa"/>
            <w:vAlign w:val="bottom"/>
            <w:vMerge w:val="restart"/>
          </w:tcPr>
          <w:p>
            <w:pPr>
              <w:ind w:left="300"/>
              <w:spacing w:after="0"/>
              <w:rPr>
                <w:sz w:val="20"/>
                <w:szCs w:val="20"/>
                <w:color w:val="auto"/>
              </w:rPr>
            </w:pPr>
            <w:r>
              <w:rPr>
                <w:rFonts w:ascii="Arial" w:cs="Arial" w:eastAsia="Arial" w:hAnsi="Arial"/>
                <w:sz w:val="18"/>
                <w:szCs w:val="18"/>
                <w:b w:val="1"/>
                <w:bCs w:val="1"/>
                <w:color w:val="auto"/>
              </w:rPr>
              <w:t>Valuation</w:t>
            </w:r>
          </w:p>
        </w:tc>
        <w:tc>
          <w:tcPr>
            <w:tcW w:w="132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89"/>
              </w:rPr>
              <w:t>Significant</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179"/>
        </w:trPr>
        <w:tc>
          <w:tcPr>
            <w:tcW w:w="20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15"/>
                <w:szCs w:val="15"/>
                <w:color w:val="auto"/>
              </w:rPr>
            </w:pPr>
          </w:p>
        </w:tc>
        <w:tc>
          <w:tcPr>
            <w:tcW w:w="100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rPr>
              <w:t>Liabilities</w:t>
            </w:r>
          </w:p>
        </w:tc>
        <w:tc>
          <w:tcPr>
            <w:tcW w:w="1340" w:type="dxa"/>
            <w:vAlign w:val="bottom"/>
            <w:vMerge w:val="continue"/>
          </w:tcPr>
          <w:p>
            <w:pPr>
              <w:spacing w:after="0"/>
              <w:rPr>
                <w:sz w:val="15"/>
                <w:szCs w:val="15"/>
                <w:color w:val="auto"/>
              </w:rPr>
            </w:pPr>
          </w:p>
        </w:tc>
        <w:tc>
          <w:tcPr>
            <w:tcW w:w="1320" w:type="dxa"/>
            <w:vAlign w:val="bottom"/>
          </w:tcPr>
          <w:p>
            <w:pPr>
              <w:jc w:val="center"/>
              <w:spacing w:after="0" w:line="179" w:lineRule="exact"/>
              <w:rPr>
                <w:sz w:val="20"/>
                <w:szCs w:val="20"/>
                <w:color w:val="auto"/>
              </w:rPr>
            </w:pPr>
            <w:r>
              <w:rPr>
                <w:rFonts w:ascii="Arial" w:cs="Arial" w:eastAsia="Arial" w:hAnsi="Arial"/>
                <w:sz w:val="18"/>
                <w:szCs w:val="18"/>
                <w:b w:val="1"/>
                <w:bCs w:val="1"/>
                <w:color w:val="auto"/>
                <w:w w:val="89"/>
              </w:rPr>
              <w:t>Unobservable</w:t>
            </w:r>
          </w:p>
        </w:tc>
        <w:tc>
          <w:tcPr>
            <w:tcW w:w="180" w:type="dxa"/>
            <w:vAlign w:val="bottom"/>
          </w:tcPr>
          <w:p>
            <w:pPr>
              <w:spacing w:after="0"/>
              <w:rPr>
                <w:sz w:val="15"/>
                <w:szCs w:val="15"/>
                <w:color w:val="auto"/>
              </w:rPr>
            </w:pPr>
          </w:p>
        </w:tc>
        <w:tc>
          <w:tcPr>
            <w:tcW w:w="102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Low</w:t>
            </w:r>
          </w:p>
        </w:tc>
        <w:tc>
          <w:tcPr>
            <w:tcW w:w="260" w:type="dxa"/>
            <w:vAlign w:val="bottom"/>
          </w:tcPr>
          <w:p>
            <w:pPr>
              <w:spacing w:after="0"/>
              <w:rPr>
                <w:sz w:val="15"/>
                <w:szCs w:val="15"/>
                <w:color w:val="auto"/>
              </w:rPr>
            </w:pPr>
          </w:p>
        </w:tc>
        <w:tc>
          <w:tcPr>
            <w:tcW w:w="900" w:type="dxa"/>
            <w:vAlign w:val="bottom"/>
            <w:vMerge w:val="restart"/>
          </w:tcPr>
          <w:p>
            <w:pPr>
              <w:jc w:val="center"/>
              <w:ind w:right="190"/>
              <w:spacing w:after="0"/>
              <w:rPr>
                <w:sz w:val="20"/>
                <w:szCs w:val="20"/>
                <w:color w:val="auto"/>
              </w:rPr>
            </w:pPr>
            <w:r>
              <w:rPr>
                <w:rFonts w:ascii="Arial" w:cs="Arial" w:eastAsia="Arial" w:hAnsi="Arial"/>
                <w:sz w:val="18"/>
                <w:szCs w:val="18"/>
                <w:b w:val="1"/>
                <w:bCs w:val="1"/>
                <w:color w:val="auto"/>
                <w:w w:val="94"/>
              </w:rPr>
              <w:t>High</w:t>
            </w:r>
          </w:p>
        </w:tc>
        <w:tc>
          <w:tcPr>
            <w:tcW w:w="1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20" w:type="dxa"/>
            <w:vAlign w:val="bottom"/>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vMerge w:val="continue"/>
          </w:tcPr>
          <w:p>
            <w:pPr>
              <w:spacing w:after="0"/>
              <w:rPr>
                <w:sz w:val="20"/>
                <w:szCs w:val="20"/>
                <w:color w:val="auto"/>
              </w:rPr>
            </w:pPr>
          </w:p>
        </w:tc>
        <w:tc>
          <w:tcPr>
            <w:tcW w:w="13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Technique</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Input</w:t>
            </w: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81"/>
        </w:trPr>
        <w:tc>
          <w:tcPr>
            <w:tcW w:w="2020" w:type="dxa"/>
            <w:vAlign w:val="bottom"/>
          </w:tcPr>
          <w:p>
            <w:pPr>
              <w:spacing w:after="0"/>
              <w:rPr>
                <w:sz w:val="24"/>
                <w:szCs w:val="24"/>
                <w:color w:val="auto"/>
              </w:rPr>
            </w:pPr>
          </w:p>
        </w:tc>
        <w:tc>
          <w:tcPr>
            <w:tcW w:w="198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(In millions)</w:t>
            </w: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20" w:type="dxa"/>
            <w:vAlign w:val="bottom"/>
            <w:shd w:val="clear" w:color="auto" w:fill="E6E6E6"/>
          </w:tcPr>
          <w:p>
            <w:pPr>
              <w:ind w:left="40"/>
              <w:spacing w:after="0"/>
              <w:rPr>
                <w:sz w:val="20"/>
                <w:szCs w:val="20"/>
                <w:color w:val="auto"/>
              </w:rPr>
            </w:pPr>
            <w:r>
              <w:rPr>
                <w:rFonts w:ascii="Arial" w:cs="Arial" w:eastAsia="Arial" w:hAnsi="Arial"/>
                <w:sz w:val="18"/>
                <w:szCs w:val="18"/>
                <w:b w:val="1"/>
                <w:bCs w:val="1"/>
                <w:color w:val="auto"/>
              </w:rPr>
              <w:t>Long-term Power</w:t>
            </w:r>
          </w:p>
        </w:tc>
        <w:tc>
          <w:tcPr>
            <w:tcW w:w="740" w:type="dxa"/>
            <w:vAlign w:val="bottom"/>
            <w:vMerge w:val="restart"/>
            <w:shd w:val="clear" w:color="auto" w:fill="E6E6E6"/>
          </w:tcPr>
          <w:p>
            <w:pPr>
              <w:jc w:val="right"/>
              <w:ind w:right="510"/>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E6E6E6"/>
          </w:tcPr>
          <w:p>
            <w:pPr>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325</w:t>
            </w:r>
          </w:p>
        </w:tc>
        <w:tc>
          <w:tcPr>
            <w:tcW w:w="1340" w:type="dxa"/>
            <w:vAlign w:val="bottom"/>
            <w:shd w:val="clear" w:color="auto" w:fill="E6E6E6"/>
          </w:tcPr>
          <w:p>
            <w:pPr>
              <w:ind w:left="60"/>
              <w:spacing w:after="0"/>
              <w:rPr>
                <w:sz w:val="20"/>
                <w:szCs w:val="20"/>
                <w:color w:val="auto"/>
              </w:rPr>
            </w:pPr>
            <w:r>
              <w:rPr>
                <w:rFonts w:ascii="Arial" w:cs="Arial" w:eastAsia="Arial" w:hAnsi="Arial"/>
                <w:sz w:val="18"/>
                <w:szCs w:val="18"/>
                <w:color w:val="auto"/>
                <w:w w:val="91"/>
              </w:rPr>
              <w:t>Discounted Cash</w:t>
            </w:r>
          </w:p>
        </w:tc>
        <w:tc>
          <w:tcPr>
            <w:tcW w:w="132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2"/>
              </w:rPr>
              <w:t>Forward Market</w:t>
            </w:r>
          </w:p>
        </w:tc>
        <w:tc>
          <w:tcPr>
            <w:tcW w:w="18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18.18</w:t>
            </w:r>
          </w:p>
        </w:tc>
        <w:tc>
          <w:tcPr>
            <w:tcW w:w="260" w:type="dxa"/>
            <w:vAlign w:val="bottom"/>
            <w:vMerge w:val="restart"/>
            <w:shd w:val="clear" w:color="auto" w:fill="E6E6E6"/>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81.62</w:t>
            </w:r>
          </w:p>
        </w:tc>
        <w:tc>
          <w:tcPr>
            <w:tcW w:w="18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39.91</w:t>
            </w:r>
          </w:p>
        </w:tc>
        <w:tc>
          <w:tcPr>
            <w:tcW w:w="0" w:type="dxa"/>
            <w:vAlign w:val="bottom"/>
          </w:tcPr>
          <w:p>
            <w:pPr>
              <w:spacing w:after="0"/>
              <w:rPr>
                <w:sz w:val="1"/>
                <w:szCs w:val="1"/>
                <w:color w:val="auto"/>
              </w:rPr>
            </w:pPr>
          </w:p>
        </w:tc>
      </w:tr>
      <w:tr>
        <w:trPr>
          <w:trHeight w:val="248"/>
        </w:trPr>
        <w:tc>
          <w:tcPr>
            <w:tcW w:w="2020" w:type="dxa"/>
            <w:vAlign w:val="bottom"/>
            <w:shd w:val="clear" w:color="auto" w:fill="E6E6E6"/>
          </w:tcPr>
          <w:p>
            <w:pPr>
              <w:ind w:left="40"/>
              <w:spacing w:after="0"/>
              <w:rPr>
                <w:sz w:val="20"/>
                <w:szCs w:val="20"/>
                <w:color w:val="auto"/>
              </w:rPr>
            </w:pPr>
            <w:r>
              <w:rPr>
                <w:rFonts w:ascii="Arial" w:cs="Arial" w:eastAsia="Arial" w:hAnsi="Arial"/>
                <w:sz w:val="18"/>
                <w:szCs w:val="18"/>
                <w:b w:val="1"/>
                <w:bCs w:val="1"/>
                <w:color w:val="auto"/>
              </w:rPr>
              <w:t>Commodity Contracts</w:t>
            </w:r>
          </w:p>
        </w:tc>
        <w:tc>
          <w:tcPr>
            <w:tcW w:w="740" w:type="dxa"/>
            <w:vAlign w:val="bottom"/>
            <w:vMerge w:val="continue"/>
            <w:shd w:val="clear" w:color="auto" w:fill="E6E6E6"/>
          </w:tcPr>
          <w:p>
            <w:pPr>
              <w:spacing w:after="0"/>
              <w:rPr>
                <w:sz w:val="21"/>
                <w:szCs w:val="21"/>
                <w:color w:val="auto"/>
              </w:rPr>
            </w:pPr>
          </w:p>
        </w:tc>
        <w:tc>
          <w:tcPr>
            <w:tcW w:w="240" w:type="dxa"/>
            <w:vAlign w:val="bottom"/>
            <w:vMerge w:val="continue"/>
            <w:shd w:val="clear" w:color="auto" w:fill="E6E6E6"/>
          </w:tcPr>
          <w:p>
            <w:pPr>
              <w:spacing w:after="0"/>
              <w:rPr>
                <w:sz w:val="21"/>
                <w:szCs w:val="21"/>
                <w:color w:val="auto"/>
              </w:rPr>
            </w:pPr>
          </w:p>
        </w:tc>
        <w:tc>
          <w:tcPr>
            <w:tcW w:w="220" w:type="dxa"/>
            <w:vAlign w:val="bottom"/>
            <w:vMerge w:val="continue"/>
            <w:shd w:val="clear" w:color="auto" w:fill="E6E6E6"/>
          </w:tcPr>
          <w:p>
            <w:pPr>
              <w:spacing w:after="0"/>
              <w:rPr>
                <w:sz w:val="21"/>
                <w:szCs w:val="21"/>
                <w:color w:val="auto"/>
              </w:rPr>
            </w:pPr>
          </w:p>
        </w:tc>
        <w:tc>
          <w:tcPr>
            <w:tcW w:w="780" w:type="dxa"/>
            <w:vAlign w:val="bottom"/>
            <w:vMerge w:val="continue"/>
            <w:shd w:val="clear" w:color="auto" w:fill="E6E6E6"/>
          </w:tcPr>
          <w:p>
            <w:pPr>
              <w:spacing w:after="0"/>
              <w:rPr>
                <w:sz w:val="21"/>
                <w:szCs w:val="21"/>
                <w:color w:val="auto"/>
              </w:rPr>
            </w:pPr>
          </w:p>
        </w:tc>
        <w:tc>
          <w:tcPr>
            <w:tcW w:w="1340" w:type="dxa"/>
            <w:vAlign w:val="bottom"/>
            <w:shd w:val="clear" w:color="auto" w:fill="E6E6E6"/>
          </w:tcPr>
          <w:p>
            <w:pPr>
              <w:ind w:left="60"/>
              <w:spacing w:after="0"/>
              <w:rPr>
                <w:sz w:val="20"/>
                <w:szCs w:val="20"/>
                <w:color w:val="auto"/>
              </w:rPr>
            </w:pPr>
            <w:r>
              <w:rPr>
                <w:rFonts w:ascii="Arial" w:cs="Arial" w:eastAsia="Arial" w:hAnsi="Arial"/>
                <w:sz w:val="18"/>
                <w:szCs w:val="18"/>
                <w:color w:val="auto"/>
              </w:rPr>
              <w:t>Flow</w:t>
            </w:r>
          </w:p>
        </w:tc>
        <w:tc>
          <w:tcPr>
            <w:tcW w:w="132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3"/>
              </w:rPr>
              <w:t>Price (per MWh)</w:t>
            </w:r>
          </w:p>
        </w:tc>
        <w:tc>
          <w:tcPr>
            <w:tcW w:w="180" w:type="dxa"/>
            <w:vAlign w:val="bottom"/>
            <w:vMerge w:val="continue"/>
            <w:shd w:val="clear" w:color="auto" w:fill="E6E6E6"/>
          </w:tcPr>
          <w:p>
            <w:pPr>
              <w:spacing w:after="0"/>
              <w:rPr>
                <w:sz w:val="21"/>
                <w:szCs w:val="21"/>
                <w:color w:val="auto"/>
              </w:rPr>
            </w:pPr>
          </w:p>
        </w:tc>
        <w:tc>
          <w:tcPr>
            <w:tcW w:w="1020" w:type="dxa"/>
            <w:vAlign w:val="bottom"/>
            <w:vMerge w:val="continue"/>
            <w:shd w:val="clear" w:color="auto" w:fill="E6E6E6"/>
          </w:tcPr>
          <w:p>
            <w:pPr>
              <w:spacing w:after="0"/>
              <w:rPr>
                <w:sz w:val="21"/>
                <w:szCs w:val="21"/>
                <w:color w:val="auto"/>
              </w:rPr>
            </w:pPr>
          </w:p>
        </w:tc>
        <w:tc>
          <w:tcPr>
            <w:tcW w:w="260" w:type="dxa"/>
            <w:vAlign w:val="bottom"/>
            <w:vMerge w:val="continue"/>
            <w:shd w:val="clear" w:color="auto" w:fill="E6E6E6"/>
          </w:tcPr>
          <w:p>
            <w:pPr>
              <w:spacing w:after="0"/>
              <w:rPr>
                <w:sz w:val="21"/>
                <w:szCs w:val="21"/>
                <w:color w:val="auto"/>
              </w:rPr>
            </w:pPr>
          </w:p>
        </w:tc>
        <w:tc>
          <w:tcPr>
            <w:tcW w:w="900" w:type="dxa"/>
            <w:vAlign w:val="bottom"/>
            <w:vMerge w:val="continue"/>
            <w:shd w:val="clear" w:color="auto" w:fill="E6E6E6"/>
          </w:tcPr>
          <w:p>
            <w:pPr>
              <w:spacing w:after="0"/>
              <w:rPr>
                <w:sz w:val="21"/>
                <w:szCs w:val="21"/>
                <w:color w:val="auto"/>
              </w:rPr>
            </w:pPr>
          </w:p>
        </w:tc>
        <w:tc>
          <w:tcPr>
            <w:tcW w:w="180" w:type="dxa"/>
            <w:vAlign w:val="bottom"/>
            <w:vMerge w:val="continue"/>
            <w:shd w:val="clear" w:color="auto" w:fill="E6E6E6"/>
          </w:tcPr>
          <w:p>
            <w:pPr>
              <w:spacing w:after="0"/>
              <w:rPr>
                <w:sz w:val="21"/>
                <w:szCs w:val="21"/>
                <w:color w:val="auto"/>
              </w:rPr>
            </w:pPr>
          </w:p>
        </w:tc>
        <w:tc>
          <w:tcPr>
            <w:tcW w:w="1000" w:type="dxa"/>
            <w:vAlign w:val="bottom"/>
            <w:vMerge w:val="continue"/>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20" w:type="dxa"/>
            <w:vAlign w:val="bottom"/>
          </w:tcPr>
          <w:p>
            <w:pPr>
              <w:ind w:left="40"/>
              <w:spacing w:after="0"/>
              <w:rPr>
                <w:sz w:val="20"/>
                <w:szCs w:val="20"/>
                <w:color w:val="auto"/>
              </w:rPr>
            </w:pPr>
            <w:r>
              <w:rPr>
                <w:rFonts w:ascii="Arial" w:cs="Arial" w:eastAsia="Arial" w:hAnsi="Arial"/>
                <w:sz w:val="18"/>
                <w:szCs w:val="18"/>
                <w:b w:val="1"/>
                <w:bCs w:val="1"/>
                <w:color w:val="auto"/>
              </w:rPr>
              <w:t>Heat Rate Call Option</w:t>
            </w:r>
          </w:p>
        </w:tc>
        <w:tc>
          <w:tcPr>
            <w:tcW w:w="740" w:type="dxa"/>
            <w:vAlign w:val="bottom"/>
          </w:tcPr>
          <w:p>
            <w:pPr>
              <w:spacing w:after="0"/>
              <w:rPr>
                <w:sz w:val="18"/>
                <w:szCs w:val="18"/>
                <w:color w:val="auto"/>
              </w:rPr>
            </w:pPr>
          </w:p>
        </w:tc>
        <w:tc>
          <w:tcPr>
            <w:tcW w:w="240" w:type="dxa"/>
            <w:vAlign w:val="bottom"/>
            <w:vMerge w:val="restart"/>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340" w:type="dxa"/>
            <w:vAlign w:val="bottom"/>
            <w:vMerge w:val="restart"/>
          </w:tcPr>
          <w:p>
            <w:pPr>
              <w:ind w:left="60"/>
              <w:spacing w:after="0"/>
              <w:rPr>
                <w:sz w:val="20"/>
                <w:szCs w:val="20"/>
                <w:color w:val="auto"/>
              </w:rPr>
            </w:pPr>
            <w:r>
              <w:rPr>
                <w:rFonts w:ascii="Arial" w:cs="Arial" w:eastAsia="Arial" w:hAnsi="Arial"/>
                <w:sz w:val="18"/>
                <w:szCs w:val="18"/>
                <w:color w:val="auto"/>
              </w:rPr>
              <w:t>Option Model</w:t>
            </w: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Forward Market</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(43.96)</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343.61</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64.34</w:t>
            </w:r>
          </w:p>
        </w:tc>
        <w:tc>
          <w:tcPr>
            <w:tcW w:w="0" w:type="dxa"/>
            <w:vAlign w:val="bottom"/>
          </w:tcPr>
          <w:p>
            <w:pPr>
              <w:spacing w:after="0"/>
              <w:rPr>
                <w:sz w:val="1"/>
                <w:szCs w:val="1"/>
                <w:color w:val="auto"/>
              </w:rPr>
            </w:pPr>
          </w:p>
        </w:tc>
      </w:tr>
      <w:tr>
        <w:trPr>
          <w:trHeight w:val="243"/>
        </w:trPr>
        <w:tc>
          <w:tcPr>
            <w:tcW w:w="2020" w:type="dxa"/>
            <w:vAlign w:val="bottom"/>
          </w:tcPr>
          <w:p>
            <w:pPr>
              <w:ind w:left="40"/>
              <w:spacing w:after="0"/>
              <w:rPr>
                <w:sz w:val="20"/>
                <w:szCs w:val="20"/>
                <w:color w:val="auto"/>
              </w:rPr>
            </w:pPr>
            <w:r>
              <w:rPr>
                <w:rFonts w:ascii="Arial" w:cs="Arial" w:eastAsia="Arial" w:hAnsi="Arial"/>
                <w:sz w:val="18"/>
                <w:szCs w:val="18"/>
                <w:b w:val="1"/>
                <w:bCs w:val="1"/>
                <w:color w:val="auto"/>
              </w:rPr>
              <w:t>Commodity Contracts</w:t>
            </w:r>
          </w:p>
        </w:tc>
        <w:tc>
          <w:tcPr>
            <w:tcW w:w="74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1340" w:type="dxa"/>
            <w:vAlign w:val="bottom"/>
            <w:vMerge w:val="continue"/>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3"/>
              </w:rPr>
              <w:t>Price (per MWh)</w:t>
            </w:r>
          </w:p>
        </w:tc>
        <w:tc>
          <w:tcPr>
            <w:tcW w:w="180" w:type="dxa"/>
            <w:vAlign w:val="bottom"/>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26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180" w:type="dxa"/>
            <w:vAlign w:val="bottom"/>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20" w:type="dxa"/>
            <w:vAlign w:val="bottom"/>
            <w:shd w:val="clear" w:color="auto" w:fill="E6E6E6"/>
          </w:tcPr>
          <w:p>
            <w:pPr>
              <w:spacing w:after="0"/>
              <w:rPr>
                <w:sz w:val="19"/>
                <w:szCs w:val="19"/>
                <w:color w:val="auto"/>
              </w:rPr>
            </w:pPr>
          </w:p>
        </w:tc>
        <w:tc>
          <w:tcPr>
            <w:tcW w:w="74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220" w:type="dxa"/>
            <w:vAlign w:val="bottom"/>
            <w:shd w:val="clear" w:color="auto" w:fill="E6E6E6"/>
          </w:tcPr>
          <w:p>
            <w:pPr>
              <w:spacing w:after="0"/>
              <w:rPr>
                <w:sz w:val="19"/>
                <w:szCs w:val="19"/>
                <w:color w:val="auto"/>
              </w:rPr>
            </w:pPr>
          </w:p>
        </w:tc>
        <w:tc>
          <w:tcPr>
            <w:tcW w:w="780" w:type="dxa"/>
            <w:vAlign w:val="bottom"/>
            <w:shd w:val="clear" w:color="auto" w:fill="E6E6E6"/>
          </w:tcPr>
          <w:p>
            <w:pPr>
              <w:spacing w:after="0"/>
              <w:rPr>
                <w:sz w:val="19"/>
                <w:szCs w:val="19"/>
                <w:color w:val="auto"/>
              </w:rPr>
            </w:pPr>
          </w:p>
        </w:tc>
        <w:tc>
          <w:tcPr>
            <w:tcW w:w="1340" w:type="dxa"/>
            <w:vAlign w:val="bottom"/>
            <w:shd w:val="clear" w:color="auto" w:fill="E6E6E6"/>
          </w:tcPr>
          <w:p>
            <w:pPr>
              <w:spacing w:after="0"/>
              <w:rPr>
                <w:sz w:val="19"/>
                <w:szCs w:val="19"/>
                <w:color w:val="auto"/>
              </w:rPr>
            </w:pPr>
          </w:p>
        </w:tc>
        <w:tc>
          <w:tcPr>
            <w:tcW w:w="132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2"/>
              </w:rPr>
              <w:t>Forward Market</w:t>
            </w:r>
          </w:p>
        </w:tc>
        <w:tc>
          <w:tcPr>
            <w:tcW w:w="180" w:type="dxa"/>
            <w:vAlign w:val="bottom"/>
            <w:shd w:val="clear" w:color="auto" w:fill="E6E6E6"/>
          </w:tcPr>
          <w:p>
            <w:pPr>
              <w:spacing w:after="0"/>
              <w:rPr>
                <w:sz w:val="19"/>
                <w:szCs w:val="19"/>
                <w:color w:val="auto"/>
              </w:rPr>
            </w:pPr>
          </w:p>
        </w:tc>
        <w:tc>
          <w:tcPr>
            <w:tcW w:w="10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90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100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2020" w:type="dxa"/>
            <w:vAlign w:val="bottom"/>
            <w:shd w:val="clear" w:color="auto" w:fill="E6E6E6"/>
          </w:tcPr>
          <w:p>
            <w:pPr>
              <w:spacing w:after="0"/>
              <w:rPr>
                <w:sz w:val="15"/>
                <w:szCs w:val="15"/>
                <w:color w:val="auto"/>
              </w:rPr>
            </w:pPr>
          </w:p>
        </w:tc>
        <w:tc>
          <w:tcPr>
            <w:tcW w:w="740" w:type="dxa"/>
            <w:vAlign w:val="bottom"/>
            <w:shd w:val="clear" w:color="auto" w:fill="E6E6E6"/>
          </w:tcPr>
          <w:p>
            <w:pPr>
              <w:spacing w:after="0"/>
              <w:rPr>
                <w:sz w:val="15"/>
                <w:szCs w:val="15"/>
                <w:color w:val="auto"/>
              </w:rPr>
            </w:pPr>
          </w:p>
        </w:tc>
        <w:tc>
          <w:tcPr>
            <w:tcW w:w="240" w:type="dxa"/>
            <w:vAlign w:val="bottom"/>
            <w:shd w:val="clear" w:color="auto" w:fill="E6E6E6"/>
          </w:tcPr>
          <w:p>
            <w:pPr>
              <w:spacing w:after="0"/>
              <w:rPr>
                <w:sz w:val="15"/>
                <w:szCs w:val="15"/>
                <w:color w:val="auto"/>
              </w:rPr>
            </w:pPr>
          </w:p>
        </w:tc>
        <w:tc>
          <w:tcPr>
            <w:tcW w:w="220" w:type="dxa"/>
            <w:vAlign w:val="bottom"/>
            <w:shd w:val="clear" w:color="auto" w:fill="E6E6E6"/>
          </w:tcPr>
          <w:p>
            <w:pPr>
              <w:spacing w:after="0"/>
              <w:rPr>
                <w:sz w:val="15"/>
                <w:szCs w:val="15"/>
                <w:color w:val="auto"/>
              </w:rPr>
            </w:pPr>
          </w:p>
        </w:tc>
        <w:tc>
          <w:tcPr>
            <w:tcW w:w="780" w:type="dxa"/>
            <w:vAlign w:val="bottom"/>
            <w:shd w:val="clear" w:color="auto" w:fill="E6E6E6"/>
          </w:tcPr>
          <w:p>
            <w:pPr>
              <w:spacing w:after="0"/>
              <w:rPr>
                <w:sz w:val="15"/>
                <w:szCs w:val="15"/>
                <w:color w:val="auto"/>
              </w:rPr>
            </w:pPr>
          </w:p>
        </w:tc>
        <w:tc>
          <w:tcPr>
            <w:tcW w:w="1340" w:type="dxa"/>
            <w:vAlign w:val="bottom"/>
            <w:vMerge w:val="restart"/>
            <w:shd w:val="clear" w:color="auto" w:fill="E6E6E6"/>
          </w:tcPr>
          <w:p>
            <w:pPr>
              <w:ind w:left="60"/>
              <w:spacing w:after="0"/>
              <w:rPr>
                <w:sz w:val="20"/>
                <w:szCs w:val="20"/>
                <w:color w:val="auto"/>
              </w:rPr>
            </w:pPr>
            <w:r>
              <w:rPr>
                <w:rFonts w:ascii="Arial" w:cs="Arial" w:eastAsia="Arial" w:hAnsi="Arial"/>
                <w:sz w:val="18"/>
                <w:szCs w:val="18"/>
                <w:color w:val="auto"/>
              </w:rPr>
              <w:t>Option Model</w:t>
            </w:r>
          </w:p>
        </w:tc>
        <w:tc>
          <w:tcPr>
            <w:tcW w:w="1320" w:type="dxa"/>
            <w:vAlign w:val="bottom"/>
            <w:shd w:val="clear" w:color="auto" w:fill="E6E6E6"/>
          </w:tcPr>
          <w:p>
            <w:pPr>
              <w:jc w:val="center"/>
              <w:spacing w:after="0" w:line="179" w:lineRule="exact"/>
              <w:rPr>
                <w:sz w:val="20"/>
                <w:szCs w:val="20"/>
                <w:color w:val="auto"/>
              </w:rPr>
            </w:pPr>
            <w:r>
              <w:rPr>
                <w:rFonts w:ascii="Arial" w:cs="Arial" w:eastAsia="Arial" w:hAnsi="Arial"/>
                <w:sz w:val="18"/>
                <w:szCs w:val="18"/>
                <w:color w:val="auto"/>
                <w:w w:val="89"/>
              </w:rPr>
              <w:t>Price (per</w:t>
            </w:r>
          </w:p>
        </w:tc>
        <w:tc>
          <w:tcPr>
            <w:tcW w:w="18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1.25</w:t>
            </w:r>
          </w:p>
        </w:tc>
        <w:tc>
          <w:tcPr>
            <w:tcW w:w="260" w:type="dxa"/>
            <w:vAlign w:val="bottom"/>
            <w:vMerge w:val="restart"/>
            <w:shd w:val="clear" w:color="auto" w:fill="E6E6E6"/>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13.69</w:t>
            </w:r>
          </w:p>
        </w:tc>
        <w:tc>
          <w:tcPr>
            <w:tcW w:w="18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48"/>
        </w:trPr>
        <w:tc>
          <w:tcPr>
            <w:tcW w:w="2020" w:type="dxa"/>
            <w:vAlign w:val="bottom"/>
            <w:shd w:val="clear" w:color="auto" w:fill="E6E6E6"/>
          </w:tcPr>
          <w:p>
            <w:pPr>
              <w:spacing w:after="0"/>
              <w:rPr>
                <w:sz w:val="21"/>
                <w:szCs w:val="21"/>
                <w:color w:val="auto"/>
              </w:rPr>
            </w:pPr>
          </w:p>
        </w:tc>
        <w:tc>
          <w:tcPr>
            <w:tcW w:w="74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780" w:type="dxa"/>
            <w:vAlign w:val="bottom"/>
            <w:shd w:val="clear" w:color="auto" w:fill="E6E6E6"/>
          </w:tcPr>
          <w:p>
            <w:pPr>
              <w:spacing w:after="0"/>
              <w:rPr>
                <w:sz w:val="21"/>
                <w:szCs w:val="21"/>
                <w:color w:val="auto"/>
              </w:rPr>
            </w:pPr>
          </w:p>
        </w:tc>
        <w:tc>
          <w:tcPr>
            <w:tcW w:w="1340" w:type="dxa"/>
            <w:vAlign w:val="bottom"/>
            <w:vMerge w:val="continue"/>
            <w:shd w:val="clear" w:color="auto" w:fill="E6E6E6"/>
          </w:tcPr>
          <w:p>
            <w:pPr>
              <w:spacing w:after="0"/>
              <w:rPr>
                <w:sz w:val="21"/>
                <w:szCs w:val="21"/>
                <w:color w:val="auto"/>
              </w:rPr>
            </w:pPr>
          </w:p>
        </w:tc>
        <w:tc>
          <w:tcPr>
            <w:tcW w:w="1320" w:type="dxa"/>
            <w:vAlign w:val="bottom"/>
            <w:shd w:val="clear" w:color="auto" w:fill="E6E6E6"/>
          </w:tcPr>
          <w:p>
            <w:pPr>
              <w:jc w:val="center"/>
              <w:spacing w:after="0"/>
              <w:rPr>
                <w:sz w:val="20"/>
                <w:szCs w:val="20"/>
                <w:color w:val="auto"/>
              </w:rPr>
            </w:pPr>
            <w:r>
              <w:rPr>
                <w:rFonts w:ascii="Arial" w:cs="Arial" w:eastAsia="Arial" w:hAnsi="Arial"/>
                <w:sz w:val="18"/>
                <w:szCs w:val="18"/>
                <w:color w:val="auto"/>
              </w:rPr>
              <w:t>MMBtu)</w:t>
            </w:r>
          </w:p>
        </w:tc>
        <w:tc>
          <w:tcPr>
            <w:tcW w:w="180" w:type="dxa"/>
            <w:vAlign w:val="bottom"/>
            <w:vMerge w:val="continue"/>
            <w:shd w:val="clear" w:color="auto" w:fill="E6E6E6"/>
          </w:tcPr>
          <w:p>
            <w:pPr>
              <w:spacing w:after="0"/>
              <w:rPr>
                <w:sz w:val="21"/>
                <w:szCs w:val="21"/>
                <w:color w:val="auto"/>
              </w:rPr>
            </w:pPr>
          </w:p>
        </w:tc>
        <w:tc>
          <w:tcPr>
            <w:tcW w:w="1020" w:type="dxa"/>
            <w:vAlign w:val="bottom"/>
            <w:vMerge w:val="continue"/>
            <w:shd w:val="clear" w:color="auto" w:fill="E6E6E6"/>
          </w:tcPr>
          <w:p>
            <w:pPr>
              <w:spacing w:after="0"/>
              <w:rPr>
                <w:sz w:val="21"/>
                <w:szCs w:val="21"/>
                <w:color w:val="auto"/>
              </w:rPr>
            </w:pPr>
          </w:p>
        </w:tc>
        <w:tc>
          <w:tcPr>
            <w:tcW w:w="260" w:type="dxa"/>
            <w:vAlign w:val="bottom"/>
            <w:vMerge w:val="continue"/>
            <w:shd w:val="clear" w:color="auto" w:fill="E6E6E6"/>
          </w:tcPr>
          <w:p>
            <w:pPr>
              <w:spacing w:after="0"/>
              <w:rPr>
                <w:sz w:val="21"/>
                <w:szCs w:val="21"/>
                <w:color w:val="auto"/>
              </w:rPr>
            </w:pPr>
          </w:p>
        </w:tc>
        <w:tc>
          <w:tcPr>
            <w:tcW w:w="900" w:type="dxa"/>
            <w:vAlign w:val="bottom"/>
            <w:vMerge w:val="continue"/>
            <w:shd w:val="clear" w:color="auto" w:fill="E6E6E6"/>
          </w:tcPr>
          <w:p>
            <w:pPr>
              <w:spacing w:after="0"/>
              <w:rPr>
                <w:sz w:val="21"/>
                <w:szCs w:val="21"/>
                <w:color w:val="auto"/>
              </w:rPr>
            </w:pPr>
          </w:p>
        </w:tc>
        <w:tc>
          <w:tcPr>
            <w:tcW w:w="180" w:type="dxa"/>
            <w:vAlign w:val="bottom"/>
            <w:vMerge w:val="continue"/>
            <w:shd w:val="clear" w:color="auto" w:fill="E6E6E6"/>
          </w:tcPr>
          <w:p>
            <w:pPr>
              <w:spacing w:after="0"/>
              <w:rPr>
                <w:sz w:val="21"/>
                <w:szCs w:val="21"/>
                <w:color w:val="auto"/>
              </w:rPr>
            </w:pPr>
          </w:p>
        </w:tc>
        <w:tc>
          <w:tcPr>
            <w:tcW w:w="1000" w:type="dxa"/>
            <w:vAlign w:val="bottom"/>
            <w:vMerge w:val="continue"/>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6"/>
              </w:rPr>
              <w:t>Forecast annual</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0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Other Financial</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40" w:type="dxa"/>
            <w:vAlign w:val="bottom"/>
            <w:vMerge w:val="restart"/>
          </w:tcPr>
          <w:p>
            <w:pPr>
              <w:ind w:left="60"/>
              <w:spacing w:after="0"/>
              <w:rPr>
                <w:sz w:val="20"/>
                <w:szCs w:val="20"/>
                <w:color w:val="auto"/>
              </w:rPr>
            </w:pPr>
            <w:r>
              <w:rPr>
                <w:rFonts w:ascii="Arial" w:cs="Arial" w:eastAsia="Arial" w:hAnsi="Arial"/>
                <w:sz w:val="18"/>
                <w:szCs w:val="18"/>
                <w:color w:val="auto"/>
                <w:w w:val="91"/>
              </w:rPr>
              <w:t>Discounted Cash</w:t>
            </w:r>
          </w:p>
        </w:tc>
        <w:tc>
          <w:tcPr>
            <w:tcW w:w="1320" w:type="dxa"/>
            <w:vAlign w:val="bottom"/>
          </w:tcPr>
          <w:p>
            <w:pPr>
              <w:jc w:val="center"/>
              <w:spacing w:after="0" w:line="179" w:lineRule="exact"/>
              <w:rPr>
                <w:sz w:val="20"/>
                <w:szCs w:val="20"/>
                <w:color w:val="auto"/>
              </w:rPr>
            </w:pPr>
            <w:r>
              <w:rPr>
                <w:rFonts w:ascii="Arial" w:cs="Arial" w:eastAsia="Arial" w:hAnsi="Arial"/>
                <w:sz w:val="18"/>
                <w:szCs w:val="18"/>
                <w:color w:val="auto"/>
                <w:w w:val="89"/>
              </w:rPr>
              <w:t>generation levels</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2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vMerge w:val="restart"/>
          </w:tcPr>
          <w:p>
            <w:pPr>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340" w:type="dxa"/>
            <w:vAlign w:val="bottom"/>
            <w:vMerge w:val="continue"/>
          </w:tcPr>
          <w:p>
            <w:pPr>
              <w:spacing w:after="0"/>
              <w:rPr>
                <w:sz w:val="15"/>
                <w:szCs w:val="15"/>
                <w:color w:val="auto"/>
              </w:rPr>
            </w:pPr>
          </w:p>
        </w:tc>
        <w:tc>
          <w:tcPr>
            <w:tcW w:w="1320" w:type="dxa"/>
            <w:vAlign w:val="bottom"/>
          </w:tcPr>
          <w:p>
            <w:pPr>
              <w:jc w:val="center"/>
              <w:spacing w:after="0" w:line="179" w:lineRule="exact"/>
              <w:rPr>
                <w:sz w:val="20"/>
                <w:szCs w:val="20"/>
                <w:color w:val="auto"/>
              </w:rPr>
            </w:pPr>
            <w:r>
              <w:rPr>
                <w:rFonts w:ascii="Arial" w:cs="Arial" w:eastAsia="Arial" w:hAnsi="Arial"/>
                <w:sz w:val="18"/>
                <w:szCs w:val="18"/>
                <w:color w:val="auto"/>
                <w:w w:val="92"/>
              </w:rPr>
              <w:t>of certain DG</w:t>
            </w:r>
          </w:p>
        </w:tc>
        <w:tc>
          <w:tcPr>
            <w:tcW w:w="1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w w:val="92"/>
              </w:rPr>
              <w:t>60,801 MWh</w:t>
            </w:r>
          </w:p>
        </w:tc>
        <w:tc>
          <w:tcPr>
            <w:tcW w:w="1160" w:type="dxa"/>
            <w:vAlign w:val="bottom"/>
            <w:gridSpan w:val="2"/>
            <w:vMerge w:val="restart"/>
          </w:tcPr>
          <w:p>
            <w:pPr>
              <w:jc w:val="center"/>
              <w:spacing w:after="0"/>
              <w:rPr>
                <w:sz w:val="20"/>
                <w:szCs w:val="20"/>
                <w:color w:val="auto"/>
              </w:rPr>
            </w:pPr>
            <w:r>
              <w:rPr>
                <w:rFonts w:ascii="Arial" w:cs="Arial" w:eastAsia="Arial" w:hAnsi="Arial"/>
                <w:sz w:val="18"/>
                <w:szCs w:val="18"/>
                <w:color w:val="auto"/>
                <w:w w:val="94"/>
              </w:rPr>
              <w:t>121,602 MWh</w:t>
            </w:r>
          </w:p>
        </w:tc>
        <w:tc>
          <w:tcPr>
            <w:tcW w:w="1180" w:type="dxa"/>
            <w:vAlign w:val="bottom"/>
            <w:gridSpan w:val="2"/>
            <w:vMerge w:val="restart"/>
          </w:tcPr>
          <w:p>
            <w:pPr>
              <w:jc w:val="center"/>
              <w:spacing w:after="0"/>
              <w:rPr>
                <w:sz w:val="20"/>
                <w:szCs w:val="20"/>
                <w:color w:val="auto"/>
              </w:rPr>
            </w:pPr>
            <w:r>
              <w:rPr>
                <w:rFonts w:ascii="Arial" w:cs="Arial" w:eastAsia="Arial" w:hAnsi="Arial"/>
                <w:sz w:val="18"/>
                <w:szCs w:val="18"/>
                <w:color w:val="auto"/>
                <w:w w:val="94"/>
              </w:rPr>
              <w:t>115,622 MWh</w:t>
            </w:r>
          </w:p>
        </w:tc>
        <w:tc>
          <w:tcPr>
            <w:tcW w:w="0" w:type="dxa"/>
            <w:vAlign w:val="bottom"/>
          </w:tcPr>
          <w:p>
            <w:pPr>
              <w:spacing w:after="0"/>
              <w:rPr>
                <w:sz w:val="1"/>
                <w:szCs w:val="1"/>
                <w:color w:val="auto"/>
              </w:rPr>
            </w:pPr>
          </w:p>
        </w:tc>
      </w:tr>
      <w:tr>
        <w:trPr>
          <w:trHeight w:val="238"/>
        </w:trPr>
        <w:tc>
          <w:tcPr>
            <w:tcW w:w="2020" w:type="dxa"/>
            <w:vAlign w:val="bottom"/>
          </w:tcPr>
          <w:p>
            <w:pPr>
              <w:ind w:left="40"/>
              <w:spacing w:after="0"/>
              <w:rPr>
                <w:sz w:val="20"/>
                <w:szCs w:val="20"/>
                <w:color w:val="auto"/>
              </w:rPr>
            </w:pPr>
            <w:r>
              <w:rPr>
                <w:rFonts w:ascii="Arial" w:cs="Arial" w:eastAsia="Arial" w:hAnsi="Arial"/>
                <w:sz w:val="18"/>
                <w:szCs w:val="18"/>
                <w:b w:val="1"/>
                <w:bCs w:val="1"/>
                <w:color w:val="auto"/>
              </w:rPr>
              <w:t>Instruments</w:t>
            </w:r>
          </w:p>
        </w:tc>
        <w:tc>
          <w:tcPr>
            <w:tcW w:w="74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1340" w:type="dxa"/>
            <w:vAlign w:val="bottom"/>
          </w:tcPr>
          <w:p>
            <w:pPr>
              <w:ind w:left="60"/>
              <w:spacing w:after="0"/>
              <w:rPr>
                <w:sz w:val="20"/>
                <w:szCs w:val="20"/>
                <w:color w:val="auto"/>
              </w:rPr>
            </w:pPr>
            <w:r>
              <w:rPr>
                <w:rFonts w:ascii="Arial" w:cs="Arial" w:eastAsia="Arial" w:hAnsi="Arial"/>
                <w:sz w:val="18"/>
                <w:szCs w:val="18"/>
                <w:color w:val="auto"/>
              </w:rPr>
              <w:t>Flow</w:t>
            </w: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solar facilities</w:t>
            </w:r>
          </w:p>
        </w:tc>
        <w:tc>
          <w:tcPr>
            <w:tcW w:w="18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jc w:val="both"/>
        <w:ind w:left="4" w:firstLine="448"/>
        <w:spacing w:after="0" w:line="280" w:lineRule="auto"/>
        <w:rPr>
          <w:sz w:val="20"/>
          <w:szCs w:val="20"/>
          <w:color w:val="auto"/>
        </w:rPr>
      </w:pPr>
      <w:r>
        <w:rPr>
          <w:rFonts w:ascii="Arial" w:cs="Arial" w:eastAsia="Arial" w:hAnsi="Arial"/>
          <w:sz w:val="20"/>
          <w:szCs w:val="20"/>
          <w:color w:val="auto"/>
        </w:rPr>
        <w:t>The following table provides the impact on the fair value measurements to increases/(decreases) in significant unobservable inputs as of December 31, 2023:</w:t>
      </w:r>
    </w:p>
    <w:p>
      <w:pPr>
        <w:spacing w:after="0" w:line="101"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2400" w:type="dxa"/>
            <w:vAlign w:val="bottom"/>
            <w:vMerge w:val="restart"/>
          </w:tcPr>
          <w:p>
            <w:pPr>
              <w:ind w:left="1080"/>
              <w:spacing w:after="0"/>
              <w:rPr>
                <w:sz w:val="20"/>
                <w:szCs w:val="20"/>
                <w:color w:val="auto"/>
              </w:rPr>
            </w:pPr>
            <w:r>
              <w:rPr>
                <w:rFonts w:ascii="Arial" w:cs="Arial" w:eastAsia="Arial" w:hAnsi="Arial"/>
                <w:sz w:val="18"/>
                <w:szCs w:val="18"/>
                <w:b w:val="1"/>
                <w:bCs w:val="1"/>
                <w:color w:val="auto"/>
              </w:rPr>
              <w:t>Type</w:t>
            </w:r>
          </w:p>
        </w:tc>
        <w:tc>
          <w:tcPr>
            <w:tcW w:w="2640" w:type="dxa"/>
            <w:vAlign w:val="bottom"/>
            <w:vMerge w:val="restart"/>
          </w:tcPr>
          <w:p>
            <w:pPr>
              <w:jc w:val="center"/>
              <w:ind w:left="130"/>
              <w:spacing w:after="0"/>
              <w:rPr>
                <w:sz w:val="20"/>
                <w:szCs w:val="20"/>
                <w:color w:val="auto"/>
              </w:rPr>
            </w:pPr>
            <w:r>
              <w:rPr>
                <w:rFonts w:ascii="Arial" w:cs="Arial" w:eastAsia="Arial" w:hAnsi="Arial"/>
                <w:sz w:val="18"/>
                <w:szCs w:val="18"/>
                <w:b w:val="1"/>
                <w:bCs w:val="1"/>
                <w:color w:val="auto"/>
                <w:w w:val="90"/>
              </w:rPr>
              <w:t>Significant Observable Input</w:t>
            </w:r>
          </w:p>
        </w:tc>
        <w:tc>
          <w:tcPr>
            <w:tcW w:w="9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Position</w:t>
            </w:r>
          </w:p>
        </w:tc>
        <w:tc>
          <w:tcPr>
            <w:tcW w:w="194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2"/>
              </w:rPr>
              <w:t>Change In Input</w:t>
            </w: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3"/>
              </w:rPr>
              <w:t>Impact on Fair Value</w:t>
            </w:r>
          </w:p>
        </w:tc>
        <w:tc>
          <w:tcPr>
            <w:tcW w:w="0" w:type="dxa"/>
            <w:vAlign w:val="bottom"/>
          </w:tcPr>
          <w:p>
            <w:pPr>
              <w:spacing w:after="0"/>
              <w:rPr>
                <w:sz w:val="1"/>
                <w:szCs w:val="1"/>
                <w:color w:val="auto"/>
              </w:rPr>
            </w:pPr>
          </w:p>
        </w:tc>
      </w:tr>
      <w:tr>
        <w:trPr>
          <w:trHeight w:val="238"/>
        </w:trPr>
        <w:tc>
          <w:tcPr>
            <w:tcW w:w="2400" w:type="dxa"/>
            <w:vAlign w:val="bottom"/>
            <w:tcBorders>
              <w:bottom w:val="single" w:sz="8" w:color="auto"/>
            </w:tcBorders>
            <w:vMerge w:val="continue"/>
          </w:tcPr>
          <w:p>
            <w:pPr>
              <w:spacing w:after="0"/>
              <w:rPr>
                <w:sz w:val="20"/>
                <w:szCs w:val="20"/>
                <w:color w:val="auto"/>
              </w:rPr>
            </w:pPr>
          </w:p>
        </w:tc>
        <w:tc>
          <w:tcPr>
            <w:tcW w:w="264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1940" w:type="dxa"/>
            <w:vAlign w:val="bottom"/>
            <w:tcBorders>
              <w:bottom w:val="single" w:sz="8" w:color="auto"/>
            </w:tcBorders>
            <w:vMerge w:val="continue"/>
          </w:tcPr>
          <w:p>
            <w:pPr>
              <w:spacing w:after="0"/>
              <w:rPr>
                <w:sz w:val="20"/>
                <w:szCs w:val="20"/>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Measurement</w:t>
            </w:r>
          </w:p>
        </w:tc>
        <w:tc>
          <w:tcPr>
            <w:tcW w:w="0" w:type="dxa"/>
            <w:vAlign w:val="bottom"/>
          </w:tcPr>
          <w:p>
            <w:pPr>
              <w:spacing w:after="0"/>
              <w:rPr>
                <w:sz w:val="1"/>
                <w:szCs w:val="1"/>
                <w:color w:val="auto"/>
              </w:rPr>
            </w:pPr>
          </w:p>
        </w:tc>
      </w:tr>
      <w:tr>
        <w:trPr>
          <w:trHeight w:val="205"/>
        </w:trPr>
        <w:tc>
          <w:tcPr>
            <w:tcW w:w="2400" w:type="dxa"/>
            <w:vAlign w:val="bottom"/>
            <w:shd w:val="clear" w:color="auto" w:fill="E6E6E6"/>
          </w:tcPr>
          <w:p>
            <w:pPr>
              <w:ind w:left="40"/>
              <w:spacing w:after="0" w:line="205" w:lineRule="exact"/>
              <w:rPr>
                <w:sz w:val="20"/>
                <w:szCs w:val="20"/>
                <w:color w:val="auto"/>
              </w:rPr>
            </w:pPr>
            <w:r>
              <w:rPr>
                <w:rFonts w:ascii="Arial" w:cs="Arial" w:eastAsia="Arial" w:hAnsi="Arial"/>
                <w:sz w:val="18"/>
                <w:szCs w:val="18"/>
                <w:color w:val="auto"/>
              </w:rPr>
              <w:t>Energy-Related Commodity</w:t>
            </w:r>
          </w:p>
        </w:tc>
        <w:tc>
          <w:tcPr>
            <w:tcW w:w="2640" w:type="dxa"/>
            <w:vAlign w:val="bottom"/>
            <w:vMerge w:val="restart"/>
            <w:shd w:val="clear" w:color="auto" w:fill="E6E6E6"/>
          </w:tcPr>
          <w:p>
            <w:pPr>
              <w:jc w:val="center"/>
              <w:ind w:left="110"/>
              <w:spacing w:after="0"/>
              <w:rPr>
                <w:sz w:val="20"/>
                <w:szCs w:val="20"/>
                <w:color w:val="auto"/>
              </w:rPr>
            </w:pPr>
            <w:r>
              <w:rPr>
                <w:rFonts w:ascii="Arial" w:cs="Arial" w:eastAsia="Arial" w:hAnsi="Arial"/>
                <w:sz w:val="18"/>
                <w:szCs w:val="18"/>
                <w:color w:val="auto"/>
                <w:w w:val="91"/>
              </w:rPr>
              <w:t>Forward Market Price Power</w:t>
            </w:r>
          </w:p>
        </w:tc>
        <w:tc>
          <w:tcPr>
            <w:tcW w:w="920" w:type="dxa"/>
            <w:vAlign w:val="bottom"/>
            <w:vMerge w:val="restart"/>
            <w:shd w:val="clear" w:color="auto" w:fill="E6E6E6"/>
          </w:tcPr>
          <w:p>
            <w:pPr>
              <w:jc w:val="center"/>
              <w:spacing w:after="0"/>
              <w:rPr>
                <w:sz w:val="20"/>
                <w:szCs w:val="20"/>
                <w:color w:val="auto"/>
              </w:rPr>
            </w:pPr>
            <w:r>
              <w:rPr>
                <w:rFonts w:ascii="Arial" w:cs="Arial" w:eastAsia="Arial" w:hAnsi="Arial"/>
                <w:sz w:val="18"/>
                <w:szCs w:val="18"/>
                <w:color w:val="auto"/>
                <w:w w:val="93"/>
              </w:rPr>
              <w:t>Sell</w:t>
            </w:r>
          </w:p>
        </w:tc>
        <w:tc>
          <w:tcPr>
            <w:tcW w:w="1940" w:type="dxa"/>
            <w:vAlign w:val="bottom"/>
            <w:vMerge w:val="restart"/>
            <w:shd w:val="clear" w:color="auto" w:fill="E6E6E6"/>
          </w:tcPr>
          <w:p>
            <w:pPr>
              <w:jc w:val="center"/>
              <w:ind w:right="30"/>
              <w:spacing w:after="0"/>
              <w:rPr>
                <w:sz w:val="20"/>
                <w:szCs w:val="20"/>
                <w:color w:val="auto"/>
              </w:rPr>
            </w:pPr>
            <w:r>
              <w:rPr>
                <w:rFonts w:ascii="Arial" w:cs="Arial" w:eastAsia="Arial" w:hAnsi="Arial"/>
                <w:sz w:val="18"/>
                <w:szCs w:val="18"/>
                <w:color w:val="auto"/>
                <w:w w:val="87"/>
              </w:rPr>
              <w:t>Increase/(Decrease)</w:t>
            </w:r>
          </w:p>
        </w:tc>
        <w:tc>
          <w:tcPr>
            <w:tcW w:w="2300" w:type="dxa"/>
            <w:vAlign w:val="bottom"/>
            <w:vMerge w:val="restart"/>
            <w:shd w:val="clear" w:color="auto" w:fill="E6E6E6"/>
          </w:tcPr>
          <w:p>
            <w:pPr>
              <w:jc w:val="center"/>
              <w:spacing w:after="0"/>
              <w:rPr>
                <w:sz w:val="20"/>
                <w:szCs w:val="20"/>
                <w:color w:val="auto"/>
              </w:rPr>
            </w:pPr>
            <w:r>
              <w:rPr>
                <w:rFonts w:ascii="Arial" w:cs="Arial" w:eastAsia="Arial" w:hAnsi="Arial"/>
                <w:sz w:val="18"/>
                <w:szCs w:val="18"/>
                <w:color w:val="auto"/>
                <w:w w:val="95"/>
              </w:rPr>
              <w:t>Lower/(Higher)</w:t>
            </w:r>
          </w:p>
        </w:tc>
        <w:tc>
          <w:tcPr>
            <w:tcW w:w="0" w:type="dxa"/>
            <w:vAlign w:val="bottom"/>
          </w:tcPr>
          <w:p>
            <w:pPr>
              <w:spacing w:after="0"/>
              <w:rPr>
                <w:sz w:val="1"/>
                <w:szCs w:val="1"/>
                <w:color w:val="auto"/>
              </w:rPr>
            </w:pPr>
          </w:p>
        </w:tc>
      </w:tr>
      <w:tr>
        <w:trPr>
          <w:trHeight w:val="248"/>
        </w:trPr>
        <w:tc>
          <w:tcPr>
            <w:tcW w:w="2400" w:type="dxa"/>
            <w:vAlign w:val="bottom"/>
            <w:shd w:val="clear" w:color="auto" w:fill="E6E6E6"/>
          </w:tcPr>
          <w:p>
            <w:pPr>
              <w:ind w:left="40"/>
              <w:spacing w:after="0"/>
              <w:rPr>
                <w:sz w:val="20"/>
                <w:szCs w:val="20"/>
                <w:color w:val="auto"/>
              </w:rPr>
            </w:pPr>
            <w:r>
              <w:rPr>
                <w:rFonts w:ascii="Arial" w:cs="Arial" w:eastAsia="Arial" w:hAnsi="Arial"/>
                <w:sz w:val="18"/>
                <w:szCs w:val="18"/>
                <w:color w:val="auto"/>
              </w:rPr>
              <w:t>Contracts</w:t>
            </w:r>
          </w:p>
        </w:tc>
        <w:tc>
          <w:tcPr>
            <w:tcW w:w="2640" w:type="dxa"/>
            <w:vAlign w:val="bottom"/>
            <w:vMerge w:val="continue"/>
            <w:shd w:val="clear" w:color="auto" w:fill="E6E6E6"/>
          </w:tcPr>
          <w:p>
            <w:pPr>
              <w:spacing w:after="0"/>
              <w:rPr>
                <w:sz w:val="21"/>
                <w:szCs w:val="21"/>
                <w:color w:val="auto"/>
              </w:rPr>
            </w:pPr>
          </w:p>
        </w:tc>
        <w:tc>
          <w:tcPr>
            <w:tcW w:w="920" w:type="dxa"/>
            <w:vAlign w:val="bottom"/>
            <w:vMerge w:val="continue"/>
            <w:shd w:val="clear" w:color="auto" w:fill="E6E6E6"/>
          </w:tcPr>
          <w:p>
            <w:pPr>
              <w:spacing w:after="0"/>
              <w:rPr>
                <w:sz w:val="21"/>
                <w:szCs w:val="21"/>
                <w:color w:val="auto"/>
              </w:rPr>
            </w:pPr>
          </w:p>
        </w:tc>
        <w:tc>
          <w:tcPr>
            <w:tcW w:w="1940" w:type="dxa"/>
            <w:vAlign w:val="bottom"/>
            <w:vMerge w:val="continue"/>
            <w:shd w:val="clear" w:color="auto" w:fill="E6E6E6"/>
          </w:tcPr>
          <w:p>
            <w:pPr>
              <w:spacing w:after="0"/>
              <w:rPr>
                <w:sz w:val="21"/>
                <w:szCs w:val="21"/>
                <w:color w:val="auto"/>
              </w:rPr>
            </w:pPr>
          </w:p>
        </w:tc>
        <w:tc>
          <w:tcPr>
            <w:tcW w:w="2300" w:type="dxa"/>
            <w:vAlign w:val="bottom"/>
            <w:vMerge w:val="continue"/>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400" w:type="dxa"/>
            <w:vAlign w:val="bottom"/>
          </w:tcPr>
          <w:p>
            <w:pPr>
              <w:ind w:left="40"/>
              <w:spacing w:after="0"/>
              <w:rPr>
                <w:sz w:val="20"/>
                <w:szCs w:val="20"/>
                <w:color w:val="auto"/>
              </w:rPr>
            </w:pPr>
            <w:r>
              <w:rPr>
                <w:rFonts w:ascii="Arial" w:cs="Arial" w:eastAsia="Arial" w:hAnsi="Arial"/>
                <w:sz w:val="18"/>
                <w:szCs w:val="18"/>
                <w:color w:val="auto"/>
              </w:rPr>
              <w:t>Energy-Related Commodity</w:t>
            </w:r>
          </w:p>
        </w:tc>
        <w:tc>
          <w:tcPr>
            <w:tcW w:w="2640" w:type="dxa"/>
            <w:vAlign w:val="bottom"/>
            <w:vMerge w:val="restart"/>
          </w:tcPr>
          <w:p>
            <w:pPr>
              <w:jc w:val="center"/>
              <w:ind w:left="130"/>
              <w:spacing w:after="0"/>
              <w:rPr>
                <w:sz w:val="20"/>
                <w:szCs w:val="20"/>
                <w:color w:val="auto"/>
              </w:rPr>
            </w:pPr>
            <w:r>
              <w:rPr>
                <w:rFonts w:ascii="Arial" w:cs="Arial" w:eastAsia="Arial" w:hAnsi="Arial"/>
                <w:sz w:val="18"/>
                <w:szCs w:val="18"/>
                <w:color w:val="auto"/>
                <w:w w:val="90"/>
              </w:rPr>
              <w:t>Forward Market Price Gas</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3"/>
              </w:rPr>
              <w:t>Sell</w:t>
            </w:r>
          </w:p>
        </w:tc>
        <w:tc>
          <w:tcPr>
            <w:tcW w:w="1940" w:type="dxa"/>
            <w:vAlign w:val="bottom"/>
            <w:vMerge w:val="restart"/>
          </w:tcPr>
          <w:p>
            <w:pPr>
              <w:jc w:val="center"/>
              <w:ind w:right="30"/>
              <w:spacing w:after="0"/>
              <w:rPr>
                <w:sz w:val="20"/>
                <w:szCs w:val="20"/>
                <w:color w:val="auto"/>
              </w:rPr>
            </w:pPr>
            <w:r>
              <w:rPr>
                <w:rFonts w:ascii="Arial" w:cs="Arial" w:eastAsia="Arial" w:hAnsi="Arial"/>
                <w:sz w:val="18"/>
                <w:szCs w:val="18"/>
                <w:color w:val="auto"/>
                <w:w w:val="87"/>
              </w:rPr>
              <w:t>Increase/(Decrease)</w:t>
            </w:r>
          </w:p>
        </w:tc>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95"/>
              </w:rPr>
              <w:t>Higher/(Lower)</w:t>
            </w:r>
          </w:p>
        </w:tc>
        <w:tc>
          <w:tcPr>
            <w:tcW w:w="0" w:type="dxa"/>
            <w:vAlign w:val="bottom"/>
          </w:tcPr>
          <w:p>
            <w:pPr>
              <w:spacing w:after="0"/>
              <w:rPr>
                <w:sz w:val="1"/>
                <w:szCs w:val="1"/>
                <w:color w:val="auto"/>
              </w:rPr>
            </w:pPr>
          </w:p>
        </w:tc>
      </w:tr>
      <w:tr>
        <w:trPr>
          <w:trHeight w:val="241"/>
        </w:trPr>
        <w:tc>
          <w:tcPr>
            <w:tcW w:w="2400" w:type="dxa"/>
            <w:vAlign w:val="bottom"/>
          </w:tcPr>
          <w:p>
            <w:pPr>
              <w:ind w:left="40"/>
              <w:spacing w:after="0"/>
              <w:rPr>
                <w:sz w:val="20"/>
                <w:szCs w:val="20"/>
                <w:color w:val="auto"/>
              </w:rPr>
            </w:pPr>
            <w:r>
              <w:rPr>
                <w:rFonts w:ascii="Arial" w:cs="Arial" w:eastAsia="Arial" w:hAnsi="Arial"/>
                <w:sz w:val="18"/>
                <w:szCs w:val="18"/>
                <w:color w:val="auto"/>
              </w:rPr>
              <w:t>Contracts</w:t>
            </w:r>
          </w:p>
        </w:tc>
        <w:tc>
          <w:tcPr>
            <w:tcW w:w="264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1940" w:type="dxa"/>
            <w:vAlign w:val="bottom"/>
            <w:vMerge w:val="continue"/>
          </w:tcPr>
          <w:p>
            <w:pPr>
              <w:spacing w:after="0"/>
              <w:rPr>
                <w:sz w:val="20"/>
                <w:szCs w:val="20"/>
                <w:color w:val="auto"/>
              </w:rPr>
            </w:pPr>
          </w:p>
        </w:tc>
        <w:tc>
          <w:tcPr>
            <w:tcW w:w="2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2400" w:type="dxa"/>
            <w:vAlign w:val="bottom"/>
            <w:shd w:val="clear" w:color="auto" w:fill="E6E6E6"/>
          </w:tcPr>
          <w:p>
            <w:pPr>
              <w:ind w:left="40"/>
              <w:spacing w:after="0"/>
              <w:rPr>
                <w:sz w:val="20"/>
                <w:szCs w:val="20"/>
                <w:color w:val="auto"/>
              </w:rPr>
            </w:pPr>
            <w:r>
              <w:rPr>
                <w:rFonts w:ascii="Arial" w:cs="Arial" w:eastAsia="Arial" w:hAnsi="Arial"/>
                <w:sz w:val="18"/>
                <w:szCs w:val="18"/>
                <w:color w:val="auto"/>
              </w:rPr>
              <w:t>Other Financial Instruments</w:t>
            </w:r>
          </w:p>
        </w:tc>
        <w:tc>
          <w:tcPr>
            <w:tcW w:w="2640" w:type="dxa"/>
            <w:vAlign w:val="bottom"/>
            <w:shd w:val="clear" w:color="auto" w:fill="E6E6E6"/>
          </w:tcPr>
          <w:p>
            <w:pPr>
              <w:jc w:val="center"/>
              <w:ind w:left="110"/>
              <w:spacing w:after="0"/>
              <w:rPr>
                <w:sz w:val="20"/>
                <w:szCs w:val="20"/>
                <w:color w:val="auto"/>
              </w:rPr>
            </w:pPr>
            <w:r>
              <w:rPr>
                <w:rFonts w:ascii="Arial" w:cs="Arial" w:eastAsia="Arial" w:hAnsi="Arial"/>
                <w:sz w:val="18"/>
                <w:szCs w:val="18"/>
                <w:color w:val="auto"/>
                <w:w w:val="88"/>
              </w:rPr>
              <w:t>Forecast Generation Levels</w:t>
            </w:r>
          </w:p>
        </w:tc>
        <w:tc>
          <w:tcPr>
            <w:tcW w:w="92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3"/>
              </w:rPr>
              <w:t>Sell</w:t>
            </w:r>
          </w:p>
        </w:tc>
        <w:tc>
          <w:tcPr>
            <w:tcW w:w="1940" w:type="dxa"/>
            <w:vAlign w:val="bottom"/>
            <w:shd w:val="clear" w:color="auto" w:fill="E6E6E6"/>
          </w:tcPr>
          <w:p>
            <w:pPr>
              <w:jc w:val="center"/>
              <w:ind w:right="30"/>
              <w:spacing w:after="0"/>
              <w:rPr>
                <w:sz w:val="20"/>
                <w:szCs w:val="20"/>
                <w:color w:val="auto"/>
              </w:rPr>
            </w:pPr>
            <w:r>
              <w:rPr>
                <w:rFonts w:ascii="Arial" w:cs="Arial" w:eastAsia="Arial" w:hAnsi="Arial"/>
                <w:sz w:val="18"/>
                <w:szCs w:val="18"/>
                <w:color w:val="auto"/>
                <w:w w:val="87"/>
              </w:rPr>
              <w:t>Increase/(Decrease)</w:t>
            </w:r>
          </w:p>
        </w:tc>
        <w:tc>
          <w:tcPr>
            <w:tcW w:w="230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95"/>
              </w:rPr>
              <w:t>Higher/(Lower)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-779780</wp:posOffset>
            </wp:positionV>
            <wp:extent cx="650811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196">
                      <a:extLst>
                        <a:ext uri="{28A0092B-C50C-407E-A947-70E740481C1C}"/>
                      </a:extLst>
                    </a:blip>
                    <a:srcRect/>
                    <a:stretch>
                      <a:fillRect/>
                    </a:stretch>
                  </pic:blipFill>
                  <pic:spPr bwMode="auto">
                    <a:xfrm>
                      <a:off x="0" y="0"/>
                      <a:ext cx="6508115" cy="25400"/>
                    </a:xfrm>
                    <a:prstGeom prst="rect">
                      <a:avLst/>
                    </a:prstGeom>
                    <a:noFill/>
                  </pic:spPr>
                </pic:pic>
              </a:graphicData>
            </a:graphic>
          </wp:anchor>
        </w:drawing>
      </w:r>
    </w:p>
    <w:p>
      <w:pPr>
        <w:spacing w:after="0" w:line="196" w:lineRule="exact"/>
        <w:rPr>
          <w:sz w:val="20"/>
          <w:szCs w:val="20"/>
          <w:color w:val="auto"/>
        </w:rPr>
      </w:pPr>
    </w:p>
    <w:p>
      <w:pPr>
        <w:jc w:val="both"/>
        <w:ind w:left="4" w:firstLine="448"/>
        <w:spacing w:after="0" w:line="284" w:lineRule="auto"/>
        <w:rPr>
          <w:sz w:val="20"/>
          <w:szCs w:val="20"/>
          <w:color w:val="auto"/>
        </w:rPr>
      </w:pPr>
      <w:r>
        <w:rPr>
          <w:rFonts w:ascii="Arial" w:cs="Arial" w:eastAsia="Arial" w:hAnsi="Arial"/>
          <w:sz w:val="18"/>
          <w:szCs w:val="18"/>
          <w:color w:val="auto"/>
        </w:rPr>
        <w:t>The fair value of each contract is discounted using a risk-free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a proxy of its own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December 31, 2023, the non-performance reserve was a $15 million gain recorded primarily to total operating revenues in the consolidated statements of income. It is possible that future market prices could vary from those used in recording assets and liabilities and such variations could be material.</w:t>
      </w:r>
    </w:p>
    <w:p>
      <w:pPr>
        <w:spacing w:after="0" w:line="116" w:lineRule="exact"/>
        <w:rPr>
          <w:sz w:val="20"/>
          <w:szCs w:val="20"/>
          <w:color w:val="auto"/>
        </w:rPr>
      </w:pPr>
    </w:p>
    <w:p>
      <w:pPr>
        <w:ind w:left="4"/>
        <w:spacing w:after="0"/>
        <w:rPr>
          <w:sz w:val="20"/>
          <w:szCs w:val="20"/>
          <w:color w:val="auto"/>
        </w:rPr>
      </w:pPr>
      <w:r>
        <w:rPr>
          <w:rFonts w:ascii="Arial" w:cs="Arial" w:eastAsia="Arial" w:hAnsi="Arial"/>
          <w:sz w:val="20"/>
          <w:szCs w:val="20"/>
          <w:b w:val="1"/>
          <w:bCs w:val="1"/>
          <w:i w:val="1"/>
          <w:iCs w:val="1"/>
          <w:color w:val="auto"/>
        </w:rPr>
        <w:t>Concentration of Credit Risk</w:t>
      </w:r>
    </w:p>
    <w:p>
      <w:pPr>
        <w:spacing w:after="0" w:line="193" w:lineRule="exact"/>
        <w:rPr>
          <w:sz w:val="20"/>
          <w:szCs w:val="20"/>
          <w:color w:val="auto"/>
        </w:rPr>
      </w:pPr>
    </w:p>
    <w:p>
      <w:pPr>
        <w:jc w:val="both"/>
        <w:ind w:left="4" w:firstLine="448"/>
        <w:spacing w:after="0" w:line="294" w:lineRule="auto"/>
        <w:rPr>
          <w:sz w:val="20"/>
          <w:szCs w:val="20"/>
          <w:color w:val="auto"/>
        </w:rPr>
      </w:pPr>
      <w:r>
        <w:rPr>
          <w:rFonts w:ascii="Arial" w:cs="Arial" w:eastAsia="Arial" w:hAnsi="Arial"/>
          <w:sz w:val="17"/>
          <w:szCs w:val="17"/>
          <w:color w:val="auto"/>
        </w:rPr>
        <w:t xml:space="preserve">In addition to the credit risk discussion as disclosed in Note 2, </w:t>
      </w:r>
      <w:r>
        <w:rPr>
          <w:rFonts w:ascii="Arial" w:cs="Arial" w:eastAsia="Arial" w:hAnsi="Arial"/>
          <w:sz w:val="17"/>
          <w:szCs w:val="17"/>
          <w:b w:val="1"/>
          <w:bCs w:val="1"/>
          <w:i w:val="1"/>
          <w:iCs w:val="1"/>
          <w:color w:val="auto"/>
        </w:rPr>
        <w:t>Summary of Significant Accounting Policies</w:t>
      </w:r>
      <w:r>
        <w:rPr>
          <w:rFonts w:ascii="Arial" w:cs="Arial" w:eastAsia="Arial" w:hAnsi="Arial"/>
          <w:sz w:val="17"/>
          <w:szCs w:val="17"/>
          <w:color w:val="auto"/>
        </w:rPr>
        <w:t>, the following item is a discussion of the concentration of credit risk for the Company’s financial instruments. Credit risk relates to the risk of loss resulting from non-performance or non-payment by counterparties pursuant to the terms of their contractual obligations. The Company monitors and manages credit risk through credit policies that include: (i) an established credit approval process;</w:t>
      </w:r>
    </w:p>
    <w:p>
      <w:pPr>
        <w:jc w:val="both"/>
        <w:ind w:left="4" w:hanging="4"/>
        <w:spacing w:after="0" w:line="255" w:lineRule="auto"/>
        <w:tabs>
          <w:tab w:leader="none" w:pos="303" w:val="left"/>
        </w:tabs>
        <w:numPr>
          <w:ilvl w:val="0"/>
          <w:numId w:val="69"/>
        </w:numPr>
        <w:rPr>
          <w:rFonts w:ascii="Arial" w:cs="Arial" w:eastAsia="Arial" w:hAnsi="Arial"/>
          <w:sz w:val="20"/>
          <w:szCs w:val="20"/>
          <w:color w:val="auto"/>
        </w:rPr>
      </w:pPr>
      <w:r>
        <w:rPr>
          <w:rFonts w:ascii="Arial" w:cs="Arial" w:eastAsia="Arial" w:hAnsi="Arial"/>
          <w:sz w:val="20"/>
          <w:szCs w:val="20"/>
          <w:color w:val="auto"/>
        </w:rPr>
        <w:t>monitoring of counterparties’ credit limits on as needed basis; (iii) as applicable,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ectPr>
          <w:pgSz w:w="11880" w:h="15480" w:orient="portrait"/>
          <w:cols w:equalWidth="0" w:num="1">
            <w:col w:w="10204"/>
          </w:cols>
          <w:pgMar w:left="836" w:top="411"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
        <w:spacing w:after="0"/>
        <w:rPr>
          <w:sz w:val="20"/>
          <w:szCs w:val="20"/>
          <w:color w:val="auto"/>
        </w:rPr>
      </w:pPr>
      <w:r>
        <w:rPr>
          <w:rFonts w:ascii="Arial" w:cs="Arial" w:eastAsia="Arial" w:hAnsi="Arial"/>
          <w:sz w:val="15"/>
          <w:szCs w:val="15"/>
          <w:color w:val="auto"/>
        </w:rPr>
        <w:t>103</w:t>
      </w:r>
    </w:p>
    <w:p>
      <w:pPr>
        <w:sectPr>
          <w:pgSz w:w="11880" w:h="15480" w:orient="portrait"/>
          <w:cols w:equalWidth="0" w:num="1">
            <w:col w:w="10204"/>
          </w:cols>
          <w:pgMar w:left="836" w:top="411" w:right="840" w:bottom="0" w:gutter="0" w:footer="0" w:header="0"/>
          <w:type w:val="continuous"/>
        </w:sectPr>
      </w:pPr>
    </w:p>
    <w:bookmarkStart w:id="105" w:name="page106"/>
    <w:bookmarkEnd w:id="105"/>
    <w:p>
      <w:pPr>
        <w:jc w:val="both"/>
        <w:ind w:firstLine="448"/>
        <w:spacing w:after="0" w:line="268" w:lineRule="auto"/>
        <w:rPr>
          <w:sz w:val="20"/>
          <w:szCs w:val="20"/>
          <w:color w:val="auto"/>
        </w:rPr>
      </w:pPr>
      <w:r>
        <w:rPr>
          <w:rFonts w:ascii="Arial" w:cs="Arial" w:eastAsia="Arial" w:hAnsi="Arial"/>
          <w:sz w:val="19"/>
          <w:szCs w:val="19"/>
          <w:color w:val="auto"/>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A significant portion of these energy-related commodity contracts are with utilities with strong credit quality and public utility commission or other regulatory support. However, such regulated utility counterparties can be impacted by changes in government regulations or adverse financial conditions, which the Company is unable to predict. Certain subsidiaries of the Company sell the output of their facilities to PG&amp;E, a significant counterparty of the Company, under long-term PPAs, and PG&amp;E’s credit rating is below investment-grade.</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7 — Accounting for Derivative Instruments and Hedging Activities</w:t>
      </w:r>
    </w:p>
    <w:p>
      <w:pPr>
        <w:spacing w:after="0" w:line="195" w:lineRule="exact"/>
        <w:rPr>
          <w:sz w:val="20"/>
          <w:szCs w:val="20"/>
          <w:color w:val="auto"/>
        </w:rPr>
      </w:pPr>
    </w:p>
    <w:p>
      <w:pPr>
        <w:jc w:val="both"/>
        <w:ind w:firstLine="448"/>
        <w:spacing w:after="0" w:line="253" w:lineRule="auto"/>
        <w:rPr>
          <w:sz w:val="20"/>
          <w:szCs w:val="20"/>
          <w:color w:val="auto"/>
        </w:rPr>
      </w:pPr>
      <w:r>
        <w:rPr>
          <w:rFonts w:ascii="Arial" w:cs="Arial" w:eastAsia="Arial" w:hAnsi="Arial"/>
          <w:sz w:val="20"/>
          <w:szCs w:val="20"/>
          <w:color w:val="auto"/>
        </w:rPr>
        <w:t>ASC 815 requires the Company to recognize all derivative instruments on the balance sheet as either assets or liabilities and to measure them at fair value each reporting period unless they qualify for a NPNS exception. The Company may elect to designate certain derivatives as cash flow hedges, if certain conditions are met, and defer the change in fair value of the derivatives to accumulated OCI/OCL, until the hedged transactions occur and are recognized in earnings. For derivatives that are not designated as cash flow hedges or do not qualify for hedge accounting treatment, the changes in the fair value will be immediately recognized in earnings. Certain derivative instruments may qualify for the NPNS exception and are therefore exempt from fair value accounting treatment. ASC 815 applies to the Company’s energy-related commodity contracts and interest rate swaps.</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Rate Swaps</w:t>
      </w:r>
    </w:p>
    <w:p>
      <w:pPr>
        <w:spacing w:after="0" w:line="196" w:lineRule="exact"/>
        <w:rPr>
          <w:sz w:val="20"/>
          <w:szCs w:val="20"/>
          <w:color w:val="auto"/>
        </w:rPr>
      </w:pPr>
    </w:p>
    <w:p>
      <w:pPr>
        <w:jc w:val="both"/>
        <w:ind w:firstLine="448"/>
        <w:spacing w:after="0" w:line="277" w:lineRule="auto"/>
        <w:rPr>
          <w:sz w:val="20"/>
          <w:szCs w:val="20"/>
          <w:color w:val="auto"/>
        </w:rPr>
      </w:pPr>
      <w:r>
        <w:rPr>
          <w:rFonts w:ascii="Arial" w:cs="Arial" w:eastAsia="Arial" w:hAnsi="Arial"/>
          <w:sz w:val="19"/>
          <w:szCs w:val="19"/>
          <w:color w:val="auto"/>
        </w:rPr>
        <w:t>The Company enters into interest rate swap agreements in order to hedge the variability of expected future cash interest payments. As of December 31, 2023, the Company had interest rate derivative instruments on non-recourse debt extending through 2040, a portion of which were designated as cash flow hedges. Under the interest rate swap agreements, the Company pays a fixed rate and the counterparties to the agreements pay a variable interest rate.</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Energy-Related Commodity Contracts</w:t>
      </w:r>
    </w:p>
    <w:p>
      <w:pPr>
        <w:spacing w:after="0" w:line="196" w:lineRule="exact"/>
        <w:rPr>
          <w:sz w:val="20"/>
          <w:szCs w:val="20"/>
          <w:color w:val="auto"/>
        </w:rPr>
      </w:pPr>
    </w:p>
    <w:p>
      <w:pPr>
        <w:jc w:val="both"/>
        <w:ind w:firstLine="448"/>
        <w:spacing w:after="0" w:line="280" w:lineRule="auto"/>
        <w:rPr>
          <w:sz w:val="20"/>
          <w:szCs w:val="20"/>
          <w:color w:val="auto"/>
        </w:rPr>
      </w:pPr>
      <w:r>
        <w:rPr>
          <w:rFonts w:ascii="Arial" w:cs="Arial" w:eastAsia="Arial" w:hAnsi="Arial"/>
          <w:sz w:val="20"/>
          <w:szCs w:val="20"/>
          <w:color w:val="auto"/>
        </w:rPr>
        <w:t>As of December 31, 2023, the Company had energy-related derivative instruments extending through 2033. At December 31, 2023, these contracts were not designated as cash flow or fair value hedges.</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Volumetric Underlying Derivative Transactions</w:t>
      </w:r>
    </w:p>
    <w:p>
      <w:pPr>
        <w:spacing w:after="0" w:line="155" w:lineRule="exact"/>
        <w:rPr>
          <w:sz w:val="20"/>
          <w:szCs w:val="20"/>
          <w:color w:val="auto"/>
        </w:rPr>
      </w:pPr>
    </w:p>
    <w:p>
      <w:pPr>
        <w:jc w:val="both"/>
        <w:ind w:firstLine="448"/>
        <w:spacing w:after="0" w:line="280" w:lineRule="auto"/>
        <w:rPr>
          <w:sz w:val="20"/>
          <w:szCs w:val="20"/>
          <w:color w:val="auto"/>
        </w:rPr>
      </w:pPr>
      <w:r>
        <w:rPr>
          <w:rFonts w:ascii="Arial" w:cs="Arial" w:eastAsia="Arial" w:hAnsi="Arial"/>
          <w:sz w:val="20"/>
          <w:szCs w:val="20"/>
          <w:color w:val="auto"/>
        </w:rPr>
        <w:t>The following table summarizes the net notional volume buy/(sell) of the Company’s open derivative transactions broken out by commodity:</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4"/>
          </w:tcPr>
          <w:p>
            <w:pPr>
              <w:jc w:val="right"/>
              <w:ind w:right="1125"/>
              <w:spacing w:after="0"/>
              <w:rPr>
                <w:sz w:val="20"/>
                <w:szCs w:val="20"/>
                <w:color w:val="auto"/>
              </w:rPr>
            </w:pPr>
            <w:r>
              <w:rPr>
                <w:rFonts w:ascii="Arial" w:cs="Arial" w:eastAsia="Arial" w:hAnsi="Arial"/>
                <w:sz w:val="16"/>
                <w:szCs w:val="16"/>
                <w:b w:val="1"/>
                <w:bCs w:val="1"/>
                <w:color w:val="auto"/>
              </w:rPr>
              <w:t>Total Volume</w:t>
            </w:r>
          </w:p>
        </w:tc>
      </w:tr>
      <w:tr>
        <w:trPr>
          <w:trHeight w:val="219"/>
        </w:trPr>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10"/>
              <w:spacing w:after="0"/>
              <w:rPr>
                <w:sz w:val="20"/>
                <w:szCs w:val="20"/>
                <w:color w:val="auto"/>
              </w:rPr>
            </w:pPr>
            <w:r>
              <w:rPr>
                <w:rFonts w:ascii="Arial" w:cs="Arial" w:eastAsia="Arial" w:hAnsi="Arial"/>
                <w:sz w:val="16"/>
                <w:szCs w:val="16"/>
                <w:b w:val="1"/>
                <w:bCs w:val="1"/>
                <w:color w:val="auto"/>
                <w:w w:val="88"/>
              </w:rPr>
              <w:t>December 31, 2023</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b w:val="1"/>
                <w:bCs w:val="1"/>
                <w:color w:val="auto"/>
                <w:w w:val="88"/>
              </w:rPr>
              <w:t>December 31, 2022</w:t>
            </w:r>
          </w:p>
        </w:tc>
      </w:tr>
      <w:tr>
        <w:trPr>
          <w:trHeight w:val="178"/>
        </w:trPr>
        <w:tc>
          <w:tcPr>
            <w:tcW w:w="40" w:type="dxa"/>
            <w:vAlign w:val="bottom"/>
          </w:tcPr>
          <w:p>
            <w:pPr>
              <w:spacing w:after="0"/>
              <w:rPr>
                <w:sz w:val="15"/>
                <w:szCs w:val="15"/>
                <w:color w:val="auto"/>
              </w:rPr>
            </w:pPr>
          </w:p>
        </w:tc>
        <w:tc>
          <w:tcPr>
            <w:tcW w:w="4780" w:type="dxa"/>
            <w:vAlign w:val="bottom"/>
            <w:gridSpan w:val="2"/>
          </w:tcPr>
          <w:p>
            <w:pPr>
              <w:spacing w:after="0" w:line="178" w:lineRule="exact"/>
              <w:rPr>
                <w:sz w:val="20"/>
                <w:szCs w:val="20"/>
                <w:color w:val="auto"/>
              </w:rPr>
            </w:pPr>
            <w:r>
              <w:rPr>
                <w:rFonts w:ascii="Arial" w:cs="Arial" w:eastAsia="Arial" w:hAnsi="Arial"/>
                <w:sz w:val="16"/>
                <w:szCs w:val="16"/>
                <w:b w:val="1"/>
                <w:bCs w:val="1"/>
                <w:color w:val="auto"/>
              </w:rPr>
              <w:t>Commodity</w:t>
            </w:r>
          </w:p>
        </w:tc>
        <w:tc>
          <w:tcPr>
            <w:tcW w:w="2000" w:type="dxa"/>
            <w:vAlign w:val="bottom"/>
            <w:gridSpan w:val="2"/>
          </w:tcPr>
          <w:p>
            <w:pPr>
              <w:spacing w:after="0" w:line="178" w:lineRule="exact"/>
              <w:rPr>
                <w:sz w:val="20"/>
                <w:szCs w:val="20"/>
                <w:color w:val="auto"/>
              </w:rPr>
            </w:pPr>
            <w:r>
              <w:rPr>
                <w:rFonts w:ascii="Arial" w:cs="Arial" w:eastAsia="Arial" w:hAnsi="Arial"/>
                <w:sz w:val="16"/>
                <w:szCs w:val="16"/>
                <w:b w:val="1"/>
                <w:bCs w:val="1"/>
                <w:color w:val="auto"/>
              </w:rPr>
              <w:t>Units</w:t>
            </w:r>
          </w:p>
        </w:tc>
        <w:tc>
          <w:tcPr>
            <w:tcW w:w="160" w:type="dxa"/>
            <w:vAlign w:val="bottom"/>
          </w:tcPr>
          <w:p>
            <w:pPr>
              <w:spacing w:after="0"/>
              <w:rPr>
                <w:sz w:val="15"/>
                <w:szCs w:val="15"/>
                <w:color w:val="auto"/>
              </w:rPr>
            </w:pPr>
          </w:p>
        </w:tc>
        <w:tc>
          <w:tcPr>
            <w:tcW w:w="3220" w:type="dxa"/>
            <w:vAlign w:val="bottom"/>
            <w:gridSpan w:val="4"/>
          </w:tcPr>
          <w:p>
            <w:pPr>
              <w:jc w:val="right"/>
              <w:ind w:right="1185"/>
              <w:spacing w:after="0" w:line="178" w:lineRule="exact"/>
              <w:rPr>
                <w:sz w:val="20"/>
                <w:szCs w:val="20"/>
                <w:color w:val="auto"/>
              </w:rPr>
            </w:pPr>
            <w:r>
              <w:rPr>
                <w:rFonts w:ascii="Arial" w:cs="Arial" w:eastAsia="Arial" w:hAnsi="Arial"/>
                <w:sz w:val="16"/>
                <w:szCs w:val="16"/>
                <w:b w:val="1"/>
                <w:bCs w:val="1"/>
                <w:color w:val="auto"/>
              </w:rPr>
              <w:t>(In millions)</w:t>
            </w:r>
          </w:p>
        </w:tc>
      </w:tr>
      <w:tr>
        <w:trPr>
          <w:trHeight w:val="31"/>
        </w:trPr>
        <w:tc>
          <w:tcPr>
            <w:tcW w:w="4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396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9"/>
        </w:trPr>
        <w:tc>
          <w:tcPr>
            <w:tcW w:w="40" w:type="dxa"/>
            <w:vAlign w:val="bottom"/>
            <w:shd w:val="clear" w:color="auto" w:fill="E6E6E6"/>
          </w:tcPr>
          <w:p>
            <w:pPr>
              <w:spacing w:after="0"/>
              <w:rPr>
                <w:sz w:val="20"/>
                <w:szCs w:val="20"/>
                <w:color w:val="auto"/>
              </w:rPr>
            </w:pPr>
          </w:p>
        </w:tc>
        <w:tc>
          <w:tcPr>
            <w:tcW w:w="4780" w:type="dxa"/>
            <w:vAlign w:val="bottom"/>
            <w:gridSpan w:val="2"/>
            <w:shd w:val="clear" w:color="auto" w:fill="E6E6E6"/>
          </w:tcPr>
          <w:p>
            <w:pPr>
              <w:spacing w:after="0"/>
              <w:rPr>
                <w:sz w:val="20"/>
                <w:szCs w:val="20"/>
                <w:color w:val="auto"/>
              </w:rPr>
            </w:pPr>
            <w:r>
              <w:rPr>
                <w:rFonts w:ascii="Arial" w:cs="Arial" w:eastAsia="Arial" w:hAnsi="Arial"/>
                <w:sz w:val="20"/>
                <w:szCs w:val="20"/>
                <w:color w:val="auto"/>
                <w:w w:val="92"/>
              </w:rPr>
              <w:t xml:space="preserve">Power </w:t>
            </w:r>
            <w:r>
              <w:rPr>
                <w:rFonts w:ascii="Arial" w:cs="Arial" w:eastAsia="Arial" w:hAnsi="Arial"/>
                <w:sz w:val="20"/>
                <w:szCs w:val="20"/>
                <w:color w:val="BDBDBD"/>
                <w:w w:val="92"/>
              </w:rPr>
              <w:t>. . . . . . . . . . . . . . . . . . . . . . . . . . . . . . . . . . . . . . . . .</w:t>
            </w:r>
          </w:p>
        </w:tc>
        <w:tc>
          <w:tcPr>
            <w:tcW w:w="2000" w:type="dxa"/>
            <w:vAlign w:val="bottom"/>
            <w:gridSpan w:val="2"/>
            <w:shd w:val="clear" w:color="auto" w:fill="E6E6E6"/>
          </w:tcPr>
          <w:p>
            <w:pPr>
              <w:spacing w:after="0"/>
              <w:rPr>
                <w:sz w:val="20"/>
                <w:szCs w:val="20"/>
                <w:color w:val="auto"/>
              </w:rPr>
            </w:pPr>
            <w:r>
              <w:rPr>
                <w:rFonts w:ascii="Arial" w:cs="Arial" w:eastAsia="Arial" w:hAnsi="Arial"/>
                <w:sz w:val="20"/>
                <w:szCs w:val="20"/>
                <w:color w:val="auto"/>
                <w:w w:val="97"/>
              </w:rPr>
              <w:t xml:space="preserve">MWh </w:t>
            </w:r>
            <w:r>
              <w:rPr>
                <w:rFonts w:ascii="Arial" w:cs="Arial" w:eastAsia="Arial" w:hAnsi="Arial"/>
                <w:sz w:val="20"/>
                <w:szCs w:val="20"/>
                <w:color w:val="BDBDBD"/>
                <w:w w:val="97"/>
              </w:rPr>
              <w:t>. . . . . . . . . . . . . .</w:t>
            </w:r>
          </w:p>
        </w:tc>
        <w:tc>
          <w:tcPr>
            <w:tcW w:w="160" w:type="dxa"/>
            <w:vAlign w:val="bottom"/>
            <w:shd w:val="clear" w:color="auto" w:fill="E6E6E6"/>
          </w:tcPr>
          <w:p>
            <w:pPr>
              <w:spacing w:after="0"/>
              <w:rPr>
                <w:sz w:val="20"/>
                <w:szCs w:val="20"/>
                <w:color w:val="auto"/>
              </w:rPr>
            </w:pPr>
          </w:p>
        </w:tc>
        <w:tc>
          <w:tcPr>
            <w:tcW w:w="15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(23)</w:t>
            </w:r>
          </w:p>
        </w:tc>
        <w:tc>
          <w:tcPr>
            <w:tcW w:w="6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14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(18)</w:t>
            </w:r>
          </w:p>
        </w:tc>
      </w:tr>
      <w:tr>
        <w:trPr>
          <w:trHeight w:val="239"/>
        </w:trPr>
        <w:tc>
          <w:tcPr>
            <w:tcW w:w="40" w:type="dxa"/>
            <w:vAlign w:val="bottom"/>
          </w:tcPr>
          <w:p>
            <w:pPr>
              <w:spacing w:after="0"/>
              <w:rPr>
                <w:sz w:val="20"/>
                <w:szCs w:val="20"/>
                <w:color w:val="auto"/>
              </w:rPr>
            </w:pPr>
          </w:p>
        </w:tc>
        <w:tc>
          <w:tcPr>
            <w:tcW w:w="4780" w:type="dxa"/>
            <w:vAlign w:val="bottom"/>
            <w:gridSpan w:val="2"/>
          </w:tcPr>
          <w:p>
            <w:pPr>
              <w:spacing w:after="0"/>
              <w:rPr>
                <w:sz w:val="20"/>
                <w:szCs w:val="20"/>
                <w:color w:val="auto"/>
              </w:rPr>
            </w:pPr>
            <w:r>
              <w:rPr>
                <w:rFonts w:ascii="Arial" w:cs="Arial" w:eastAsia="Arial" w:hAnsi="Arial"/>
                <w:sz w:val="20"/>
                <w:szCs w:val="20"/>
                <w:color w:val="auto"/>
                <w:w w:val="91"/>
              </w:rPr>
              <w:t xml:space="preserve">Natural Gas </w:t>
            </w:r>
            <w:r>
              <w:rPr>
                <w:rFonts w:ascii="Arial" w:cs="Arial" w:eastAsia="Arial" w:hAnsi="Arial"/>
                <w:sz w:val="20"/>
                <w:szCs w:val="20"/>
                <w:color w:val="BDBDBD"/>
                <w:w w:val="91"/>
              </w:rPr>
              <w:t>. . . . . . . . . . . . . . . . . . . . . . . . . . . . . . . . . . . . .</w:t>
            </w:r>
          </w:p>
        </w:tc>
        <w:tc>
          <w:tcPr>
            <w:tcW w:w="2000" w:type="dxa"/>
            <w:vAlign w:val="bottom"/>
            <w:gridSpan w:val="2"/>
          </w:tcPr>
          <w:p>
            <w:pPr>
              <w:spacing w:after="0"/>
              <w:rPr>
                <w:sz w:val="20"/>
                <w:szCs w:val="20"/>
                <w:color w:val="auto"/>
              </w:rPr>
            </w:pPr>
            <w:r>
              <w:rPr>
                <w:rFonts w:ascii="Arial" w:cs="Arial" w:eastAsia="Arial" w:hAnsi="Arial"/>
                <w:sz w:val="20"/>
                <w:szCs w:val="20"/>
                <w:color w:val="auto"/>
              </w:rPr>
              <w:t xml:space="preserve">MMBtu </w:t>
            </w:r>
            <w:r>
              <w:rPr>
                <w:rFonts w:ascii="Arial" w:cs="Arial" w:eastAsia="Arial" w:hAnsi="Arial"/>
                <w:sz w:val="20"/>
                <w:szCs w:val="20"/>
                <w:color w:val="BDBDBD"/>
              </w:rPr>
              <w:t>. . . . . . . . . . . .</w:t>
            </w: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17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39"/>
        </w:trPr>
        <w:tc>
          <w:tcPr>
            <w:tcW w:w="40" w:type="dxa"/>
            <w:vAlign w:val="bottom"/>
            <w:shd w:val="clear" w:color="auto" w:fill="E6E6E6"/>
          </w:tcPr>
          <w:p>
            <w:pPr>
              <w:spacing w:after="0"/>
              <w:rPr>
                <w:sz w:val="20"/>
                <w:szCs w:val="20"/>
                <w:color w:val="auto"/>
              </w:rPr>
            </w:pPr>
          </w:p>
        </w:tc>
        <w:tc>
          <w:tcPr>
            <w:tcW w:w="4780" w:type="dxa"/>
            <w:vAlign w:val="bottom"/>
            <w:gridSpan w:val="2"/>
            <w:shd w:val="clear" w:color="auto" w:fill="E6E6E6"/>
          </w:tcPr>
          <w:p>
            <w:pPr>
              <w:spacing w:after="0"/>
              <w:rPr>
                <w:sz w:val="20"/>
                <w:szCs w:val="20"/>
                <w:color w:val="auto"/>
              </w:rPr>
            </w:pPr>
            <w:r>
              <w:rPr>
                <w:rFonts w:ascii="Arial" w:cs="Arial" w:eastAsia="Arial" w:hAnsi="Arial"/>
                <w:sz w:val="20"/>
                <w:szCs w:val="20"/>
                <w:color w:val="auto"/>
                <w:w w:val="92"/>
              </w:rPr>
              <w:t xml:space="preserve">Interest  </w:t>
            </w:r>
            <w:r>
              <w:rPr>
                <w:rFonts w:ascii="Arial" w:cs="Arial" w:eastAsia="Arial" w:hAnsi="Arial"/>
                <w:sz w:val="20"/>
                <w:szCs w:val="20"/>
                <w:color w:val="BDBDBD"/>
                <w:w w:val="92"/>
              </w:rPr>
              <w:t>. . . . . . . . . . . . . . . . . . . . . . . . . . . . . . . . . . . . . . . .</w:t>
            </w:r>
          </w:p>
        </w:tc>
        <w:tc>
          <w:tcPr>
            <w:tcW w:w="2000" w:type="dxa"/>
            <w:vAlign w:val="bottom"/>
            <w:gridSpan w:val="2"/>
            <w:shd w:val="clear" w:color="auto" w:fill="E6E6E6"/>
          </w:tcPr>
          <w:p>
            <w:pPr>
              <w:spacing w:after="0"/>
              <w:rPr>
                <w:sz w:val="20"/>
                <w:szCs w:val="20"/>
                <w:color w:val="auto"/>
              </w:rPr>
            </w:pPr>
            <w:r>
              <w:rPr>
                <w:rFonts w:ascii="Arial" w:cs="Arial" w:eastAsia="Arial" w:hAnsi="Arial"/>
                <w:sz w:val="20"/>
                <w:szCs w:val="20"/>
                <w:color w:val="auto"/>
              </w:rPr>
              <w:t xml:space="preserve">Dollars </w:t>
            </w:r>
            <w:r>
              <w:rPr>
                <w:rFonts w:ascii="Arial" w:cs="Arial" w:eastAsia="Arial" w:hAnsi="Arial"/>
                <w:sz w:val="20"/>
                <w:szCs w:val="20"/>
                <w:color w:val="BDBDBD"/>
              </w:rPr>
              <w:t>. . . . . . . . . . . .</w:t>
            </w:r>
          </w:p>
        </w:tc>
        <w:tc>
          <w:tcPr>
            <w:tcW w:w="1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5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2,467</w:t>
            </w:r>
          </w:p>
        </w:tc>
        <w:tc>
          <w:tcPr>
            <w:tcW w:w="240" w:type="dxa"/>
            <w:vAlign w:val="bottom"/>
            <w:gridSpan w:val="2"/>
            <w:shd w:val="clear" w:color="auto" w:fill="E6E6E6"/>
          </w:tcPr>
          <w:p>
            <w:pPr>
              <w:jc w:val="right"/>
              <w:ind w:right="20"/>
              <w:spacing w:after="0"/>
              <w:rPr>
                <w:sz w:val="20"/>
                <w:szCs w:val="20"/>
                <w:color w:val="auto"/>
              </w:rPr>
            </w:pPr>
            <w:r>
              <w:rPr>
                <w:rFonts w:ascii="Arial" w:cs="Arial" w:eastAsia="Arial" w:hAnsi="Arial"/>
                <w:sz w:val="20"/>
                <w:szCs w:val="20"/>
                <w:color w:val="auto"/>
              </w:rPr>
              <w:t>$</w:t>
            </w:r>
          </w:p>
        </w:tc>
        <w:tc>
          <w:tcPr>
            <w:tcW w:w="14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1,084</w:t>
            </w:r>
          </w:p>
        </w:tc>
      </w:tr>
    </w:tbl>
    <w:p>
      <w:pPr>
        <w:spacing w:after="0" w:line="200" w:lineRule="exact"/>
        <w:rPr>
          <w:sz w:val="20"/>
          <w:szCs w:val="20"/>
          <w:color w:val="auto"/>
        </w:rPr>
      </w:pPr>
    </w:p>
    <w:p>
      <w:pPr>
        <w:sectPr>
          <w:pgSz w:w="11880" w:h="15480" w:orient="portrait"/>
          <w:cols w:equalWidth="0" w:num="1">
            <w:col w:w="10200"/>
          </w:cols>
          <w:pgMar w:left="840" w:top="411"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104</w:t>
      </w:r>
    </w:p>
    <w:p>
      <w:pPr>
        <w:sectPr>
          <w:pgSz w:w="11880" w:h="15480" w:orient="portrait"/>
          <w:cols w:equalWidth="0" w:num="1">
            <w:col w:w="10200"/>
          </w:cols>
          <w:pgMar w:left="840" w:top="411" w:right="840" w:bottom="0" w:gutter="0" w:footer="0" w:header="0"/>
          <w:type w:val="continuous"/>
        </w:sectPr>
      </w:pPr>
    </w:p>
    <w:bookmarkStart w:id="106" w:name="page107"/>
    <w:bookmarkEnd w:id="106"/>
    <w:p>
      <w:pPr>
        <w:spacing w:after="0"/>
        <w:rPr>
          <w:sz w:val="20"/>
          <w:szCs w:val="20"/>
          <w:color w:val="auto"/>
        </w:rPr>
      </w:pPr>
      <w:r>
        <w:rPr>
          <w:rFonts w:ascii="Arial" w:cs="Arial" w:eastAsia="Arial" w:hAnsi="Arial"/>
          <w:sz w:val="20"/>
          <w:szCs w:val="20"/>
          <w:b w:val="1"/>
          <w:bCs w:val="1"/>
          <w:color w:val="auto"/>
        </w:rPr>
        <w:t>Fair Value of Derivative Instruments</w:t>
      </w:r>
    </w:p>
    <w:p>
      <w:pPr>
        <w:spacing w:after="0" w:line="175" w:lineRule="exact"/>
        <w:rPr>
          <w:sz w:val="20"/>
          <w:szCs w:val="20"/>
          <w:color w:val="auto"/>
        </w:rPr>
      </w:pPr>
    </w:p>
    <w:p>
      <w:pPr>
        <w:jc w:val="both"/>
        <w:ind w:firstLine="448"/>
        <w:spacing w:after="0" w:line="280" w:lineRule="auto"/>
        <w:rPr>
          <w:sz w:val="20"/>
          <w:szCs w:val="20"/>
          <w:color w:val="auto"/>
        </w:rPr>
      </w:pPr>
      <w:r>
        <w:rPr>
          <w:rFonts w:ascii="Arial" w:cs="Arial" w:eastAsia="Arial" w:hAnsi="Arial"/>
          <w:sz w:val="20"/>
          <w:szCs w:val="20"/>
          <w:color w:val="auto"/>
        </w:rPr>
        <w:t>The following table summarizes the fair value within the derivative instrument valuation on the consolidated balance sheets: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Fair Value</w:t>
            </w: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r>
      <w:tr>
        <w:trPr>
          <w:trHeight w:val="278"/>
        </w:trPr>
        <w:tc>
          <w:tcPr>
            <w:tcW w:w="5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6"/>
                <w:szCs w:val="16"/>
                <w:b w:val="1"/>
                <w:bCs w:val="1"/>
                <w:color w:val="auto"/>
              </w:rPr>
              <w:t>Derivative Assets</w:t>
            </w:r>
          </w:p>
        </w:tc>
        <w:tc>
          <w:tcPr>
            <w:tcW w:w="4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w w:val="96"/>
              </w:rPr>
              <w:t>Derivative Liabilities</w:t>
            </w:r>
          </w:p>
        </w:tc>
        <w:tc>
          <w:tcPr>
            <w:tcW w:w="400" w:type="dxa"/>
            <w:vAlign w:val="bottom"/>
            <w:tcBorders>
              <w:bottom w:val="single" w:sz="8" w:color="auto"/>
            </w:tcBorders>
          </w:tcPr>
          <w:p>
            <w:pPr>
              <w:spacing w:after="0"/>
              <w:rPr>
                <w:sz w:val="24"/>
                <w:szCs w:val="24"/>
                <w:color w:val="auto"/>
              </w:rPr>
            </w:pPr>
          </w:p>
        </w:tc>
      </w:tr>
      <w:tr>
        <w:trPr>
          <w:trHeight w:val="185"/>
        </w:trPr>
        <w:tc>
          <w:tcPr>
            <w:tcW w:w="5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2"/>
          </w:tcPr>
          <w:p>
            <w:pPr>
              <w:jc w:val="right"/>
              <w:ind w:right="24"/>
              <w:spacing w:after="0"/>
              <w:rPr>
                <w:sz w:val="20"/>
                <w:szCs w:val="20"/>
                <w:color w:val="auto"/>
              </w:rPr>
            </w:pPr>
            <w:r>
              <w:rPr>
                <w:rFonts w:ascii="Arial" w:cs="Arial" w:eastAsia="Arial" w:hAnsi="Arial"/>
                <w:sz w:val="16"/>
                <w:szCs w:val="16"/>
                <w:b w:val="1"/>
                <w:bCs w:val="1"/>
                <w:color w:val="auto"/>
                <w:w w:val="96"/>
              </w:rPr>
              <w:t>December 31,</w:t>
            </w:r>
          </w:p>
        </w:tc>
        <w:tc>
          <w:tcPr>
            <w:tcW w:w="80" w:type="dxa"/>
            <w:vAlign w:val="bottom"/>
          </w:tcPr>
          <w:p>
            <w:pPr>
              <w:spacing w:after="0"/>
              <w:rPr>
                <w:sz w:val="16"/>
                <w:szCs w:val="16"/>
                <w:color w:val="auto"/>
              </w:rPr>
            </w:pPr>
          </w:p>
        </w:tc>
        <w:tc>
          <w:tcPr>
            <w:tcW w:w="1160" w:type="dxa"/>
            <w:vAlign w:val="bottom"/>
            <w:gridSpan w:val="2"/>
          </w:tcPr>
          <w:p>
            <w:pPr>
              <w:jc w:val="right"/>
              <w:ind w:right="24"/>
              <w:spacing w:after="0"/>
              <w:rPr>
                <w:sz w:val="20"/>
                <w:szCs w:val="20"/>
                <w:color w:val="auto"/>
              </w:rPr>
            </w:pPr>
            <w:r>
              <w:rPr>
                <w:rFonts w:ascii="Arial" w:cs="Arial" w:eastAsia="Arial" w:hAnsi="Arial"/>
                <w:sz w:val="16"/>
                <w:szCs w:val="16"/>
                <w:b w:val="1"/>
                <w:bCs w:val="1"/>
                <w:color w:val="auto"/>
                <w:w w:val="97"/>
              </w:rPr>
              <w:t>December 31,</w:t>
            </w:r>
          </w:p>
        </w:tc>
        <w:tc>
          <w:tcPr>
            <w:tcW w:w="80" w:type="dxa"/>
            <w:vAlign w:val="bottom"/>
          </w:tcPr>
          <w:p>
            <w:pPr>
              <w:spacing w:after="0"/>
              <w:rPr>
                <w:sz w:val="16"/>
                <w:szCs w:val="16"/>
                <w:color w:val="auto"/>
              </w:rPr>
            </w:pPr>
          </w:p>
        </w:tc>
        <w:tc>
          <w:tcPr>
            <w:tcW w:w="1160" w:type="dxa"/>
            <w:vAlign w:val="bottom"/>
            <w:gridSpan w:val="2"/>
          </w:tcPr>
          <w:p>
            <w:pPr>
              <w:jc w:val="right"/>
              <w:ind w:right="24"/>
              <w:spacing w:after="0"/>
              <w:rPr>
                <w:sz w:val="20"/>
                <w:szCs w:val="20"/>
                <w:color w:val="auto"/>
              </w:rPr>
            </w:pPr>
            <w:r>
              <w:rPr>
                <w:rFonts w:ascii="Arial" w:cs="Arial" w:eastAsia="Arial" w:hAnsi="Arial"/>
                <w:sz w:val="16"/>
                <w:szCs w:val="16"/>
                <w:b w:val="1"/>
                <w:bCs w:val="1"/>
                <w:color w:val="auto"/>
                <w:w w:val="97"/>
              </w:rPr>
              <w:t>December 31,</w:t>
            </w:r>
          </w:p>
        </w:tc>
        <w:tc>
          <w:tcPr>
            <w:tcW w:w="80" w:type="dxa"/>
            <w:vAlign w:val="bottom"/>
          </w:tcPr>
          <w:p>
            <w:pPr>
              <w:spacing w:after="0"/>
              <w:rPr>
                <w:sz w:val="16"/>
                <w:szCs w:val="16"/>
                <w:color w:val="auto"/>
              </w:rPr>
            </w:pPr>
          </w:p>
        </w:tc>
        <w:tc>
          <w:tcPr>
            <w:tcW w:w="1180" w:type="dxa"/>
            <w:vAlign w:val="bottom"/>
            <w:gridSpan w:val="2"/>
          </w:tcPr>
          <w:p>
            <w:pPr>
              <w:jc w:val="right"/>
              <w:ind w:right="21"/>
              <w:spacing w:after="0"/>
              <w:rPr>
                <w:sz w:val="20"/>
                <w:szCs w:val="20"/>
                <w:color w:val="auto"/>
              </w:rPr>
            </w:pPr>
            <w:r>
              <w:rPr>
                <w:rFonts w:ascii="Arial" w:cs="Arial" w:eastAsia="Arial" w:hAnsi="Arial"/>
                <w:sz w:val="16"/>
                <w:szCs w:val="16"/>
                <w:b w:val="1"/>
                <w:bCs w:val="1"/>
                <w:color w:val="auto"/>
                <w:w w:val="99"/>
              </w:rPr>
              <w:t>December 31,</w:t>
            </w:r>
          </w:p>
        </w:tc>
      </w:tr>
      <w:tr>
        <w:trPr>
          <w:trHeight w:val="213"/>
        </w:trPr>
        <w:tc>
          <w:tcPr>
            <w:tcW w:w="5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4"/>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24"/>
              <w:spacing w:after="0"/>
              <w:rPr>
                <w:sz w:val="20"/>
                <w:szCs w:val="20"/>
                <w:color w:val="auto"/>
              </w:rPr>
            </w:pPr>
            <w:r>
              <w:rPr>
                <w:rFonts w:ascii="Arial" w:cs="Arial" w:eastAsia="Arial" w:hAnsi="Arial"/>
                <w:sz w:val="16"/>
                <w:szCs w:val="16"/>
                <w:b w:val="1"/>
                <w:bCs w:val="1"/>
                <w:color w:val="auto"/>
                <w:w w:val="89"/>
              </w:rPr>
              <w:t>2023</w:t>
            </w:r>
          </w:p>
        </w:tc>
        <w:tc>
          <w:tcPr>
            <w:tcW w:w="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00" w:type="dxa"/>
            <w:vAlign w:val="bottom"/>
            <w:tcBorders>
              <w:bottom w:val="single" w:sz="8" w:color="auto"/>
            </w:tcBorders>
          </w:tcPr>
          <w:p>
            <w:pPr>
              <w:spacing w:after="0"/>
              <w:rPr>
                <w:sz w:val="18"/>
                <w:szCs w:val="18"/>
                <w:color w:val="auto"/>
              </w:rPr>
            </w:pPr>
          </w:p>
        </w:tc>
      </w:tr>
      <w:tr>
        <w:trPr>
          <w:trHeight w:val="236"/>
        </w:trPr>
        <w:tc>
          <w:tcPr>
            <w:tcW w:w="5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Arial" w:cs="Arial" w:eastAsia="Arial" w:hAnsi="Arial"/>
                <w:sz w:val="16"/>
                <w:szCs w:val="16"/>
                <w:b w:val="1"/>
                <w:bCs w:val="1"/>
                <w:color w:val="auto"/>
                <w:w w:val="93"/>
              </w:rPr>
              <w:t>(In millions)</w:t>
            </w: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92"/>
        </w:trPr>
        <w:tc>
          <w:tcPr>
            <w:tcW w:w="5320" w:type="dxa"/>
            <w:vAlign w:val="bottom"/>
            <w:gridSpan w:val="2"/>
            <w:shd w:val="clear" w:color="auto" w:fill="E6E6E6"/>
          </w:tcPr>
          <w:p>
            <w:pPr>
              <w:ind w:left="40"/>
              <w:spacing w:after="0"/>
              <w:rPr>
                <w:sz w:val="20"/>
                <w:szCs w:val="20"/>
                <w:color w:val="auto"/>
              </w:rPr>
            </w:pPr>
            <w:r>
              <w:rPr>
                <w:rFonts w:ascii="Arial" w:cs="Arial" w:eastAsia="Arial" w:hAnsi="Arial"/>
                <w:sz w:val="20"/>
                <w:szCs w:val="20"/>
                <w:b w:val="1"/>
                <w:bCs w:val="1"/>
                <w:color w:val="auto"/>
              </w:rPr>
              <w:t>Derivatives Designated as Cash Flow Hedges:</w:t>
            </w:r>
          </w:p>
        </w:tc>
        <w:tc>
          <w:tcPr>
            <w:tcW w:w="260" w:type="dxa"/>
            <w:vAlign w:val="bottom"/>
            <w:shd w:val="clear" w:color="auto" w:fill="E6E6E6"/>
          </w:tcPr>
          <w:p>
            <w:pPr>
              <w:spacing w:after="0"/>
              <w:rPr>
                <w:sz w:val="24"/>
                <w:szCs w:val="24"/>
                <w:color w:val="auto"/>
              </w:rPr>
            </w:pPr>
          </w:p>
        </w:tc>
        <w:tc>
          <w:tcPr>
            <w:tcW w:w="88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40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40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780" w:type="dxa"/>
            <w:vAlign w:val="bottom"/>
            <w:shd w:val="clear" w:color="auto" w:fill="E6E6E6"/>
          </w:tcPr>
          <w:p>
            <w:pPr>
              <w:spacing w:after="0"/>
              <w:rPr>
                <w:sz w:val="24"/>
                <w:szCs w:val="24"/>
                <w:color w:val="auto"/>
              </w:rPr>
            </w:pPr>
          </w:p>
        </w:tc>
        <w:tc>
          <w:tcPr>
            <w:tcW w:w="400" w:type="dxa"/>
            <w:vAlign w:val="bottom"/>
            <w:shd w:val="clear" w:color="auto" w:fill="E6E6E6"/>
          </w:tcPr>
          <w:p>
            <w:pPr>
              <w:spacing w:after="0"/>
              <w:rPr>
                <w:sz w:val="24"/>
                <w:szCs w:val="24"/>
                <w:color w:val="auto"/>
              </w:rPr>
            </w:pPr>
          </w:p>
        </w:tc>
      </w:tr>
      <w:tr>
        <w:trPr>
          <w:trHeight w:val="277"/>
        </w:trPr>
        <w:tc>
          <w:tcPr>
            <w:tcW w:w="5320" w:type="dxa"/>
            <w:vAlign w:val="bottom"/>
            <w:gridSpan w:val="2"/>
          </w:tcPr>
          <w:p>
            <w:pPr>
              <w:jc w:val="right"/>
              <w:ind w:right="80"/>
              <w:spacing w:after="0"/>
              <w:rPr>
                <w:sz w:val="20"/>
                <w:szCs w:val="20"/>
                <w:color w:val="auto"/>
              </w:rPr>
            </w:pPr>
            <w:r>
              <w:rPr>
                <w:rFonts w:ascii="Arial" w:cs="Arial" w:eastAsia="Arial" w:hAnsi="Arial"/>
                <w:sz w:val="20"/>
                <w:szCs w:val="20"/>
                <w:color w:val="auto"/>
                <w:w w:val="92"/>
              </w:rPr>
              <w:t xml:space="preserve">Interest rate contracts current </w:t>
            </w:r>
            <w:r>
              <w:rPr>
                <w:rFonts w:ascii="Arial" w:cs="Arial" w:eastAsia="Arial" w:hAnsi="Arial"/>
                <w:sz w:val="20"/>
                <w:szCs w:val="20"/>
                <w:color w:val="BDBDBD"/>
                <w:w w:val="92"/>
              </w:rPr>
              <w:t>. . . . . . . . . . . . . . . . . . . . . . . . . . .</w:t>
            </w:r>
          </w:p>
        </w:tc>
        <w:tc>
          <w:tcPr>
            <w:tcW w:w="260" w:type="dxa"/>
            <w:vAlign w:val="bottom"/>
          </w:tcPr>
          <w:p>
            <w:pPr>
              <w:jc w:val="right"/>
              <w:ind w:right="44"/>
              <w:spacing w:after="0"/>
              <w:rPr>
                <w:sz w:val="20"/>
                <w:szCs w:val="20"/>
                <w:color w:val="auto"/>
              </w:rPr>
            </w:pPr>
            <w:r>
              <w:rPr>
                <w:rFonts w:ascii="Arial" w:cs="Arial" w:eastAsia="Arial" w:hAnsi="Arial"/>
                <w:sz w:val="20"/>
                <w:szCs w:val="20"/>
                <w:color w:val="auto"/>
                <w:w w:val="89"/>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7</w:t>
            </w:r>
          </w:p>
        </w:tc>
        <w:tc>
          <w:tcPr>
            <w:tcW w:w="840" w:type="dxa"/>
            <w:vAlign w:val="bottom"/>
            <w:gridSpan w:val="2"/>
          </w:tcPr>
          <w:p>
            <w:pPr>
              <w:jc w:val="right"/>
              <w:ind w:right="540"/>
              <w:spacing w:after="0"/>
              <w:rPr>
                <w:sz w:val="20"/>
                <w:szCs w:val="20"/>
                <w:color w:val="auto"/>
              </w:rPr>
            </w:pPr>
            <w:r>
              <w:rPr>
                <w:rFonts w:ascii="Arial" w:cs="Arial" w:eastAsia="Arial" w:hAnsi="Arial"/>
                <w:sz w:val="20"/>
                <w:szCs w:val="20"/>
                <w:color w:val="auto"/>
              </w:rPr>
              <w:t>$</w:t>
            </w:r>
          </w:p>
        </w:tc>
        <w:tc>
          <w:tcPr>
            <w:tcW w:w="400" w:type="dxa"/>
            <w:vAlign w:val="bottom"/>
          </w:tcPr>
          <w:p>
            <w:pPr>
              <w:jc w:val="right"/>
              <w:spacing w:after="0"/>
              <w:rPr>
                <w:sz w:val="20"/>
                <w:szCs w:val="20"/>
                <w:color w:val="auto"/>
              </w:rPr>
            </w:pPr>
            <w:r>
              <w:rPr>
                <w:rFonts w:ascii="Arial" w:cs="Arial" w:eastAsia="Arial" w:hAnsi="Arial"/>
                <w:sz w:val="20"/>
                <w:szCs w:val="20"/>
                <w:color w:val="auto"/>
              </w:rPr>
              <w:t>7</w:t>
            </w:r>
          </w:p>
        </w:tc>
        <w:tc>
          <w:tcPr>
            <w:tcW w:w="480" w:type="dxa"/>
            <w:vAlign w:val="bottom"/>
            <w:gridSpan w:val="2"/>
          </w:tcPr>
          <w:p>
            <w:pPr>
              <w:jc w:val="right"/>
              <w:ind w:right="167"/>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w:t>
            </w:r>
          </w:p>
        </w:tc>
        <w:tc>
          <w:tcPr>
            <w:tcW w:w="860" w:type="dxa"/>
            <w:vAlign w:val="bottom"/>
            <w:gridSpan w:val="2"/>
          </w:tcPr>
          <w:p>
            <w:pPr>
              <w:jc w:val="right"/>
              <w:ind w:right="550"/>
              <w:spacing w:after="0"/>
              <w:rPr>
                <w:sz w:val="20"/>
                <w:szCs w:val="20"/>
                <w:color w:val="auto"/>
              </w:rPr>
            </w:pPr>
            <w:r>
              <w:rPr>
                <w:rFonts w:ascii="Arial" w:cs="Arial" w:eastAsia="Arial" w:hAnsi="Arial"/>
                <w:sz w:val="20"/>
                <w:szCs w:val="20"/>
                <w:color w:val="auto"/>
              </w:rPr>
              <w:t>$</w:t>
            </w:r>
          </w:p>
        </w:tc>
        <w:tc>
          <w:tcPr>
            <w:tcW w:w="4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9"/>
        </w:trPr>
        <w:tc>
          <w:tcPr>
            <w:tcW w:w="5320" w:type="dxa"/>
            <w:vAlign w:val="bottom"/>
            <w:tcBorders>
              <w:bottom w:val="single" w:sz="8" w:color="E6E6E6"/>
            </w:tcBorders>
            <w:gridSpan w:val="2"/>
            <w:shd w:val="clear" w:color="auto" w:fill="E6E6E6"/>
          </w:tcPr>
          <w:p>
            <w:pPr>
              <w:jc w:val="right"/>
              <w:ind w:right="80"/>
              <w:spacing w:after="0"/>
              <w:rPr>
                <w:sz w:val="20"/>
                <w:szCs w:val="20"/>
                <w:color w:val="auto"/>
              </w:rPr>
            </w:pPr>
            <w:r>
              <w:rPr>
                <w:rFonts w:ascii="Arial" w:cs="Arial" w:eastAsia="Arial" w:hAnsi="Arial"/>
                <w:sz w:val="20"/>
                <w:szCs w:val="20"/>
                <w:color w:val="auto"/>
                <w:w w:val="92"/>
              </w:rPr>
              <w:t xml:space="preserve">Interest rate contracts long-term </w:t>
            </w:r>
            <w:r>
              <w:rPr>
                <w:rFonts w:ascii="Arial" w:cs="Arial" w:eastAsia="Arial" w:hAnsi="Arial"/>
                <w:sz w:val="20"/>
                <w:szCs w:val="20"/>
                <w:color w:val="BDBDBD"/>
                <w:w w:val="92"/>
              </w:rPr>
              <w:t>. . . . . . . . . . . . . . . . . . . . . . . . .</w:t>
            </w:r>
          </w:p>
        </w:tc>
        <w:tc>
          <w:tcPr>
            <w:tcW w:w="260" w:type="dxa"/>
            <w:vAlign w:val="bottom"/>
            <w:tcBorders>
              <w:bottom w:val="single" w:sz="8" w:color="auto"/>
            </w:tcBorders>
            <w:shd w:val="clear" w:color="auto" w:fill="E6E6E6"/>
          </w:tcPr>
          <w:p>
            <w:pPr>
              <w:spacing w:after="0"/>
              <w:rPr>
                <w:sz w:val="24"/>
                <w:szCs w:val="24"/>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12</w:t>
            </w:r>
          </w:p>
        </w:tc>
        <w:tc>
          <w:tcPr>
            <w:tcW w:w="80" w:type="dxa"/>
            <w:vAlign w:val="bottom"/>
            <w:tcBorders>
              <w:bottom w:val="single" w:sz="8" w:color="auto"/>
            </w:tcBorders>
            <w:shd w:val="clear" w:color="auto" w:fill="E6E6E6"/>
          </w:tcPr>
          <w:p>
            <w:pPr>
              <w:spacing w:after="0"/>
              <w:rPr>
                <w:sz w:val="24"/>
                <w:szCs w:val="24"/>
                <w:color w:val="auto"/>
              </w:rPr>
            </w:pPr>
          </w:p>
        </w:tc>
        <w:tc>
          <w:tcPr>
            <w:tcW w:w="760" w:type="dxa"/>
            <w:vAlign w:val="bottom"/>
            <w:tcBorders>
              <w:bottom w:val="single" w:sz="8" w:color="auto"/>
            </w:tcBorders>
            <w:shd w:val="clear" w:color="auto" w:fill="E6E6E6"/>
          </w:tcPr>
          <w:p>
            <w:pPr>
              <w:spacing w:after="0"/>
              <w:rPr>
                <w:sz w:val="24"/>
                <w:szCs w:val="24"/>
                <w:color w:val="auto"/>
              </w:rPr>
            </w:pPr>
          </w:p>
        </w:tc>
        <w:tc>
          <w:tcPr>
            <w:tcW w:w="4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18</w:t>
            </w:r>
          </w:p>
        </w:tc>
        <w:tc>
          <w:tcPr>
            <w:tcW w:w="80" w:type="dxa"/>
            <w:vAlign w:val="bottom"/>
            <w:tcBorders>
              <w:bottom w:val="single" w:sz="8" w:color="E6E6E6"/>
            </w:tcBorders>
            <w:shd w:val="clear" w:color="auto" w:fill="E6E6E6"/>
          </w:tcPr>
          <w:p>
            <w:pPr>
              <w:spacing w:after="0"/>
              <w:rPr>
                <w:sz w:val="24"/>
                <w:szCs w:val="24"/>
                <w:color w:val="auto"/>
              </w:rPr>
            </w:pPr>
          </w:p>
        </w:tc>
        <w:tc>
          <w:tcPr>
            <w:tcW w:w="400" w:type="dxa"/>
            <w:vAlign w:val="bottom"/>
            <w:tcBorders>
              <w:bottom w:val="single" w:sz="8" w:color="auto"/>
            </w:tcBorders>
            <w:shd w:val="clear" w:color="auto" w:fill="E6E6E6"/>
          </w:tcPr>
          <w:p>
            <w:pPr>
              <w:spacing w:after="0"/>
              <w:rPr>
                <w:sz w:val="24"/>
                <w:szCs w:val="24"/>
                <w:color w:val="auto"/>
              </w:rPr>
            </w:pPr>
          </w:p>
        </w:tc>
        <w:tc>
          <w:tcPr>
            <w:tcW w:w="7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w:t>
            </w:r>
          </w:p>
        </w:tc>
        <w:tc>
          <w:tcPr>
            <w:tcW w:w="80" w:type="dxa"/>
            <w:vAlign w:val="bottom"/>
            <w:tcBorders>
              <w:bottom w:val="single" w:sz="8" w:color="E6E6E6"/>
            </w:tcBorders>
            <w:shd w:val="clear" w:color="auto" w:fill="E6E6E6"/>
          </w:tcPr>
          <w:p>
            <w:pPr>
              <w:spacing w:after="0"/>
              <w:rPr>
                <w:sz w:val="24"/>
                <w:szCs w:val="24"/>
                <w:color w:val="auto"/>
              </w:rPr>
            </w:pPr>
          </w:p>
        </w:tc>
        <w:tc>
          <w:tcPr>
            <w:tcW w:w="780" w:type="dxa"/>
            <w:vAlign w:val="bottom"/>
            <w:tcBorders>
              <w:bottom w:val="single" w:sz="8" w:color="auto"/>
            </w:tcBorders>
            <w:shd w:val="clear" w:color="auto" w:fill="E6E6E6"/>
          </w:tcPr>
          <w:p>
            <w:pPr>
              <w:spacing w:after="0"/>
              <w:rPr>
                <w:sz w:val="24"/>
                <w:szCs w:val="24"/>
                <w:color w:val="auto"/>
              </w:rPr>
            </w:pPr>
          </w:p>
        </w:tc>
        <w:tc>
          <w:tcPr>
            <w:tcW w:w="4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r>
      <w:tr>
        <w:trPr>
          <w:trHeight w:val="245"/>
        </w:trPr>
        <w:tc>
          <w:tcPr>
            <w:tcW w:w="5320" w:type="dxa"/>
            <w:vAlign w:val="bottom"/>
            <w:gridSpan w:val="2"/>
          </w:tcPr>
          <w:p>
            <w:pPr>
              <w:jc w:val="right"/>
              <w:ind w:right="80"/>
              <w:spacing w:after="0"/>
              <w:rPr>
                <w:sz w:val="20"/>
                <w:szCs w:val="20"/>
                <w:color w:val="auto"/>
              </w:rPr>
            </w:pPr>
            <w:r>
              <w:rPr>
                <w:rFonts w:ascii="Arial" w:cs="Arial" w:eastAsia="Arial" w:hAnsi="Arial"/>
                <w:sz w:val="20"/>
                <w:szCs w:val="20"/>
                <w:b w:val="1"/>
                <w:bCs w:val="1"/>
                <w:color w:val="BDBDBD"/>
                <w:w w:val="95"/>
              </w:rPr>
              <w:t>. . . . . . . . .</w:t>
            </w:r>
            <w:r>
              <w:rPr>
                <w:rFonts w:ascii="Arial" w:cs="Arial" w:eastAsia="Arial" w:hAnsi="Arial"/>
                <w:sz w:val="20"/>
                <w:szCs w:val="20"/>
                <w:b w:val="1"/>
                <w:bCs w:val="1"/>
                <w:color w:val="000000"/>
                <w:w w:val="95"/>
              </w:rPr>
              <w:t>TotalDerivativesDesignatedasCashFlowHedges</w:t>
            </w:r>
          </w:p>
        </w:tc>
        <w:tc>
          <w:tcPr>
            <w:tcW w:w="260" w:type="dxa"/>
            <w:vAlign w:val="bottom"/>
          </w:tcPr>
          <w:p>
            <w:pPr>
              <w:jc w:val="right"/>
              <w:ind w:right="44"/>
              <w:spacing w:after="0"/>
              <w:rPr>
                <w:sz w:val="20"/>
                <w:szCs w:val="20"/>
                <w:color w:val="auto"/>
              </w:rPr>
            </w:pPr>
            <w:r>
              <w:rPr>
                <w:rFonts w:ascii="Arial" w:cs="Arial" w:eastAsia="Arial" w:hAnsi="Arial"/>
                <w:sz w:val="20"/>
                <w:szCs w:val="20"/>
                <w:color w:val="auto"/>
                <w:w w:val="89"/>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19</w:t>
            </w:r>
          </w:p>
        </w:tc>
        <w:tc>
          <w:tcPr>
            <w:tcW w:w="840" w:type="dxa"/>
            <w:vAlign w:val="bottom"/>
            <w:gridSpan w:val="2"/>
          </w:tcPr>
          <w:p>
            <w:pPr>
              <w:jc w:val="right"/>
              <w:ind w:right="540"/>
              <w:spacing w:after="0"/>
              <w:rPr>
                <w:sz w:val="20"/>
                <w:szCs w:val="20"/>
                <w:color w:val="auto"/>
              </w:rPr>
            </w:pPr>
            <w:r>
              <w:rPr>
                <w:rFonts w:ascii="Arial" w:cs="Arial" w:eastAsia="Arial" w:hAnsi="Arial"/>
                <w:sz w:val="20"/>
                <w:szCs w:val="20"/>
                <w:color w:val="auto"/>
              </w:rPr>
              <w:t>$</w:t>
            </w:r>
          </w:p>
        </w:tc>
        <w:tc>
          <w:tcPr>
            <w:tcW w:w="400" w:type="dxa"/>
            <w:vAlign w:val="bottom"/>
          </w:tcPr>
          <w:p>
            <w:pPr>
              <w:jc w:val="right"/>
              <w:spacing w:after="0"/>
              <w:rPr>
                <w:sz w:val="20"/>
                <w:szCs w:val="20"/>
                <w:color w:val="auto"/>
              </w:rPr>
            </w:pPr>
            <w:r>
              <w:rPr>
                <w:rFonts w:ascii="Arial" w:cs="Arial" w:eastAsia="Arial" w:hAnsi="Arial"/>
                <w:sz w:val="20"/>
                <w:szCs w:val="20"/>
                <w:color w:val="auto"/>
              </w:rPr>
              <w:t>25</w:t>
            </w:r>
          </w:p>
        </w:tc>
        <w:tc>
          <w:tcPr>
            <w:tcW w:w="480" w:type="dxa"/>
            <w:vAlign w:val="bottom"/>
            <w:gridSpan w:val="2"/>
          </w:tcPr>
          <w:p>
            <w:pPr>
              <w:jc w:val="right"/>
              <w:ind w:right="167"/>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2</w:t>
            </w:r>
          </w:p>
        </w:tc>
        <w:tc>
          <w:tcPr>
            <w:tcW w:w="860" w:type="dxa"/>
            <w:vAlign w:val="bottom"/>
            <w:gridSpan w:val="2"/>
          </w:tcPr>
          <w:p>
            <w:pPr>
              <w:jc w:val="right"/>
              <w:ind w:right="550"/>
              <w:spacing w:after="0"/>
              <w:rPr>
                <w:sz w:val="20"/>
                <w:szCs w:val="20"/>
                <w:color w:val="auto"/>
              </w:rPr>
            </w:pPr>
            <w:r>
              <w:rPr>
                <w:rFonts w:ascii="Arial" w:cs="Arial" w:eastAsia="Arial" w:hAnsi="Arial"/>
                <w:sz w:val="20"/>
                <w:szCs w:val="20"/>
                <w:color w:val="auto"/>
              </w:rPr>
              <w:t>$</w:t>
            </w:r>
          </w:p>
        </w:tc>
        <w:tc>
          <w:tcPr>
            <w:tcW w:w="4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4"/>
        </w:trPr>
        <w:tc>
          <w:tcPr>
            <w:tcW w:w="5320" w:type="dxa"/>
            <w:vAlign w:val="bottom"/>
            <w:tcBorders>
              <w:top w:val="single" w:sz="8" w:color="E6E6E6"/>
            </w:tcBorders>
            <w:gridSpan w:val="2"/>
            <w:shd w:val="clear" w:color="auto" w:fill="E6E6E6"/>
          </w:tcPr>
          <w:p>
            <w:pPr>
              <w:ind w:left="40"/>
              <w:spacing w:after="0"/>
              <w:rPr>
                <w:sz w:val="20"/>
                <w:szCs w:val="20"/>
                <w:color w:val="auto"/>
              </w:rPr>
            </w:pPr>
            <w:r>
              <w:rPr>
                <w:rFonts w:ascii="Arial" w:cs="Arial" w:eastAsia="Arial" w:hAnsi="Arial"/>
                <w:sz w:val="20"/>
                <w:szCs w:val="20"/>
                <w:b w:val="1"/>
                <w:bCs w:val="1"/>
                <w:color w:val="auto"/>
              </w:rPr>
              <w:t>Derivatives Not Designated as Cash Flow Hedges:</w:t>
            </w:r>
          </w:p>
        </w:tc>
        <w:tc>
          <w:tcPr>
            <w:tcW w:w="260" w:type="dxa"/>
            <w:vAlign w:val="bottom"/>
            <w:tcBorders>
              <w:top w:val="single" w:sz="8" w:color="auto"/>
            </w:tcBorders>
            <w:shd w:val="clear" w:color="auto" w:fill="E6E6E6"/>
          </w:tcPr>
          <w:p>
            <w:pPr>
              <w:spacing w:after="0"/>
              <w:rPr>
                <w:sz w:val="23"/>
                <w:szCs w:val="23"/>
                <w:color w:val="auto"/>
              </w:rPr>
            </w:pPr>
          </w:p>
        </w:tc>
        <w:tc>
          <w:tcPr>
            <w:tcW w:w="880" w:type="dxa"/>
            <w:vAlign w:val="bottom"/>
            <w:tcBorders>
              <w:top w:val="single" w:sz="8" w:color="auto"/>
            </w:tcBorders>
            <w:shd w:val="clear" w:color="auto" w:fill="E6E6E6"/>
          </w:tcPr>
          <w:p>
            <w:pPr>
              <w:spacing w:after="0"/>
              <w:rPr>
                <w:sz w:val="23"/>
                <w:szCs w:val="23"/>
                <w:color w:val="auto"/>
              </w:rPr>
            </w:pPr>
          </w:p>
        </w:tc>
        <w:tc>
          <w:tcPr>
            <w:tcW w:w="80" w:type="dxa"/>
            <w:vAlign w:val="bottom"/>
            <w:tcBorders>
              <w:top w:val="single" w:sz="8" w:color="auto"/>
            </w:tcBorders>
            <w:shd w:val="clear" w:color="auto" w:fill="E6E6E6"/>
          </w:tcPr>
          <w:p>
            <w:pPr>
              <w:spacing w:after="0"/>
              <w:rPr>
                <w:sz w:val="23"/>
                <w:szCs w:val="23"/>
                <w:color w:val="auto"/>
              </w:rPr>
            </w:pPr>
          </w:p>
        </w:tc>
        <w:tc>
          <w:tcPr>
            <w:tcW w:w="760" w:type="dxa"/>
            <w:vAlign w:val="bottom"/>
            <w:tcBorders>
              <w:top w:val="single" w:sz="8" w:color="auto"/>
            </w:tcBorders>
            <w:shd w:val="clear" w:color="auto" w:fill="E6E6E6"/>
          </w:tcPr>
          <w:p>
            <w:pPr>
              <w:spacing w:after="0"/>
              <w:rPr>
                <w:sz w:val="23"/>
                <w:szCs w:val="23"/>
                <w:color w:val="auto"/>
              </w:rPr>
            </w:pPr>
          </w:p>
        </w:tc>
        <w:tc>
          <w:tcPr>
            <w:tcW w:w="400" w:type="dxa"/>
            <w:vAlign w:val="bottom"/>
            <w:tcBorders>
              <w:top w:val="single" w:sz="8" w:color="auto"/>
            </w:tcBorders>
            <w:shd w:val="clear" w:color="auto" w:fill="E6E6E6"/>
          </w:tcPr>
          <w:p>
            <w:pPr>
              <w:spacing w:after="0"/>
              <w:rPr>
                <w:sz w:val="23"/>
                <w:szCs w:val="23"/>
                <w:color w:val="auto"/>
              </w:rPr>
            </w:pPr>
          </w:p>
        </w:tc>
        <w:tc>
          <w:tcPr>
            <w:tcW w:w="80" w:type="dxa"/>
            <w:vAlign w:val="bottom"/>
            <w:tcBorders>
              <w:top w:val="single" w:sz="8" w:color="E6E6E6"/>
            </w:tcBorders>
            <w:shd w:val="clear" w:color="auto" w:fill="E6E6E6"/>
          </w:tcPr>
          <w:p>
            <w:pPr>
              <w:spacing w:after="0"/>
              <w:rPr>
                <w:sz w:val="23"/>
                <w:szCs w:val="23"/>
                <w:color w:val="auto"/>
              </w:rPr>
            </w:pPr>
          </w:p>
        </w:tc>
        <w:tc>
          <w:tcPr>
            <w:tcW w:w="400" w:type="dxa"/>
            <w:vAlign w:val="bottom"/>
            <w:tcBorders>
              <w:top w:val="single" w:sz="8" w:color="auto"/>
            </w:tcBorders>
            <w:shd w:val="clear" w:color="auto" w:fill="E6E6E6"/>
          </w:tcPr>
          <w:p>
            <w:pPr>
              <w:spacing w:after="0"/>
              <w:rPr>
                <w:sz w:val="23"/>
                <w:szCs w:val="23"/>
                <w:color w:val="auto"/>
              </w:rPr>
            </w:pPr>
          </w:p>
        </w:tc>
        <w:tc>
          <w:tcPr>
            <w:tcW w:w="760" w:type="dxa"/>
            <w:vAlign w:val="bottom"/>
            <w:tcBorders>
              <w:top w:val="single" w:sz="8" w:color="auto"/>
            </w:tcBorders>
            <w:shd w:val="clear" w:color="auto" w:fill="E6E6E6"/>
          </w:tcPr>
          <w:p>
            <w:pPr>
              <w:spacing w:after="0"/>
              <w:rPr>
                <w:sz w:val="23"/>
                <w:szCs w:val="23"/>
                <w:color w:val="auto"/>
              </w:rPr>
            </w:pPr>
          </w:p>
        </w:tc>
        <w:tc>
          <w:tcPr>
            <w:tcW w:w="80" w:type="dxa"/>
            <w:vAlign w:val="bottom"/>
            <w:tcBorders>
              <w:top w:val="single" w:sz="8" w:color="E6E6E6"/>
            </w:tcBorders>
            <w:shd w:val="clear" w:color="auto" w:fill="E6E6E6"/>
          </w:tcPr>
          <w:p>
            <w:pPr>
              <w:spacing w:after="0"/>
              <w:rPr>
                <w:sz w:val="23"/>
                <w:szCs w:val="23"/>
                <w:color w:val="auto"/>
              </w:rPr>
            </w:pPr>
          </w:p>
        </w:tc>
        <w:tc>
          <w:tcPr>
            <w:tcW w:w="780" w:type="dxa"/>
            <w:vAlign w:val="bottom"/>
            <w:tcBorders>
              <w:top w:val="single" w:sz="8" w:color="auto"/>
            </w:tcBorders>
            <w:shd w:val="clear" w:color="auto" w:fill="E6E6E6"/>
          </w:tcPr>
          <w:p>
            <w:pPr>
              <w:spacing w:after="0"/>
              <w:rPr>
                <w:sz w:val="23"/>
                <w:szCs w:val="23"/>
                <w:color w:val="auto"/>
              </w:rPr>
            </w:pPr>
          </w:p>
        </w:tc>
        <w:tc>
          <w:tcPr>
            <w:tcW w:w="400" w:type="dxa"/>
            <w:vAlign w:val="bottom"/>
            <w:tcBorders>
              <w:top w:val="single" w:sz="8" w:color="auto"/>
            </w:tcBorders>
            <w:shd w:val="clear" w:color="auto" w:fill="E6E6E6"/>
          </w:tcPr>
          <w:p>
            <w:pPr>
              <w:spacing w:after="0"/>
              <w:rPr>
                <w:sz w:val="23"/>
                <w:szCs w:val="23"/>
                <w:color w:val="auto"/>
              </w:rPr>
            </w:pPr>
          </w:p>
        </w:tc>
      </w:tr>
      <w:tr>
        <w:trPr>
          <w:trHeight w:val="277"/>
        </w:trPr>
        <w:tc>
          <w:tcPr>
            <w:tcW w:w="5320" w:type="dxa"/>
            <w:vAlign w:val="bottom"/>
            <w:gridSpan w:val="2"/>
          </w:tcPr>
          <w:p>
            <w:pPr>
              <w:jc w:val="right"/>
              <w:ind w:right="80"/>
              <w:spacing w:after="0"/>
              <w:rPr>
                <w:sz w:val="20"/>
                <w:szCs w:val="20"/>
                <w:color w:val="auto"/>
              </w:rPr>
            </w:pPr>
            <w:r>
              <w:rPr>
                <w:rFonts w:ascii="Arial" w:cs="Arial" w:eastAsia="Arial" w:hAnsi="Arial"/>
                <w:sz w:val="20"/>
                <w:szCs w:val="20"/>
                <w:color w:val="auto"/>
                <w:w w:val="92"/>
              </w:rPr>
              <w:t xml:space="preserve">Interest rate contracts current </w:t>
            </w:r>
            <w:r>
              <w:rPr>
                <w:rFonts w:ascii="Arial" w:cs="Arial" w:eastAsia="Arial" w:hAnsi="Arial"/>
                <w:sz w:val="20"/>
                <w:szCs w:val="20"/>
                <w:color w:val="BDBDBD"/>
                <w:w w:val="92"/>
              </w:rPr>
              <w:t>. . . . . . . . . . . . . . . . . . . . . . . . . . .</w:t>
            </w:r>
          </w:p>
        </w:tc>
        <w:tc>
          <w:tcPr>
            <w:tcW w:w="260" w:type="dxa"/>
            <w:vAlign w:val="bottom"/>
          </w:tcPr>
          <w:p>
            <w:pPr>
              <w:jc w:val="right"/>
              <w:ind w:right="44"/>
              <w:spacing w:after="0"/>
              <w:rPr>
                <w:sz w:val="20"/>
                <w:szCs w:val="20"/>
                <w:color w:val="auto"/>
              </w:rPr>
            </w:pPr>
            <w:r>
              <w:rPr>
                <w:rFonts w:ascii="Arial" w:cs="Arial" w:eastAsia="Arial" w:hAnsi="Arial"/>
                <w:sz w:val="20"/>
                <w:szCs w:val="20"/>
                <w:color w:val="auto"/>
                <w:w w:val="89"/>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33</w:t>
            </w:r>
          </w:p>
        </w:tc>
        <w:tc>
          <w:tcPr>
            <w:tcW w:w="840" w:type="dxa"/>
            <w:vAlign w:val="bottom"/>
            <w:gridSpan w:val="2"/>
          </w:tcPr>
          <w:p>
            <w:pPr>
              <w:jc w:val="right"/>
              <w:ind w:right="540"/>
              <w:spacing w:after="0"/>
              <w:rPr>
                <w:sz w:val="20"/>
                <w:szCs w:val="20"/>
                <w:color w:val="auto"/>
              </w:rPr>
            </w:pPr>
            <w:r>
              <w:rPr>
                <w:rFonts w:ascii="Arial" w:cs="Arial" w:eastAsia="Arial" w:hAnsi="Arial"/>
                <w:sz w:val="20"/>
                <w:szCs w:val="20"/>
                <w:color w:val="auto"/>
              </w:rPr>
              <w:t>$</w:t>
            </w:r>
          </w:p>
        </w:tc>
        <w:tc>
          <w:tcPr>
            <w:tcW w:w="400" w:type="dxa"/>
            <w:vAlign w:val="bottom"/>
          </w:tcPr>
          <w:p>
            <w:pPr>
              <w:jc w:val="right"/>
              <w:spacing w:after="0"/>
              <w:rPr>
                <w:sz w:val="20"/>
                <w:szCs w:val="20"/>
                <w:color w:val="auto"/>
              </w:rPr>
            </w:pPr>
            <w:r>
              <w:rPr>
                <w:rFonts w:ascii="Arial" w:cs="Arial" w:eastAsia="Arial" w:hAnsi="Arial"/>
                <w:sz w:val="20"/>
                <w:szCs w:val="20"/>
                <w:color w:val="auto"/>
              </w:rPr>
              <w:t>19</w:t>
            </w:r>
          </w:p>
        </w:tc>
        <w:tc>
          <w:tcPr>
            <w:tcW w:w="480" w:type="dxa"/>
            <w:vAlign w:val="bottom"/>
            <w:gridSpan w:val="2"/>
          </w:tcPr>
          <w:p>
            <w:pPr>
              <w:jc w:val="right"/>
              <w:ind w:right="167"/>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w:t>
            </w:r>
          </w:p>
        </w:tc>
        <w:tc>
          <w:tcPr>
            <w:tcW w:w="860" w:type="dxa"/>
            <w:vAlign w:val="bottom"/>
            <w:gridSpan w:val="2"/>
          </w:tcPr>
          <w:p>
            <w:pPr>
              <w:jc w:val="right"/>
              <w:ind w:right="550"/>
              <w:spacing w:after="0"/>
              <w:rPr>
                <w:sz w:val="20"/>
                <w:szCs w:val="20"/>
                <w:color w:val="auto"/>
              </w:rPr>
            </w:pPr>
            <w:r>
              <w:rPr>
                <w:rFonts w:ascii="Arial" w:cs="Arial" w:eastAsia="Arial" w:hAnsi="Arial"/>
                <w:sz w:val="20"/>
                <w:szCs w:val="20"/>
                <w:color w:val="auto"/>
              </w:rPr>
              <w:t>$</w:t>
            </w:r>
          </w:p>
        </w:tc>
        <w:tc>
          <w:tcPr>
            <w:tcW w:w="4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0"/>
        </w:trPr>
        <w:tc>
          <w:tcPr>
            <w:tcW w:w="5320" w:type="dxa"/>
            <w:vAlign w:val="bottom"/>
            <w:gridSpan w:val="2"/>
            <w:shd w:val="clear" w:color="auto" w:fill="E6E6E6"/>
          </w:tcPr>
          <w:p>
            <w:pPr>
              <w:jc w:val="right"/>
              <w:ind w:right="80"/>
              <w:spacing w:after="0"/>
              <w:rPr>
                <w:sz w:val="20"/>
                <w:szCs w:val="20"/>
                <w:color w:val="auto"/>
              </w:rPr>
            </w:pPr>
            <w:r>
              <w:rPr>
                <w:rFonts w:ascii="Arial" w:cs="Arial" w:eastAsia="Arial" w:hAnsi="Arial"/>
                <w:sz w:val="20"/>
                <w:szCs w:val="20"/>
                <w:color w:val="auto"/>
                <w:w w:val="92"/>
              </w:rPr>
              <w:t xml:space="preserve">Interest rate contracts long-term </w:t>
            </w:r>
            <w:r>
              <w:rPr>
                <w:rFonts w:ascii="Arial" w:cs="Arial" w:eastAsia="Arial" w:hAnsi="Arial"/>
                <w:sz w:val="20"/>
                <w:szCs w:val="20"/>
                <w:color w:val="BDBDBD"/>
                <w:w w:val="92"/>
              </w:rPr>
              <w:t>. . . . . . . . . . . . . . . . . . . . . . . . .</w:t>
            </w:r>
          </w:p>
        </w:tc>
        <w:tc>
          <w:tcPr>
            <w:tcW w:w="260" w:type="dxa"/>
            <w:vAlign w:val="bottom"/>
            <w:shd w:val="clear" w:color="auto" w:fill="E6E6E6"/>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69</w:t>
            </w:r>
          </w:p>
        </w:tc>
        <w:tc>
          <w:tcPr>
            <w:tcW w:w="8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4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45</w:t>
            </w:r>
          </w:p>
        </w:tc>
        <w:tc>
          <w:tcPr>
            <w:tcW w:w="80" w:type="dxa"/>
            <w:vAlign w:val="bottom"/>
            <w:shd w:val="clear" w:color="auto" w:fill="E6E6E6"/>
          </w:tcPr>
          <w:p>
            <w:pPr>
              <w:spacing w:after="0"/>
              <w:rPr>
                <w:sz w:val="24"/>
                <w:szCs w:val="24"/>
                <w:color w:val="auto"/>
              </w:rPr>
            </w:pPr>
          </w:p>
        </w:tc>
        <w:tc>
          <w:tcPr>
            <w:tcW w:w="400" w:type="dxa"/>
            <w:vAlign w:val="bottom"/>
            <w:shd w:val="clear" w:color="auto" w:fill="E6E6E6"/>
          </w:tcPr>
          <w:p>
            <w:pPr>
              <w:spacing w:after="0"/>
              <w:rPr>
                <w:sz w:val="24"/>
                <w:szCs w:val="24"/>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4"/>
                <w:szCs w:val="24"/>
                <w:color w:val="auto"/>
              </w:rPr>
            </w:pPr>
          </w:p>
        </w:tc>
        <w:tc>
          <w:tcPr>
            <w:tcW w:w="780" w:type="dxa"/>
            <w:vAlign w:val="bottom"/>
            <w:shd w:val="clear" w:color="auto" w:fill="E6E6E6"/>
          </w:tcPr>
          <w:p>
            <w:pPr>
              <w:spacing w:after="0"/>
              <w:rPr>
                <w:sz w:val="24"/>
                <w:szCs w:val="24"/>
                <w:color w:val="auto"/>
              </w:rPr>
            </w:pPr>
          </w:p>
        </w:tc>
        <w:tc>
          <w:tcPr>
            <w:tcW w:w="4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r>
      <w:tr>
        <w:trPr>
          <w:trHeight w:val="277"/>
        </w:trPr>
        <w:tc>
          <w:tcPr>
            <w:tcW w:w="5320" w:type="dxa"/>
            <w:vAlign w:val="bottom"/>
            <w:gridSpan w:val="2"/>
          </w:tcPr>
          <w:p>
            <w:pPr>
              <w:jc w:val="right"/>
              <w:ind w:right="80"/>
              <w:spacing w:after="0"/>
              <w:rPr>
                <w:sz w:val="20"/>
                <w:szCs w:val="20"/>
                <w:color w:val="auto"/>
              </w:rPr>
            </w:pPr>
            <w:r>
              <w:rPr>
                <w:rFonts w:ascii="Arial" w:cs="Arial" w:eastAsia="Arial" w:hAnsi="Arial"/>
                <w:sz w:val="20"/>
                <w:szCs w:val="20"/>
                <w:color w:val="auto"/>
                <w:w w:val="94"/>
              </w:rPr>
              <w:t xml:space="preserve">Energy-related commodity contracts current </w:t>
            </w:r>
            <w:r>
              <w:rPr>
                <w:rFonts w:ascii="Arial" w:cs="Arial" w:eastAsia="Arial" w:hAnsi="Arial"/>
                <w:sz w:val="20"/>
                <w:szCs w:val="20"/>
                <w:color w:val="BDBDBD"/>
                <w:w w:val="94"/>
              </w:rPr>
              <w:t>. . . . . . . . . . . . . . .</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51</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50</w:t>
            </w:r>
          </w:p>
        </w:tc>
      </w:tr>
      <w:tr>
        <w:trPr>
          <w:trHeight w:val="299"/>
        </w:trPr>
        <w:tc>
          <w:tcPr>
            <w:tcW w:w="5320" w:type="dxa"/>
            <w:vAlign w:val="bottom"/>
            <w:tcBorders>
              <w:bottom w:val="single" w:sz="8" w:color="E6E6E6"/>
            </w:tcBorders>
            <w:gridSpan w:val="2"/>
            <w:shd w:val="clear" w:color="auto" w:fill="E6E6E6"/>
          </w:tcPr>
          <w:p>
            <w:pPr>
              <w:jc w:val="right"/>
              <w:ind w:right="80"/>
              <w:spacing w:after="0"/>
              <w:rPr>
                <w:sz w:val="20"/>
                <w:szCs w:val="20"/>
                <w:color w:val="auto"/>
              </w:rPr>
            </w:pPr>
            <w:r>
              <w:rPr>
                <w:rFonts w:ascii="Arial" w:cs="Arial" w:eastAsia="Arial" w:hAnsi="Arial"/>
                <w:sz w:val="20"/>
                <w:szCs w:val="20"/>
                <w:color w:val="auto"/>
                <w:w w:val="95"/>
              </w:rPr>
              <w:t xml:space="preserve">Energy-related commodity contracts long-term  </w:t>
            </w:r>
            <w:r>
              <w:rPr>
                <w:rFonts w:ascii="Arial" w:cs="Arial" w:eastAsia="Arial" w:hAnsi="Arial"/>
                <w:sz w:val="20"/>
                <w:szCs w:val="20"/>
                <w:color w:val="BDBDBD"/>
                <w:w w:val="95"/>
              </w:rPr>
              <w:t>. . . . . . . . . . . .</w:t>
            </w:r>
          </w:p>
        </w:tc>
        <w:tc>
          <w:tcPr>
            <w:tcW w:w="260" w:type="dxa"/>
            <w:vAlign w:val="bottom"/>
            <w:tcBorders>
              <w:bottom w:val="single" w:sz="8" w:color="auto"/>
            </w:tcBorders>
            <w:shd w:val="clear" w:color="auto" w:fill="E6E6E6"/>
          </w:tcPr>
          <w:p>
            <w:pPr>
              <w:spacing w:after="0"/>
              <w:rPr>
                <w:sz w:val="24"/>
                <w:szCs w:val="24"/>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w:t>
            </w:r>
          </w:p>
        </w:tc>
        <w:tc>
          <w:tcPr>
            <w:tcW w:w="80" w:type="dxa"/>
            <w:vAlign w:val="bottom"/>
            <w:tcBorders>
              <w:bottom w:val="single" w:sz="8" w:color="auto"/>
            </w:tcBorders>
            <w:shd w:val="clear" w:color="auto" w:fill="E6E6E6"/>
          </w:tcPr>
          <w:p>
            <w:pPr>
              <w:spacing w:after="0"/>
              <w:rPr>
                <w:sz w:val="24"/>
                <w:szCs w:val="24"/>
                <w:color w:val="auto"/>
              </w:rPr>
            </w:pPr>
          </w:p>
        </w:tc>
        <w:tc>
          <w:tcPr>
            <w:tcW w:w="760" w:type="dxa"/>
            <w:vAlign w:val="bottom"/>
            <w:tcBorders>
              <w:bottom w:val="single" w:sz="8" w:color="auto"/>
            </w:tcBorders>
            <w:shd w:val="clear" w:color="auto" w:fill="E6E6E6"/>
          </w:tcPr>
          <w:p>
            <w:pPr>
              <w:spacing w:after="0"/>
              <w:rPr>
                <w:sz w:val="24"/>
                <w:szCs w:val="24"/>
                <w:color w:val="auto"/>
              </w:rPr>
            </w:pPr>
          </w:p>
        </w:tc>
        <w:tc>
          <w:tcPr>
            <w:tcW w:w="4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shd w:val="clear" w:color="auto" w:fill="E6E6E6"/>
          </w:tcPr>
          <w:p>
            <w:pPr>
              <w:spacing w:after="0"/>
              <w:rPr>
                <w:sz w:val="24"/>
                <w:szCs w:val="24"/>
                <w:color w:val="auto"/>
              </w:rPr>
            </w:pPr>
          </w:p>
        </w:tc>
        <w:tc>
          <w:tcPr>
            <w:tcW w:w="400" w:type="dxa"/>
            <w:vAlign w:val="bottom"/>
            <w:tcBorders>
              <w:bottom w:val="single" w:sz="8" w:color="auto"/>
            </w:tcBorders>
            <w:shd w:val="clear" w:color="auto" w:fill="E6E6E6"/>
          </w:tcPr>
          <w:p>
            <w:pPr>
              <w:spacing w:after="0"/>
              <w:rPr>
                <w:sz w:val="24"/>
                <w:szCs w:val="24"/>
                <w:color w:val="auto"/>
              </w:rPr>
            </w:pPr>
          </w:p>
        </w:tc>
        <w:tc>
          <w:tcPr>
            <w:tcW w:w="7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279</w:t>
            </w:r>
          </w:p>
        </w:tc>
        <w:tc>
          <w:tcPr>
            <w:tcW w:w="80" w:type="dxa"/>
            <w:vAlign w:val="bottom"/>
            <w:tcBorders>
              <w:bottom w:val="single" w:sz="8" w:color="E6E6E6"/>
            </w:tcBorders>
            <w:shd w:val="clear" w:color="auto" w:fill="E6E6E6"/>
          </w:tcPr>
          <w:p>
            <w:pPr>
              <w:spacing w:after="0"/>
              <w:rPr>
                <w:sz w:val="24"/>
                <w:szCs w:val="24"/>
                <w:color w:val="auto"/>
              </w:rPr>
            </w:pPr>
          </w:p>
        </w:tc>
        <w:tc>
          <w:tcPr>
            <w:tcW w:w="780" w:type="dxa"/>
            <w:vAlign w:val="bottom"/>
            <w:tcBorders>
              <w:bottom w:val="single" w:sz="8" w:color="auto"/>
            </w:tcBorders>
            <w:shd w:val="clear" w:color="auto" w:fill="E6E6E6"/>
          </w:tcPr>
          <w:p>
            <w:pPr>
              <w:spacing w:after="0"/>
              <w:rPr>
                <w:sz w:val="24"/>
                <w:szCs w:val="24"/>
                <w:color w:val="auto"/>
              </w:rPr>
            </w:pPr>
          </w:p>
        </w:tc>
        <w:tc>
          <w:tcPr>
            <w:tcW w:w="4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w w:val="89"/>
              </w:rPr>
              <w:t>303</w:t>
            </w:r>
          </w:p>
        </w:tc>
      </w:tr>
      <w:tr>
        <w:trPr>
          <w:trHeight w:val="245"/>
        </w:trPr>
        <w:tc>
          <w:tcPr>
            <w:tcW w:w="5300" w:type="dxa"/>
            <w:vAlign w:val="bottom"/>
            <w:tcBorders>
              <w:bottom w:val="single" w:sz="8" w:color="E6E6E6"/>
            </w:tcBorders>
          </w:tcPr>
          <w:p>
            <w:pPr>
              <w:jc w:val="right"/>
              <w:spacing w:after="0"/>
              <w:rPr>
                <w:sz w:val="20"/>
                <w:szCs w:val="20"/>
                <w:color w:val="auto"/>
              </w:rPr>
            </w:pPr>
            <w:r>
              <w:rPr>
                <w:rFonts w:ascii="Arial" w:cs="Arial" w:eastAsia="Arial" w:hAnsi="Arial"/>
                <w:sz w:val="20"/>
                <w:szCs w:val="20"/>
                <w:b w:val="1"/>
                <w:bCs w:val="1"/>
                <w:color w:val="auto"/>
                <w:w w:val="90"/>
              </w:rPr>
              <w:t xml:space="preserve">Total Derivatives Not Designated as Cash Flow Hedges </w:t>
            </w:r>
            <w:r>
              <w:rPr>
                <w:rFonts w:ascii="Arial" w:cs="Arial" w:eastAsia="Arial" w:hAnsi="Arial"/>
                <w:sz w:val="20"/>
                <w:szCs w:val="20"/>
                <w:b w:val="1"/>
                <w:bCs w:val="1"/>
                <w:color w:val="BDBDBD"/>
                <w:w w:val="90"/>
              </w:rPr>
              <w:t>. . . . .</w:t>
            </w: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jc w:val="right"/>
              <w:ind w:right="44"/>
              <w:spacing w:after="0"/>
              <w:rPr>
                <w:sz w:val="20"/>
                <w:szCs w:val="20"/>
                <w:color w:val="auto"/>
              </w:rPr>
            </w:pPr>
            <w:r>
              <w:rPr>
                <w:rFonts w:ascii="Arial" w:cs="Arial" w:eastAsia="Arial" w:hAnsi="Arial"/>
                <w:sz w:val="20"/>
                <w:szCs w:val="20"/>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104</w:t>
            </w:r>
          </w:p>
        </w:tc>
        <w:tc>
          <w:tcPr>
            <w:tcW w:w="84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20"/>
                <w:szCs w:val="20"/>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64</w:t>
            </w:r>
          </w:p>
        </w:tc>
        <w:tc>
          <w:tcPr>
            <w:tcW w:w="80" w:type="dxa"/>
            <w:vAlign w:val="bottom"/>
            <w:tcBorders>
              <w:bottom w:val="single" w:sz="8" w:color="E6E6E6"/>
            </w:tcBorders>
          </w:tcPr>
          <w:p>
            <w:pPr>
              <w:spacing w:after="0"/>
              <w:rPr>
                <w:sz w:val="21"/>
                <w:szCs w:val="21"/>
                <w:color w:val="auto"/>
              </w:rPr>
            </w:pPr>
          </w:p>
        </w:tc>
        <w:tc>
          <w:tcPr>
            <w:tcW w:w="400" w:type="dxa"/>
            <w:vAlign w:val="bottom"/>
            <w:tcBorders>
              <w:bottom w:val="single" w:sz="8" w:color="auto"/>
            </w:tcBorders>
          </w:tcPr>
          <w:p>
            <w:pPr>
              <w:jc w:val="right"/>
              <w:ind w:right="167"/>
              <w:spacing w:after="0"/>
              <w:rPr>
                <w:sz w:val="20"/>
                <w:szCs w:val="20"/>
                <w:color w:val="auto"/>
              </w:rPr>
            </w:pPr>
            <w:r>
              <w:rPr>
                <w:rFonts w:ascii="Arial" w:cs="Arial" w:eastAsia="Arial" w:hAnsi="Arial"/>
                <w:sz w:val="20"/>
                <w:szCs w:val="20"/>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330</w:t>
            </w:r>
          </w:p>
        </w:tc>
        <w:tc>
          <w:tcPr>
            <w:tcW w:w="80" w:type="dxa"/>
            <w:vAlign w:val="bottom"/>
            <w:tcBorders>
              <w:bottom w:val="single" w:sz="8" w:color="E6E6E6"/>
            </w:tcBorders>
          </w:tcPr>
          <w:p>
            <w:pPr>
              <w:spacing w:after="0"/>
              <w:rPr>
                <w:sz w:val="21"/>
                <w:szCs w:val="21"/>
                <w:color w:val="auto"/>
              </w:rPr>
            </w:pPr>
          </w:p>
        </w:tc>
        <w:tc>
          <w:tcPr>
            <w:tcW w:w="780" w:type="dxa"/>
            <w:vAlign w:val="bottom"/>
            <w:tcBorders>
              <w:bottom w:val="single" w:sz="8" w:color="auto"/>
            </w:tcBorders>
          </w:tcPr>
          <w:p>
            <w:pPr>
              <w:jc w:val="right"/>
              <w:ind w:right="550"/>
              <w:spacing w:after="0"/>
              <w:rPr>
                <w:sz w:val="20"/>
                <w:szCs w:val="20"/>
                <w:color w:val="auto"/>
              </w:rPr>
            </w:pPr>
            <w:r>
              <w:rPr>
                <w:rFonts w:ascii="Arial" w:cs="Arial" w:eastAsia="Arial" w:hAnsi="Arial"/>
                <w:sz w:val="20"/>
                <w:szCs w:val="20"/>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353</w:t>
            </w:r>
          </w:p>
        </w:tc>
      </w:tr>
      <w:tr>
        <w:trPr>
          <w:trHeight w:val="283"/>
        </w:trPr>
        <w:tc>
          <w:tcPr>
            <w:tcW w:w="53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b w:val="1"/>
                <w:bCs w:val="1"/>
                <w:color w:val="BDBDBD"/>
                <w:w w:val="93"/>
              </w:rPr>
              <w:t>. . . . . . . . . . . . . . . . . . . . . . . . . . . . . . . . . . . . .</w:t>
            </w:r>
            <w:r>
              <w:rPr>
                <w:rFonts w:ascii="Arial" w:cs="Arial" w:eastAsia="Arial" w:hAnsi="Arial"/>
                <w:sz w:val="20"/>
                <w:szCs w:val="20"/>
                <w:b w:val="1"/>
                <w:bCs w:val="1"/>
                <w:color w:val="000000"/>
                <w:w w:val="93"/>
              </w:rPr>
              <w:t>TotalDerivatives</w:t>
            </w:r>
          </w:p>
        </w:tc>
        <w:tc>
          <w:tcPr>
            <w:tcW w:w="20" w:type="dxa"/>
            <w:vAlign w:val="bottom"/>
            <w:tcBorders>
              <w:bottom w:val="single" w:sz="8" w:color="auto"/>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jc w:val="right"/>
              <w:ind w:right="44"/>
              <w:spacing w:after="0"/>
              <w:rPr>
                <w:sz w:val="20"/>
                <w:szCs w:val="20"/>
                <w:color w:val="auto"/>
              </w:rPr>
            </w:pPr>
            <w:r>
              <w:rPr>
                <w:rFonts w:ascii="Arial" w:cs="Arial" w:eastAsia="Arial" w:hAnsi="Arial"/>
                <w:sz w:val="20"/>
                <w:szCs w:val="20"/>
                <w:color w:val="auto"/>
                <w:w w:val="89"/>
              </w:rPr>
              <w:t>$</w:t>
            </w:r>
          </w:p>
        </w:tc>
        <w:tc>
          <w:tcPr>
            <w:tcW w:w="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123</w:t>
            </w:r>
          </w:p>
        </w:tc>
        <w:tc>
          <w:tcPr>
            <w:tcW w:w="840" w:type="dxa"/>
            <w:vAlign w:val="bottom"/>
            <w:tcBorders>
              <w:bottom w:val="single" w:sz="8" w:color="auto"/>
            </w:tcBorders>
            <w:gridSpan w:val="2"/>
            <w:shd w:val="clear" w:color="auto" w:fill="E6E6E6"/>
          </w:tcPr>
          <w:p>
            <w:pPr>
              <w:jc w:val="right"/>
              <w:ind w:right="540"/>
              <w:spacing w:after="0"/>
              <w:rPr>
                <w:sz w:val="20"/>
                <w:szCs w:val="20"/>
                <w:color w:val="auto"/>
              </w:rPr>
            </w:pPr>
            <w:r>
              <w:rPr>
                <w:rFonts w:ascii="Arial" w:cs="Arial" w:eastAsia="Arial" w:hAnsi="Arial"/>
                <w:sz w:val="20"/>
                <w:szCs w:val="20"/>
                <w:color w:val="auto"/>
              </w:rPr>
              <w:t>$</w:t>
            </w:r>
          </w:p>
        </w:tc>
        <w:tc>
          <w:tcPr>
            <w:tcW w:w="4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89</w:t>
            </w:r>
          </w:p>
        </w:tc>
        <w:tc>
          <w:tcPr>
            <w:tcW w:w="80" w:type="dxa"/>
            <w:vAlign w:val="bottom"/>
            <w:tcBorders>
              <w:bottom w:val="single" w:sz="8" w:color="E6E6E6"/>
            </w:tcBorders>
            <w:shd w:val="clear" w:color="auto" w:fill="E6E6E6"/>
          </w:tcPr>
          <w:p>
            <w:pPr>
              <w:spacing w:after="0"/>
              <w:rPr>
                <w:sz w:val="24"/>
                <w:szCs w:val="24"/>
                <w:color w:val="auto"/>
              </w:rPr>
            </w:pPr>
          </w:p>
        </w:tc>
        <w:tc>
          <w:tcPr>
            <w:tcW w:w="400" w:type="dxa"/>
            <w:vAlign w:val="bottom"/>
            <w:tcBorders>
              <w:bottom w:val="single" w:sz="8" w:color="auto"/>
            </w:tcBorders>
            <w:shd w:val="clear" w:color="auto" w:fill="E6E6E6"/>
          </w:tcPr>
          <w:p>
            <w:pPr>
              <w:jc w:val="right"/>
              <w:ind w:right="167"/>
              <w:spacing w:after="0"/>
              <w:rPr>
                <w:sz w:val="20"/>
                <w:szCs w:val="20"/>
                <w:color w:val="auto"/>
              </w:rPr>
            </w:pPr>
            <w:r>
              <w:rPr>
                <w:rFonts w:ascii="Arial" w:cs="Arial" w:eastAsia="Arial" w:hAnsi="Arial"/>
                <w:sz w:val="20"/>
                <w:szCs w:val="20"/>
                <w:color w:val="auto"/>
              </w:rPr>
              <w:t>$</w:t>
            </w:r>
          </w:p>
        </w:tc>
        <w:tc>
          <w:tcPr>
            <w:tcW w:w="7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332</w:t>
            </w:r>
          </w:p>
        </w:tc>
        <w:tc>
          <w:tcPr>
            <w:tcW w:w="80" w:type="dxa"/>
            <w:vAlign w:val="bottom"/>
            <w:tcBorders>
              <w:bottom w:val="single" w:sz="8" w:color="E6E6E6"/>
            </w:tcBorders>
            <w:shd w:val="clear" w:color="auto" w:fill="E6E6E6"/>
          </w:tcPr>
          <w:p>
            <w:pPr>
              <w:spacing w:after="0"/>
              <w:rPr>
                <w:sz w:val="24"/>
                <w:szCs w:val="24"/>
                <w:color w:val="auto"/>
              </w:rPr>
            </w:pPr>
          </w:p>
        </w:tc>
        <w:tc>
          <w:tcPr>
            <w:tcW w:w="780" w:type="dxa"/>
            <w:vAlign w:val="bottom"/>
            <w:tcBorders>
              <w:bottom w:val="single" w:sz="8" w:color="auto"/>
            </w:tcBorders>
            <w:shd w:val="clear" w:color="auto" w:fill="E6E6E6"/>
          </w:tcPr>
          <w:p>
            <w:pPr>
              <w:jc w:val="right"/>
              <w:ind w:right="550"/>
              <w:spacing w:after="0"/>
              <w:rPr>
                <w:sz w:val="20"/>
                <w:szCs w:val="20"/>
                <w:color w:val="auto"/>
              </w:rPr>
            </w:pPr>
            <w:r>
              <w:rPr>
                <w:rFonts w:ascii="Arial" w:cs="Arial" w:eastAsia="Arial" w:hAnsi="Arial"/>
                <w:sz w:val="20"/>
                <w:szCs w:val="20"/>
                <w:color w:val="auto"/>
              </w:rPr>
              <w:t>$</w:t>
            </w:r>
          </w:p>
        </w:tc>
        <w:tc>
          <w:tcPr>
            <w:tcW w:w="4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w w:val="89"/>
              </w:rPr>
              <w:t>353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-1471295</wp:posOffset>
            </wp:positionV>
            <wp:extent cx="3143250"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197">
                      <a:extLst>
                        <a:ext uri="{28A0092B-C50C-407E-A947-70E740481C1C}"/>
                      </a:extLst>
                    </a:blip>
                    <a:srcRect/>
                    <a:stretch>
                      <a:fillRect/>
                    </a:stretch>
                  </pic:blipFill>
                  <pic:spPr bwMode="auto">
                    <a:xfrm>
                      <a:off x="0" y="0"/>
                      <a:ext cx="3143250" cy="25400"/>
                    </a:xfrm>
                    <a:prstGeom prst="rect">
                      <a:avLst/>
                    </a:prstGeom>
                    <a:noFill/>
                  </pic:spPr>
                </pic:pic>
              </a:graphicData>
            </a:graphic>
          </wp:anchor>
        </w:drawing>
        <w:drawing>
          <wp:anchor simplePos="0" relativeHeight="251657728" behindDoc="1" locked="0" layoutInCell="0" allowOverlap="1">
            <wp:simplePos x="0" y="0"/>
            <wp:positionH relativeFrom="column">
              <wp:posOffset>3348990</wp:posOffset>
            </wp:positionH>
            <wp:positionV relativeFrom="paragraph">
              <wp:posOffset>-1291590</wp:posOffset>
            </wp:positionV>
            <wp:extent cx="3143250"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198">
                      <a:extLst>
                        <a:ext uri="{28A0092B-C50C-407E-A947-70E740481C1C}"/>
                      </a:extLst>
                    </a:blip>
                    <a:srcRect/>
                    <a:stretch>
                      <a:fillRect/>
                    </a:stretch>
                  </pic:blipFill>
                  <pic:spPr bwMode="auto">
                    <a:xfrm>
                      <a:off x="0" y="0"/>
                      <a:ext cx="3143250" cy="25400"/>
                    </a:xfrm>
                    <a:prstGeom prst="rect">
                      <a:avLst/>
                    </a:prstGeom>
                    <a:noFill/>
                  </pic:spPr>
                </pic:pic>
              </a:graphicData>
            </a:graphic>
          </wp:anchor>
        </w:drawing>
        <w:drawing>
          <wp:anchor simplePos="0" relativeHeight="251657728" behindDoc="1" locked="0" layoutInCell="0" allowOverlap="1">
            <wp:simplePos x="0" y="0"/>
            <wp:positionH relativeFrom="column">
              <wp:posOffset>3348990</wp:posOffset>
            </wp:positionH>
            <wp:positionV relativeFrom="paragraph">
              <wp:posOffset>-391160</wp:posOffset>
            </wp:positionV>
            <wp:extent cx="3143250"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199">
                      <a:extLst>
                        <a:ext uri="{28A0092B-C50C-407E-A947-70E740481C1C}"/>
                      </a:extLst>
                    </a:blip>
                    <a:srcRect/>
                    <a:stretch>
                      <a:fillRect/>
                    </a:stretch>
                  </pic:blipFill>
                  <pic:spPr bwMode="auto">
                    <a:xfrm>
                      <a:off x="0" y="0"/>
                      <a:ext cx="3143250" cy="25400"/>
                    </a:xfrm>
                    <a:prstGeom prst="rect">
                      <a:avLst/>
                    </a:prstGeom>
                    <a:noFill/>
                  </pic:spPr>
                </pic:pic>
              </a:graphicData>
            </a:graphic>
          </wp:anchor>
        </w:drawing>
        <w:drawing>
          <wp:anchor simplePos="0" relativeHeight="251657728" behindDoc="1" locked="0" layoutInCell="0" allowOverlap="1">
            <wp:simplePos x="0" y="0"/>
            <wp:positionH relativeFrom="column">
              <wp:posOffset>3348990</wp:posOffset>
            </wp:positionH>
            <wp:positionV relativeFrom="paragraph">
              <wp:posOffset>-210820</wp:posOffset>
            </wp:positionV>
            <wp:extent cx="3143250"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00">
                      <a:extLst>
                        <a:ext uri="{28A0092B-C50C-407E-A947-70E740481C1C}"/>
                      </a:extLst>
                    </a:blip>
                    <a:srcRect/>
                    <a:stretch>
                      <a:fillRect/>
                    </a:stretch>
                  </pic:blipFill>
                  <pic:spPr bwMode="auto">
                    <a:xfrm>
                      <a:off x="0" y="0"/>
                      <a:ext cx="3143250" cy="25400"/>
                    </a:xfrm>
                    <a:prstGeom prst="rect">
                      <a:avLst/>
                    </a:prstGeom>
                    <a:noFill/>
                  </pic:spPr>
                </pic:pic>
              </a:graphicData>
            </a:graphic>
          </wp:anchor>
        </w:drawing>
        <w:drawing>
          <wp:anchor simplePos="0" relativeHeight="251657728" behindDoc="1" locked="0" layoutInCell="0" allowOverlap="1">
            <wp:simplePos x="0" y="0"/>
            <wp:positionH relativeFrom="column">
              <wp:posOffset>3348990</wp:posOffset>
            </wp:positionH>
            <wp:positionV relativeFrom="paragraph">
              <wp:posOffset>-43815</wp:posOffset>
            </wp:positionV>
            <wp:extent cx="3143250" cy="508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01">
                      <a:extLst>
                        <a:ext uri="{28A0092B-C50C-407E-A947-70E740481C1C}"/>
                      </a:extLst>
                    </a:blip>
                    <a:srcRect/>
                    <a:stretch>
                      <a:fillRect/>
                    </a:stretch>
                  </pic:blipFill>
                  <pic:spPr bwMode="auto">
                    <a:xfrm>
                      <a:off x="0" y="0"/>
                      <a:ext cx="3143250" cy="50800"/>
                    </a:xfrm>
                    <a:prstGeom prst="rect">
                      <a:avLst/>
                    </a:prstGeom>
                    <a:noFill/>
                  </pic:spPr>
                </pic:pic>
              </a:graphicData>
            </a:graphic>
          </wp:anchor>
        </w:drawing>
      </w:r>
    </w:p>
    <w:p>
      <w:pPr>
        <w:spacing w:after="0" w:line="166" w:lineRule="exact"/>
        <w:rPr>
          <w:sz w:val="20"/>
          <w:szCs w:val="20"/>
          <w:color w:val="auto"/>
        </w:rPr>
      </w:pPr>
    </w:p>
    <w:p>
      <w:pPr>
        <w:jc w:val="both"/>
        <w:ind w:firstLine="448"/>
        <w:spacing w:after="0" w:line="285" w:lineRule="auto"/>
        <w:rPr>
          <w:sz w:val="20"/>
          <w:szCs w:val="20"/>
          <w:color w:val="auto"/>
        </w:rPr>
      </w:pPr>
      <w:r>
        <w:rPr>
          <w:rFonts w:ascii="Arial" w:cs="Arial" w:eastAsia="Arial" w:hAnsi="Arial"/>
          <w:sz w:val="19"/>
          <w:szCs w:val="19"/>
          <w:color w:val="auto"/>
        </w:rPr>
        <w:t>The Company has elected to present derivative assets and liabilities on the balance sheet on a trade-by-trade basis and does not offset amounts at the counterparty level. As of December 31, 2023 and 2022, the amount of outstanding collateral paid or received was immaterial. The following tables summarize the offsetting of derivatives by counterparty:</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200" w:type="dxa"/>
            <w:vAlign w:val="bottom"/>
            <w:tcBorders>
              <w:bottom w:val="single" w:sz="8" w:color="auto"/>
            </w:tcBorders>
            <w:gridSpan w:val="9"/>
          </w:tcPr>
          <w:p>
            <w:pPr>
              <w:jc w:val="right"/>
              <w:ind w:right="903"/>
              <w:spacing w:after="0"/>
              <w:rPr>
                <w:sz w:val="20"/>
                <w:szCs w:val="20"/>
                <w:color w:val="auto"/>
              </w:rPr>
            </w:pPr>
            <w:r>
              <w:rPr>
                <w:rFonts w:ascii="Arial" w:cs="Arial" w:eastAsia="Arial" w:hAnsi="Arial"/>
                <w:sz w:val="16"/>
                <w:szCs w:val="16"/>
                <w:b w:val="1"/>
                <w:bCs w:val="1"/>
                <w:color w:val="auto"/>
              </w:rPr>
              <w:t>Gross Amounts Not Offset in the Statement of Financial Position</w:t>
            </w:r>
          </w:p>
        </w:tc>
        <w:tc>
          <w:tcPr>
            <w:tcW w:w="0" w:type="dxa"/>
            <w:vAlign w:val="bottom"/>
          </w:tcPr>
          <w:p>
            <w:pPr>
              <w:spacing w:after="0"/>
              <w:rPr>
                <w:sz w:val="1"/>
                <w:szCs w:val="1"/>
                <w:color w:val="auto"/>
              </w:rPr>
            </w:pPr>
          </w:p>
        </w:tc>
      </w:tr>
      <w:tr>
        <w:trPr>
          <w:trHeight w:val="185"/>
        </w:trPr>
        <w:tc>
          <w:tcPr>
            <w:tcW w:w="3940" w:type="dxa"/>
            <w:vAlign w:val="bottom"/>
            <w:gridSpan w:val="7"/>
            <w:vMerge w:val="restart"/>
          </w:tcPr>
          <w:p>
            <w:pPr>
              <w:ind w:left="40"/>
              <w:spacing w:after="0"/>
              <w:rPr>
                <w:sz w:val="20"/>
                <w:szCs w:val="20"/>
                <w:color w:val="auto"/>
              </w:rPr>
            </w:pPr>
            <w:r>
              <w:rPr>
                <w:rFonts w:ascii="Arial" w:cs="Arial" w:eastAsia="Arial" w:hAnsi="Arial"/>
                <w:sz w:val="20"/>
                <w:szCs w:val="20"/>
                <w:b w:val="1"/>
                <w:bCs w:val="1"/>
                <w:color w:val="auto"/>
              </w:rPr>
              <w:t>As of December 31, 2023</w:t>
            </w:r>
          </w:p>
        </w:tc>
        <w:tc>
          <w:tcPr>
            <w:tcW w:w="60" w:type="dxa"/>
            <w:vAlign w:val="bottom"/>
          </w:tcPr>
          <w:p>
            <w:pPr>
              <w:spacing w:after="0"/>
              <w:rPr>
                <w:sz w:val="16"/>
                <w:szCs w:val="16"/>
                <w:color w:val="auto"/>
              </w:rPr>
            </w:pPr>
          </w:p>
        </w:tc>
        <w:tc>
          <w:tcPr>
            <w:tcW w:w="22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7"/>
              </w:rPr>
              <w:t>Gross Amounts of Recognized</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Derivative Instruments</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vMerge w:val="restart"/>
          </w:tcPr>
          <w:p>
            <w:pPr>
              <w:jc w:val="right"/>
              <w:ind w:right="303"/>
              <w:spacing w:after="0"/>
              <w:rPr>
                <w:sz w:val="20"/>
                <w:szCs w:val="20"/>
                <w:color w:val="auto"/>
              </w:rPr>
            </w:pPr>
            <w:r>
              <w:rPr>
                <w:rFonts w:ascii="Arial" w:cs="Arial" w:eastAsia="Arial" w:hAnsi="Arial"/>
                <w:sz w:val="16"/>
                <w:szCs w:val="16"/>
                <w:b w:val="1"/>
                <w:bCs w:val="1"/>
                <w:color w:val="auto"/>
              </w:rPr>
              <w:t>Net Amount</w:t>
            </w:r>
          </w:p>
        </w:tc>
        <w:tc>
          <w:tcPr>
            <w:tcW w:w="0" w:type="dxa"/>
            <w:vAlign w:val="bottom"/>
          </w:tcPr>
          <w:p>
            <w:pPr>
              <w:spacing w:after="0"/>
              <w:rPr>
                <w:sz w:val="1"/>
                <w:szCs w:val="1"/>
                <w:color w:val="auto"/>
              </w:rPr>
            </w:pPr>
          </w:p>
        </w:tc>
      </w:tr>
      <w:tr>
        <w:trPr>
          <w:trHeight w:val="213"/>
        </w:trPr>
        <w:tc>
          <w:tcPr>
            <w:tcW w:w="3940" w:type="dxa"/>
            <w:vAlign w:val="bottom"/>
            <w:tcBorders>
              <w:bottom w:val="single" w:sz="8" w:color="E6E6E6"/>
            </w:tcBorders>
            <w:gridSpan w:val="7"/>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88"/>
              </w:rPr>
              <w:t>Assets/Liabilities</w:t>
            </w:r>
          </w:p>
        </w:tc>
        <w:tc>
          <w:tcPr>
            <w:tcW w:w="60" w:type="dxa"/>
            <w:vAlign w:val="bottom"/>
            <w:tcBorders>
              <w:bottom w:val="single" w:sz="8" w:color="E6E6E6"/>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2"/>
            <w:vMerge w:val="continue"/>
          </w:tcPr>
          <w:p>
            <w:pPr>
              <w:spacing w:after="0"/>
              <w:rPr>
                <w:sz w:val="18"/>
                <w:szCs w:val="18"/>
                <w:color w:val="auto"/>
              </w:rPr>
            </w:pPr>
          </w:p>
        </w:tc>
        <w:tc>
          <w:tcPr>
            <w:tcW w:w="40" w:type="dxa"/>
            <w:vAlign w:val="bottom"/>
            <w:tcBorders>
              <w:bottom w:val="single" w:sz="8" w:color="E6E6E6"/>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3940" w:type="dxa"/>
            <w:vAlign w:val="bottom"/>
            <w:gridSpan w:val="7"/>
            <w:shd w:val="clear" w:color="auto" w:fill="E6E6E6"/>
          </w:tcPr>
          <w:p>
            <w:pPr>
              <w:ind w:left="40"/>
              <w:spacing w:after="0"/>
              <w:rPr>
                <w:sz w:val="20"/>
                <w:szCs w:val="20"/>
                <w:color w:val="auto"/>
              </w:rPr>
            </w:pPr>
            <w:r>
              <w:rPr>
                <w:rFonts w:ascii="Arial" w:cs="Arial" w:eastAsia="Arial" w:hAnsi="Arial"/>
                <w:sz w:val="20"/>
                <w:szCs w:val="20"/>
                <w:b w:val="1"/>
                <w:bCs w:val="1"/>
                <w:color w:val="auto"/>
              </w:rPr>
              <w:t>Energy-related commodity contracts</w:t>
            </w:r>
          </w:p>
        </w:tc>
        <w:tc>
          <w:tcPr>
            <w:tcW w:w="60" w:type="dxa"/>
            <w:vAlign w:val="bottom"/>
            <w:shd w:val="clear" w:color="auto" w:fill="E6E6E6"/>
          </w:tcPr>
          <w:p>
            <w:pPr>
              <w:spacing w:after="0"/>
              <w:rPr>
                <w:sz w:val="23"/>
                <w:szCs w:val="23"/>
                <w:color w:val="auto"/>
              </w:rPr>
            </w:pPr>
          </w:p>
        </w:tc>
        <w:tc>
          <w:tcPr>
            <w:tcW w:w="226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200" w:type="dxa"/>
            <w:vAlign w:val="bottom"/>
            <w:shd w:val="clear" w:color="auto" w:fill="E6E6E6"/>
          </w:tcPr>
          <w:p>
            <w:pPr>
              <w:spacing w:after="0"/>
              <w:rPr>
                <w:sz w:val="23"/>
                <w:szCs w:val="23"/>
                <w:color w:val="auto"/>
              </w:rPr>
            </w:pPr>
          </w:p>
        </w:tc>
        <w:tc>
          <w:tcPr>
            <w:tcW w:w="1960" w:type="dxa"/>
            <w:vAlign w:val="bottom"/>
            <w:gridSpan w:val="2"/>
            <w:shd w:val="clear" w:color="auto" w:fill="E6E6E6"/>
          </w:tcPr>
          <w:p>
            <w:pPr>
              <w:ind w:left="60"/>
              <w:spacing w:after="0"/>
              <w:rPr>
                <w:sz w:val="20"/>
                <w:szCs w:val="20"/>
                <w:color w:val="auto"/>
              </w:rPr>
            </w:pPr>
            <w:r>
              <w:rPr>
                <w:rFonts w:ascii="Arial" w:cs="Arial" w:eastAsia="Arial" w:hAnsi="Arial"/>
                <w:sz w:val="16"/>
                <w:szCs w:val="16"/>
                <w:b w:val="1"/>
                <w:bCs w:val="1"/>
                <w:color w:val="auto"/>
              </w:rPr>
              <w:t>(In millions)</w:t>
            </w:r>
          </w:p>
        </w:tc>
        <w:tc>
          <w:tcPr>
            <w:tcW w:w="40" w:type="dxa"/>
            <w:vAlign w:val="bottom"/>
            <w:shd w:val="clear" w:color="auto" w:fill="E6E6E6"/>
          </w:tcPr>
          <w:p>
            <w:pPr>
              <w:spacing w:after="0"/>
              <w:rPr>
                <w:sz w:val="23"/>
                <w:szCs w:val="23"/>
                <w:color w:val="auto"/>
              </w:rPr>
            </w:pPr>
          </w:p>
        </w:tc>
        <w:tc>
          <w:tcPr>
            <w:tcW w:w="280" w:type="dxa"/>
            <w:vAlign w:val="bottom"/>
            <w:shd w:val="clear" w:color="auto" w:fill="E6E6E6"/>
          </w:tcPr>
          <w:p>
            <w:pPr>
              <w:spacing w:after="0"/>
              <w:rPr>
                <w:sz w:val="23"/>
                <w:szCs w:val="23"/>
                <w:color w:val="auto"/>
              </w:rPr>
            </w:pPr>
          </w:p>
        </w:tc>
        <w:tc>
          <w:tcPr>
            <w:tcW w:w="1380" w:type="dxa"/>
            <w:vAlign w:val="bottom"/>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3940" w:type="dxa"/>
            <w:vAlign w:val="bottom"/>
            <w:gridSpan w:val="7"/>
          </w:tcPr>
          <w:p>
            <w:pPr>
              <w:jc w:val="right"/>
              <w:ind w:right="158"/>
              <w:spacing w:after="0"/>
              <w:rPr>
                <w:sz w:val="20"/>
                <w:szCs w:val="20"/>
                <w:color w:val="auto"/>
              </w:rPr>
            </w:pPr>
            <w:r>
              <w:rPr>
                <w:rFonts w:ascii="Arial" w:cs="Arial" w:eastAsia="Arial" w:hAnsi="Arial"/>
                <w:sz w:val="20"/>
                <w:szCs w:val="20"/>
                <w:color w:val="auto"/>
                <w:w w:val="96"/>
              </w:rPr>
              <w:t xml:space="preserve">Derivative assets </w:t>
            </w:r>
            <w:r>
              <w:rPr>
                <w:rFonts w:ascii="Arial" w:cs="Arial" w:eastAsia="Arial" w:hAnsi="Arial"/>
                <w:sz w:val="20"/>
                <w:szCs w:val="20"/>
                <w:color w:val="BDBDBD"/>
                <w:w w:val="96"/>
              </w:rPr>
              <w:t>. . . . . . . . . . . . . . . . . . . . .</w:t>
            </w:r>
          </w:p>
        </w:tc>
        <w:tc>
          <w:tcPr>
            <w:tcW w:w="60" w:type="dxa"/>
            <w:vAlign w:val="bottom"/>
          </w:tcPr>
          <w:p>
            <w:pPr>
              <w:jc w:val="right"/>
              <w:ind w:right="34"/>
              <w:spacing w:after="0"/>
              <w:rPr>
                <w:sz w:val="20"/>
                <w:szCs w:val="20"/>
                <w:color w:val="auto"/>
              </w:rPr>
            </w:pPr>
            <w:r>
              <w:rPr>
                <w:rFonts w:ascii="Arial" w:cs="Arial" w:eastAsia="Arial" w:hAnsi="Arial"/>
                <w:sz w:val="1"/>
                <w:szCs w:val="1"/>
                <w:color w:val="auto"/>
                <w:w w:val="4294967288"/>
              </w:rPr>
              <w:t>$</w:t>
            </w:r>
          </w:p>
        </w:tc>
        <w:tc>
          <w:tcPr>
            <w:tcW w:w="2260" w:type="dxa"/>
            <w:vAlign w:val="bottom"/>
          </w:tcPr>
          <w:p>
            <w:pPr>
              <w:jc w:val="right"/>
              <w:spacing w:after="0"/>
              <w:rPr>
                <w:sz w:val="20"/>
                <w:szCs w:val="20"/>
                <w:color w:val="auto"/>
              </w:rPr>
            </w:pPr>
            <w:r>
              <w:rPr>
                <w:rFonts w:ascii="Arial" w:cs="Arial" w:eastAsia="Arial" w:hAnsi="Arial"/>
                <w:sz w:val="20"/>
                <w:szCs w:val="20"/>
                <w:color w:val="auto"/>
              </w:rPr>
              <w:t>2</w:t>
            </w:r>
          </w:p>
        </w:tc>
        <w:tc>
          <w:tcPr>
            <w:tcW w:w="2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96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320" w:type="dxa"/>
            <w:vAlign w:val="bottom"/>
            <w:gridSpan w:val="2"/>
          </w:tcPr>
          <w:p>
            <w:pPr>
              <w:jc w:val="right"/>
              <w:ind w:right="21"/>
              <w:spacing w:after="0"/>
              <w:rPr>
                <w:sz w:val="20"/>
                <w:szCs w:val="20"/>
                <w:color w:val="auto"/>
              </w:rPr>
            </w:pPr>
            <w:r>
              <w:rPr>
                <w:rFonts w:ascii="Arial" w:cs="Arial" w:eastAsia="Arial" w:hAnsi="Arial"/>
                <w:sz w:val="20"/>
                <w:szCs w:val="20"/>
                <w:color w:val="auto"/>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99"/>
        </w:trPr>
        <w:tc>
          <w:tcPr>
            <w:tcW w:w="3920" w:type="dxa"/>
            <w:vAlign w:val="bottom"/>
            <w:tcBorders>
              <w:bottom w:val="single" w:sz="8" w:color="E6E6E6"/>
            </w:tcBorders>
            <w:gridSpan w:val="6"/>
            <w:shd w:val="clear" w:color="auto" w:fill="E6E6E6"/>
          </w:tcPr>
          <w:p>
            <w:pPr>
              <w:jc w:val="right"/>
              <w:ind w:right="160"/>
              <w:spacing w:after="0"/>
              <w:rPr>
                <w:sz w:val="20"/>
                <w:szCs w:val="20"/>
                <w:color w:val="auto"/>
              </w:rPr>
            </w:pPr>
            <w:r>
              <w:rPr>
                <w:rFonts w:ascii="Arial" w:cs="Arial" w:eastAsia="Arial" w:hAnsi="Arial"/>
                <w:sz w:val="20"/>
                <w:szCs w:val="20"/>
                <w:color w:val="auto"/>
              </w:rPr>
              <w:t xml:space="preserve">Derivative liabilities </w:t>
            </w:r>
            <w:r>
              <w:rPr>
                <w:rFonts w:ascii="Arial" w:cs="Arial" w:eastAsia="Arial" w:hAnsi="Arial"/>
                <w:sz w:val="20"/>
                <w:szCs w:val="20"/>
                <w:color w:val="BDBDBD"/>
              </w:rPr>
              <w:t>. . . . . . . . . . . . . . . . . .</w:t>
            </w:r>
          </w:p>
        </w:tc>
        <w:tc>
          <w:tcPr>
            <w:tcW w:w="20" w:type="dxa"/>
            <w:vAlign w:val="bottom"/>
            <w:tcBorders>
              <w:bottom w:val="single" w:sz="8" w:color="auto"/>
            </w:tcBorders>
            <w:shd w:val="clear" w:color="auto" w:fill="E6E6E6"/>
          </w:tcPr>
          <w:p>
            <w:pPr>
              <w:spacing w:after="0"/>
              <w:rPr>
                <w:sz w:val="24"/>
                <w:szCs w:val="24"/>
                <w:color w:val="auto"/>
              </w:rPr>
            </w:pPr>
          </w:p>
        </w:tc>
        <w:tc>
          <w:tcPr>
            <w:tcW w:w="60" w:type="dxa"/>
            <w:vAlign w:val="bottom"/>
            <w:tcBorders>
              <w:bottom w:val="single" w:sz="8" w:color="auto"/>
            </w:tcBorders>
            <w:shd w:val="clear" w:color="auto" w:fill="E6E6E6"/>
          </w:tcPr>
          <w:p>
            <w:pPr>
              <w:spacing w:after="0"/>
              <w:rPr>
                <w:sz w:val="24"/>
                <w:szCs w:val="24"/>
                <w:color w:val="auto"/>
              </w:rPr>
            </w:pPr>
          </w:p>
        </w:tc>
        <w:tc>
          <w:tcPr>
            <w:tcW w:w="22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(330)</w:t>
            </w:r>
          </w:p>
        </w:tc>
        <w:tc>
          <w:tcPr>
            <w:tcW w:w="20" w:type="dxa"/>
            <w:vAlign w:val="bottom"/>
            <w:tcBorders>
              <w:bottom w:val="single" w:sz="8" w:color="auto"/>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spacing w:after="0"/>
              <w:rPr>
                <w:sz w:val="24"/>
                <w:szCs w:val="24"/>
                <w:color w:val="auto"/>
              </w:rPr>
            </w:pPr>
          </w:p>
        </w:tc>
        <w:tc>
          <w:tcPr>
            <w:tcW w:w="1960" w:type="dxa"/>
            <w:vAlign w:val="bottom"/>
            <w:tcBorders>
              <w:bottom w:val="single" w:sz="8" w:color="auto"/>
            </w:tcBorders>
            <w:gridSpan w:val="2"/>
            <w:shd w:val="clear" w:color="auto" w:fill="E6E6E6"/>
          </w:tcPr>
          <w:p>
            <w:pPr>
              <w:jc w:val="right"/>
              <w:ind w:right="100"/>
              <w:spacing w:after="0"/>
              <w:rPr>
                <w:sz w:val="20"/>
                <w:szCs w:val="20"/>
                <w:color w:val="auto"/>
              </w:rPr>
            </w:pPr>
            <w:r>
              <w:rPr>
                <w:rFonts w:ascii="Arial" w:cs="Arial" w:eastAsia="Arial" w:hAnsi="Arial"/>
                <w:sz w:val="20"/>
                <w:szCs w:val="20"/>
                <w:color w:val="auto"/>
              </w:rPr>
              <w:t>—</w:t>
            </w:r>
          </w:p>
        </w:tc>
        <w:tc>
          <w:tcPr>
            <w:tcW w:w="4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auto"/>
            </w:tcBorders>
            <w:shd w:val="clear" w:color="auto" w:fill="E6E6E6"/>
          </w:tcPr>
          <w:p>
            <w:pPr>
              <w:spacing w:after="0"/>
              <w:rPr>
                <w:sz w:val="24"/>
                <w:szCs w:val="24"/>
                <w:color w:val="auto"/>
              </w:rPr>
            </w:pPr>
          </w:p>
        </w:tc>
        <w:tc>
          <w:tcPr>
            <w:tcW w:w="13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(330)</w:t>
            </w:r>
          </w:p>
        </w:tc>
        <w:tc>
          <w:tcPr>
            <w:tcW w:w="0" w:type="dxa"/>
            <w:vAlign w:val="bottom"/>
          </w:tcPr>
          <w:p>
            <w:pPr>
              <w:spacing w:after="0"/>
              <w:rPr>
                <w:sz w:val="1"/>
                <w:szCs w:val="1"/>
                <w:color w:val="auto"/>
              </w:rPr>
            </w:pPr>
          </w:p>
        </w:tc>
      </w:tr>
      <w:tr>
        <w:trPr>
          <w:trHeight w:val="245"/>
        </w:trPr>
        <w:tc>
          <w:tcPr>
            <w:tcW w:w="3920" w:type="dxa"/>
            <w:vAlign w:val="bottom"/>
            <w:gridSpan w:val="6"/>
          </w:tcPr>
          <w:p>
            <w:pPr>
              <w:jc w:val="right"/>
              <w:ind w:right="160"/>
              <w:spacing w:after="0"/>
              <w:rPr>
                <w:sz w:val="20"/>
                <w:szCs w:val="20"/>
                <w:color w:val="auto"/>
              </w:rPr>
            </w:pPr>
            <w:r>
              <w:rPr>
                <w:rFonts w:ascii="Arial" w:cs="Arial" w:eastAsia="Arial" w:hAnsi="Arial"/>
                <w:sz w:val="20"/>
                <w:szCs w:val="20"/>
                <w:b w:val="1"/>
                <w:bCs w:val="1"/>
                <w:color w:val="auto"/>
                <w:w w:val="91"/>
              </w:rPr>
              <w:t xml:space="preserve">Total energy-related commodity contracts </w:t>
            </w:r>
            <w:r>
              <w:rPr>
                <w:rFonts w:ascii="Arial" w:cs="Arial" w:eastAsia="Arial" w:hAnsi="Arial"/>
                <w:sz w:val="20"/>
                <w:szCs w:val="20"/>
                <w:b w:val="1"/>
                <w:bCs w:val="1"/>
                <w:color w:val="BDBDBD"/>
                <w:w w:val="91"/>
              </w:rPr>
              <w:t>.</w:t>
            </w:r>
          </w:p>
        </w:tc>
        <w:tc>
          <w:tcPr>
            <w:tcW w:w="80" w:type="dxa"/>
            <w:vAlign w:val="bottom"/>
            <w:gridSpan w:val="2"/>
          </w:tcPr>
          <w:p>
            <w:pPr>
              <w:jc w:val="right"/>
              <w:ind w:right="34"/>
              <w:spacing w:after="0"/>
              <w:rPr>
                <w:sz w:val="20"/>
                <w:szCs w:val="20"/>
                <w:color w:val="auto"/>
              </w:rPr>
            </w:pPr>
            <w:r>
              <w:rPr>
                <w:rFonts w:ascii="Arial" w:cs="Arial" w:eastAsia="Arial" w:hAnsi="Arial"/>
                <w:sz w:val="4"/>
                <w:szCs w:val="4"/>
                <w:color w:val="auto"/>
                <w:w w:val="87"/>
              </w:rPr>
              <w:t>$</w:t>
            </w:r>
          </w:p>
        </w:tc>
        <w:tc>
          <w:tcPr>
            <w:tcW w:w="2260" w:type="dxa"/>
            <w:vAlign w:val="bottom"/>
          </w:tcPr>
          <w:p>
            <w:pPr>
              <w:jc w:val="right"/>
              <w:spacing w:after="0"/>
              <w:rPr>
                <w:sz w:val="20"/>
                <w:szCs w:val="20"/>
                <w:color w:val="auto"/>
              </w:rPr>
            </w:pPr>
            <w:r>
              <w:rPr>
                <w:rFonts w:ascii="Arial" w:cs="Arial" w:eastAsia="Arial" w:hAnsi="Arial"/>
                <w:sz w:val="20"/>
                <w:szCs w:val="20"/>
                <w:color w:val="auto"/>
              </w:rPr>
              <w:t>(328)</w:t>
            </w:r>
          </w:p>
        </w:tc>
        <w:tc>
          <w:tcPr>
            <w:tcW w:w="2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96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320" w:type="dxa"/>
            <w:vAlign w:val="bottom"/>
            <w:gridSpan w:val="2"/>
          </w:tcPr>
          <w:p>
            <w:pPr>
              <w:jc w:val="right"/>
              <w:ind w:right="21"/>
              <w:spacing w:after="0"/>
              <w:rPr>
                <w:sz w:val="20"/>
                <w:szCs w:val="20"/>
                <w:color w:val="auto"/>
              </w:rPr>
            </w:pPr>
            <w:r>
              <w:rPr>
                <w:rFonts w:ascii="Arial" w:cs="Arial" w:eastAsia="Arial" w:hAnsi="Arial"/>
                <w:sz w:val="20"/>
                <w:szCs w:val="20"/>
                <w:color w:val="auto"/>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(328)</w:t>
            </w:r>
          </w:p>
        </w:tc>
        <w:tc>
          <w:tcPr>
            <w:tcW w:w="0" w:type="dxa"/>
            <w:vAlign w:val="bottom"/>
          </w:tcPr>
          <w:p>
            <w:pPr>
              <w:spacing w:after="0"/>
              <w:rPr>
                <w:sz w:val="1"/>
                <w:szCs w:val="1"/>
                <w:color w:val="auto"/>
              </w:rPr>
            </w:pPr>
          </w:p>
        </w:tc>
      </w:tr>
      <w:tr>
        <w:trPr>
          <w:trHeight w:val="274"/>
        </w:trPr>
        <w:tc>
          <w:tcPr>
            <w:tcW w:w="3920" w:type="dxa"/>
            <w:vAlign w:val="bottom"/>
            <w:tcBorders>
              <w:top w:val="single" w:sz="8" w:color="E6E6E6"/>
            </w:tcBorders>
            <w:gridSpan w:val="6"/>
            <w:shd w:val="clear" w:color="auto" w:fill="E6E6E6"/>
          </w:tcPr>
          <w:p>
            <w:pPr>
              <w:ind w:left="40"/>
              <w:spacing w:after="0"/>
              <w:rPr>
                <w:sz w:val="20"/>
                <w:szCs w:val="20"/>
                <w:color w:val="auto"/>
              </w:rPr>
            </w:pPr>
            <w:r>
              <w:rPr>
                <w:rFonts w:ascii="Arial" w:cs="Arial" w:eastAsia="Arial" w:hAnsi="Arial"/>
                <w:sz w:val="20"/>
                <w:szCs w:val="20"/>
                <w:b w:val="1"/>
                <w:bCs w:val="1"/>
                <w:color w:val="auto"/>
              </w:rPr>
              <w:t>Interest rate contracts</w:t>
            </w:r>
          </w:p>
        </w:tc>
        <w:tc>
          <w:tcPr>
            <w:tcW w:w="20" w:type="dxa"/>
            <w:vAlign w:val="bottom"/>
            <w:tcBorders>
              <w:top w:val="single" w:sz="8" w:color="auto"/>
            </w:tcBorders>
            <w:shd w:val="clear" w:color="auto" w:fill="E6E6E6"/>
          </w:tcPr>
          <w:p>
            <w:pPr>
              <w:spacing w:after="0"/>
              <w:rPr>
                <w:sz w:val="23"/>
                <w:szCs w:val="23"/>
                <w:color w:val="auto"/>
              </w:rPr>
            </w:pPr>
          </w:p>
        </w:tc>
        <w:tc>
          <w:tcPr>
            <w:tcW w:w="60" w:type="dxa"/>
            <w:vAlign w:val="bottom"/>
            <w:tcBorders>
              <w:top w:val="single" w:sz="8" w:color="auto"/>
            </w:tcBorders>
            <w:shd w:val="clear" w:color="auto" w:fill="E6E6E6"/>
          </w:tcPr>
          <w:p>
            <w:pPr>
              <w:spacing w:after="0"/>
              <w:rPr>
                <w:sz w:val="23"/>
                <w:szCs w:val="23"/>
                <w:color w:val="auto"/>
              </w:rPr>
            </w:pPr>
          </w:p>
        </w:tc>
        <w:tc>
          <w:tcPr>
            <w:tcW w:w="2260" w:type="dxa"/>
            <w:vAlign w:val="bottom"/>
            <w:tcBorders>
              <w:top w:val="single" w:sz="8" w:color="auto"/>
            </w:tcBorders>
            <w:shd w:val="clear" w:color="auto" w:fill="E6E6E6"/>
          </w:tcPr>
          <w:p>
            <w:pPr>
              <w:spacing w:after="0"/>
              <w:rPr>
                <w:sz w:val="23"/>
                <w:szCs w:val="23"/>
                <w:color w:val="auto"/>
              </w:rPr>
            </w:pPr>
          </w:p>
        </w:tc>
        <w:tc>
          <w:tcPr>
            <w:tcW w:w="20" w:type="dxa"/>
            <w:vAlign w:val="bottom"/>
            <w:tcBorders>
              <w:top w:val="single" w:sz="8" w:color="auto"/>
            </w:tcBorders>
            <w:shd w:val="clear" w:color="auto" w:fill="E6E6E6"/>
          </w:tcPr>
          <w:p>
            <w:pPr>
              <w:spacing w:after="0"/>
              <w:rPr>
                <w:sz w:val="23"/>
                <w:szCs w:val="23"/>
                <w:color w:val="auto"/>
              </w:rPr>
            </w:pPr>
          </w:p>
        </w:tc>
        <w:tc>
          <w:tcPr>
            <w:tcW w:w="60" w:type="dxa"/>
            <w:vAlign w:val="bottom"/>
            <w:tcBorders>
              <w:top w:val="single" w:sz="8" w:color="E6E6E6"/>
            </w:tcBorders>
            <w:shd w:val="clear" w:color="auto" w:fill="E6E6E6"/>
          </w:tcPr>
          <w:p>
            <w:pPr>
              <w:spacing w:after="0"/>
              <w:rPr>
                <w:sz w:val="23"/>
                <w:szCs w:val="23"/>
                <w:color w:val="auto"/>
              </w:rPr>
            </w:pPr>
          </w:p>
        </w:tc>
        <w:tc>
          <w:tcPr>
            <w:tcW w:w="200" w:type="dxa"/>
            <w:vAlign w:val="bottom"/>
            <w:tcBorders>
              <w:top w:val="single" w:sz="8" w:color="auto"/>
            </w:tcBorders>
            <w:shd w:val="clear" w:color="auto" w:fill="E6E6E6"/>
          </w:tcPr>
          <w:p>
            <w:pPr>
              <w:spacing w:after="0"/>
              <w:rPr>
                <w:sz w:val="23"/>
                <w:szCs w:val="23"/>
                <w:color w:val="auto"/>
              </w:rPr>
            </w:pPr>
          </w:p>
        </w:tc>
        <w:tc>
          <w:tcPr>
            <w:tcW w:w="1940" w:type="dxa"/>
            <w:vAlign w:val="bottom"/>
            <w:tcBorders>
              <w:top w:val="single" w:sz="8" w:color="auto"/>
            </w:tcBorders>
            <w:shd w:val="clear" w:color="auto" w:fill="E6E6E6"/>
          </w:tcPr>
          <w:p>
            <w:pPr>
              <w:spacing w:after="0"/>
              <w:rPr>
                <w:sz w:val="23"/>
                <w:szCs w:val="23"/>
                <w:color w:val="auto"/>
              </w:rPr>
            </w:pPr>
          </w:p>
        </w:tc>
        <w:tc>
          <w:tcPr>
            <w:tcW w:w="20" w:type="dxa"/>
            <w:vAlign w:val="bottom"/>
            <w:tcBorders>
              <w:top w:val="single" w:sz="8" w:color="auto"/>
            </w:tcBorders>
            <w:shd w:val="clear" w:color="auto" w:fill="E6E6E6"/>
          </w:tcPr>
          <w:p>
            <w:pPr>
              <w:spacing w:after="0"/>
              <w:rPr>
                <w:sz w:val="23"/>
                <w:szCs w:val="23"/>
                <w:color w:val="auto"/>
              </w:rPr>
            </w:pPr>
          </w:p>
        </w:tc>
        <w:tc>
          <w:tcPr>
            <w:tcW w:w="40" w:type="dxa"/>
            <w:vAlign w:val="bottom"/>
            <w:tcBorders>
              <w:top w:val="single" w:sz="8" w:color="E6E6E6"/>
            </w:tcBorders>
            <w:shd w:val="clear" w:color="auto" w:fill="E6E6E6"/>
          </w:tcPr>
          <w:p>
            <w:pPr>
              <w:spacing w:after="0"/>
              <w:rPr>
                <w:sz w:val="23"/>
                <w:szCs w:val="23"/>
                <w:color w:val="auto"/>
              </w:rPr>
            </w:pPr>
          </w:p>
        </w:tc>
        <w:tc>
          <w:tcPr>
            <w:tcW w:w="280" w:type="dxa"/>
            <w:vAlign w:val="bottom"/>
            <w:tcBorders>
              <w:top w:val="single" w:sz="8" w:color="auto"/>
            </w:tcBorders>
            <w:shd w:val="clear" w:color="auto" w:fill="E6E6E6"/>
          </w:tcPr>
          <w:p>
            <w:pPr>
              <w:spacing w:after="0"/>
              <w:rPr>
                <w:sz w:val="23"/>
                <w:szCs w:val="23"/>
                <w:color w:val="auto"/>
              </w:rPr>
            </w:pPr>
          </w:p>
        </w:tc>
        <w:tc>
          <w:tcPr>
            <w:tcW w:w="1380" w:type="dxa"/>
            <w:vAlign w:val="bottom"/>
            <w:tcBorders>
              <w:top w:val="single" w:sz="8" w:color="auto"/>
            </w:tcBorders>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3940" w:type="dxa"/>
            <w:vAlign w:val="bottom"/>
            <w:gridSpan w:val="7"/>
          </w:tcPr>
          <w:p>
            <w:pPr>
              <w:jc w:val="right"/>
              <w:ind w:right="158"/>
              <w:spacing w:after="0"/>
              <w:rPr>
                <w:sz w:val="20"/>
                <w:szCs w:val="20"/>
                <w:color w:val="auto"/>
              </w:rPr>
            </w:pPr>
            <w:r>
              <w:rPr>
                <w:rFonts w:ascii="Arial" w:cs="Arial" w:eastAsia="Arial" w:hAnsi="Arial"/>
                <w:sz w:val="20"/>
                <w:szCs w:val="20"/>
                <w:color w:val="auto"/>
                <w:w w:val="96"/>
              </w:rPr>
              <w:t xml:space="preserve">Derivative assets </w:t>
            </w:r>
            <w:r>
              <w:rPr>
                <w:rFonts w:ascii="Arial" w:cs="Arial" w:eastAsia="Arial" w:hAnsi="Arial"/>
                <w:sz w:val="20"/>
                <w:szCs w:val="20"/>
                <w:color w:val="BDBDBD"/>
                <w:w w:val="96"/>
              </w:rPr>
              <w:t>. . . . . . . . . . . . . . . . . . . . .</w:t>
            </w:r>
          </w:p>
        </w:tc>
        <w:tc>
          <w:tcPr>
            <w:tcW w:w="60" w:type="dxa"/>
            <w:vAlign w:val="bottom"/>
          </w:tcPr>
          <w:p>
            <w:pPr>
              <w:jc w:val="right"/>
              <w:ind w:right="34"/>
              <w:spacing w:after="0"/>
              <w:rPr>
                <w:sz w:val="20"/>
                <w:szCs w:val="20"/>
                <w:color w:val="auto"/>
              </w:rPr>
            </w:pPr>
            <w:r>
              <w:rPr>
                <w:rFonts w:ascii="Arial" w:cs="Arial" w:eastAsia="Arial" w:hAnsi="Arial"/>
                <w:sz w:val="1"/>
                <w:szCs w:val="1"/>
                <w:color w:val="auto"/>
                <w:w w:val="4294967288"/>
              </w:rPr>
              <w:t>$</w:t>
            </w:r>
          </w:p>
        </w:tc>
        <w:tc>
          <w:tcPr>
            <w:tcW w:w="2260" w:type="dxa"/>
            <w:vAlign w:val="bottom"/>
          </w:tcPr>
          <w:p>
            <w:pPr>
              <w:jc w:val="right"/>
              <w:spacing w:after="0"/>
              <w:rPr>
                <w:sz w:val="20"/>
                <w:szCs w:val="20"/>
                <w:color w:val="auto"/>
              </w:rPr>
            </w:pPr>
            <w:r>
              <w:rPr>
                <w:rFonts w:ascii="Arial" w:cs="Arial" w:eastAsia="Arial" w:hAnsi="Arial"/>
                <w:sz w:val="20"/>
                <w:szCs w:val="20"/>
                <w:color w:val="auto"/>
              </w:rPr>
              <w:t>121</w:t>
            </w:r>
          </w:p>
        </w:tc>
        <w:tc>
          <w:tcPr>
            <w:tcW w:w="2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940" w:type="dxa"/>
            <w:vAlign w:val="bottom"/>
          </w:tcPr>
          <w:p>
            <w:pPr>
              <w:jc w:val="right"/>
              <w:spacing w:after="0"/>
              <w:rPr>
                <w:sz w:val="20"/>
                <w:szCs w:val="20"/>
                <w:color w:val="auto"/>
              </w:rPr>
            </w:pPr>
            <w:r>
              <w:rPr>
                <w:rFonts w:ascii="Arial" w:cs="Arial" w:eastAsia="Arial" w:hAnsi="Arial"/>
                <w:sz w:val="20"/>
                <w:szCs w:val="20"/>
                <w:color w:val="auto"/>
              </w:rPr>
              <w:t>(2)</w:t>
            </w:r>
          </w:p>
        </w:tc>
        <w:tc>
          <w:tcPr>
            <w:tcW w:w="20" w:type="dxa"/>
            <w:vAlign w:val="bottom"/>
          </w:tcPr>
          <w:p>
            <w:pPr>
              <w:spacing w:after="0"/>
              <w:rPr>
                <w:sz w:val="24"/>
                <w:szCs w:val="24"/>
                <w:color w:val="auto"/>
              </w:rPr>
            </w:pPr>
          </w:p>
        </w:tc>
        <w:tc>
          <w:tcPr>
            <w:tcW w:w="320" w:type="dxa"/>
            <w:vAlign w:val="bottom"/>
            <w:gridSpan w:val="2"/>
          </w:tcPr>
          <w:p>
            <w:pPr>
              <w:jc w:val="right"/>
              <w:ind w:right="21"/>
              <w:spacing w:after="0"/>
              <w:rPr>
                <w:sz w:val="20"/>
                <w:szCs w:val="20"/>
                <w:color w:val="auto"/>
              </w:rPr>
            </w:pPr>
            <w:r>
              <w:rPr>
                <w:rFonts w:ascii="Arial" w:cs="Arial" w:eastAsia="Arial" w:hAnsi="Arial"/>
                <w:sz w:val="20"/>
                <w:szCs w:val="20"/>
                <w:color w:val="auto"/>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119</w:t>
            </w:r>
          </w:p>
        </w:tc>
        <w:tc>
          <w:tcPr>
            <w:tcW w:w="0" w:type="dxa"/>
            <w:vAlign w:val="bottom"/>
          </w:tcPr>
          <w:p>
            <w:pPr>
              <w:spacing w:after="0"/>
              <w:rPr>
                <w:sz w:val="1"/>
                <w:szCs w:val="1"/>
                <w:color w:val="auto"/>
              </w:rPr>
            </w:pPr>
          </w:p>
        </w:tc>
      </w:tr>
      <w:tr>
        <w:trPr>
          <w:trHeight w:val="299"/>
        </w:trPr>
        <w:tc>
          <w:tcPr>
            <w:tcW w:w="3900" w:type="dxa"/>
            <w:vAlign w:val="bottom"/>
            <w:tcBorders>
              <w:bottom w:val="single" w:sz="8" w:color="E6E6E6"/>
            </w:tcBorders>
            <w:gridSpan w:val="5"/>
            <w:shd w:val="clear" w:color="auto" w:fill="E6E6E6"/>
          </w:tcPr>
          <w:p>
            <w:pPr>
              <w:jc w:val="right"/>
              <w:ind w:right="140"/>
              <w:spacing w:after="0"/>
              <w:rPr>
                <w:sz w:val="20"/>
                <w:szCs w:val="20"/>
                <w:color w:val="auto"/>
              </w:rPr>
            </w:pPr>
            <w:r>
              <w:rPr>
                <w:rFonts w:ascii="Arial" w:cs="Arial" w:eastAsia="Arial" w:hAnsi="Arial"/>
                <w:sz w:val="20"/>
                <w:szCs w:val="20"/>
                <w:color w:val="auto"/>
              </w:rPr>
              <w:t xml:space="preserve">Derivative liabilities </w:t>
            </w:r>
            <w:r>
              <w:rPr>
                <w:rFonts w:ascii="Arial" w:cs="Arial" w:eastAsia="Arial" w:hAnsi="Arial"/>
                <w:sz w:val="20"/>
                <w:szCs w:val="20"/>
                <w:color w:val="BDBDBD"/>
              </w:rPr>
              <w:t>. . . . . . . . . . . . . . . . . .</w:t>
            </w:r>
          </w:p>
        </w:tc>
        <w:tc>
          <w:tcPr>
            <w:tcW w:w="40" w:type="dxa"/>
            <w:vAlign w:val="bottom"/>
            <w:tcBorders>
              <w:bottom w:val="single" w:sz="8" w:color="auto"/>
            </w:tcBorders>
            <w:gridSpan w:val="2"/>
            <w:shd w:val="clear" w:color="auto" w:fill="E6E6E6"/>
          </w:tcPr>
          <w:p>
            <w:pPr>
              <w:spacing w:after="0"/>
              <w:rPr>
                <w:sz w:val="24"/>
                <w:szCs w:val="24"/>
                <w:color w:val="auto"/>
              </w:rPr>
            </w:pPr>
          </w:p>
        </w:tc>
        <w:tc>
          <w:tcPr>
            <w:tcW w:w="60" w:type="dxa"/>
            <w:vAlign w:val="bottom"/>
            <w:tcBorders>
              <w:bottom w:val="single" w:sz="8" w:color="auto"/>
            </w:tcBorders>
            <w:shd w:val="clear" w:color="auto" w:fill="E6E6E6"/>
          </w:tcPr>
          <w:p>
            <w:pPr>
              <w:spacing w:after="0"/>
              <w:rPr>
                <w:sz w:val="24"/>
                <w:szCs w:val="24"/>
                <w:color w:val="auto"/>
              </w:rPr>
            </w:pPr>
          </w:p>
        </w:tc>
        <w:tc>
          <w:tcPr>
            <w:tcW w:w="22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w:t>
            </w:r>
          </w:p>
        </w:tc>
        <w:tc>
          <w:tcPr>
            <w:tcW w:w="20" w:type="dxa"/>
            <w:vAlign w:val="bottom"/>
            <w:tcBorders>
              <w:bottom w:val="single" w:sz="8" w:color="auto"/>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spacing w:after="0"/>
              <w:rPr>
                <w:sz w:val="24"/>
                <w:szCs w:val="24"/>
                <w:color w:val="auto"/>
              </w:rPr>
            </w:pPr>
          </w:p>
        </w:tc>
        <w:tc>
          <w:tcPr>
            <w:tcW w:w="1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w:t>
            </w:r>
          </w:p>
        </w:tc>
        <w:tc>
          <w:tcPr>
            <w:tcW w:w="20" w:type="dxa"/>
            <w:vAlign w:val="bottom"/>
            <w:tcBorders>
              <w:bottom w:val="single" w:sz="8" w:color="E6E6E6"/>
            </w:tcBorders>
            <w:shd w:val="clear" w:color="auto" w:fill="E6E6E6"/>
          </w:tcPr>
          <w:p>
            <w:pPr>
              <w:spacing w:after="0"/>
              <w:rPr>
                <w:sz w:val="24"/>
                <w:szCs w:val="24"/>
                <w:color w:val="auto"/>
              </w:rPr>
            </w:pPr>
          </w:p>
        </w:tc>
        <w:tc>
          <w:tcPr>
            <w:tcW w:w="4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auto"/>
            </w:tcBorders>
            <w:shd w:val="clear" w:color="auto" w:fill="E6E6E6"/>
          </w:tcPr>
          <w:p>
            <w:pPr>
              <w:spacing w:after="0"/>
              <w:rPr>
                <w:sz w:val="24"/>
                <w:szCs w:val="24"/>
                <w:color w:val="auto"/>
              </w:rPr>
            </w:pPr>
          </w:p>
        </w:tc>
        <w:tc>
          <w:tcPr>
            <w:tcW w:w="13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5"/>
        </w:trPr>
        <w:tc>
          <w:tcPr>
            <w:tcW w:w="3900" w:type="dxa"/>
            <w:vAlign w:val="bottom"/>
            <w:tcBorders>
              <w:bottom w:val="single" w:sz="8" w:color="E6E6E6"/>
            </w:tcBorders>
            <w:gridSpan w:val="5"/>
          </w:tcPr>
          <w:p>
            <w:pPr>
              <w:jc w:val="right"/>
              <w:ind w:right="140"/>
              <w:spacing w:after="0"/>
              <w:rPr>
                <w:sz w:val="20"/>
                <w:szCs w:val="20"/>
                <w:color w:val="auto"/>
              </w:rPr>
            </w:pPr>
            <w:r>
              <w:rPr>
                <w:rFonts w:ascii="Arial" w:cs="Arial" w:eastAsia="Arial" w:hAnsi="Arial"/>
                <w:sz w:val="20"/>
                <w:szCs w:val="20"/>
                <w:b w:val="1"/>
                <w:bCs w:val="1"/>
                <w:color w:val="BDBDBD"/>
                <w:w w:val="96"/>
              </w:rPr>
              <w:t>. . . . . . . . . . . . .</w:t>
            </w:r>
            <w:r>
              <w:rPr>
                <w:rFonts w:ascii="Arial" w:cs="Arial" w:eastAsia="Arial" w:hAnsi="Arial"/>
                <w:sz w:val="20"/>
                <w:szCs w:val="20"/>
                <w:b w:val="1"/>
                <w:bCs w:val="1"/>
                <w:color w:val="000000"/>
                <w:w w:val="96"/>
              </w:rPr>
              <w:t>Totalinterestratecontracts</w:t>
            </w:r>
          </w:p>
        </w:tc>
        <w:tc>
          <w:tcPr>
            <w:tcW w:w="40" w:type="dxa"/>
            <w:vAlign w:val="bottom"/>
            <w:tcBorders>
              <w:bottom w:val="single" w:sz="8" w:color="auto"/>
            </w:tcBorders>
            <w:gridSpan w:val="2"/>
          </w:tcPr>
          <w:p>
            <w:pPr>
              <w:spacing w:after="0"/>
              <w:rPr>
                <w:sz w:val="21"/>
                <w:szCs w:val="21"/>
                <w:color w:val="auto"/>
              </w:rPr>
            </w:pPr>
          </w:p>
        </w:tc>
        <w:tc>
          <w:tcPr>
            <w:tcW w:w="60" w:type="dxa"/>
            <w:vAlign w:val="bottom"/>
            <w:tcBorders>
              <w:bottom w:val="single" w:sz="8" w:color="auto"/>
            </w:tcBorders>
          </w:tcPr>
          <w:p>
            <w:pPr>
              <w:jc w:val="right"/>
              <w:ind w:right="34"/>
              <w:spacing w:after="0"/>
              <w:rPr>
                <w:sz w:val="20"/>
                <w:szCs w:val="20"/>
                <w:color w:val="auto"/>
              </w:rPr>
            </w:pPr>
            <w:r>
              <w:rPr>
                <w:rFonts w:ascii="Arial" w:cs="Arial" w:eastAsia="Arial" w:hAnsi="Arial"/>
                <w:sz w:val="1"/>
                <w:szCs w:val="1"/>
                <w:color w:val="auto"/>
                <w:w w:val="4294967288"/>
              </w:rPr>
              <w:t>$</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119</w:t>
            </w: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E6E6E6"/>
            </w:tcBorders>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0" w:type="dxa"/>
            <w:vAlign w:val="bottom"/>
            <w:tcBorders>
              <w:bottom w:val="single" w:sz="8" w:color="E6E6E6"/>
            </w:tcBorders>
          </w:tcPr>
          <w:p>
            <w:pPr>
              <w:spacing w:after="0"/>
              <w:rPr>
                <w:sz w:val="21"/>
                <w:szCs w:val="21"/>
                <w:color w:val="auto"/>
              </w:rPr>
            </w:pPr>
          </w:p>
        </w:tc>
        <w:tc>
          <w:tcPr>
            <w:tcW w:w="40" w:type="dxa"/>
            <w:vAlign w:val="bottom"/>
            <w:tcBorders>
              <w:bottom w:val="single" w:sz="8" w:color="E6E6E6"/>
            </w:tcBorders>
          </w:tcPr>
          <w:p>
            <w:pPr>
              <w:spacing w:after="0"/>
              <w:rPr>
                <w:sz w:val="21"/>
                <w:szCs w:val="21"/>
                <w:color w:val="auto"/>
              </w:rPr>
            </w:pPr>
          </w:p>
        </w:tc>
        <w:tc>
          <w:tcPr>
            <w:tcW w:w="2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119</w:t>
            </w:r>
          </w:p>
        </w:tc>
        <w:tc>
          <w:tcPr>
            <w:tcW w:w="0" w:type="dxa"/>
            <w:vAlign w:val="bottom"/>
          </w:tcPr>
          <w:p>
            <w:pPr>
              <w:spacing w:after="0"/>
              <w:rPr>
                <w:sz w:val="1"/>
                <w:szCs w:val="1"/>
                <w:color w:val="auto"/>
              </w:rPr>
            </w:pPr>
          </w:p>
        </w:tc>
      </w:tr>
      <w:tr>
        <w:trPr>
          <w:trHeight w:val="283"/>
        </w:trPr>
        <w:tc>
          <w:tcPr>
            <w:tcW w:w="3880" w:type="dxa"/>
            <w:vAlign w:val="bottom"/>
            <w:tcBorders>
              <w:bottom w:val="single" w:sz="8" w:color="E6E6E6"/>
            </w:tcBorders>
            <w:gridSpan w:val="4"/>
            <w:shd w:val="clear" w:color="auto" w:fill="E6E6E6"/>
          </w:tcPr>
          <w:p>
            <w:pPr>
              <w:jc w:val="right"/>
              <w:ind w:right="21"/>
              <w:spacing w:after="0"/>
              <w:rPr>
                <w:sz w:val="20"/>
                <w:szCs w:val="20"/>
                <w:color w:val="auto"/>
              </w:rPr>
            </w:pPr>
            <w:r>
              <w:rPr>
                <w:rFonts w:ascii="Arial" w:cs="Arial" w:eastAsia="Arial" w:hAnsi="Arial"/>
                <w:sz w:val="20"/>
                <w:szCs w:val="20"/>
                <w:b w:val="1"/>
                <w:bCs w:val="1"/>
                <w:color w:val="auto"/>
                <w:w w:val="90"/>
              </w:rPr>
              <w:t xml:space="preserve">Total derivative instruments </w:t>
            </w:r>
            <w:r>
              <w:rPr>
                <w:rFonts w:ascii="Arial" w:cs="Arial" w:eastAsia="Arial" w:hAnsi="Arial"/>
                <w:sz w:val="20"/>
                <w:szCs w:val="20"/>
                <w:b w:val="1"/>
                <w:bCs w:val="1"/>
                <w:color w:val="BDBDBD"/>
                <w:w w:val="90"/>
              </w:rPr>
              <w:t>. . . . . . . . . . . . .</w:t>
            </w:r>
          </w:p>
        </w:tc>
        <w:tc>
          <w:tcPr>
            <w:tcW w:w="20" w:type="dxa"/>
            <w:vAlign w:val="bottom"/>
            <w:tcBorders>
              <w:bottom w:val="single" w:sz="8" w:color="auto"/>
            </w:tcBorders>
            <w:shd w:val="clear" w:color="auto" w:fill="E6E6E6"/>
          </w:tcPr>
          <w:p>
            <w:pPr>
              <w:spacing w:after="0"/>
              <w:rPr>
                <w:sz w:val="24"/>
                <w:szCs w:val="24"/>
                <w:color w:val="auto"/>
              </w:rPr>
            </w:pPr>
          </w:p>
        </w:tc>
        <w:tc>
          <w:tcPr>
            <w:tcW w:w="40" w:type="dxa"/>
            <w:vAlign w:val="bottom"/>
            <w:tcBorders>
              <w:bottom w:val="single" w:sz="8" w:color="auto"/>
            </w:tcBorders>
            <w:gridSpan w:val="2"/>
            <w:shd w:val="clear" w:color="auto" w:fill="E6E6E6"/>
          </w:tcPr>
          <w:p>
            <w:pPr>
              <w:spacing w:after="0"/>
              <w:rPr>
                <w:sz w:val="24"/>
                <w:szCs w:val="24"/>
                <w:color w:val="auto"/>
              </w:rPr>
            </w:pPr>
          </w:p>
        </w:tc>
        <w:tc>
          <w:tcPr>
            <w:tcW w:w="60" w:type="dxa"/>
            <w:vAlign w:val="bottom"/>
            <w:tcBorders>
              <w:bottom w:val="single" w:sz="8" w:color="auto"/>
            </w:tcBorders>
            <w:shd w:val="clear" w:color="auto" w:fill="E6E6E6"/>
          </w:tcPr>
          <w:p>
            <w:pPr>
              <w:jc w:val="right"/>
              <w:ind w:right="34"/>
              <w:spacing w:after="0"/>
              <w:rPr>
                <w:sz w:val="20"/>
                <w:szCs w:val="20"/>
                <w:color w:val="auto"/>
              </w:rPr>
            </w:pPr>
            <w:r>
              <w:rPr>
                <w:rFonts w:ascii="Arial" w:cs="Arial" w:eastAsia="Arial" w:hAnsi="Arial"/>
                <w:sz w:val="1"/>
                <w:szCs w:val="1"/>
                <w:color w:val="auto"/>
                <w:w w:val="4294967288"/>
              </w:rPr>
              <w:t>$</w:t>
            </w:r>
          </w:p>
        </w:tc>
        <w:tc>
          <w:tcPr>
            <w:tcW w:w="22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(209)</w:t>
            </w:r>
          </w:p>
        </w:tc>
        <w:tc>
          <w:tcPr>
            <w:tcW w:w="2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20" w:type="dxa"/>
            <w:vAlign w:val="bottom"/>
            <w:tcBorders>
              <w:bottom w:val="single" w:sz="8" w:color="E6E6E6"/>
            </w:tcBorders>
            <w:shd w:val="clear" w:color="auto" w:fill="E6E6E6"/>
          </w:tcPr>
          <w:p>
            <w:pPr>
              <w:spacing w:after="0"/>
              <w:rPr>
                <w:sz w:val="24"/>
                <w:szCs w:val="24"/>
                <w:color w:val="auto"/>
              </w:rPr>
            </w:pPr>
          </w:p>
        </w:tc>
        <w:tc>
          <w:tcPr>
            <w:tcW w:w="4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auto"/>
            </w:tcBorders>
            <w:shd w:val="clear" w:color="auto" w:fill="E6E6E6"/>
          </w:tcPr>
          <w:p>
            <w:pPr>
              <w:jc w:val="right"/>
              <w:ind w:right="21"/>
              <w:spacing w:after="0"/>
              <w:rPr>
                <w:sz w:val="20"/>
                <w:szCs w:val="20"/>
                <w:color w:val="auto"/>
              </w:rPr>
            </w:pPr>
            <w:r>
              <w:rPr>
                <w:rFonts w:ascii="Arial" w:cs="Arial" w:eastAsia="Arial" w:hAnsi="Arial"/>
                <w:sz w:val="20"/>
                <w:szCs w:val="20"/>
                <w:color w:val="auto"/>
              </w:rPr>
              <w:t>$</w:t>
            </w:r>
          </w:p>
        </w:tc>
        <w:tc>
          <w:tcPr>
            <w:tcW w:w="13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(209)</w:t>
            </w:r>
          </w:p>
        </w:tc>
        <w:tc>
          <w:tcPr>
            <w:tcW w:w="0" w:type="dxa"/>
            <w:vAlign w:val="bottom"/>
          </w:tcPr>
          <w:p>
            <w:pPr>
              <w:spacing w:after="0"/>
              <w:rPr>
                <w:sz w:val="1"/>
                <w:szCs w:val="1"/>
                <w:color w:val="auto"/>
              </w:rPr>
            </w:pPr>
          </w:p>
        </w:tc>
      </w:tr>
      <w:tr>
        <w:trPr>
          <w:trHeight w:val="478"/>
        </w:trPr>
        <w:tc>
          <w:tcPr>
            <w:tcW w:w="3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gridSpan w:val="9"/>
          </w:tcPr>
          <w:p>
            <w:pPr>
              <w:jc w:val="right"/>
              <w:ind w:right="903"/>
              <w:spacing w:after="0"/>
              <w:rPr>
                <w:sz w:val="20"/>
                <w:szCs w:val="20"/>
                <w:color w:val="auto"/>
              </w:rPr>
            </w:pPr>
            <w:r>
              <w:rPr>
                <w:rFonts w:ascii="Arial" w:cs="Arial" w:eastAsia="Arial" w:hAnsi="Arial"/>
                <w:sz w:val="16"/>
                <w:szCs w:val="16"/>
                <w:b w:val="1"/>
                <w:bCs w:val="1"/>
                <w:color w:val="auto"/>
              </w:rPr>
              <w:t>Gross Amounts Not Offset in the Statement of Financial Position</w:t>
            </w:r>
          </w:p>
        </w:tc>
        <w:tc>
          <w:tcPr>
            <w:tcW w:w="0" w:type="dxa"/>
            <w:vAlign w:val="bottom"/>
          </w:tcPr>
          <w:p>
            <w:pPr>
              <w:spacing w:after="0"/>
              <w:rPr>
                <w:sz w:val="1"/>
                <w:szCs w:val="1"/>
                <w:color w:val="auto"/>
              </w:rPr>
            </w:pPr>
          </w:p>
        </w:tc>
      </w:tr>
      <w:tr>
        <w:trPr>
          <w:trHeight w:val="185"/>
        </w:trPr>
        <w:tc>
          <w:tcPr>
            <w:tcW w:w="3880" w:type="dxa"/>
            <w:vAlign w:val="bottom"/>
            <w:gridSpan w:val="4"/>
            <w:vMerge w:val="restart"/>
          </w:tcPr>
          <w:p>
            <w:pPr>
              <w:ind w:left="40"/>
              <w:spacing w:after="0"/>
              <w:rPr>
                <w:sz w:val="20"/>
                <w:szCs w:val="20"/>
                <w:color w:val="auto"/>
              </w:rPr>
            </w:pPr>
            <w:r>
              <w:rPr>
                <w:rFonts w:ascii="Arial" w:cs="Arial" w:eastAsia="Arial" w:hAnsi="Arial"/>
                <w:sz w:val="20"/>
                <w:szCs w:val="20"/>
                <w:b w:val="1"/>
                <w:bCs w:val="1"/>
                <w:color w:val="auto"/>
              </w:rPr>
              <w:t>As of December 31, 2022</w:t>
            </w:r>
          </w:p>
        </w:tc>
        <w:tc>
          <w:tcPr>
            <w:tcW w:w="60" w:type="dxa"/>
            <w:vAlign w:val="bottom"/>
            <w:gridSpan w:val="3"/>
            <w:vMerge w:val="restart"/>
          </w:tcPr>
          <w:p>
            <w:pPr>
              <w:spacing w:after="0"/>
              <w:rPr>
                <w:sz w:val="16"/>
                <w:szCs w:val="16"/>
                <w:color w:val="auto"/>
              </w:rPr>
            </w:pPr>
          </w:p>
        </w:tc>
        <w:tc>
          <w:tcPr>
            <w:tcW w:w="60" w:type="dxa"/>
            <w:vAlign w:val="bottom"/>
          </w:tcPr>
          <w:p>
            <w:pPr>
              <w:spacing w:after="0"/>
              <w:rPr>
                <w:sz w:val="16"/>
                <w:szCs w:val="16"/>
                <w:color w:val="auto"/>
              </w:rPr>
            </w:pPr>
          </w:p>
        </w:tc>
        <w:tc>
          <w:tcPr>
            <w:tcW w:w="22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7"/>
              </w:rPr>
              <w:t>Gross Amounts of Recognized</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Derivative Instruments</w:t>
            </w:r>
          </w:p>
        </w:tc>
        <w:tc>
          <w:tcPr>
            <w:tcW w:w="20" w:type="dxa"/>
            <w:vAlign w:val="bottom"/>
            <w:vMerge w:val="restart"/>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vMerge w:val="restart"/>
          </w:tcPr>
          <w:p>
            <w:pPr>
              <w:jc w:val="right"/>
              <w:ind w:right="303"/>
              <w:spacing w:after="0"/>
              <w:rPr>
                <w:sz w:val="20"/>
                <w:szCs w:val="20"/>
                <w:color w:val="auto"/>
              </w:rPr>
            </w:pPr>
            <w:r>
              <w:rPr>
                <w:rFonts w:ascii="Arial" w:cs="Arial" w:eastAsia="Arial" w:hAnsi="Arial"/>
                <w:sz w:val="16"/>
                <w:szCs w:val="16"/>
                <w:b w:val="1"/>
                <w:bCs w:val="1"/>
                <w:color w:val="auto"/>
              </w:rPr>
              <w:t>Net Amount</w:t>
            </w:r>
          </w:p>
        </w:tc>
        <w:tc>
          <w:tcPr>
            <w:tcW w:w="0" w:type="dxa"/>
            <w:vAlign w:val="bottom"/>
          </w:tcPr>
          <w:p>
            <w:pPr>
              <w:spacing w:after="0"/>
              <w:rPr>
                <w:sz w:val="1"/>
                <w:szCs w:val="1"/>
                <w:color w:val="auto"/>
              </w:rPr>
            </w:pPr>
          </w:p>
        </w:tc>
      </w:tr>
      <w:tr>
        <w:trPr>
          <w:trHeight w:val="213"/>
        </w:trPr>
        <w:tc>
          <w:tcPr>
            <w:tcW w:w="3880" w:type="dxa"/>
            <w:vAlign w:val="bottom"/>
            <w:tcBorders>
              <w:bottom w:val="single" w:sz="8" w:color="E6E6E6"/>
            </w:tcBorders>
            <w:gridSpan w:val="4"/>
            <w:vMerge w:val="continue"/>
          </w:tcPr>
          <w:p>
            <w:pPr>
              <w:spacing w:after="0"/>
              <w:rPr>
                <w:sz w:val="18"/>
                <w:szCs w:val="18"/>
                <w:color w:val="auto"/>
              </w:rPr>
            </w:pPr>
          </w:p>
        </w:tc>
        <w:tc>
          <w:tcPr>
            <w:tcW w:w="60" w:type="dxa"/>
            <w:vAlign w:val="bottom"/>
            <w:tcBorders>
              <w:bottom w:val="single" w:sz="8" w:color="auto"/>
            </w:tcBorders>
            <w:gridSpan w:val="3"/>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center"/>
              <w:ind w:right="87"/>
              <w:spacing w:after="0"/>
              <w:rPr>
                <w:sz w:val="20"/>
                <w:szCs w:val="20"/>
                <w:color w:val="auto"/>
              </w:rPr>
            </w:pPr>
            <w:r>
              <w:rPr>
                <w:rFonts w:ascii="Arial" w:cs="Arial" w:eastAsia="Arial" w:hAnsi="Arial"/>
                <w:sz w:val="16"/>
                <w:szCs w:val="16"/>
                <w:b w:val="1"/>
                <w:bCs w:val="1"/>
                <w:color w:val="auto"/>
                <w:w w:val="88"/>
              </w:rPr>
              <w:t>Assets/Liabilities</w:t>
            </w:r>
          </w:p>
        </w:tc>
        <w:tc>
          <w:tcPr>
            <w:tcW w:w="20" w:type="dxa"/>
            <w:vAlign w:val="bottom"/>
            <w:tcBorders>
              <w:bottom w:val="single" w:sz="8" w:color="E6E6E6"/>
            </w:tcBorders>
          </w:tcPr>
          <w:p>
            <w:pPr>
              <w:spacing w:after="0"/>
              <w:rPr>
                <w:sz w:val="18"/>
                <w:szCs w:val="18"/>
                <w:color w:val="auto"/>
              </w:rPr>
            </w:pPr>
          </w:p>
        </w:tc>
        <w:tc>
          <w:tcPr>
            <w:tcW w:w="60" w:type="dxa"/>
            <w:vAlign w:val="bottom"/>
            <w:tcBorders>
              <w:bottom w:val="single" w:sz="8" w:color="E6E6E6"/>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E6E6E6"/>
            </w:tcBorders>
            <w:vMerge w:val="continue"/>
          </w:tcPr>
          <w:p>
            <w:pPr>
              <w:spacing w:after="0"/>
              <w:rPr>
                <w:sz w:val="18"/>
                <w:szCs w:val="18"/>
                <w:color w:val="auto"/>
              </w:rPr>
            </w:pPr>
          </w:p>
        </w:tc>
        <w:tc>
          <w:tcPr>
            <w:tcW w:w="40" w:type="dxa"/>
            <w:vAlign w:val="bottom"/>
            <w:tcBorders>
              <w:bottom w:val="single" w:sz="8" w:color="E6E6E6"/>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3880" w:type="dxa"/>
            <w:vAlign w:val="bottom"/>
            <w:gridSpan w:val="4"/>
            <w:shd w:val="clear" w:color="auto" w:fill="E6E6E6"/>
          </w:tcPr>
          <w:p>
            <w:pPr>
              <w:ind w:left="40"/>
              <w:spacing w:after="0"/>
              <w:rPr>
                <w:sz w:val="20"/>
                <w:szCs w:val="20"/>
                <w:color w:val="auto"/>
              </w:rPr>
            </w:pPr>
            <w:r>
              <w:rPr>
                <w:rFonts w:ascii="Arial" w:cs="Arial" w:eastAsia="Arial" w:hAnsi="Arial"/>
                <w:sz w:val="20"/>
                <w:szCs w:val="20"/>
                <w:b w:val="1"/>
                <w:bCs w:val="1"/>
                <w:color w:val="auto"/>
              </w:rPr>
              <w:t>Energy-related commodity contracts</w:t>
            </w:r>
          </w:p>
        </w:tc>
        <w:tc>
          <w:tcPr>
            <w:tcW w:w="60" w:type="dxa"/>
            <w:vAlign w:val="bottom"/>
            <w:gridSpan w:val="3"/>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226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200" w:type="dxa"/>
            <w:vAlign w:val="bottom"/>
            <w:shd w:val="clear" w:color="auto" w:fill="E6E6E6"/>
          </w:tcPr>
          <w:p>
            <w:pPr>
              <w:spacing w:after="0"/>
              <w:rPr>
                <w:sz w:val="23"/>
                <w:szCs w:val="23"/>
                <w:color w:val="auto"/>
              </w:rPr>
            </w:pPr>
          </w:p>
        </w:tc>
        <w:tc>
          <w:tcPr>
            <w:tcW w:w="1960" w:type="dxa"/>
            <w:vAlign w:val="bottom"/>
            <w:gridSpan w:val="2"/>
            <w:shd w:val="clear" w:color="auto" w:fill="E6E6E6"/>
          </w:tcPr>
          <w:p>
            <w:pPr>
              <w:ind w:left="60"/>
              <w:spacing w:after="0"/>
              <w:rPr>
                <w:sz w:val="20"/>
                <w:szCs w:val="20"/>
                <w:color w:val="auto"/>
              </w:rPr>
            </w:pPr>
            <w:r>
              <w:rPr>
                <w:rFonts w:ascii="Arial" w:cs="Arial" w:eastAsia="Arial" w:hAnsi="Arial"/>
                <w:sz w:val="16"/>
                <w:szCs w:val="16"/>
                <w:b w:val="1"/>
                <w:bCs w:val="1"/>
                <w:color w:val="auto"/>
              </w:rPr>
              <w:t>(In millions)</w:t>
            </w:r>
          </w:p>
        </w:tc>
        <w:tc>
          <w:tcPr>
            <w:tcW w:w="40" w:type="dxa"/>
            <w:vAlign w:val="bottom"/>
            <w:shd w:val="clear" w:color="auto" w:fill="E6E6E6"/>
          </w:tcPr>
          <w:p>
            <w:pPr>
              <w:spacing w:after="0"/>
              <w:rPr>
                <w:sz w:val="23"/>
                <w:szCs w:val="23"/>
                <w:color w:val="auto"/>
              </w:rPr>
            </w:pPr>
          </w:p>
        </w:tc>
        <w:tc>
          <w:tcPr>
            <w:tcW w:w="280" w:type="dxa"/>
            <w:vAlign w:val="bottom"/>
            <w:shd w:val="clear" w:color="auto" w:fill="E6E6E6"/>
          </w:tcPr>
          <w:p>
            <w:pPr>
              <w:spacing w:after="0"/>
              <w:rPr>
                <w:sz w:val="23"/>
                <w:szCs w:val="23"/>
                <w:color w:val="auto"/>
              </w:rPr>
            </w:pPr>
          </w:p>
        </w:tc>
        <w:tc>
          <w:tcPr>
            <w:tcW w:w="1380" w:type="dxa"/>
            <w:vAlign w:val="bottom"/>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3860" w:type="dxa"/>
            <w:vAlign w:val="bottom"/>
            <w:tcBorders>
              <w:bottom w:val="single" w:sz="8" w:color="E6E6E6"/>
            </w:tcBorders>
            <w:gridSpan w:val="3"/>
          </w:tcPr>
          <w:p>
            <w:pPr>
              <w:jc w:val="right"/>
              <w:ind w:right="100"/>
              <w:spacing w:after="0"/>
              <w:rPr>
                <w:sz w:val="20"/>
                <w:szCs w:val="20"/>
                <w:color w:val="auto"/>
              </w:rPr>
            </w:pPr>
            <w:r>
              <w:rPr>
                <w:rFonts w:ascii="Arial" w:cs="Arial" w:eastAsia="Arial" w:hAnsi="Arial"/>
                <w:sz w:val="20"/>
                <w:szCs w:val="20"/>
                <w:color w:val="auto"/>
              </w:rPr>
              <w:t xml:space="preserve">Derivative liabilities </w:t>
            </w:r>
            <w:r>
              <w:rPr>
                <w:rFonts w:ascii="Arial" w:cs="Arial" w:eastAsia="Arial" w:hAnsi="Arial"/>
                <w:sz w:val="20"/>
                <w:szCs w:val="20"/>
                <w:color w:val="BDBDBD"/>
              </w:rPr>
              <w:t>. . . . . . . . . . . . . . . . . .</w:t>
            </w:r>
          </w:p>
        </w:tc>
        <w:tc>
          <w:tcPr>
            <w:tcW w:w="80" w:type="dxa"/>
            <w:vAlign w:val="bottom"/>
            <w:tcBorders>
              <w:bottom w:val="single" w:sz="8" w:color="auto"/>
            </w:tcBorders>
            <w:gridSpan w:val="4"/>
          </w:tcPr>
          <w:p>
            <w:pPr>
              <w:spacing w:after="0"/>
              <w:rPr>
                <w:sz w:val="23"/>
                <w:szCs w:val="23"/>
                <w:color w:val="auto"/>
              </w:rPr>
            </w:pPr>
          </w:p>
        </w:tc>
        <w:tc>
          <w:tcPr>
            <w:tcW w:w="60" w:type="dxa"/>
            <w:vAlign w:val="bottom"/>
            <w:tcBorders>
              <w:bottom w:val="single" w:sz="8" w:color="auto"/>
            </w:tcBorders>
          </w:tcPr>
          <w:p>
            <w:pPr>
              <w:jc w:val="right"/>
              <w:ind w:right="34"/>
              <w:spacing w:after="0"/>
              <w:rPr>
                <w:sz w:val="20"/>
                <w:szCs w:val="20"/>
                <w:color w:val="auto"/>
              </w:rPr>
            </w:pPr>
            <w:r>
              <w:rPr>
                <w:rFonts w:ascii="Arial" w:cs="Arial" w:eastAsia="Arial" w:hAnsi="Arial"/>
                <w:sz w:val="1"/>
                <w:szCs w:val="1"/>
                <w:color w:val="auto"/>
                <w:w w:val="4294967288"/>
              </w:rPr>
              <w:t>$</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(353)</w:t>
            </w:r>
          </w:p>
        </w:tc>
        <w:tc>
          <w:tcPr>
            <w:tcW w:w="20" w:type="dxa"/>
            <w:vAlign w:val="bottom"/>
            <w:tcBorders>
              <w:bottom w:val="single" w:sz="8" w:color="E6E6E6"/>
            </w:tcBorders>
          </w:tcPr>
          <w:p>
            <w:pPr>
              <w:spacing w:after="0"/>
              <w:rPr>
                <w:sz w:val="23"/>
                <w:szCs w:val="23"/>
                <w:color w:val="auto"/>
              </w:rPr>
            </w:pPr>
          </w:p>
        </w:tc>
        <w:tc>
          <w:tcPr>
            <w:tcW w:w="60" w:type="dxa"/>
            <w:vAlign w:val="bottom"/>
            <w:tcBorders>
              <w:bottom w:val="single" w:sz="8" w:color="E6E6E6"/>
            </w:tcBorders>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20"/>
                <w:szCs w:val="20"/>
                <w:color w:val="auto"/>
              </w:rPr>
              <w:t>—</w:t>
            </w:r>
          </w:p>
        </w:tc>
        <w:tc>
          <w:tcPr>
            <w:tcW w:w="40" w:type="dxa"/>
            <w:vAlign w:val="bottom"/>
            <w:tcBorders>
              <w:bottom w:val="single" w:sz="8" w:color="E6E6E6"/>
            </w:tcBorders>
          </w:tcPr>
          <w:p>
            <w:pPr>
              <w:spacing w:after="0"/>
              <w:rPr>
                <w:sz w:val="23"/>
                <w:szCs w:val="23"/>
                <w:color w:val="auto"/>
              </w:rPr>
            </w:pPr>
          </w:p>
        </w:tc>
        <w:tc>
          <w:tcPr>
            <w:tcW w:w="2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(353)</w:t>
            </w:r>
          </w:p>
        </w:tc>
        <w:tc>
          <w:tcPr>
            <w:tcW w:w="0" w:type="dxa"/>
            <w:vAlign w:val="bottom"/>
          </w:tcPr>
          <w:p>
            <w:pPr>
              <w:spacing w:after="0"/>
              <w:rPr>
                <w:sz w:val="1"/>
                <w:szCs w:val="1"/>
                <w:color w:val="auto"/>
              </w:rPr>
            </w:pPr>
          </w:p>
        </w:tc>
      </w:tr>
      <w:tr>
        <w:trPr>
          <w:trHeight w:val="282"/>
        </w:trPr>
        <w:tc>
          <w:tcPr>
            <w:tcW w:w="3860" w:type="dxa"/>
            <w:vAlign w:val="bottom"/>
            <w:gridSpan w:val="3"/>
            <w:shd w:val="clear" w:color="auto" w:fill="E6E6E6"/>
          </w:tcPr>
          <w:p>
            <w:pPr>
              <w:jc w:val="right"/>
              <w:ind w:right="100"/>
              <w:spacing w:after="0"/>
              <w:rPr>
                <w:sz w:val="20"/>
                <w:szCs w:val="20"/>
                <w:color w:val="auto"/>
              </w:rPr>
            </w:pPr>
            <w:r>
              <w:rPr>
                <w:rFonts w:ascii="Arial" w:cs="Arial" w:eastAsia="Arial" w:hAnsi="Arial"/>
                <w:sz w:val="20"/>
                <w:szCs w:val="20"/>
                <w:b w:val="1"/>
                <w:bCs w:val="1"/>
                <w:color w:val="auto"/>
                <w:w w:val="91"/>
              </w:rPr>
              <w:t xml:space="preserve">Total energy-related commodity contracts </w:t>
            </w:r>
            <w:r>
              <w:rPr>
                <w:rFonts w:ascii="Arial" w:cs="Arial" w:eastAsia="Arial" w:hAnsi="Arial"/>
                <w:sz w:val="20"/>
                <w:szCs w:val="20"/>
                <w:b w:val="1"/>
                <w:bCs w:val="1"/>
                <w:color w:val="BDBDBD"/>
                <w:w w:val="91"/>
              </w:rPr>
              <w:t>.</w:t>
            </w:r>
          </w:p>
        </w:tc>
        <w:tc>
          <w:tcPr>
            <w:tcW w:w="140" w:type="dxa"/>
            <w:vAlign w:val="bottom"/>
            <w:gridSpan w:val="5"/>
            <w:shd w:val="clear" w:color="auto" w:fill="E6E6E6"/>
          </w:tcPr>
          <w:p>
            <w:pPr>
              <w:jc w:val="right"/>
              <w:ind w:right="34"/>
              <w:spacing w:after="0"/>
              <w:rPr>
                <w:sz w:val="20"/>
                <w:szCs w:val="20"/>
                <w:color w:val="auto"/>
              </w:rPr>
            </w:pPr>
            <w:r>
              <w:rPr>
                <w:rFonts w:ascii="Arial" w:cs="Arial" w:eastAsia="Arial" w:hAnsi="Arial"/>
                <w:sz w:val="20"/>
                <w:szCs w:val="20"/>
                <w:color w:val="auto"/>
                <w:w w:val="71"/>
              </w:rPr>
              <w:t>$</w:t>
            </w:r>
          </w:p>
        </w:tc>
        <w:tc>
          <w:tcPr>
            <w:tcW w:w="22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(353)</w:t>
            </w:r>
          </w:p>
        </w:tc>
        <w:tc>
          <w:tcPr>
            <w:tcW w:w="20" w:type="dxa"/>
            <w:vAlign w:val="bottom"/>
            <w:shd w:val="clear" w:color="auto" w:fill="E6E6E6"/>
          </w:tcPr>
          <w:p>
            <w:pPr>
              <w:spacing w:after="0"/>
              <w:rPr>
                <w:sz w:val="24"/>
                <w:szCs w:val="24"/>
                <w:color w:val="auto"/>
              </w:rPr>
            </w:pPr>
          </w:p>
        </w:tc>
        <w:tc>
          <w:tcPr>
            <w:tcW w:w="26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960" w:type="dxa"/>
            <w:vAlign w:val="bottom"/>
            <w:gridSpan w:val="2"/>
            <w:shd w:val="clear" w:color="auto" w:fill="E6E6E6"/>
          </w:tcPr>
          <w:p>
            <w:pPr>
              <w:jc w:val="right"/>
              <w:ind w:right="100"/>
              <w:spacing w:after="0"/>
              <w:rPr>
                <w:sz w:val="20"/>
                <w:szCs w:val="20"/>
                <w:color w:val="auto"/>
              </w:rPr>
            </w:pPr>
            <w:r>
              <w:rPr>
                <w:rFonts w:ascii="Arial" w:cs="Arial" w:eastAsia="Arial" w:hAnsi="Arial"/>
                <w:sz w:val="20"/>
                <w:szCs w:val="20"/>
                <w:color w:val="auto"/>
              </w:rPr>
              <w:t>—</w:t>
            </w:r>
          </w:p>
        </w:tc>
        <w:tc>
          <w:tcPr>
            <w:tcW w:w="320" w:type="dxa"/>
            <w:vAlign w:val="bottom"/>
            <w:gridSpan w:val="2"/>
            <w:shd w:val="clear" w:color="auto" w:fill="E6E6E6"/>
          </w:tcPr>
          <w:p>
            <w:pPr>
              <w:jc w:val="right"/>
              <w:ind w:right="21"/>
              <w:spacing w:after="0"/>
              <w:rPr>
                <w:sz w:val="20"/>
                <w:szCs w:val="20"/>
                <w:color w:val="auto"/>
              </w:rPr>
            </w:pPr>
            <w:r>
              <w:rPr>
                <w:rFonts w:ascii="Arial" w:cs="Arial" w:eastAsia="Arial" w:hAnsi="Arial"/>
                <w:sz w:val="20"/>
                <w:szCs w:val="20"/>
                <w:color w:val="auto"/>
              </w:rPr>
              <w:t>$</w:t>
            </w:r>
          </w:p>
        </w:tc>
        <w:tc>
          <w:tcPr>
            <w:tcW w:w="13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(353)</w:t>
            </w:r>
          </w:p>
        </w:tc>
        <w:tc>
          <w:tcPr>
            <w:tcW w:w="0" w:type="dxa"/>
            <w:vAlign w:val="bottom"/>
          </w:tcPr>
          <w:p>
            <w:pPr>
              <w:spacing w:after="0"/>
              <w:rPr>
                <w:sz w:val="1"/>
                <w:szCs w:val="1"/>
                <w:color w:val="auto"/>
              </w:rPr>
            </w:pPr>
          </w:p>
        </w:tc>
      </w:tr>
      <w:tr>
        <w:trPr>
          <w:trHeight w:val="249"/>
        </w:trPr>
        <w:tc>
          <w:tcPr>
            <w:tcW w:w="3840" w:type="dxa"/>
            <w:vAlign w:val="bottom"/>
            <w:tcBorders>
              <w:top w:val="single" w:sz="8" w:color="E6E6E6"/>
            </w:tcBorders>
            <w:gridSpan w:val="2"/>
          </w:tcPr>
          <w:p>
            <w:pPr>
              <w:ind w:left="40"/>
              <w:spacing w:after="0"/>
              <w:rPr>
                <w:sz w:val="20"/>
                <w:szCs w:val="20"/>
                <w:color w:val="auto"/>
              </w:rPr>
            </w:pPr>
            <w:r>
              <w:rPr>
                <w:rFonts w:ascii="Arial" w:cs="Arial" w:eastAsia="Arial" w:hAnsi="Arial"/>
                <w:sz w:val="20"/>
                <w:szCs w:val="20"/>
                <w:b w:val="1"/>
                <w:bCs w:val="1"/>
                <w:color w:val="auto"/>
              </w:rPr>
              <w:t>Interest rate contracts</w:t>
            </w:r>
          </w:p>
        </w:tc>
        <w:tc>
          <w:tcPr>
            <w:tcW w:w="100" w:type="dxa"/>
            <w:vAlign w:val="bottom"/>
            <w:tcBorders>
              <w:top w:val="single" w:sz="8" w:color="auto"/>
            </w:tcBorders>
            <w:gridSpan w:val="5"/>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260" w:type="dxa"/>
            <w:vAlign w:val="bottom"/>
            <w:tcBorders>
              <w:top w:val="single" w:sz="8" w:color="auto"/>
            </w:tcBorders>
          </w:tcPr>
          <w:p>
            <w:pPr>
              <w:spacing w:after="0"/>
              <w:rPr>
                <w:sz w:val="21"/>
                <w:szCs w:val="21"/>
                <w:color w:val="auto"/>
              </w:rPr>
            </w:pPr>
          </w:p>
        </w:tc>
        <w:tc>
          <w:tcPr>
            <w:tcW w:w="20" w:type="dxa"/>
            <w:vAlign w:val="bottom"/>
            <w:tcBorders>
              <w:top w:val="single" w:sz="8" w:color="E6E6E6"/>
            </w:tcBorders>
          </w:tcPr>
          <w:p>
            <w:pPr>
              <w:spacing w:after="0"/>
              <w:rPr>
                <w:sz w:val="21"/>
                <w:szCs w:val="21"/>
                <w:color w:val="auto"/>
              </w:rPr>
            </w:pPr>
          </w:p>
        </w:tc>
        <w:tc>
          <w:tcPr>
            <w:tcW w:w="60" w:type="dxa"/>
            <w:vAlign w:val="bottom"/>
            <w:tcBorders>
              <w:top w:val="single" w:sz="8" w:color="E6E6E6"/>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940" w:type="dxa"/>
            <w:vAlign w:val="bottom"/>
            <w:tcBorders>
              <w:top w:val="single" w:sz="8" w:color="auto"/>
            </w:tcBorders>
          </w:tcPr>
          <w:p>
            <w:pPr>
              <w:spacing w:after="0"/>
              <w:rPr>
                <w:sz w:val="21"/>
                <w:szCs w:val="21"/>
                <w:color w:val="auto"/>
              </w:rPr>
            </w:pPr>
          </w:p>
        </w:tc>
        <w:tc>
          <w:tcPr>
            <w:tcW w:w="20" w:type="dxa"/>
            <w:vAlign w:val="bottom"/>
            <w:tcBorders>
              <w:top w:val="single" w:sz="8" w:color="E6E6E6"/>
            </w:tcBorders>
          </w:tcPr>
          <w:p>
            <w:pPr>
              <w:spacing w:after="0"/>
              <w:rPr>
                <w:sz w:val="21"/>
                <w:szCs w:val="21"/>
                <w:color w:val="auto"/>
              </w:rPr>
            </w:pPr>
          </w:p>
        </w:tc>
        <w:tc>
          <w:tcPr>
            <w:tcW w:w="40" w:type="dxa"/>
            <w:vAlign w:val="bottom"/>
            <w:tcBorders>
              <w:top w:val="single" w:sz="8" w:color="E6E6E6"/>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99"/>
        </w:trPr>
        <w:tc>
          <w:tcPr>
            <w:tcW w:w="3840" w:type="dxa"/>
            <w:vAlign w:val="bottom"/>
            <w:tcBorders>
              <w:bottom w:val="single" w:sz="8" w:color="E6E6E6"/>
            </w:tcBorders>
            <w:gridSpan w:val="2"/>
            <w:shd w:val="clear" w:color="auto" w:fill="E6E6E6"/>
          </w:tcPr>
          <w:p>
            <w:pPr>
              <w:jc w:val="right"/>
              <w:ind w:right="80"/>
              <w:spacing w:after="0"/>
              <w:rPr>
                <w:sz w:val="20"/>
                <w:szCs w:val="20"/>
                <w:color w:val="auto"/>
              </w:rPr>
            </w:pPr>
            <w:r>
              <w:rPr>
                <w:rFonts w:ascii="Arial" w:cs="Arial" w:eastAsia="Arial" w:hAnsi="Arial"/>
                <w:sz w:val="20"/>
                <w:szCs w:val="20"/>
                <w:color w:val="auto"/>
                <w:w w:val="96"/>
              </w:rPr>
              <w:t xml:space="preserve">Derivative assets </w:t>
            </w:r>
            <w:r>
              <w:rPr>
                <w:rFonts w:ascii="Arial" w:cs="Arial" w:eastAsia="Arial" w:hAnsi="Arial"/>
                <w:sz w:val="20"/>
                <w:szCs w:val="20"/>
                <w:color w:val="BDBDBD"/>
                <w:w w:val="96"/>
              </w:rPr>
              <w:t>. . . . . . . . . . . . . . . . . . . . .</w:t>
            </w:r>
          </w:p>
        </w:tc>
        <w:tc>
          <w:tcPr>
            <w:tcW w:w="100" w:type="dxa"/>
            <w:vAlign w:val="bottom"/>
            <w:tcBorders>
              <w:bottom w:val="single" w:sz="8" w:color="auto"/>
            </w:tcBorders>
            <w:gridSpan w:val="5"/>
            <w:shd w:val="clear" w:color="auto" w:fill="E6E6E6"/>
          </w:tcPr>
          <w:p>
            <w:pPr>
              <w:spacing w:after="0"/>
              <w:rPr>
                <w:sz w:val="24"/>
                <w:szCs w:val="24"/>
                <w:color w:val="auto"/>
              </w:rPr>
            </w:pPr>
          </w:p>
        </w:tc>
        <w:tc>
          <w:tcPr>
            <w:tcW w:w="60" w:type="dxa"/>
            <w:vAlign w:val="bottom"/>
            <w:tcBorders>
              <w:bottom w:val="single" w:sz="8" w:color="auto"/>
            </w:tcBorders>
            <w:shd w:val="clear" w:color="auto" w:fill="E6E6E6"/>
          </w:tcPr>
          <w:p>
            <w:pPr>
              <w:jc w:val="right"/>
              <w:ind w:right="34"/>
              <w:spacing w:after="0"/>
              <w:rPr>
                <w:sz w:val="20"/>
                <w:szCs w:val="20"/>
                <w:color w:val="auto"/>
              </w:rPr>
            </w:pPr>
            <w:r>
              <w:rPr>
                <w:rFonts w:ascii="Arial" w:cs="Arial" w:eastAsia="Arial" w:hAnsi="Arial"/>
                <w:sz w:val="1"/>
                <w:szCs w:val="1"/>
                <w:color w:val="auto"/>
                <w:w w:val="4294967288"/>
              </w:rPr>
              <w:t>$</w:t>
            </w:r>
          </w:p>
        </w:tc>
        <w:tc>
          <w:tcPr>
            <w:tcW w:w="22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89</w:t>
            </w:r>
          </w:p>
        </w:tc>
        <w:tc>
          <w:tcPr>
            <w:tcW w:w="2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960" w:type="dxa"/>
            <w:vAlign w:val="bottom"/>
            <w:tcBorders>
              <w:bottom w:val="single" w:sz="8" w:color="auto"/>
            </w:tcBorders>
            <w:gridSpan w:val="2"/>
            <w:shd w:val="clear" w:color="auto" w:fill="E6E6E6"/>
          </w:tcPr>
          <w:p>
            <w:pPr>
              <w:jc w:val="right"/>
              <w:ind w:right="100"/>
              <w:spacing w:after="0"/>
              <w:rPr>
                <w:sz w:val="20"/>
                <w:szCs w:val="20"/>
                <w:color w:val="auto"/>
              </w:rPr>
            </w:pPr>
            <w:r>
              <w:rPr>
                <w:rFonts w:ascii="Arial" w:cs="Arial" w:eastAsia="Arial" w:hAnsi="Arial"/>
                <w:sz w:val="20"/>
                <w:szCs w:val="20"/>
                <w:color w:val="auto"/>
              </w:rPr>
              <w:t>—</w:t>
            </w:r>
          </w:p>
        </w:tc>
        <w:tc>
          <w:tcPr>
            <w:tcW w:w="4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auto"/>
            </w:tcBorders>
            <w:shd w:val="clear" w:color="auto" w:fill="E6E6E6"/>
          </w:tcPr>
          <w:p>
            <w:pPr>
              <w:jc w:val="right"/>
              <w:ind w:right="21"/>
              <w:spacing w:after="0"/>
              <w:rPr>
                <w:sz w:val="20"/>
                <w:szCs w:val="20"/>
                <w:color w:val="auto"/>
              </w:rPr>
            </w:pPr>
            <w:r>
              <w:rPr>
                <w:rFonts w:ascii="Arial" w:cs="Arial" w:eastAsia="Arial" w:hAnsi="Arial"/>
                <w:sz w:val="20"/>
                <w:szCs w:val="20"/>
                <w:color w:val="auto"/>
              </w:rPr>
              <w:t>$</w:t>
            </w:r>
          </w:p>
        </w:tc>
        <w:tc>
          <w:tcPr>
            <w:tcW w:w="13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89</w:t>
            </w:r>
          </w:p>
        </w:tc>
        <w:tc>
          <w:tcPr>
            <w:tcW w:w="0" w:type="dxa"/>
            <w:vAlign w:val="bottom"/>
          </w:tcPr>
          <w:p>
            <w:pPr>
              <w:spacing w:after="0"/>
              <w:rPr>
                <w:sz w:val="1"/>
                <w:szCs w:val="1"/>
                <w:color w:val="auto"/>
              </w:rPr>
            </w:pPr>
          </w:p>
        </w:tc>
      </w:tr>
      <w:tr>
        <w:trPr>
          <w:trHeight w:val="245"/>
        </w:trPr>
        <w:tc>
          <w:tcPr>
            <w:tcW w:w="3820" w:type="dxa"/>
            <w:vAlign w:val="bottom"/>
            <w:tcBorders>
              <w:bottom w:val="single" w:sz="8" w:color="E6E6E6"/>
            </w:tcBorders>
          </w:tcPr>
          <w:p>
            <w:pPr>
              <w:jc w:val="right"/>
              <w:spacing w:after="0"/>
              <w:rPr>
                <w:sz w:val="20"/>
                <w:szCs w:val="20"/>
                <w:color w:val="auto"/>
              </w:rPr>
            </w:pPr>
            <w:r>
              <w:rPr>
                <w:rFonts w:ascii="Arial" w:cs="Arial" w:eastAsia="Arial" w:hAnsi="Arial"/>
                <w:sz w:val="20"/>
                <w:szCs w:val="20"/>
                <w:b w:val="1"/>
                <w:bCs w:val="1"/>
                <w:color w:val="auto"/>
                <w:w w:val="91"/>
              </w:rPr>
              <w:t xml:space="preserve">Total interest rate contracts </w:t>
            </w:r>
            <w:r>
              <w:rPr>
                <w:rFonts w:ascii="Arial" w:cs="Arial" w:eastAsia="Arial" w:hAnsi="Arial"/>
                <w:sz w:val="20"/>
                <w:szCs w:val="20"/>
                <w:b w:val="1"/>
                <w:bCs w:val="1"/>
                <w:color w:val="BDBDBD"/>
                <w:w w:val="91"/>
              </w:rPr>
              <w:t>. . . . . . . . . . . . .</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gridSpan w:val="5"/>
          </w:tcPr>
          <w:p>
            <w:pPr>
              <w:spacing w:after="0"/>
              <w:rPr>
                <w:sz w:val="21"/>
                <w:szCs w:val="21"/>
                <w:color w:val="auto"/>
              </w:rPr>
            </w:pPr>
          </w:p>
        </w:tc>
        <w:tc>
          <w:tcPr>
            <w:tcW w:w="60" w:type="dxa"/>
            <w:vAlign w:val="bottom"/>
            <w:tcBorders>
              <w:bottom w:val="single" w:sz="8" w:color="auto"/>
            </w:tcBorders>
          </w:tcPr>
          <w:p>
            <w:pPr>
              <w:jc w:val="right"/>
              <w:ind w:right="34"/>
              <w:spacing w:after="0"/>
              <w:rPr>
                <w:sz w:val="20"/>
                <w:szCs w:val="20"/>
                <w:color w:val="auto"/>
              </w:rPr>
            </w:pPr>
            <w:r>
              <w:rPr>
                <w:rFonts w:ascii="Arial" w:cs="Arial" w:eastAsia="Arial" w:hAnsi="Arial"/>
                <w:sz w:val="1"/>
                <w:szCs w:val="1"/>
                <w:color w:val="auto"/>
                <w:w w:val="4294967288"/>
              </w:rPr>
              <w:t>$</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89</w:t>
            </w:r>
          </w:p>
        </w:tc>
        <w:tc>
          <w:tcPr>
            <w:tcW w:w="20" w:type="dxa"/>
            <w:vAlign w:val="bottom"/>
            <w:tcBorders>
              <w:bottom w:val="single" w:sz="8" w:color="E6E6E6"/>
            </w:tcBorders>
          </w:tcPr>
          <w:p>
            <w:pPr>
              <w:spacing w:after="0"/>
              <w:rPr>
                <w:sz w:val="21"/>
                <w:szCs w:val="21"/>
                <w:color w:val="auto"/>
              </w:rPr>
            </w:pPr>
          </w:p>
        </w:tc>
        <w:tc>
          <w:tcPr>
            <w:tcW w:w="60" w:type="dxa"/>
            <w:vAlign w:val="bottom"/>
            <w:tcBorders>
              <w:bottom w:val="single" w:sz="8" w:color="E6E6E6"/>
            </w:tcBorders>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20"/>
                <w:szCs w:val="20"/>
                <w:color w:val="auto"/>
              </w:rPr>
              <w:t>—</w:t>
            </w:r>
          </w:p>
        </w:tc>
        <w:tc>
          <w:tcPr>
            <w:tcW w:w="40" w:type="dxa"/>
            <w:vAlign w:val="bottom"/>
            <w:tcBorders>
              <w:bottom w:val="single" w:sz="8" w:color="E6E6E6"/>
            </w:tcBorders>
          </w:tcPr>
          <w:p>
            <w:pPr>
              <w:spacing w:after="0"/>
              <w:rPr>
                <w:sz w:val="21"/>
                <w:szCs w:val="21"/>
                <w:color w:val="auto"/>
              </w:rPr>
            </w:pPr>
          </w:p>
        </w:tc>
        <w:tc>
          <w:tcPr>
            <w:tcW w:w="2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89</w:t>
            </w:r>
          </w:p>
        </w:tc>
        <w:tc>
          <w:tcPr>
            <w:tcW w:w="0" w:type="dxa"/>
            <w:vAlign w:val="bottom"/>
          </w:tcPr>
          <w:p>
            <w:pPr>
              <w:spacing w:after="0"/>
              <w:rPr>
                <w:sz w:val="1"/>
                <w:szCs w:val="1"/>
                <w:color w:val="auto"/>
              </w:rPr>
            </w:pPr>
          </w:p>
        </w:tc>
      </w:tr>
      <w:tr>
        <w:trPr>
          <w:trHeight w:val="283"/>
        </w:trPr>
        <w:tc>
          <w:tcPr>
            <w:tcW w:w="38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b w:val="1"/>
                <w:bCs w:val="1"/>
                <w:color w:val="BDBDBD"/>
                <w:w w:val="94"/>
              </w:rPr>
              <w:t>. . . . . . . . . . . . .</w:t>
            </w:r>
            <w:r>
              <w:rPr>
                <w:rFonts w:ascii="Arial" w:cs="Arial" w:eastAsia="Arial" w:hAnsi="Arial"/>
                <w:sz w:val="20"/>
                <w:szCs w:val="20"/>
                <w:b w:val="1"/>
                <w:bCs w:val="1"/>
                <w:color w:val="000000"/>
                <w:w w:val="94"/>
              </w:rPr>
              <w:t>Totalderivativeinstruments</w:t>
            </w:r>
          </w:p>
        </w:tc>
        <w:tc>
          <w:tcPr>
            <w:tcW w:w="120" w:type="dxa"/>
            <w:vAlign w:val="bottom"/>
            <w:tcBorders>
              <w:bottom w:val="single" w:sz="8" w:color="auto"/>
            </w:tcBorders>
            <w:gridSpan w:val="6"/>
            <w:shd w:val="clear" w:color="auto" w:fill="E6E6E6"/>
          </w:tcPr>
          <w:p>
            <w:pPr>
              <w:spacing w:after="0"/>
              <w:rPr>
                <w:sz w:val="24"/>
                <w:szCs w:val="24"/>
                <w:color w:val="auto"/>
              </w:rPr>
            </w:pPr>
          </w:p>
        </w:tc>
        <w:tc>
          <w:tcPr>
            <w:tcW w:w="60" w:type="dxa"/>
            <w:vAlign w:val="bottom"/>
            <w:tcBorders>
              <w:bottom w:val="single" w:sz="8" w:color="auto"/>
            </w:tcBorders>
            <w:shd w:val="clear" w:color="auto" w:fill="E6E6E6"/>
          </w:tcPr>
          <w:p>
            <w:pPr>
              <w:jc w:val="right"/>
              <w:ind w:right="34"/>
              <w:spacing w:after="0"/>
              <w:rPr>
                <w:sz w:val="20"/>
                <w:szCs w:val="20"/>
                <w:color w:val="auto"/>
              </w:rPr>
            </w:pPr>
            <w:r>
              <w:rPr>
                <w:rFonts w:ascii="Arial" w:cs="Arial" w:eastAsia="Arial" w:hAnsi="Arial"/>
                <w:sz w:val="1"/>
                <w:szCs w:val="1"/>
                <w:color w:val="auto"/>
                <w:w w:val="4294967288"/>
              </w:rPr>
              <w:t>$</w:t>
            </w:r>
          </w:p>
        </w:tc>
        <w:tc>
          <w:tcPr>
            <w:tcW w:w="22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(264)</w:t>
            </w:r>
          </w:p>
        </w:tc>
        <w:tc>
          <w:tcPr>
            <w:tcW w:w="2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20" w:type="dxa"/>
            <w:vAlign w:val="bottom"/>
            <w:tcBorders>
              <w:bottom w:val="single" w:sz="8" w:color="E6E6E6"/>
            </w:tcBorders>
            <w:shd w:val="clear" w:color="auto" w:fill="E6E6E6"/>
          </w:tcPr>
          <w:p>
            <w:pPr>
              <w:spacing w:after="0"/>
              <w:rPr>
                <w:sz w:val="24"/>
                <w:szCs w:val="24"/>
                <w:color w:val="auto"/>
              </w:rPr>
            </w:pPr>
          </w:p>
        </w:tc>
        <w:tc>
          <w:tcPr>
            <w:tcW w:w="4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auto"/>
            </w:tcBorders>
            <w:shd w:val="clear" w:color="auto" w:fill="E6E6E6"/>
          </w:tcPr>
          <w:p>
            <w:pPr>
              <w:jc w:val="right"/>
              <w:ind w:right="21"/>
              <w:spacing w:after="0"/>
              <w:rPr>
                <w:sz w:val="20"/>
                <w:szCs w:val="20"/>
                <w:color w:val="auto"/>
              </w:rPr>
            </w:pPr>
            <w:r>
              <w:rPr>
                <w:rFonts w:ascii="Arial" w:cs="Arial" w:eastAsia="Arial" w:hAnsi="Arial"/>
                <w:sz w:val="20"/>
                <w:szCs w:val="20"/>
                <w:color w:val="auto"/>
              </w:rPr>
              <w:t>$</w:t>
            </w:r>
          </w:p>
        </w:tc>
        <w:tc>
          <w:tcPr>
            <w:tcW w:w="13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2410460</wp:posOffset>
            </wp:positionH>
            <wp:positionV relativeFrom="paragraph">
              <wp:posOffset>-3505835</wp:posOffset>
            </wp:positionV>
            <wp:extent cx="4081780"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02">
                      <a:extLst>
                        <a:ext uri="{28A0092B-C50C-407E-A947-70E740481C1C}"/>
                      </a:extLst>
                    </a:blip>
                    <a:srcRect/>
                    <a:stretch>
                      <a:fillRect/>
                    </a:stretch>
                  </pic:blipFill>
                  <pic:spPr bwMode="auto">
                    <a:xfrm>
                      <a:off x="0" y="0"/>
                      <a:ext cx="4081780" cy="25400"/>
                    </a:xfrm>
                    <a:prstGeom prst="rect">
                      <a:avLst/>
                    </a:prstGeom>
                    <a:noFill/>
                  </pic:spPr>
                </pic:pic>
              </a:graphicData>
            </a:graphic>
          </wp:anchor>
        </w:drawing>
        <w:drawing>
          <wp:anchor simplePos="0" relativeHeight="251657728" behindDoc="1" locked="0" layoutInCell="0" allowOverlap="1">
            <wp:simplePos x="0" y="0"/>
            <wp:positionH relativeFrom="column">
              <wp:posOffset>2410460</wp:posOffset>
            </wp:positionH>
            <wp:positionV relativeFrom="paragraph">
              <wp:posOffset>-2966085</wp:posOffset>
            </wp:positionV>
            <wp:extent cx="4081780"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03">
                      <a:extLst>
                        <a:ext uri="{28A0092B-C50C-407E-A947-70E740481C1C}"/>
                      </a:extLst>
                    </a:blip>
                    <a:srcRect/>
                    <a:stretch>
                      <a:fillRect/>
                    </a:stretch>
                  </pic:blipFill>
                  <pic:spPr bwMode="auto">
                    <a:xfrm>
                      <a:off x="0" y="0"/>
                      <a:ext cx="4081780" cy="25400"/>
                    </a:xfrm>
                    <a:prstGeom prst="rect">
                      <a:avLst/>
                    </a:prstGeom>
                    <a:noFill/>
                  </pic:spPr>
                </pic:pic>
              </a:graphicData>
            </a:graphic>
          </wp:anchor>
        </w:drawing>
        <w:drawing>
          <wp:anchor simplePos="0" relativeHeight="251657728" behindDoc="1" locked="0" layoutInCell="0" allowOverlap="1">
            <wp:simplePos x="0" y="0"/>
            <wp:positionH relativeFrom="column">
              <wp:posOffset>2410460</wp:posOffset>
            </wp:positionH>
            <wp:positionV relativeFrom="paragraph">
              <wp:posOffset>-2785745</wp:posOffset>
            </wp:positionV>
            <wp:extent cx="4081780"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04">
                      <a:extLst>
                        <a:ext uri="{28A0092B-C50C-407E-A947-70E740481C1C}"/>
                      </a:extLst>
                    </a:blip>
                    <a:srcRect/>
                    <a:stretch>
                      <a:fillRect/>
                    </a:stretch>
                  </pic:blipFill>
                  <pic:spPr bwMode="auto">
                    <a:xfrm>
                      <a:off x="0" y="0"/>
                      <a:ext cx="4081780" cy="25400"/>
                    </a:xfrm>
                    <a:prstGeom prst="rect">
                      <a:avLst/>
                    </a:prstGeom>
                    <a:noFill/>
                  </pic:spPr>
                </pic:pic>
              </a:graphicData>
            </a:graphic>
          </wp:anchor>
        </w:drawing>
        <w:drawing>
          <wp:anchor simplePos="0" relativeHeight="251657728" behindDoc="1" locked="0" layoutInCell="0" allowOverlap="1">
            <wp:simplePos x="0" y="0"/>
            <wp:positionH relativeFrom="column">
              <wp:posOffset>2410460</wp:posOffset>
            </wp:positionH>
            <wp:positionV relativeFrom="paragraph">
              <wp:posOffset>-2245360</wp:posOffset>
            </wp:positionV>
            <wp:extent cx="4081780"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05">
                      <a:extLst>
                        <a:ext uri="{28A0092B-C50C-407E-A947-70E740481C1C}"/>
                      </a:extLst>
                    </a:blip>
                    <a:srcRect/>
                    <a:stretch>
                      <a:fillRect/>
                    </a:stretch>
                  </pic:blipFill>
                  <pic:spPr bwMode="auto">
                    <a:xfrm>
                      <a:off x="0" y="0"/>
                      <a:ext cx="4081780" cy="25400"/>
                    </a:xfrm>
                    <a:prstGeom prst="rect">
                      <a:avLst/>
                    </a:prstGeom>
                    <a:noFill/>
                  </pic:spPr>
                </pic:pic>
              </a:graphicData>
            </a:graphic>
          </wp:anchor>
        </w:drawing>
        <w:drawing>
          <wp:anchor simplePos="0" relativeHeight="251657728" behindDoc="1" locked="0" layoutInCell="0" allowOverlap="1">
            <wp:simplePos x="0" y="0"/>
            <wp:positionH relativeFrom="column">
              <wp:posOffset>2410460</wp:posOffset>
            </wp:positionH>
            <wp:positionV relativeFrom="paragraph">
              <wp:posOffset>-2065655</wp:posOffset>
            </wp:positionV>
            <wp:extent cx="4081780"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06">
                      <a:extLst>
                        <a:ext uri="{28A0092B-C50C-407E-A947-70E740481C1C}"/>
                      </a:extLst>
                    </a:blip>
                    <a:srcRect/>
                    <a:stretch>
                      <a:fillRect/>
                    </a:stretch>
                  </pic:blipFill>
                  <pic:spPr bwMode="auto">
                    <a:xfrm>
                      <a:off x="0" y="0"/>
                      <a:ext cx="4081780" cy="25400"/>
                    </a:xfrm>
                    <a:prstGeom prst="rect">
                      <a:avLst/>
                    </a:prstGeom>
                    <a:noFill/>
                  </pic:spPr>
                </pic:pic>
              </a:graphicData>
            </a:graphic>
          </wp:anchor>
        </w:drawing>
        <w:drawing>
          <wp:anchor simplePos="0" relativeHeight="251657728" behindDoc="1" locked="0" layoutInCell="0" allowOverlap="1">
            <wp:simplePos x="0" y="0"/>
            <wp:positionH relativeFrom="column">
              <wp:posOffset>2410460</wp:posOffset>
            </wp:positionH>
            <wp:positionV relativeFrom="paragraph">
              <wp:posOffset>-1898015</wp:posOffset>
            </wp:positionV>
            <wp:extent cx="4081780" cy="508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07">
                      <a:extLst>
                        <a:ext uri="{28A0092B-C50C-407E-A947-70E740481C1C}"/>
                      </a:extLst>
                    </a:blip>
                    <a:srcRect/>
                    <a:stretch>
                      <a:fillRect/>
                    </a:stretch>
                  </pic:blipFill>
                  <pic:spPr bwMode="auto">
                    <a:xfrm>
                      <a:off x="0" y="0"/>
                      <a:ext cx="4081780" cy="50800"/>
                    </a:xfrm>
                    <a:prstGeom prst="rect">
                      <a:avLst/>
                    </a:prstGeom>
                    <a:noFill/>
                  </pic:spPr>
                </pic:pic>
              </a:graphicData>
            </a:graphic>
          </wp:anchor>
        </w:drawing>
        <w:drawing>
          <wp:anchor simplePos="0" relativeHeight="251657728" behindDoc="1" locked="0" layoutInCell="0" allowOverlap="1">
            <wp:simplePos x="0" y="0"/>
            <wp:positionH relativeFrom="column">
              <wp:posOffset>2410460</wp:posOffset>
            </wp:positionH>
            <wp:positionV relativeFrom="paragraph">
              <wp:posOffset>-1291590</wp:posOffset>
            </wp:positionV>
            <wp:extent cx="4081780"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08">
                      <a:extLst>
                        <a:ext uri="{28A0092B-C50C-407E-A947-70E740481C1C}"/>
                      </a:extLst>
                    </a:blip>
                    <a:srcRect/>
                    <a:stretch>
                      <a:fillRect/>
                    </a:stretch>
                  </pic:blipFill>
                  <pic:spPr bwMode="auto">
                    <a:xfrm>
                      <a:off x="0" y="0"/>
                      <a:ext cx="4081780" cy="25400"/>
                    </a:xfrm>
                    <a:prstGeom prst="rect">
                      <a:avLst/>
                    </a:prstGeom>
                    <a:noFill/>
                  </pic:spPr>
                </pic:pic>
              </a:graphicData>
            </a:graphic>
          </wp:anchor>
        </w:drawing>
        <w:drawing>
          <wp:anchor simplePos="0" relativeHeight="251657728" behindDoc="1" locked="0" layoutInCell="0" allowOverlap="1">
            <wp:simplePos x="0" y="0"/>
            <wp:positionH relativeFrom="column">
              <wp:posOffset>2410460</wp:posOffset>
            </wp:positionH>
            <wp:positionV relativeFrom="paragraph">
              <wp:posOffset>-931545</wp:posOffset>
            </wp:positionV>
            <wp:extent cx="4081780"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09">
                      <a:extLst>
                        <a:ext uri="{28A0092B-C50C-407E-A947-70E740481C1C}"/>
                      </a:extLst>
                    </a:blip>
                    <a:srcRect/>
                    <a:stretch>
                      <a:fillRect/>
                    </a:stretch>
                  </pic:blipFill>
                  <pic:spPr bwMode="auto">
                    <a:xfrm>
                      <a:off x="0" y="0"/>
                      <a:ext cx="4081780" cy="25400"/>
                    </a:xfrm>
                    <a:prstGeom prst="rect">
                      <a:avLst/>
                    </a:prstGeom>
                    <a:noFill/>
                  </pic:spPr>
                </pic:pic>
              </a:graphicData>
            </a:graphic>
          </wp:anchor>
        </w:drawing>
        <w:drawing>
          <wp:anchor simplePos="0" relativeHeight="251657728" behindDoc="1" locked="0" layoutInCell="0" allowOverlap="1">
            <wp:simplePos x="0" y="0"/>
            <wp:positionH relativeFrom="column">
              <wp:posOffset>2410460</wp:posOffset>
            </wp:positionH>
            <wp:positionV relativeFrom="paragraph">
              <wp:posOffset>-751205</wp:posOffset>
            </wp:positionV>
            <wp:extent cx="4081780"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10">
                      <a:extLst>
                        <a:ext uri="{28A0092B-C50C-407E-A947-70E740481C1C}"/>
                      </a:extLst>
                    </a:blip>
                    <a:srcRect/>
                    <a:stretch>
                      <a:fillRect/>
                    </a:stretch>
                  </pic:blipFill>
                  <pic:spPr bwMode="auto">
                    <a:xfrm>
                      <a:off x="0" y="0"/>
                      <a:ext cx="4081780" cy="25400"/>
                    </a:xfrm>
                    <a:prstGeom prst="rect">
                      <a:avLst/>
                    </a:prstGeom>
                    <a:noFill/>
                  </pic:spPr>
                </pic:pic>
              </a:graphicData>
            </a:graphic>
          </wp:anchor>
        </w:drawing>
        <w:drawing>
          <wp:anchor simplePos="0" relativeHeight="251657728" behindDoc="1" locked="0" layoutInCell="0" allowOverlap="1">
            <wp:simplePos x="0" y="0"/>
            <wp:positionH relativeFrom="column">
              <wp:posOffset>2410460</wp:posOffset>
            </wp:positionH>
            <wp:positionV relativeFrom="paragraph">
              <wp:posOffset>-391160</wp:posOffset>
            </wp:positionV>
            <wp:extent cx="4081780"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11">
                      <a:extLst>
                        <a:ext uri="{28A0092B-C50C-407E-A947-70E740481C1C}"/>
                      </a:extLst>
                    </a:blip>
                    <a:srcRect/>
                    <a:stretch>
                      <a:fillRect/>
                    </a:stretch>
                  </pic:blipFill>
                  <pic:spPr bwMode="auto">
                    <a:xfrm>
                      <a:off x="0" y="0"/>
                      <a:ext cx="4081780" cy="25400"/>
                    </a:xfrm>
                    <a:prstGeom prst="rect">
                      <a:avLst/>
                    </a:prstGeom>
                    <a:noFill/>
                  </pic:spPr>
                </pic:pic>
              </a:graphicData>
            </a:graphic>
          </wp:anchor>
        </w:drawing>
        <w:drawing>
          <wp:anchor simplePos="0" relativeHeight="251657728" behindDoc="1" locked="0" layoutInCell="0" allowOverlap="1">
            <wp:simplePos x="0" y="0"/>
            <wp:positionH relativeFrom="column">
              <wp:posOffset>2410460</wp:posOffset>
            </wp:positionH>
            <wp:positionV relativeFrom="paragraph">
              <wp:posOffset>-210820</wp:posOffset>
            </wp:positionV>
            <wp:extent cx="4081780"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12">
                      <a:extLst>
                        <a:ext uri="{28A0092B-C50C-407E-A947-70E740481C1C}"/>
                      </a:extLst>
                    </a:blip>
                    <a:srcRect/>
                    <a:stretch>
                      <a:fillRect/>
                    </a:stretch>
                  </pic:blipFill>
                  <pic:spPr bwMode="auto">
                    <a:xfrm>
                      <a:off x="0" y="0"/>
                      <a:ext cx="4081780" cy="25400"/>
                    </a:xfrm>
                    <a:prstGeom prst="rect">
                      <a:avLst/>
                    </a:prstGeom>
                    <a:noFill/>
                  </pic:spPr>
                </pic:pic>
              </a:graphicData>
            </a:graphic>
          </wp:anchor>
        </w:drawing>
        <w:drawing>
          <wp:anchor simplePos="0" relativeHeight="251657728" behindDoc="1" locked="0" layoutInCell="0" allowOverlap="1">
            <wp:simplePos x="0" y="0"/>
            <wp:positionH relativeFrom="column">
              <wp:posOffset>2410460</wp:posOffset>
            </wp:positionH>
            <wp:positionV relativeFrom="paragraph">
              <wp:posOffset>-43815</wp:posOffset>
            </wp:positionV>
            <wp:extent cx="4081780" cy="508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13">
                      <a:extLst>
                        <a:ext uri="{28A0092B-C50C-407E-A947-70E740481C1C}"/>
                      </a:extLst>
                    </a:blip>
                    <a:srcRect/>
                    <a:stretch>
                      <a:fillRect/>
                    </a:stretch>
                  </pic:blipFill>
                  <pic:spPr bwMode="auto">
                    <a:xfrm>
                      <a:off x="0" y="0"/>
                      <a:ext cx="4081780" cy="50800"/>
                    </a:xfrm>
                    <a:prstGeom prst="rect">
                      <a:avLst/>
                    </a:prstGeom>
                    <a:noFill/>
                  </pic:spPr>
                </pic:pic>
              </a:graphicData>
            </a:graphic>
          </wp:anchor>
        </w:drawing>
      </w:r>
    </w:p>
    <w:p>
      <w:pPr>
        <w:sectPr>
          <w:pgSz w:w="11880" w:h="15480" w:orient="portrait"/>
          <w:cols w:equalWidth="0" w:num="1">
            <w:col w:w="10200"/>
          </w:cols>
          <w:pgMar w:left="840" w:top="404"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105</w:t>
      </w:r>
    </w:p>
    <w:p>
      <w:pPr>
        <w:sectPr>
          <w:pgSz w:w="11880" w:h="15480" w:orient="portrait"/>
          <w:cols w:equalWidth="0" w:num="1">
            <w:col w:w="10200"/>
          </w:cols>
          <w:pgMar w:left="840" w:top="404" w:right="840" w:bottom="0" w:gutter="0" w:footer="0" w:header="0"/>
          <w:type w:val="continuous"/>
        </w:sectPr>
      </w:pPr>
    </w:p>
    <w:bookmarkStart w:id="107" w:name="page108"/>
    <w:bookmarkEnd w:id="107"/>
    <w:p>
      <w:pPr>
        <w:spacing w:after="0"/>
        <w:rPr>
          <w:sz w:val="20"/>
          <w:szCs w:val="20"/>
          <w:color w:val="auto"/>
        </w:rPr>
      </w:pPr>
      <w:r>
        <w:rPr>
          <w:rFonts w:ascii="Arial" w:cs="Arial" w:eastAsia="Arial" w:hAnsi="Arial"/>
          <w:sz w:val="20"/>
          <w:szCs w:val="20"/>
          <w:b w:val="1"/>
          <w:bCs w:val="1"/>
          <w:i w:val="1"/>
          <w:iCs w:val="1"/>
          <w:color w:val="auto"/>
        </w:rPr>
        <w:t>Accumulated Other Comprehensive Income (Loss)</w:t>
      </w:r>
    </w:p>
    <w:p>
      <w:pPr>
        <w:spacing w:after="0" w:line="196" w:lineRule="exact"/>
        <w:rPr>
          <w:sz w:val="20"/>
          <w:szCs w:val="20"/>
          <w:color w:val="auto"/>
        </w:rPr>
      </w:pPr>
    </w:p>
    <w:p>
      <w:pPr>
        <w:ind w:firstLine="448"/>
        <w:spacing w:after="0" w:line="280" w:lineRule="auto"/>
        <w:rPr>
          <w:sz w:val="20"/>
          <w:szCs w:val="20"/>
          <w:color w:val="auto"/>
        </w:rPr>
      </w:pPr>
      <w:r>
        <w:rPr>
          <w:rFonts w:ascii="Arial" w:cs="Arial" w:eastAsia="Arial" w:hAnsi="Arial"/>
          <w:sz w:val="20"/>
          <w:szCs w:val="20"/>
          <w:color w:val="auto"/>
        </w:rPr>
        <w:t>The following table summarizes the effects on the Company’s accumulated OCI (OCL) balance attributable to interest rate swaps designated as cash flow hedge derivatives, net of tax:</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0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89"/>
              </w:rPr>
              <w:t>Year ended December 31,</w:t>
            </w: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2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3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183"/>
              <w:spacing w:after="0"/>
              <w:rPr>
                <w:sz w:val="20"/>
                <w:szCs w:val="20"/>
                <w:color w:val="auto"/>
              </w:rPr>
            </w:pPr>
            <w:r>
              <w:rPr>
                <w:rFonts w:ascii="Arial" w:cs="Arial" w:eastAsia="Arial" w:hAnsi="Arial"/>
                <w:sz w:val="16"/>
                <w:szCs w:val="16"/>
                <w:b w:val="1"/>
                <w:bCs w:val="1"/>
                <w:color w:val="auto"/>
                <w:w w:val="89"/>
              </w:rPr>
              <w:t>2022</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43"/>
              <w:spacing w:after="0"/>
              <w:rPr>
                <w:sz w:val="20"/>
                <w:szCs w:val="20"/>
                <w:color w:val="auto"/>
              </w:rPr>
            </w:pPr>
            <w:r>
              <w:rPr>
                <w:rFonts w:ascii="Arial" w:cs="Arial" w:eastAsia="Arial" w:hAnsi="Arial"/>
                <w:sz w:val="16"/>
                <w:szCs w:val="16"/>
                <w:b w:val="1"/>
                <w:bCs w:val="1"/>
                <w:color w:val="auto"/>
                <w:w w:val="89"/>
              </w:rPr>
              <w:t>2021</w:t>
            </w:r>
          </w:p>
        </w:tc>
        <w:tc>
          <w:tcPr>
            <w:tcW w:w="0" w:type="dxa"/>
            <w:vAlign w:val="bottom"/>
          </w:tcPr>
          <w:p>
            <w:pPr>
              <w:spacing w:after="0"/>
              <w:rPr>
                <w:sz w:val="1"/>
                <w:szCs w:val="1"/>
                <w:color w:val="auto"/>
              </w:rPr>
            </w:pPr>
          </w:p>
        </w:tc>
      </w:tr>
      <w:tr>
        <w:trPr>
          <w:trHeight w:val="236"/>
        </w:trPr>
        <w:tc>
          <w:tcPr>
            <w:tcW w:w="7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(In millions)</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7020" w:type="dxa"/>
            <w:vAlign w:val="bottom"/>
            <w:shd w:val="clear" w:color="auto" w:fill="E6E6E6"/>
          </w:tcPr>
          <w:p>
            <w:pPr>
              <w:jc w:val="right"/>
              <w:spacing w:after="0"/>
              <w:rPr>
                <w:sz w:val="20"/>
                <w:szCs w:val="20"/>
                <w:color w:val="auto"/>
              </w:rPr>
            </w:pPr>
            <w:r>
              <w:rPr>
                <w:rFonts w:ascii="Arial" w:cs="Arial" w:eastAsia="Arial" w:hAnsi="Arial"/>
                <w:sz w:val="20"/>
                <w:szCs w:val="20"/>
                <w:color w:val="auto"/>
                <w:w w:val="91"/>
              </w:rPr>
              <w:t xml:space="preserve">Accumulated OCI (OCL) beginning balance  </w:t>
            </w:r>
            <w:r>
              <w:rPr>
                <w:rFonts w:ascii="Arial" w:cs="Arial" w:eastAsia="Arial" w:hAnsi="Arial"/>
                <w:sz w:val="20"/>
                <w:szCs w:val="20"/>
                <w:color w:val="BDBDBD"/>
                <w:w w:val="91"/>
              </w:rPr>
              <w:t>. . . . . . . . . . . . . . . . . . . . . . . . . . . . . . . . .</w:t>
            </w:r>
          </w:p>
        </w:tc>
        <w:tc>
          <w:tcPr>
            <w:tcW w:w="680" w:type="dxa"/>
            <w:vAlign w:val="bottom"/>
            <w:shd w:val="clear" w:color="auto" w:fill="E6E6E6"/>
          </w:tcPr>
          <w:p>
            <w:pPr>
              <w:jc w:val="right"/>
              <w:ind w:right="445"/>
              <w:spacing w:after="0"/>
              <w:rPr>
                <w:sz w:val="20"/>
                <w:szCs w:val="20"/>
                <w:color w:val="auto"/>
              </w:rPr>
            </w:pPr>
            <w:r>
              <w:rPr>
                <w:rFonts w:ascii="Arial" w:cs="Arial" w:eastAsia="Arial" w:hAnsi="Arial"/>
                <w:sz w:val="20"/>
                <w:szCs w:val="20"/>
                <w:color w:val="auto"/>
              </w:rPr>
              <w:t>$</w:t>
            </w:r>
          </w:p>
        </w:tc>
        <w:tc>
          <w:tcPr>
            <w:tcW w:w="320" w:type="dxa"/>
            <w:vAlign w:val="bottom"/>
            <w:shd w:val="clear" w:color="auto" w:fill="E6E6E6"/>
          </w:tcPr>
          <w:p>
            <w:pPr>
              <w:jc w:val="right"/>
              <w:spacing w:after="0"/>
              <w:rPr>
                <w:sz w:val="20"/>
                <w:szCs w:val="20"/>
                <w:color w:val="auto"/>
              </w:rPr>
            </w:pPr>
            <w:r>
              <w:rPr>
                <w:rFonts w:ascii="Arial" w:cs="Arial" w:eastAsia="Arial" w:hAnsi="Arial"/>
                <w:sz w:val="20"/>
                <w:szCs w:val="20"/>
                <w:color w:val="auto"/>
                <w:w w:val="98"/>
              </w:rPr>
              <w:t>24</w:t>
            </w:r>
          </w:p>
        </w:tc>
        <w:tc>
          <w:tcPr>
            <w:tcW w:w="340" w:type="dxa"/>
            <w:vAlign w:val="bottom"/>
            <w:gridSpan w:val="2"/>
            <w:shd w:val="clear" w:color="auto" w:fill="E6E6E6"/>
          </w:tcPr>
          <w:p>
            <w:pPr>
              <w:jc w:val="right"/>
              <w:ind w:right="20"/>
              <w:spacing w:after="0"/>
              <w:rPr>
                <w:sz w:val="20"/>
                <w:szCs w:val="20"/>
                <w:color w:val="auto"/>
              </w:rPr>
            </w:pPr>
            <w:r>
              <w:rPr>
                <w:rFonts w:ascii="Arial" w:cs="Arial" w:eastAsia="Arial" w:hAnsi="Arial"/>
                <w:sz w:val="20"/>
                <w:szCs w:val="20"/>
                <w:color w:val="auto"/>
              </w:rPr>
              <w:t>$</w:t>
            </w:r>
          </w:p>
        </w:tc>
        <w:tc>
          <w:tcPr>
            <w:tcW w:w="7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w:t>
            </w:r>
          </w:p>
        </w:tc>
        <w:tc>
          <w:tcPr>
            <w:tcW w:w="400" w:type="dxa"/>
            <w:vAlign w:val="bottom"/>
            <w:gridSpan w:val="2"/>
            <w:shd w:val="clear" w:color="auto" w:fill="E6E6E6"/>
          </w:tcPr>
          <w:p>
            <w:pPr>
              <w:jc w:val="right"/>
              <w:ind w:right="180"/>
              <w:spacing w:after="0"/>
              <w:rPr>
                <w:sz w:val="20"/>
                <w:szCs w:val="20"/>
                <w:color w:val="auto"/>
              </w:rPr>
            </w:pPr>
            <w:r>
              <w:rPr>
                <w:rFonts w:ascii="Arial" w:cs="Arial" w:eastAsia="Arial" w:hAnsi="Arial"/>
                <w:sz w:val="20"/>
                <w:szCs w:val="20"/>
                <w:color w:val="auto"/>
              </w:rPr>
              <w:t>$</w:t>
            </w:r>
          </w:p>
        </w:tc>
        <w:tc>
          <w:tcPr>
            <w:tcW w:w="6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(30)</w:t>
            </w:r>
          </w:p>
        </w:tc>
        <w:tc>
          <w:tcPr>
            <w:tcW w:w="0" w:type="dxa"/>
            <w:vAlign w:val="bottom"/>
          </w:tcPr>
          <w:p>
            <w:pPr>
              <w:spacing w:after="0"/>
              <w:rPr>
                <w:sz w:val="1"/>
                <w:szCs w:val="1"/>
                <w:color w:val="auto"/>
              </w:rPr>
            </w:pPr>
          </w:p>
        </w:tc>
      </w:tr>
      <w:tr>
        <w:trPr>
          <w:trHeight w:val="221"/>
        </w:trPr>
        <w:tc>
          <w:tcPr>
            <w:tcW w:w="7020" w:type="dxa"/>
            <w:vAlign w:val="bottom"/>
          </w:tcPr>
          <w:p>
            <w:pPr>
              <w:ind w:left="180"/>
              <w:spacing w:after="0" w:line="221" w:lineRule="exact"/>
              <w:rPr>
                <w:sz w:val="20"/>
                <w:szCs w:val="20"/>
                <w:color w:val="auto"/>
              </w:rPr>
            </w:pPr>
            <w:r>
              <w:rPr>
                <w:rFonts w:ascii="Arial" w:cs="Arial" w:eastAsia="Arial" w:hAnsi="Arial"/>
                <w:sz w:val="20"/>
                <w:szCs w:val="20"/>
                <w:color w:val="auto"/>
              </w:rPr>
              <w:t>Reclassified from accumulated OCI (OCL) to income due to realization of</w:t>
            </w:r>
          </w:p>
        </w:tc>
        <w:tc>
          <w:tcPr>
            <w:tcW w:w="680" w:type="dxa"/>
            <w:vAlign w:val="bottom"/>
          </w:tcPr>
          <w:p>
            <w:pPr>
              <w:spacing w:after="0"/>
              <w:rPr>
                <w:sz w:val="19"/>
                <w:szCs w:val="19"/>
                <w:color w:val="auto"/>
              </w:rPr>
            </w:pPr>
          </w:p>
        </w:tc>
        <w:tc>
          <w:tcPr>
            <w:tcW w:w="320" w:type="dxa"/>
            <w:vAlign w:val="bottom"/>
            <w:vMerge w:val="restart"/>
          </w:tcPr>
          <w:p>
            <w:pPr>
              <w:jc w:val="right"/>
              <w:spacing w:after="0"/>
              <w:rPr>
                <w:sz w:val="20"/>
                <w:szCs w:val="20"/>
                <w:color w:val="auto"/>
              </w:rPr>
            </w:pPr>
            <w:r>
              <w:rPr>
                <w:rFonts w:ascii="Arial" w:cs="Arial" w:eastAsia="Arial" w:hAnsi="Arial"/>
                <w:sz w:val="20"/>
                <w:szCs w:val="20"/>
                <w:color w:val="auto"/>
              </w:rPr>
              <w:t>(4)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4</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8</w:t>
            </w:r>
          </w:p>
        </w:tc>
        <w:tc>
          <w:tcPr>
            <w:tcW w:w="0" w:type="dxa"/>
            <w:vAlign w:val="bottom"/>
          </w:tcPr>
          <w:p>
            <w:pPr>
              <w:spacing w:after="0"/>
              <w:rPr>
                <w:sz w:val="1"/>
                <w:szCs w:val="1"/>
                <w:color w:val="auto"/>
              </w:rPr>
            </w:pPr>
          </w:p>
        </w:tc>
      </w:tr>
      <w:tr>
        <w:trPr>
          <w:trHeight w:val="266"/>
        </w:trPr>
        <w:tc>
          <w:tcPr>
            <w:tcW w:w="7020" w:type="dxa"/>
            <w:vAlign w:val="bottom"/>
          </w:tcPr>
          <w:p>
            <w:pPr>
              <w:jc w:val="right"/>
              <w:spacing w:after="0"/>
              <w:rPr>
                <w:sz w:val="20"/>
                <w:szCs w:val="20"/>
                <w:color w:val="auto"/>
              </w:rPr>
            </w:pPr>
            <w:r>
              <w:rPr>
                <w:rFonts w:ascii="Arial" w:cs="Arial" w:eastAsia="Arial" w:hAnsi="Arial"/>
                <w:sz w:val="20"/>
                <w:szCs w:val="20"/>
                <w:color w:val="auto"/>
                <w:w w:val="94"/>
              </w:rPr>
              <w:t xml:space="preserve">previously deferred amounts </w:t>
            </w:r>
            <w:r>
              <w:rPr>
                <w:rFonts w:ascii="Arial" w:cs="Arial" w:eastAsia="Arial" w:hAnsi="Arial"/>
                <w:sz w:val="20"/>
                <w:szCs w:val="20"/>
                <w:color w:val="BDBDBD"/>
                <w:w w:val="94"/>
              </w:rPr>
              <w:t>. . . . . . . . . . . . . . . . . . . . . . . . . . . . . . . . . . . . . . . . . . .</w:t>
            </w:r>
          </w:p>
        </w:tc>
        <w:tc>
          <w:tcPr>
            <w:tcW w:w="680" w:type="dxa"/>
            <w:vAlign w:val="bottom"/>
          </w:tcPr>
          <w:p>
            <w:pPr>
              <w:spacing w:after="0"/>
              <w:rPr>
                <w:sz w:val="23"/>
                <w:szCs w:val="23"/>
                <w:color w:val="auto"/>
              </w:rPr>
            </w:pPr>
          </w:p>
        </w:tc>
        <w:tc>
          <w:tcPr>
            <w:tcW w:w="32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7020" w:type="dxa"/>
            <w:vAlign w:val="bottom"/>
            <w:shd w:val="clear" w:color="auto" w:fill="E6E6E6"/>
          </w:tcPr>
          <w:p>
            <w:pPr>
              <w:jc w:val="right"/>
              <w:spacing w:after="0"/>
              <w:rPr>
                <w:sz w:val="20"/>
                <w:szCs w:val="20"/>
                <w:color w:val="auto"/>
              </w:rPr>
            </w:pPr>
            <w:r>
              <w:rPr>
                <w:rFonts w:ascii="Arial" w:cs="Arial" w:eastAsia="Arial" w:hAnsi="Arial"/>
                <w:sz w:val="20"/>
                <w:szCs w:val="20"/>
                <w:color w:val="auto"/>
                <w:w w:val="93"/>
              </w:rPr>
              <w:t xml:space="preserve">Capistrano Wind Portfolio Acquisition </w:t>
            </w:r>
            <w:r>
              <w:rPr>
                <w:rFonts w:ascii="Arial" w:cs="Arial" w:eastAsia="Arial" w:hAnsi="Arial"/>
                <w:sz w:val="25"/>
                <w:szCs w:val="25"/>
                <w:color w:val="auto"/>
                <w:w w:val="93"/>
                <w:vertAlign w:val="superscript"/>
              </w:rPr>
              <w:t>(a)</w:t>
            </w:r>
            <w:r>
              <w:rPr>
                <w:rFonts w:ascii="Arial" w:cs="Arial" w:eastAsia="Arial" w:hAnsi="Arial"/>
                <w:sz w:val="20"/>
                <w:szCs w:val="20"/>
                <w:color w:val="auto"/>
                <w:w w:val="93"/>
              </w:rPr>
              <w:t xml:space="preserve">  </w:t>
            </w:r>
            <w:r>
              <w:rPr>
                <w:rFonts w:ascii="Arial" w:cs="Arial" w:eastAsia="Arial" w:hAnsi="Arial"/>
                <w:sz w:val="20"/>
                <w:szCs w:val="20"/>
                <w:color w:val="BDBDBD"/>
                <w:w w:val="93"/>
              </w:rPr>
              <w:t>. . . . . . . . . . . . . . . . . . . . . . . . . . . . . . . . . .</w:t>
            </w:r>
          </w:p>
        </w:tc>
        <w:tc>
          <w:tcPr>
            <w:tcW w:w="680" w:type="dxa"/>
            <w:vAlign w:val="bottom"/>
            <w:shd w:val="clear" w:color="auto" w:fill="E6E6E6"/>
          </w:tcPr>
          <w:p>
            <w:pPr>
              <w:spacing w:after="0"/>
              <w:rPr>
                <w:sz w:val="24"/>
                <w:szCs w:val="24"/>
                <w:color w:val="auto"/>
              </w:rPr>
            </w:pPr>
          </w:p>
        </w:tc>
        <w:tc>
          <w:tcPr>
            <w:tcW w:w="3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w:t>
            </w:r>
          </w:p>
        </w:tc>
        <w:tc>
          <w:tcPr>
            <w:tcW w:w="6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6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8"/>
        </w:trPr>
        <w:tc>
          <w:tcPr>
            <w:tcW w:w="7020" w:type="dxa"/>
            <w:vAlign w:val="bottom"/>
            <w:tcBorders>
              <w:bottom w:val="single" w:sz="8" w:color="E6E6E6"/>
            </w:tcBorders>
          </w:tcPr>
          <w:p>
            <w:pPr>
              <w:jc w:val="right"/>
              <w:spacing w:after="0"/>
              <w:rPr>
                <w:sz w:val="20"/>
                <w:szCs w:val="20"/>
                <w:color w:val="auto"/>
              </w:rPr>
            </w:pPr>
            <w:r>
              <w:rPr>
                <w:rFonts w:ascii="Arial" w:cs="Arial" w:eastAsia="Arial" w:hAnsi="Arial"/>
                <w:sz w:val="20"/>
                <w:szCs w:val="20"/>
                <w:color w:val="auto"/>
                <w:w w:val="93"/>
              </w:rPr>
              <w:t xml:space="preserve">Mark-to-market of cash flow hedge accounting contracts </w:t>
            </w:r>
            <w:r>
              <w:rPr>
                <w:rFonts w:ascii="Arial" w:cs="Arial" w:eastAsia="Arial" w:hAnsi="Arial"/>
                <w:sz w:val="20"/>
                <w:szCs w:val="20"/>
                <w:color w:val="BDBDBD"/>
                <w:w w:val="93"/>
              </w:rPr>
              <w:t>. . . . . . . . . . . . . . . . . . . . . .</w:t>
            </w:r>
          </w:p>
        </w:tc>
        <w:tc>
          <w:tcPr>
            <w:tcW w:w="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w:t>
            </w:r>
          </w:p>
        </w:tc>
        <w:tc>
          <w:tcPr>
            <w:tcW w:w="80" w:type="dxa"/>
            <w:vAlign w:val="bottom"/>
            <w:tcBorders>
              <w:bottom w:val="single" w:sz="8" w:color="E6E6E6"/>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w:t>
            </w:r>
          </w:p>
        </w:tc>
        <w:tc>
          <w:tcPr>
            <w:tcW w:w="60" w:type="dxa"/>
            <w:vAlign w:val="bottom"/>
            <w:tcBorders>
              <w:bottom w:val="single" w:sz="8" w:color="E6E6E6"/>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w:t>
            </w:r>
          </w:p>
        </w:tc>
        <w:tc>
          <w:tcPr>
            <w:tcW w:w="0" w:type="dxa"/>
            <w:vAlign w:val="bottom"/>
          </w:tcPr>
          <w:p>
            <w:pPr>
              <w:spacing w:after="0"/>
              <w:rPr>
                <w:sz w:val="1"/>
                <w:szCs w:val="1"/>
                <w:color w:val="auto"/>
              </w:rPr>
            </w:pPr>
          </w:p>
        </w:tc>
      </w:tr>
      <w:tr>
        <w:trPr>
          <w:trHeight w:val="211"/>
        </w:trPr>
        <w:tc>
          <w:tcPr>
            <w:tcW w:w="7020" w:type="dxa"/>
            <w:vAlign w:val="bottom"/>
            <w:shd w:val="clear" w:color="auto" w:fill="E6E6E6"/>
          </w:tcPr>
          <w:p>
            <w:pPr>
              <w:jc w:val="right"/>
              <w:ind w:right="161"/>
              <w:spacing w:after="0" w:line="211" w:lineRule="exact"/>
              <w:rPr>
                <w:sz w:val="20"/>
                <w:szCs w:val="20"/>
                <w:color w:val="auto"/>
              </w:rPr>
            </w:pPr>
            <w:r>
              <w:rPr>
                <w:rFonts w:ascii="Arial" w:cs="Arial" w:eastAsia="Arial" w:hAnsi="Arial"/>
                <w:sz w:val="20"/>
                <w:szCs w:val="20"/>
                <w:color w:val="auto"/>
                <w:w w:val="91"/>
              </w:rPr>
              <w:t>Accumulated OCI (OCL) ending balance, net of income tax expense (benefit) of $2,</w:t>
            </w:r>
          </w:p>
        </w:tc>
        <w:tc>
          <w:tcPr>
            <w:tcW w:w="680" w:type="dxa"/>
            <w:vAlign w:val="bottom"/>
            <w:shd w:val="clear" w:color="auto" w:fill="E6E6E6"/>
          </w:tcPr>
          <w:p>
            <w:pPr>
              <w:spacing w:after="0"/>
              <w:rPr>
                <w:sz w:val="18"/>
                <w:szCs w:val="18"/>
                <w:color w:val="auto"/>
              </w:rPr>
            </w:pPr>
          </w:p>
        </w:tc>
        <w:tc>
          <w:tcPr>
            <w:tcW w:w="32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w w:val="98"/>
              </w:rPr>
              <w:t>18</w:t>
            </w:r>
          </w:p>
        </w:tc>
        <w:tc>
          <w:tcPr>
            <w:tcW w:w="8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76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24</w:t>
            </w:r>
          </w:p>
        </w:tc>
        <w:tc>
          <w:tcPr>
            <w:tcW w:w="60" w:type="dxa"/>
            <w:vAlign w:val="bottom"/>
            <w:shd w:val="clear" w:color="auto" w:fill="E6E6E6"/>
          </w:tcPr>
          <w:p>
            <w:pPr>
              <w:spacing w:after="0"/>
              <w:rPr>
                <w:sz w:val="18"/>
                <w:szCs w:val="18"/>
                <w:color w:val="auto"/>
              </w:rPr>
            </w:pPr>
          </w:p>
        </w:tc>
        <w:tc>
          <w:tcPr>
            <w:tcW w:w="340" w:type="dxa"/>
            <w:vAlign w:val="bottom"/>
            <w:shd w:val="clear" w:color="auto" w:fill="E6E6E6"/>
          </w:tcPr>
          <w:p>
            <w:pPr>
              <w:spacing w:after="0"/>
              <w:rPr>
                <w:sz w:val="18"/>
                <w:szCs w:val="18"/>
                <w:color w:val="auto"/>
              </w:rPr>
            </w:pPr>
          </w:p>
        </w:tc>
        <w:tc>
          <w:tcPr>
            <w:tcW w:w="68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(11)</w:t>
            </w:r>
          </w:p>
        </w:tc>
        <w:tc>
          <w:tcPr>
            <w:tcW w:w="0" w:type="dxa"/>
            <w:vAlign w:val="bottom"/>
          </w:tcPr>
          <w:p>
            <w:pPr>
              <w:spacing w:after="0"/>
              <w:rPr>
                <w:sz w:val="1"/>
                <w:szCs w:val="1"/>
                <w:color w:val="auto"/>
              </w:rPr>
            </w:pPr>
          </w:p>
        </w:tc>
      </w:tr>
      <w:tr>
        <w:trPr>
          <w:trHeight w:val="282"/>
        </w:trPr>
        <w:tc>
          <w:tcPr>
            <w:tcW w:w="70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w w:val="93"/>
              </w:rPr>
              <w:t xml:space="preserve">$3 and $(2), respectively </w:t>
            </w:r>
            <w:r>
              <w:rPr>
                <w:rFonts w:ascii="Arial" w:cs="Arial" w:eastAsia="Arial" w:hAnsi="Arial"/>
                <w:sz w:val="20"/>
                <w:szCs w:val="20"/>
                <w:color w:val="BDBDBD"/>
                <w:w w:val="93"/>
              </w:rPr>
              <w:t>. . . . . . . . . . . . . . . . . . . . . . . . . . . . . . . . . . . . . . . . . . . . . . .</w:t>
            </w:r>
          </w:p>
        </w:tc>
        <w:tc>
          <w:tcPr>
            <w:tcW w:w="680" w:type="dxa"/>
            <w:vAlign w:val="bottom"/>
            <w:tcBorders>
              <w:bottom w:val="single" w:sz="8" w:color="auto"/>
            </w:tcBorders>
            <w:shd w:val="clear" w:color="auto" w:fill="E6E6E6"/>
          </w:tcPr>
          <w:p>
            <w:pPr>
              <w:spacing w:after="0"/>
              <w:rPr>
                <w:sz w:val="24"/>
                <w:szCs w:val="24"/>
                <w:color w:val="auto"/>
              </w:rPr>
            </w:pPr>
          </w:p>
        </w:tc>
        <w:tc>
          <w:tcPr>
            <w:tcW w:w="320" w:type="dxa"/>
            <w:vAlign w:val="bottom"/>
            <w:tcBorders>
              <w:bottom w:val="single" w:sz="8" w:color="auto"/>
            </w:tcBorders>
            <w:vMerge w:val="continue"/>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spacing w:after="0"/>
              <w:rPr>
                <w:sz w:val="24"/>
                <w:szCs w:val="24"/>
                <w:color w:val="auto"/>
              </w:rPr>
            </w:pPr>
          </w:p>
        </w:tc>
        <w:tc>
          <w:tcPr>
            <w:tcW w:w="760" w:type="dxa"/>
            <w:vAlign w:val="bottom"/>
            <w:tcBorders>
              <w:bottom w:val="single" w:sz="8" w:color="auto"/>
            </w:tcBorders>
            <w:vMerge w:val="continue"/>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680" w:type="dxa"/>
            <w:vAlign w:val="bottom"/>
            <w:tcBorders>
              <w:bottom w:val="single" w:sz="8" w:color="auto"/>
            </w:tcBorders>
            <w:vMerge w:val="continue"/>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7020" w:type="dxa"/>
            <w:vAlign w:val="bottom"/>
            <w:tcBorders>
              <w:bottom w:val="single" w:sz="8" w:color="E6E6E6"/>
            </w:tcBorders>
          </w:tcPr>
          <w:p>
            <w:pPr>
              <w:jc w:val="right"/>
              <w:spacing w:after="0"/>
              <w:rPr>
                <w:sz w:val="20"/>
                <w:szCs w:val="20"/>
                <w:color w:val="auto"/>
              </w:rPr>
            </w:pPr>
            <w:r>
              <w:rPr>
                <w:rFonts w:ascii="Arial" w:cs="Arial" w:eastAsia="Arial" w:hAnsi="Arial"/>
                <w:sz w:val="20"/>
                <w:szCs w:val="20"/>
                <w:color w:val="BDBDBD"/>
                <w:w w:val="97"/>
              </w:rPr>
              <w:t>. . . . . . . . . . . . . . . . . .</w:t>
            </w:r>
            <w:r>
              <w:rPr>
                <w:rFonts w:ascii="Arial" w:cs="Arial" w:eastAsia="Arial" w:hAnsi="Arial"/>
                <w:sz w:val="20"/>
                <w:szCs w:val="20"/>
                <w:color w:val="000000"/>
                <w:w w:val="97"/>
              </w:rPr>
              <w:t>AccumulatedOCI(OCL)attributabletononcontrollinginterests</w:t>
            </w:r>
          </w:p>
        </w:tc>
        <w:tc>
          <w:tcPr>
            <w:tcW w:w="6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8"/>
              </w:rPr>
              <w:t>11</w:t>
            </w:r>
          </w:p>
        </w:tc>
        <w:tc>
          <w:tcPr>
            <w:tcW w:w="80" w:type="dxa"/>
            <w:vAlign w:val="bottom"/>
            <w:tcBorders>
              <w:bottom w:val="single" w:sz="8" w:color="E6E6E6"/>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w:t>
            </w:r>
          </w:p>
        </w:tc>
        <w:tc>
          <w:tcPr>
            <w:tcW w:w="60" w:type="dxa"/>
            <w:vAlign w:val="bottom"/>
            <w:tcBorders>
              <w:bottom w:val="single" w:sz="8" w:color="E6E6E6"/>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98"/>
        </w:trPr>
        <w:tc>
          <w:tcPr>
            <w:tcW w:w="7020" w:type="dxa"/>
            <w:vAlign w:val="bottom"/>
            <w:shd w:val="clear" w:color="auto" w:fill="E6E6E6"/>
          </w:tcPr>
          <w:p>
            <w:pPr>
              <w:jc w:val="right"/>
              <w:spacing w:after="0"/>
              <w:rPr>
                <w:sz w:val="20"/>
                <w:szCs w:val="20"/>
                <w:color w:val="auto"/>
              </w:rPr>
            </w:pPr>
            <w:r>
              <w:rPr>
                <w:rFonts w:ascii="Arial" w:cs="Arial" w:eastAsia="Arial" w:hAnsi="Arial"/>
                <w:sz w:val="20"/>
                <w:szCs w:val="20"/>
                <w:color w:val="auto"/>
                <w:w w:val="92"/>
              </w:rPr>
              <w:t xml:space="preserve">Accumulated OCI (OCL) attributable to Clearway Energy, Inc. </w:t>
            </w:r>
            <w:r>
              <w:rPr>
                <w:rFonts w:ascii="Arial" w:cs="Arial" w:eastAsia="Arial" w:hAnsi="Arial"/>
                <w:sz w:val="20"/>
                <w:szCs w:val="20"/>
                <w:color w:val="BDBDBD"/>
                <w:w w:val="92"/>
              </w:rPr>
              <w:t>. . . . . . . . . . . . . . . . . . .</w:t>
            </w:r>
          </w:p>
        </w:tc>
        <w:tc>
          <w:tcPr>
            <w:tcW w:w="680" w:type="dxa"/>
            <w:vAlign w:val="bottom"/>
            <w:shd w:val="clear" w:color="auto" w:fill="E6E6E6"/>
          </w:tcPr>
          <w:p>
            <w:pPr>
              <w:jc w:val="right"/>
              <w:ind w:right="445"/>
              <w:spacing w:after="0"/>
              <w:rPr>
                <w:sz w:val="20"/>
                <w:szCs w:val="20"/>
                <w:color w:val="auto"/>
              </w:rPr>
            </w:pPr>
            <w:r>
              <w:rPr>
                <w:rFonts w:ascii="Arial" w:cs="Arial" w:eastAsia="Arial" w:hAnsi="Arial"/>
                <w:sz w:val="20"/>
                <w:szCs w:val="20"/>
                <w:color w:val="auto"/>
              </w:rPr>
              <w:t>$</w:t>
            </w:r>
          </w:p>
        </w:tc>
        <w:tc>
          <w:tcPr>
            <w:tcW w:w="3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w:t>
            </w:r>
          </w:p>
        </w:tc>
        <w:tc>
          <w:tcPr>
            <w:tcW w:w="340" w:type="dxa"/>
            <w:vAlign w:val="bottom"/>
            <w:gridSpan w:val="2"/>
            <w:shd w:val="clear" w:color="auto" w:fill="E6E6E6"/>
          </w:tcPr>
          <w:p>
            <w:pPr>
              <w:jc w:val="right"/>
              <w:ind w:right="20"/>
              <w:spacing w:after="0"/>
              <w:rPr>
                <w:sz w:val="20"/>
                <w:szCs w:val="20"/>
                <w:color w:val="auto"/>
              </w:rPr>
            </w:pPr>
            <w:r>
              <w:rPr>
                <w:rFonts w:ascii="Arial" w:cs="Arial" w:eastAsia="Arial" w:hAnsi="Arial"/>
                <w:sz w:val="20"/>
                <w:szCs w:val="20"/>
                <w:color w:val="auto"/>
              </w:rPr>
              <w:t>$</w:t>
            </w:r>
          </w:p>
        </w:tc>
        <w:tc>
          <w:tcPr>
            <w:tcW w:w="7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9</w:t>
            </w:r>
          </w:p>
        </w:tc>
        <w:tc>
          <w:tcPr>
            <w:tcW w:w="400" w:type="dxa"/>
            <w:vAlign w:val="bottom"/>
            <w:gridSpan w:val="2"/>
            <w:shd w:val="clear" w:color="auto" w:fill="E6E6E6"/>
          </w:tcPr>
          <w:p>
            <w:pPr>
              <w:jc w:val="right"/>
              <w:ind w:right="180"/>
              <w:spacing w:after="0"/>
              <w:rPr>
                <w:sz w:val="20"/>
                <w:szCs w:val="20"/>
                <w:color w:val="auto"/>
              </w:rPr>
            </w:pPr>
            <w:r>
              <w:rPr>
                <w:rFonts w:ascii="Arial" w:cs="Arial" w:eastAsia="Arial" w:hAnsi="Arial"/>
                <w:sz w:val="20"/>
                <w:szCs w:val="20"/>
                <w:color w:val="auto"/>
              </w:rPr>
              <w:t>$</w:t>
            </w:r>
          </w:p>
        </w:tc>
        <w:tc>
          <w:tcPr>
            <w:tcW w:w="6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191"/>
        </w:trPr>
        <w:tc>
          <w:tcPr>
            <w:tcW w:w="7020" w:type="dxa"/>
            <w:vAlign w:val="bottom"/>
            <w:tcBorders>
              <w:top w:val="single" w:sz="8" w:color="E6E6E6"/>
            </w:tcBorders>
          </w:tcPr>
          <w:p>
            <w:pPr>
              <w:ind w:left="180"/>
              <w:spacing w:after="0" w:line="191" w:lineRule="exact"/>
              <w:rPr>
                <w:sz w:val="20"/>
                <w:szCs w:val="20"/>
                <w:color w:val="auto"/>
              </w:rPr>
            </w:pPr>
            <w:r>
              <w:rPr>
                <w:rFonts w:ascii="Arial" w:cs="Arial" w:eastAsia="Arial" w:hAnsi="Arial"/>
                <w:sz w:val="20"/>
                <w:szCs w:val="20"/>
                <w:color w:val="auto"/>
                <w:w w:val="93"/>
              </w:rPr>
              <w:t>Income expected to be realized from OCI during the next 12 months, net of income</w:t>
            </w:r>
          </w:p>
        </w:tc>
        <w:tc>
          <w:tcPr>
            <w:tcW w:w="680" w:type="dxa"/>
            <w:vAlign w:val="bottom"/>
            <w:tcBorders>
              <w:top w:val="single" w:sz="8" w:color="auto"/>
            </w:tcBorders>
            <w:vMerge w:val="restart"/>
          </w:tcPr>
          <w:p>
            <w:pPr>
              <w:jc w:val="right"/>
              <w:ind w:right="445"/>
              <w:spacing w:after="0"/>
              <w:rPr>
                <w:sz w:val="20"/>
                <w:szCs w:val="20"/>
                <w:color w:val="auto"/>
              </w:rPr>
            </w:pPr>
            <w:r>
              <w:rPr>
                <w:rFonts w:ascii="Arial" w:cs="Arial" w:eastAsia="Arial" w:hAnsi="Arial"/>
                <w:sz w:val="20"/>
                <w:szCs w:val="20"/>
                <w:color w:val="auto"/>
              </w:rPr>
              <w:t>$</w:t>
            </w:r>
          </w:p>
        </w:tc>
        <w:tc>
          <w:tcPr>
            <w:tcW w:w="320" w:type="dxa"/>
            <w:vAlign w:val="bottom"/>
            <w:tcBorders>
              <w:top w:val="single" w:sz="8" w:color="auto"/>
            </w:tcBorders>
            <w:vMerge w:val="restart"/>
          </w:tcPr>
          <w:p>
            <w:pPr>
              <w:jc w:val="right"/>
              <w:spacing w:after="0"/>
              <w:rPr>
                <w:sz w:val="20"/>
                <w:szCs w:val="20"/>
                <w:color w:val="auto"/>
              </w:rPr>
            </w:pPr>
            <w:r>
              <w:rPr>
                <w:rFonts w:ascii="Arial" w:cs="Arial" w:eastAsia="Arial" w:hAnsi="Arial"/>
                <w:sz w:val="20"/>
                <w:szCs w:val="20"/>
                <w:color w:val="auto"/>
              </w:rPr>
              <w:t>4</w:t>
            </w:r>
          </w:p>
        </w:tc>
        <w:tc>
          <w:tcPr>
            <w:tcW w:w="80" w:type="dxa"/>
            <w:vAlign w:val="bottom"/>
            <w:tcBorders>
              <w:top w:val="single" w:sz="8" w:color="E6E6E6"/>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60" w:type="dxa"/>
            <w:vAlign w:val="bottom"/>
            <w:tcBorders>
              <w:top w:val="single" w:sz="8" w:color="E6E6E6"/>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7020" w:type="dxa"/>
            <w:vAlign w:val="bottom"/>
          </w:tcPr>
          <w:p>
            <w:pPr>
              <w:jc w:val="right"/>
              <w:spacing w:after="0"/>
              <w:rPr>
                <w:sz w:val="20"/>
                <w:szCs w:val="20"/>
                <w:color w:val="auto"/>
              </w:rPr>
            </w:pPr>
            <w:r>
              <w:rPr>
                <w:rFonts w:ascii="Arial" w:cs="Arial" w:eastAsia="Arial" w:hAnsi="Arial"/>
                <w:sz w:val="20"/>
                <w:szCs w:val="20"/>
                <w:color w:val="auto"/>
                <w:w w:val="94"/>
              </w:rPr>
              <w:t xml:space="preserve">tax expense of $1 </w:t>
            </w:r>
            <w:r>
              <w:rPr>
                <w:rFonts w:ascii="Arial" w:cs="Arial" w:eastAsia="Arial" w:hAnsi="Arial"/>
                <w:sz w:val="20"/>
                <w:szCs w:val="20"/>
                <w:color w:val="BDBDBD"/>
                <w:w w:val="94"/>
              </w:rPr>
              <w:t>. . . . . . . . . . . . . . . . . . . . . . . . . . . . . . . . . . . . . . . . . . . . . . . . . . . .</w:t>
            </w:r>
          </w:p>
        </w:tc>
        <w:tc>
          <w:tcPr>
            <w:tcW w:w="680" w:type="dxa"/>
            <w:vAlign w:val="bottom"/>
            <w:vMerge w:val="continue"/>
          </w:tcPr>
          <w:p>
            <w:pPr>
              <w:spacing w:after="0"/>
              <w:rPr>
                <w:sz w:val="22"/>
                <w:szCs w:val="22"/>
                <w:color w:val="auto"/>
              </w:rPr>
            </w:pPr>
          </w:p>
        </w:tc>
        <w:tc>
          <w:tcPr>
            <w:tcW w:w="3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-2052320</wp:posOffset>
            </wp:positionV>
            <wp:extent cx="2053590"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14">
                      <a:extLst>
                        <a:ext uri="{28A0092B-C50C-407E-A947-70E740481C1C}"/>
                      </a:extLst>
                    </a:blip>
                    <a:srcRect/>
                    <a:stretch>
                      <a:fillRect/>
                    </a:stretch>
                  </pic:blipFill>
                  <pic:spPr bwMode="auto">
                    <a:xfrm>
                      <a:off x="0" y="0"/>
                      <a:ext cx="2053590" cy="25400"/>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-1009650</wp:posOffset>
            </wp:positionV>
            <wp:extent cx="2053590"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15">
                      <a:extLst>
                        <a:ext uri="{28A0092B-C50C-407E-A947-70E740481C1C}"/>
                      </a:extLst>
                    </a:blip>
                    <a:srcRect/>
                    <a:stretch>
                      <a:fillRect/>
                    </a:stretch>
                  </pic:blipFill>
                  <pic:spPr bwMode="auto">
                    <a:xfrm>
                      <a:off x="0" y="0"/>
                      <a:ext cx="2053590" cy="25400"/>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-709295</wp:posOffset>
            </wp:positionV>
            <wp:extent cx="2053590" cy="508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16">
                      <a:extLst>
                        <a:ext uri="{28A0092B-C50C-407E-A947-70E740481C1C}"/>
                      </a:extLst>
                    </a:blip>
                    <a:srcRect/>
                    <a:stretch>
                      <a:fillRect/>
                    </a:stretch>
                  </pic:blipFill>
                  <pic:spPr bwMode="auto">
                    <a:xfrm>
                      <a:off x="0" y="0"/>
                      <a:ext cx="2053590" cy="50800"/>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-507365</wp:posOffset>
            </wp:positionV>
            <wp:extent cx="2053590"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17">
                      <a:extLst>
                        <a:ext uri="{28A0092B-C50C-407E-A947-70E740481C1C}"/>
                      </a:extLst>
                    </a:blip>
                    <a:srcRect/>
                    <a:stretch>
                      <a:fillRect/>
                    </a:stretch>
                  </pic:blipFill>
                  <pic:spPr bwMode="auto">
                    <a:xfrm>
                      <a:off x="0" y="0"/>
                      <a:ext cx="2053590" cy="25400"/>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-330200</wp:posOffset>
            </wp:positionV>
            <wp:extent cx="2053590" cy="508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18">
                      <a:extLst>
                        <a:ext uri="{28A0092B-C50C-407E-A947-70E740481C1C}"/>
                      </a:extLst>
                    </a:blip>
                    <a:srcRect/>
                    <a:stretch>
                      <a:fillRect/>
                    </a:stretch>
                  </pic:blipFill>
                  <pic:spPr bwMode="auto">
                    <a:xfrm>
                      <a:off x="0" y="0"/>
                      <a:ext cx="2053590" cy="508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-2540</wp:posOffset>
                </wp:positionH>
                <wp:positionV relativeFrom="paragraph">
                  <wp:posOffset>117475</wp:posOffset>
                </wp:positionV>
                <wp:extent cx="1259840" cy="0"/>
                <wp:wrapNone/>
                <wp:docPr id="283" name="Shape 2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598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83" o:spid="_x0000_s13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9.25pt" to="99pt,9.25pt" o:allowincell="f" strokecolor="#000000" strokeweight="1pt"/>
            </w:pict>
          </mc:Fallback>
        </mc:AlternateContent>
      </w:r>
    </w:p>
    <w:p>
      <w:pPr>
        <w:spacing w:after="0" w:line="192" w:lineRule="exact"/>
        <w:rPr>
          <w:sz w:val="20"/>
          <w:szCs w:val="20"/>
          <w:color w:val="auto"/>
        </w:rPr>
      </w:pPr>
    </w:p>
    <w:p>
      <w:pPr>
        <w:ind w:left="280" w:hanging="195"/>
        <w:spacing w:after="0"/>
        <w:tabs>
          <w:tab w:leader="none" w:pos="280" w:val="left"/>
        </w:tabs>
        <w:numPr>
          <w:ilvl w:val="0"/>
          <w:numId w:val="70"/>
        </w:numPr>
        <w:rPr>
          <w:rFonts w:ascii="Arial" w:cs="Arial" w:eastAsia="Arial" w:hAnsi="Arial"/>
          <w:sz w:val="23"/>
          <w:szCs w:val="23"/>
          <w:color w:val="auto"/>
          <w:vertAlign w:val="superscript"/>
        </w:rPr>
      </w:pPr>
      <w:r>
        <w:rPr>
          <w:rFonts w:ascii="Arial" w:cs="Arial" w:eastAsia="Arial" w:hAnsi="Arial"/>
          <w:sz w:val="16"/>
          <w:szCs w:val="16"/>
          <w:color w:val="auto"/>
        </w:rPr>
        <w:t>Represents $4 million attributable to Clearway Energy, Inc. and $3 million attributable to noncontrolling interests.</w:t>
      </w:r>
    </w:p>
    <w:p>
      <w:pPr>
        <w:spacing w:after="0" w:line="164" w:lineRule="exact"/>
        <w:rPr>
          <w:sz w:val="20"/>
          <w:szCs w:val="20"/>
          <w:color w:val="auto"/>
        </w:rPr>
      </w:pPr>
    </w:p>
    <w:p>
      <w:pPr>
        <w:ind w:right="2000" w:firstLine="448"/>
        <w:spacing w:after="0" w:line="436" w:lineRule="auto"/>
        <w:rPr>
          <w:sz w:val="20"/>
          <w:szCs w:val="20"/>
          <w:color w:val="auto"/>
        </w:rPr>
      </w:pPr>
      <w:r>
        <w:rPr>
          <w:rFonts w:ascii="Arial" w:cs="Arial" w:eastAsia="Arial" w:hAnsi="Arial"/>
          <w:sz w:val="20"/>
          <w:szCs w:val="20"/>
          <w:color w:val="auto"/>
        </w:rPr>
        <w:t xml:space="preserve">Amounts reclassified from accumulated OCI (OCL) into income are recorded to interest expense. </w:t>
      </w:r>
      <w:r>
        <w:rPr>
          <w:rFonts w:ascii="Arial" w:cs="Arial" w:eastAsia="Arial" w:hAnsi="Arial"/>
          <w:sz w:val="20"/>
          <w:szCs w:val="20"/>
          <w:b w:val="1"/>
          <w:bCs w:val="1"/>
          <w:i w:val="1"/>
          <w:iCs w:val="1"/>
          <w:color w:val="auto"/>
        </w:rPr>
        <w:t>Impact of Derivative Instruments on the Consolidated Statements of Income</w:t>
      </w:r>
    </w:p>
    <w:p>
      <w:pPr>
        <w:ind w:firstLine="448"/>
        <w:spacing w:after="0" w:line="280" w:lineRule="auto"/>
        <w:rPr>
          <w:sz w:val="20"/>
          <w:szCs w:val="20"/>
          <w:color w:val="auto"/>
        </w:rPr>
      </w:pPr>
      <w:r>
        <w:rPr>
          <w:rFonts w:ascii="Arial" w:cs="Arial" w:eastAsia="Arial" w:hAnsi="Arial"/>
          <w:sz w:val="20"/>
          <w:szCs w:val="20"/>
          <w:color w:val="auto"/>
        </w:rPr>
        <w:t>Mark-to-market gains/(losses) related to the Company’s derivatives are recorded in the consolidated statements of income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0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89"/>
              </w:rPr>
              <w:t>Year ended December 31,</w:t>
            </w: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7020" w:type="dxa"/>
            <w:vAlign w:val="bottom"/>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3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center"/>
              <w:ind w:right="185"/>
              <w:spacing w:after="0"/>
              <w:rPr>
                <w:sz w:val="20"/>
                <w:szCs w:val="20"/>
                <w:color w:val="auto"/>
              </w:rPr>
            </w:pPr>
            <w:r>
              <w:rPr>
                <w:rFonts w:ascii="Arial" w:cs="Arial" w:eastAsia="Arial" w:hAnsi="Arial"/>
                <w:sz w:val="16"/>
                <w:szCs w:val="16"/>
                <w:b w:val="1"/>
                <w:bCs w:val="1"/>
                <w:color w:val="auto"/>
                <w:w w:val="89"/>
              </w:rPr>
              <w:t>2022</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45"/>
              <w:spacing w:after="0"/>
              <w:rPr>
                <w:sz w:val="20"/>
                <w:szCs w:val="20"/>
                <w:color w:val="auto"/>
              </w:rPr>
            </w:pPr>
            <w:r>
              <w:rPr>
                <w:rFonts w:ascii="Arial" w:cs="Arial" w:eastAsia="Arial" w:hAnsi="Arial"/>
                <w:sz w:val="16"/>
                <w:szCs w:val="16"/>
                <w:b w:val="1"/>
                <w:bCs w:val="1"/>
                <w:color w:val="auto"/>
                <w:w w:val="89"/>
              </w:rPr>
              <w:t>2021</w:t>
            </w:r>
          </w:p>
        </w:tc>
        <w:tc>
          <w:tcPr>
            <w:tcW w:w="0" w:type="dxa"/>
            <w:vAlign w:val="bottom"/>
          </w:tcPr>
          <w:p>
            <w:pPr>
              <w:spacing w:after="0"/>
              <w:rPr>
                <w:sz w:val="1"/>
                <w:szCs w:val="1"/>
                <w:color w:val="auto"/>
              </w:rPr>
            </w:pPr>
          </w:p>
        </w:tc>
      </w:tr>
      <w:tr>
        <w:trPr>
          <w:trHeight w:val="236"/>
        </w:trPr>
        <w:tc>
          <w:tcPr>
            <w:tcW w:w="7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(In millions)</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7"/>
        </w:trPr>
        <w:tc>
          <w:tcPr>
            <w:tcW w:w="7020" w:type="dxa"/>
            <w:vAlign w:val="bottom"/>
            <w:shd w:val="clear" w:color="auto" w:fill="E6E6E6"/>
          </w:tcPr>
          <w:p>
            <w:pPr>
              <w:ind w:left="40"/>
              <w:spacing w:after="0"/>
              <w:rPr>
                <w:sz w:val="20"/>
                <w:szCs w:val="20"/>
                <w:color w:val="auto"/>
              </w:rPr>
            </w:pPr>
            <w:r>
              <w:rPr>
                <w:rFonts w:ascii="Arial" w:cs="Arial" w:eastAsia="Arial" w:hAnsi="Arial"/>
                <w:sz w:val="20"/>
                <w:szCs w:val="20"/>
                <w:color w:val="auto"/>
                <w:w w:val="90"/>
              </w:rPr>
              <w:t xml:space="preserve">Interest Rate Contracts (Interest expense) </w:t>
            </w:r>
            <w:r>
              <w:rPr>
                <w:rFonts w:ascii="Arial" w:cs="Arial" w:eastAsia="Arial" w:hAnsi="Arial"/>
                <w:sz w:val="20"/>
                <w:szCs w:val="20"/>
                <w:color w:val="BDBDBD"/>
                <w:w w:val="90"/>
              </w:rPr>
              <w:t>. . . . . . . . . . . . . . . . . . . . . . . . . . . . . . . . . . . .</w:t>
            </w:r>
          </w:p>
        </w:tc>
        <w:tc>
          <w:tcPr>
            <w:tcW w:w="660" w:type="dxa"/>
            <w:vAlign w:val="bottom"/>
            <w:shd w:val="clear" w:color="auto" w:fill="E6E6E6"/>
          </w:tcPr>
          <w:p>
            <w:pPr>
              <w:jc w:val="right"/>
              <w:ind w:right="430"/>
              <w:spacing w:after="0"/>
              <w:rPr>
                <w:sz w:val="20"/>
                <w:szCs w:val="20"/>
                <w:color w:val="auto"/>
              </w:rPr>
            </w:pPr>
            <w:r>
              <w:rPr>
                <w:rFonts w:ascii="Arial" w:cs="Arial" w:eastAsia="Arial" w:hAnsi="Arial"/>
                <w:sz w:val="20"/>
                <w:szCs w:val="20"/>
                <w:color w:val="auto"/>
              </w:rPr>
              <w:t>$</w:t>
            </w:r>
          </w:p>
        </w:tc>
        <w:tc>
          <w:tcPr>
            <w:tcW w:w="340" w:type="dxa"/>
            <w:vAlign w:val="bottom"/>
            <w:shd w:val="clear" w:color="auto" w:fill="E6E6E6"/>
          </w:tcPr>
          <w:p>
            <w:pPr>
              <w:jc w:val="right"/>
              <w:spacing w:after="0"/>
              <w:rPr>
                <w:sz w:val="20"/>
                <w:szCs w:val="20"/>
                <w:color w:val="auto"/>
              </w:rPr>
            </w:pPr>
            <w:r>
              <w:rPr>
                <w:rFonts w:ascii="Arial" w:cs="Arial" w:eastAsia="Arial" w:hAnsi="Arial"/>
                <w:sz w:val="20"/>
                <w:szCs w:val="20"/>
                <w:color w:val="auto"/>
                <w:w w:val="89"/>
              </w:rPr>
              <w:t>(17)</w:t>
            </w:r>
          </w:p>
        </w:tc>
        <w:tc>
          <w:tcPr>
            <w:tcW w:w="340" w:type="dxa"/>
            <w:vAlign w:val="bottom"/>
            <w:gridSpan w:val="2"/>
            <w:shd w:val="clear" w:color="auto" w:fill="E6E6E6"/>
          </w:tcPr>
          <w:p>
            <w:pPr>
              <w:jc w:val="right"/>
              <w:ind w:right="20"/>
              <w:spacing w:after="0"/>
              <w:rPr>
                <w:sz w:val="20"/>
                <w:szCs w:val="20"/>
                <w:color w:val="auto"/>
              </w:rPr>
            </w:pPr>
            <w:r>
              <w:rPr>
                <w:rFonts w:ascii="Arial" w:cs="Arial" w:eastAsia="Arial" w:hAnsi="Arial"/>
                <w:sz w:val="20"/>
                <w:szCs w:val="20"/>
                <w:color w:val="auto"/>
              </w:rPr>
              <w:t>$</w:t>
            </w:r>
          </w:p>
        </w:tc>
        <w:tc>
          <w:tcPr>
            <w:tcW w:w="7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100</w:t>
            </w:r>
          </w:p>
        </w:tc>
        <w:tc>
          <w:tcPr>
            <w:tcW w:w="400" w:type="dxa"/>
            <w:vAlign w:val="bottom"/>
            <w:gridSpan w:val="2"/>
            <w:shd w:val="clear" w:color="auto" w:fill="E6E6E6"/>
          </w:tcPr>
          <w:p>
            <w:pPr>
              <w:jc w:val="right"/>
              <w:ind w:right="180"/>
              <w:spacing w:after="0"/>
              <w:rPr>
                <w:sz w:val="20"/>
                <w:szCs w:val="20"/>
                <w:color w:val="auto"/>
              </w:rPr>
            </w:pPr>
            <w:r>
              <w:rPr>
                <w:rFonts w:ascii="Arial" w:cs="Arial" w:eastAsia="Arial" w:hAnsi="Arial"/>
                <w:sz w:val="20"/>
                <w:szCs w:val="20"/>
                <w:color w:val="auto"/>
              </w:rPr>
              <w:t>$</w:t>
            </w:r>
          </w:p>
        </w:tc>
        <w:tc>
          <w:tcPr>
            <w:tcW w:w="6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53</w:t>
            </w:r>
          </w:p>
        </w:tc>
        <w:tc>
          <w:tcPr>
            <w:tcW w:w="0" w:type="dxa"/>
            <w:vAlign w:val="bottom"/>
          </w:tcPr>
          <w:p>
            <w:pPr>
              <w:spacing w:after="0"/>
              <w:rPr>
                <w:sz w:val="1"/>
                <w:szCs w:val="1"/>
                <w:color w:val="auto"/>
              </w:rPr>
            </w:pPr>
          </w:p>
        </w:tc>
      </w:tr>
      <w:tr>
        <w:trPr>
          <w:trHeight w:val="221"/>
        </w:trPr>
        <w:tc>
          <w:tcPr>
            <w:tcW w:w="7020" w:type="dxa"/>
            <w:vAlign w:val="bottom"/>
          </w:tcPr>
          <w:p>
            <w:pPr>
              <w:ind w:left="40"/>
              <w:spacing w:after="0" w:line="221" w:lineRule="exact"/>
              <w:rPr>
                <w:sz w:val="20"/>
                <w:szCs w:val="20"/>
                <w:color w:val="auto"/>
              </w:rPr>
            </w:pPr>
            <w:r>
              <w:rPr>
                <w:rFonts w:ascii="Arial" w:cs="Arial" w:eastAsia="Arial" w:hAnsi="Arial"/>
                <w:sz w:val="20"/>
                <w:szCs w:val="20"/>
                <w:color w:val="auto"/>
              </w:rPr>
              <w:t>Energy-Related Commodity Contracts (Mark-to-market for economic hedging</w:t>
            </w:r>
          </w:p>
        </w:tc>
        <w:tc>
          <w:tcPr>
            <w:tcW w:w="660" w:type="dxa"/>
            <w:vAlign w:val="bottom"/>
          </w:tcPr>
          <w:p>
            <w:pPr>
              <w:spacing w:after="0"/>
              <w:rPr>
                <w:sz w:val="19"/>
                <w:szCs w:val="19"/>
                <w:color w:val="auto"/>
              </w:rPr>
            </w:pPr>
          </w:p>
        </w:tc>
        <w:tc>
          <w:tcPr>
            <w:tcW w:w="340" w:type="dxa"/>
            <w:vAlign w:val="bottom"/>
            <w:vMerge w:val="restart"/>
          </w:tcPr>
          <w:p>
            <w:pPr>
              <w:jc w:val="right"/>
              <w:spacing w:after="0"/>
              <w:rPr>
                <w:sz w:val="20"/>
                <w:szCs w:val="20"/>
                <w:color w:val="auto"/>
              </w:rPr>
            </w:pPr>
            <w:r>
              <w:rPr>
                <w:rFonts w:ascii="Arial" w:cs="Arial" w:eastAsia="Arial" w:hAnsi="Arial"/>
                <w:sz w:val="20"/>
                <w:szCs w:val="20"/>
                <w:color w:val="auto"/>
              </w:rPr>
              <w:t>23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(174)</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(83)</w:t>
            </w:r>
          </w:p>
        </w:tc>
        <w:tc>
          <w:tcPr>
            <w:tcW w:w="0" w:type="dxa"/>
            <w:vAlign w:val="bottom"/>
          </w:tcPr>
          <w:p>
            <w:pPr>
              <w:spacing w:after="0"/>
              <w:rPr>
                <w:sz w:val="1"/>
                <w:szCs w:val="1"/>
                <w:color w:val="auto"/>
              </w:rPr>
            </w:pPr>
          </w:p>
        </w:tc>
      </w:tr>
      <w:tr>
        <w:trPr>
          <w:trHeight w:val="272"/>
        </w:trPr>
        <w:tc>
          <w:tcPr>
            <w:tcW w:w="7020" w:type="dxa"/>
            <w:vAlign w:val="bottom"/>
          </w:tcPr>
          <w:p>
            <w:pPr>
              <w:ind w:left="220"/>
              <w:spacing w:after="0" w:line="271" w:lineRule="exact"/>
              <w:rPr>
                <w:sz w:val="20"/>
                <w:szCs w:val="20"/>
                <w:color w:val="auto"/>
              </w:rPr>
            </w:pPr>
            <w:r>
              <w:rPr>
                <w:rFonts w:ascii="Arial" w:cs="Arial" w:eastAsia="Arial" w:hAnsi="Arial"/>
                <w:sz w:val="20"/>
                <w:szCs w:val="20"/>
                <w:color w:val="auto"/>
                <w:w w:val="90"/>
              </w:rPr>
              <w:t xml:space="preserve">activities included in Total operating revenues) </w:t>
            </w:r>
            <w:r>
              <w:rPr>
                <w:rFonts w:ascii="Arial" w:cs="Arial" w:eastAsia="Arial" w:hAnsi="Arial"/>
                <w:sz w:val="25"/>
                <w:szCs w:val="25"/>
                <w:color w:val="auto"/>
                <w:w w:val="90"/>
                <w:vertAlign w:val="superscript"/>
              </w:rPr>
              <w:t>(a)</w:t>
            </w:r>
            <w:r>
              <w:rPr>
                <w:rFonts w:ascii="Arial" w:cs="Arial" w:eastAsia="Arial" w:hAnsi="Arial"/>
                <w:sz w:val="20"/>
                <w:szCs w:val="20"/>
                <w:color w:val="auto"/>
                <w:w w:val="90"/>
              </w:rPr>
              <w:t xml:space="preserve"> </w:t>
            </w:r>
            <w:r>
              <w:rPr>
                <w:rFonts w:ascii="Arial" w:cs="Arial" w:eastAsia="Arial" w:hAnsi="Arial"/>
                <w:sz w:val="20"/>
                <w:szCs w:val="20"/>
                <w:color w:val="BDBDBD"/>
                <w:w w:val="90"/>
              </w:rPr>
              <w:t>. . . . . . . . . . . . . . . . . . . . . . . . . . . .</w:t>
            </w:r>
          </w:p>
        </w:tc>
        <w:tc>
          <w:tcPr>
            <w:tcW w:w="660" w:type="dxa"/>
            <w:vAlign w:val="bottom"/>
          </w:tcPr>
          <w:p>
            <w:pPr>
              <w:spacing w:after="0"/>
              <w:rPr>
                <w:sz w:val="23"/>
                <w:szCs w:val="23"/>
                <w:color w:val="auto"/>
              </w:rPr>
            </w:pPr>
          </w:p>
        </w:tc>
        <w:tc>
          <w:tcPr>
            <w:tcW w:w="34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7020" w:type="dxa"/>
            <w:vAlign w:val="bottom"/>
            <w:shd w:val="clear" w:color="auto" w:fill="E6E6E6"/>
          </w:tcPr>
          <w:p>
            <w:pPr>
              <w:ind w:left="40"/>
              <w:spacing w:after="0" w:line="221" w:lineRule="exact"/>
              <w:rPr>
                <w:sz w:val="20"/>
                <w:szCs w:val="20"/>
                <w:color w:val="auto"/>
              </w:rPr>
            </w:pPr>
            <w:r>
              <w:rPr>
                <w:rFonts w:ascii="Arial" w:cs="Arial" w:eastAsia="Arial" w:hAnsi="Arial"/>
                <w:sz w:val="20"/>
                <w:szCs w:val="20"/>
                <w:color w:val="auto"/>
              </w:rPr>
              <w:t>Energy-Related Commodity Contracts (Mark-to-market for economic hedging</w:t>
            </w:r>
          </w:p>
        </w:tc>
        <w:tc>
          <w:tcPr>
            <w:tcW w:w="660" w:type="dxa"/>
            <w:vAlign w:val="bottom"/>
            <w:shd w:val="clear" w:color="auto" w:fill="E6E6E6"/>
          </w:tcPr>
          <w:p>
            <w:pPr>
              <w:spacing w:after="0"/>
              <w:rPr>
                <w:sz w:val="19"/>
                <w:szCs w:val="19"/>
                <w:color w:val="auto"/>
              </w:rPr>
            </w:pPr>
          </w:p>
        </w:tc>
        <w:tc>
          <w:tcPr>
            <w:tcW w:w="34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2</w:t>
            </w:r>
          </w:p>
        </w:tc>
        <w:tc>
          <w:tcPr>
            <w:tcW w:w="8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76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60" w:type="dxa"/>
            <w:vAlign w:val="bottom"/>
            <w:shd w:val="clear" w:color="auto" w:fill="E6E6E6"/>
          </w:tcPr>
          <w:p>
            <w:pPr>
              <w:spacing w:after="0"/>
              <w:rPr>
                <w:sz w:val="19"/>
                <w:szCs w:val="19"/>
                <w:color w:val="auto"/>
              </w:rPr>
            </w:pPr>
          </w:p>
        </w:tc>
        <w:tc>
          <w:tcPr>
            <w:tcW w:w="340" w:type="dxa"/>
            <w:vAlign w:val="bottom"/>
            <w:shd w:val="clear" w:color="auto" w:fill="E6E6E6"/>
          </w:tcPr>
          <w:p>
            <w:pPr>
              <w:spacing w:after="0"/>
              <w:rPr>
                <w:sz w:val="19"/>
                <w:szCs w:val="19"/>
                <w:color w:val="auto"/>
              </w:rPr>
            </w:pPr>
          </w:p>
        </w:tc>
        <w:tc>
          <w:tcPr>
            <w:tcW w:w="68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2"/>
        </w:trPr>
        <w:tc>
          <w:tcPr>
            <w:tcW w:w="7020" w:type="dxa"/>
            <w:vAlign w:val="bottom"/>
            <w:shd w:val="clear" w:color="auto" w:fill="E6E6E6"/>
          </w:tcPr>
          <w:p>
            <w:pPr>
              <w:ind w:left="220"/>
              <w:spacing w:after="0" w:line="271" w:lineRule="exact"/>
              <w:rPr>
                <w:sz w:val="20"/>
                <w:szCs w:val="20"/>
                <w:color w:val="auto"/>
              </w:rPr>
            </w:pPr>
            <w:r>
              <w:rPr>
                <w:rFonts w:ascii="Arial" w:cs="Arial" w:eastAsia="Arial" w:hAnsi="Arial"/>
                <w:sz w:val="20"/>
                <w:szCs w:val="20"/>
                <w:color w:val="auto"/>
                <w:w w:val="90"/>
              </w:rPr>
              <w:t xml:space="preserve">activities included in Cost of operations) </w:t>
            </w:r>
            <w:r>
              <w:rPr>
                <w:rFonts w:ascii="Arial" w:cs="Arial" w:eastAsia="Arial" w:hAnsi="Arial"/>
                <w:sz w:val="25"/>
                <w:szCs w:val="25"/>
                <w:color w:val="auto"/>
                <w:w w:val="90"/>
                <w:vertAlign w:val="superscript"/>
              </w:rPr>
              <w:t>(b)</w:t>
            </w:r>
            <w:r>
              <w:rPr>
                <w:rFonts w:ascii="Arial" w:cs="Arial" w:eastAsia="Arial" w:hAnsi="Arial"/>
                <w:sz w:val="20"/>
                <w:szCs w:val="20"/>
                <w:color w:val="auto"/>
                <w:w w:val="90"/>
              </w:rPr>
              <w:t xml:space="preserve"> </w:t>
            </w:r>
            <w:r>
              <w:rPr>
                <w:rFonts w:ascii="Arial" w:cs="Arial" w:eastAsia="Arial" w:hAnsi="Arial"/>
                <w:sz w:val="20"/>
                <w:szCs w:val="20"/>
                <w:color w:val="BDBDBD"/>
                <w:w w:val="90"/>
              </w:rPr>
              <w:t>. . . . . . . . . . . . . . . . . . . . . . . . . . . . . . . . .</w:t>
            </w:r>
          </w:p>
        </w:tc>
        <w:tc>
          <w:tcPr>
            <w:tcW w:w="660" w:type="dxa"/>
            <w:vAlign w:val="bottom"/>
            <w:shd w:val="clear" w:color="auto" w:fill="E6E6E6"/>
          </w:tcPr>
          <w:p>
            <w:pPr>
              <w:spacing w:after="0"/>
              <w:rPr>
                <w:sz w:val="23"/>
                <w:szCs w:val="23"/>
                <w:color w:val="auto"/>
              </w:rPr>
            </w:pPr>
          </w:p>
        </w:tc>
        <w:tc>
          <w:tcPr>
            <w:tcW w:w="340" w:type="dxa"/>
            <w:vAlign w:val="bottom"/>
            <w:vMerge w:val="continue"/>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260" w:type="dxa"/>
            <w:vAlign w:val="bottom"/>
            <w:shd w:val="clear" w:color="auto" w:fill="E6E6E6"/>
          </w:tcPr>
          <w:p>
            <w:pPr>
              <w:spacing w:after="0"/>
              <w:rPr>
                <w:sz w:val="23"/>
                <w:szCs w:val="23"/>
                <w:color w:val="auto"/>
              </w:rPr>
            </w:pPr>
          </w:p>
        </w:tc>
        <w:tc>
          <w:tcPr>
            <w:tcW w:w="760" w:type="dxa"/>
            <w:vAlign w:val="bottom"/>
            <w:vMerge w:val="continue"/>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340" w:type="dxa"/>
            <w:vAlign w:val="bottom"/>
            <w:shd w:val="clear" w:color="auto" w:fill="E6E6E6"/>
          </w:tcPr>
          <w:p>
            <w:pPr>
              <w:spacing w:after="0"/>
              <w:rPr>
                <w:sz w:val="23"/>
                <w:szCs w:val="23"/>
                <w:color w:val="auto"/>
              </w:rPr>
            </w:pPr>
          </w:p>
        </w:tc>
        <w:tc>
          <w:tcPr>
            <w:tcW w:w="680" w:type="dxa"/>
            <w:vAlign w:val="bottom"/>
            <w:vMerge w:val="continue"/>
            <w:shd w:val="clear" w:color="auto" w:fill="E6E6E6"/>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110490</wp:posOffset>
                </wp:positionV>
                <wp:extent cx="1259840" cy="0"/>
                <wp:wrapNone/>
                <wp:docPr id="284" name="Shape 2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598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84" o:spid="_x0000_s13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8.7pt" to="99pt,8.7pt" o:allowincell="f" strokecolor="#000000" strokeweight="1pt"/>
            </w:pict>
          </mc:Fallback>
        </mc:AlternateContent>
      </w:r>
    </w:p>
    <w:p>
      <w:pPr>
        <w:spacing w:after="0" w:line="231" w:lineRule="exact"/>
        <w:rPr>
          <w:sz w:val="20"/>
          <w:szCs w:val="20"/>
          <w:color w:val="auto"/>
        </w:rPr>
      </w:pPr>
    </w:p>
    <w:p>
      <w:pPr>
        <w:jc w:val="both"/>
        <w:ind w:left="80" w:firstLine="5"/>
        <w:spacing w:after="0" w:line="226" w:lineRule="auto"/>
        <w:tabs>
          <w:tab w:leader="none" w:pos="306" w:val="left"/>
        </w:tabs>
        <w:numPr>
          <w:ilvl w:val="0"/>
          <w:numId w:val="71"/>
        </w:numPr>
        <w:rPr>
          <w:rFonts w:ascii="Arial" w:cs="Arial" w:eastAsia="Arial" w:hAnsi="Arial"/>
          <w:sz w:val="26"/>
          <w:szCs w:val="26"/>
          <w:color w:val="auto"/>
          <w:vertAlign w:val="superscript"/>
        </w:rPr>
      </w:pPr>
      <w:r>
        <w:rPr>
          <w:rFonts w:ascii="Arial" w:cs="Arial" w:eastAsia="Arial" w:hAnsi="Arial"/>
          <w:sz w:val="16"/>
          <w:szCs w:val="16"/>
          <w:color w:val="auto"/>
        </w:rPr>
        <w:t>Relates to long-term energy-related commodity contracts at Elbow Creek, Mesquite Star, Mt. Storm, Langford and Mesquite Sky and short-term heat rate call option energy-related commodity contracts at El Segundo, Marsh Landing and Walnut Creek. During the year ended December 31, 2022, the energy-related commodity contract for Langford, which previously met the NPNS exception, no longer qualified for NPNS treatment and, accordingly, is accounted for as a derivative and marked to fair value through operating revenues.</w:t>
      </w:r>
    </w:p>
    <w:p>
      <w:pPr>
        <w:ind w:left="300" w:hanging="215"/>
        <w:spacing w:after="0" w:line="223" w:lineRule="auto"/>
        <w:tabs>
          <w:tab w:leader="none" w:pos="300" w:val="left"/>
        </w:tabs>
        <w:numPr>
          <w:ilvl w:val="0"/>
          <w:numId w:val="71"/>
        </w:numPr>
        <w:rPr>
          <w:rFonts w:ascii="Arial" w:cs="Arial" w:eastAsia="Arial" w:hAnsi="Arial"/>
          <w:sz w:val="26"/>
          <w:szCs w:val="26"/>
          <w:color w:val="auto"/>
          <w:vertAlign w:val="superscript"/>
        </w:rPr>
      </w:pPr>
      <w:r>
        <w:rPr>
          <w:rFonts w:ascii="Arial" w:cs="Arial" w:eastAsia="Arial" w:hAnsi="Arial"/>
          <w:sz w:val="16"/>
          <w:szCs w:val="16"/>
          <w:color w:val="auto"/>
        </w:rPr>
        <w:t>Relates to long-term backbone transportation service energy-related commodity contracts at El Segundo and Walnut Creek.</w:t>
      </w:r>
    </w:p>
    <w:p>
      <w:pPr>
        <w:spacing w:after="0" w:line="167" w:lineRule="exact"/>
        <w:rPr>
          <w:sz w:val="20"/>
          <w:szCs w:val="20"/>
          <w:color w:val="auto"/>
        </w:rPr>
      </w:pPr>
    </w:p>
    <w:p>
      <w:pPr>
        <w:ind w:right="1500" w:firstLine="448"/>
        <w:spacing w:after="0" w:line="467" w:lineRule="auto"/>
        <w:rPr>
          <w:sz w:val="20"/>
          <w:szCs w:val="20"/>
          <w:color w:val="auto"/>
        </w:rPr>
      </w:pPr>
      <w:r>
        <w:rPr>
          <w:rFonts w:ascii="Arial" w:cs="Arial" w:eastAsia="Arial" w:hAnsi="Arial"/>
          <w:sz w:val="20"/>
          <w:szCs w:val="20"/>
          <w:color w:val="auto"/>
        </w:rPr>
        <w:t xml:space="preserve">See Note 6, </w:t>
      </w:r>
      <w:r>
        <w:rPr>
          <w:rFonts w:ascii="Arial" w:cs="Arial" w:eastAsia="Arial" w:hAnsi="Arial"/>
          <w:sz w:val="20"/>
          <w:szCs w:val="20"/>
          <w:b w:val="1"/>
          <w:bCs w:val="1"/>
          <w:i w:val="1"/>
          <w:iCs w:val="1"/>
          <w:color w:val="auto"/>
        </w:rPr>
        <w:t>Fair Value of Financial Instruments</w:t>
      </w:r>
      <w:r>
        <w:rPr>
          <w:rFonts w:ascii="Arial" w:cs="Arial" w:eastAsia="Arial" w:hAnsi="Arial"/>
          <w:sz w:val="20"/>
          <w:szCs w:val="20"/>
          <w:color w:val="auto"/>
        </w:rPr>
        <w:t xml:space="preserve">, for a discussion regarding concentration of credit risk. </w:t>
      </w:r>
      <w:r>
        <w:rPr>
          <w:rFonts w:ascii="Arial" w:cs="Arial" w:eastAsia="Arial" w:hAnsi="Arial"/>
          <w:sz w:val="20"/>
          <w:szCs w:val="20"/>
          <w:b w:val="1"/>
          <w:bCs w:val="1"/>
          <w:color w:val="auto"/>
        </w:rPr>
        <w:t>Note 8 — Intangible Assets</w:t>
      </w:r>
    </w:p>
    <w:p>
      <w:pPr>
        <w:spacing w:after="0" w:line="1" w:lineRule="exact"/>
        <w:rPr>
          <w:sz w:val="20"/>
          <w:szCs w:val="20"/>
          <w:color w:val="auto"/>
        </w:rPr>
      </w:pPr>
    </w:p>
    <w:p>
      <w:pPr>
        <w:ind w:firstLine="448"/>
        <w:spacing w:after="0" w:line="280" w:lineRule="auto"/>
        <w:rPr>
          <w:sz w:val="20"/>
          <w:szCs w:val="20"/>
          <w:color w:val="auto"/>
        </w:rPr>
      </w:pPr>
      <w:r>
        <w:rPr>
          <w:rFonts w:ascii="Arial" w:cs="Arial" w:eastAsia="Arial" w:hAnsi="Arial"/>
          <w:sz w:val="20"/>
          <w:szCs w:val="20"/>
          <w:b w:val="1"/>
          <w:bCs w:val="1"/>
          <w:i w:val="1"/>
          <w:iCs w:val="1"/>
          <w:color w:val="auto"/>
        </w:rPr>
        <w:t xml:space="preserve">Intangible Assets </w:t>
      </w:r>
      <w:r>
        <w:rPr>
          <w:rFonts w:ascii="Arial" w:cs="Arial" w:eastAsia="Arial" w:hAnsi="Arial"/>
          <w:sz w:val="20"/>
          <w:szCs w:val="20"/>
          <w:color w:val="auto"/>
        </w:rPr>
        <w:t>— The Company’s intangible assets as of December 31, 2023 and 2022 primarily reflect intangible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assets established from its business acquisitions and are comprised of the following:</w:t>
      </w:r>
    </w:p>
    <w:p>
      <w:pPr>
        <w:spacing w:after="0" w:line="1" w:lineRule="exact"/>
        <w:rPr>
          <w:sz w:val="20"/>
          <w:szCs w:val="20"/>
          <w:color w:val="auto"/>
        </w:rPr>
      </w:pPr>
    </w:p>
    <w:p>
      <w:pPr>
        <w:jc w:val="both"/>
        <w:ind w:left="720" w:hanging="366"/>
        <w:spacing w:after="0" w:line="299" w:lineRule="auto"/>
        <w:tabs>
          <w:tab w:leader="none" w:pos="720" w:val="left"/>
        </w:tabs>
        <w:numPr>
          <w:ilvl w:val="0"/>
          <w:numId w:val="7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PPAs </w:t>
      </w:r>
      <w:r>
        <w:rPr>
          <w:rFonts w:ascii="Arial" w:cs="Arial" w:eastAsia="Arial" w:hAnsi="Arial"/>
          <w:sz w:val="18"/>
          <w:szCs w:val="18"/>
          <w:color w:val="auto"/>
        </w:rPr>
        <w:t>— Established predominantly with the acquisitions of the Alta Wind Portfolio, Walnut Creek, Tapestry, Laredo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Ridge, Carlsbad Energy Center, Agua Caliente, the Utah Solar Portfolio and the Capistrano Wind Portfolio. These represent the fair value of the PPAs acquired. These are amortized on a straight-line basis, over the term of the PPA.</w:t>
      </w:r>
    </w:p>
    <w:p>
      <w:pPr>
        <w:spacing w:after="0" w:line="2" w:lineRule="exact"/>
        <w:rPr>
          <w:rFonts w:ascii="Arial" w:cs="Arial" w:eastAsia="Arial" w:hAnsi="Arial"/>
          <w:sz w:val="18"/>
          <w:szCs w:val="18"/>
          <w:b w:val="1"/>
          <w:bCs w:val="1"/>
          <w:i w:val="1"/>
          <w:iCs w:val="1"/>
          <w:color w:val="auto"/>
        </w:rPr>
      </w:pPr>
    </w:p>
    <w:p>
      <w:pPr>
        <w:jc w:val="both"/>
        <w:ind w:left="720" w:hanging="366"/>
        <w:spacing w:after="0" w:line="287" w:lineRule="auto"/>
        <w:tabs>
          <w:tab w:leader="none" w:pos="720" w:val="left"/>
        </w:tabs>
        <w:numPr>
          <w:ilvl w:val="0"/>
          <w:numId w:val="72"/>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Leasehold Rights </w:t>
      </w:r>
      <w:r>
        <w:rPr>
          <w:rFonts w:ascii="Arial" w:cs="Arial" w:eastAsia="Arial" w:hAnsi="Arial"/>
          <w:sz w:val="19"/>
          <w:szCs w:val="19"/>
          <w:color w:val="auto"/>
        </w:rPr>
        <w:t>— Established with the acquisition of the Alta Wind Portfolio, this represents the fair value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contractual rights to receive royalty payments equal to a percentage of PPA revenue from certain projects. These are amortized as a reduction to operating revenue on a straight-line basis over the term of the PPAs.</w:t>
      </w:r>
    </w:p>
    <w:p>
      <w:pPr>
        <w:sectPr>
          <w:pgSz w:w="11880" w:h="15480" w:orient="portrait"/>
          <w:cols w:equalWidth="0" w:num="1">
            <w:col w:w="10200"/>
          </w:cols>
          <w:pgMar w:left="840" w:top="403"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106</w:t>
      </w:r>
    </w:p>
    <w:p>
      <w:pPr>
        <w:sectPr>
          <w:pgSz w:w="11880" w:h="15480" w:orient="portrait"/>
          <w:cols w:equalWidth="0" w:num="1">
            <w:col w:w="10200"/>
          </w:cols>
          <w:pgMar w:left="840" w:top="403" w:right="840" w:bottom="0" w:gutter="0" w:footer="0" w:header="0"/>
          <w:type w:val="continuous"/>
        </w:sectPr>
      </w:pPr>
    </w:p>
    <w:bookmarkStart w:id="108" w:name="page109"/>
    <w:bookmarkEnd w:id="108"/>
    <w:p>
      <w:pPr>
        <w:jc w:val="both"/>
        <w:ind w:left="720" w:hanging="366"/>
        <w:spacing w:after="0" w:line="250" w:lineRule="auto"/>
        <w:tabs>
          <w:tab w:leader="none" w:pos="720" w:val="left"/>
        </w:tabs>
        <w:numPr>
          <w:ilvl w:val="0"/>
          <w:numId w:val="7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Emission Allowances </w:t>
      </w:r>
      <w:r>
        <w:rPr>
          <w:rFonts w:ascii="Arial" w:cs="Arial" w:eastAsia="Arial" w:hAnsi="Arial"/>
          <w:sz w:val="20"/>
          <w:szCs w:val="20"/>
          <w:color w:val="auto"/>
        </w:rPr>
        <w:t>— These intangibles primarily consist of SO</w:t>
      </w:r>
      <w:r>
        <w:rPr>
          <w:rFonts w:ascii="Arial" w:cs="Arial" w:eastAsia="Arial" w:hAnsi="Arial"/>
          <w:sz w:val="25"/>
          <w:szCs w:val="25"/>
          <w:color w:val="auto"/>
          <w:vertAlign w:val="subscript"/>
        </w:rPr>
        <w:t>2</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and NO</w:t>
      </w:r>
      <w:r>
        <w:rPr>
          <w:rFonts w:ascii="Arial" w:cs="Arial" w:eastAsia="Arial" w:hAnsi="Arial"/>
          <w:sz w:val="15"/>
          <w:szCs w:val="15"/>
          <w:color w:val="auto"/>
        </w:rPr>
        <w:t>x</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emission allowances established with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El Segundo, Walnut Creek and Carlsbad Energy Center acquisitions. These emission allowances are held-for-use and are amortized to cost of operations, with NO</w:t>
      </w:r>
      <w:r>
        <w:rPr>
          <w:rFonts w:ascii="Arial" w:cs="Arial" w:eastAsia="Arial" w:hAnsi="Arial"/>
          <w:sz w:val="15"/>
          <w:szCs w:val="15"/>
          <w:color w:val="auto"/>
        </w:rPr>
        <w:t>x</w:t>
      </w:r>
      <w:r>
        <w:rPr>
          <w:rFonts w:ascii="Arial" w:cs="Arial" w:eastAsia="Arial" w:hAnsi="Arial"/>
          <w:sz w:val="20"/>
          <w:szCs w:val="20"/>
          <w:color w:val="auto"/>
        </w:rPr>
        <w:t xml:space="preserve"> allowances amortized on a straight-line basis and SO</w:t>
      </w:r>
      <w:r>
        <w:rPr>
          <w:rFonts w:ascii="Arial" w:cs="Arial" w:eastAsia="Arial" w:hAnsi="Arial"/>
          <w:sz w:val="25"/>
          <w:szCs w:val="25"/>
          <w:color w:val="auto"/>
          <w:vertAlign w:val="subscript"/>
        </w:rPr>
        <w:t>2</w:t>
      </w:r>
      <w:r>
        <w:rPr>
          <w:rFonts w:ascii="Arial" w:cs="Arial" w:eastAsia="Arial" w:hAnsi="Arial"/>
          <w:sz w:val="20"/>
          <w:szCs w:val="20"/>
          <w:color w:val="auto"/>
        </w:rPr>
        <w:t xml:space="preserve"> allowances amortized based on units of production.</w:t>
      </w:r>
    </w:p>
    <w:p>
      <w:pPr>
        <w:spacing w:after="0" w:line="26" w:lineRule="exact"/>
        <w:rPr>
          <w:rFonts w:ascii="Arial" w:cs="Arial" w:eastAsia="Arial" w:hAnsi="Arial"/>
          <w:sz w:val="20"/>
          <w:szCs w:val="20"/>
          <w:color w:val="auto"/>
        </w:rPr>
      </w:pPr>
    </w:p>
    <w:p>
      <w:pPr>
        <w:jc w:val="both"/>
        <w:ind w:left="720" w:hanging="366"/>
        <w:spacing w:after="0" w:line="274" w:lineRule="auto"/>
        <w:tabs>
          <w:tab w:leader="none" w:pos="720" w:val="left"/>
        </w:tabs>
        <w:numPr>
          <w:ilvl w:val="0"/>
          <w:numId w:val="73"/>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Other </w:t>
      </w:r>
      <w:r>
        <w:rPr>
          <w:rFonts w:ascii="Arial" w:cs="Arial" w:eastAsia="Arial" w:hAnsi="Arial"/>
          <w:sz w:val="19"/>
          <w:szCs w:val="19"/>
          <w:color w:val="auto"/>
        </w:rPr>
        <w:t>— Consists of a) the acquisition date fair value of the contractual rights to a ground lease for South Trent and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utilize certain interconnection facilities for Blythe as well as land rights acquired in connection with the acquisition of Elbow Creek; b) development rights related to certain solar business acquisitions; c) purchased software for certain solar projects; d) RECs acquired in connection with the acquisition of the Utah Solar Portfolio; and e) favorable land leases acquired in connection with the acquisition of the Utah Star Portfolio.</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following tables summarize the components of intangible assets subject to amortization: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2120" w:type="dxa"/>
            <w:vAlign w:val="bottom"/>
            <w:vMerge w:val="restart"/>
          </w:tcPr>
          <w:p>
            <w:pPr>
              <w:spacing w:after="0"/>
              <w:rPr>
                <w:sz w:val="20"/>
                <w:szCs w:val="20"/>
                <w:color w:val="auto"/>
              </w:rPr>
            </w:pPr>
            <w:r>
              <w:rPr>
                <w:rFonts w:ascii="Arial" w:cs="Arial" w:eastAsia="Arial" w:hAnsi="Arial"/>
                <w:sz w:val="16"/>
                <w:szCs w:val="16"/>
                <w:b w:val="1"/>
                <w:bCs w:val="1"/>
                <w:color w:val="auto"/>
                <w:w w:val="89"/>
              </w:rPr>
              <w:t>Year ended December 31, 2023</w:t>
            </w:r>
          </w:p>
        </w:tc>
        <w:tc>
          <w:tcPr>
            <w:tcW w:w="1780" w:type="dxa"/>
            <w:vAlign w:val="bottom"/>
            <w:vMerge w:val="restart"/>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restart"/>
          </w:tcPr>
          <w:p>
            <w:pPr>
              <w:jc w:val="right"/>
              <w:ind w:right="312"/>
              <w:spacing w:after="0"/>
              <w:rPr>
                <w:sz w:val="20"/>
                <w:szCs w:val="20"/>
                <w:color w:val="auto"/>
              </w:rPr>
            </w:pPr>
            <w:r>
              <w:rPr>
                <w:rFonts w:ascii="Arial" w:cs="Arial" w:eastAsia="Arial" w:hAnsi="Arial"/>
                <w:sz w:val="16"/>
                <w:szCs w:val="16"/>
                <w:b w:val="1"/>
                <w:bCs w:val="1"/>
                <w:color w:val="auto"/>
              </w:rPr>
              <w:t>PPAs</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center"/>
              <w:ind w:right="113"/>
              <w:spacing w:after="0"/>
              <w:rPr>
                <w:sz w:val="20"/>
                <w:szCs w:val="20"/>
                <w:color w:val="auto"/>
              </w:rPr>
            </w:pPr>
            <w:r>
              <w:rPr>
                <w:rFonts w:ascii="Arial" w:cs="Arial" w:eastAsia="Arial" w:hAnsi="Arial"/>
                <w:sz w:val="16"/>
                <w:szCs w:val="16"/>
                <w:b w:val="1"/>
                <w:bCs w:val="1"/>
                <w:color w:val="auto"/>
                <w:w w:val="85"/>
              </w:rPr>
              <w:t>Leasehold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center"/>
              <w:ind w:right="93"/>
              <w:spacing w:after="0"/>
              <w:rPr>
                <w:sz w:val="20"/>
                <w:szCs w:val="20"/>
                <w:color w:val="auto"/>
              </w:rPr>
            </w:pPr>
            <w:r>
              <w:rPr>
                <w:rFonts w:ascii="Arial" w:cs="Arial" w:eastAsia="Arial" w:hAnsi="Arial"/>
                <w:sz w:val="16"/>
                <w:szCs w:val="16"/>
                <w:b w:val="1"/>
                <w:bCs w:val="1"/>
                <w:color w:val="auto"/>
                <w:w w:val="87"/>
              </w:rPr>
              <w:t>Emission</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vMerge w:val="restart"/>
          </w:tcPr>
          <w:p>
            <w:pPr>
              <w:jc w:val="right"/>
              <w:ind w:right="312"/>
              <w:spacing w:after="0"/>
              <w:rPr>
                <w:sz w:val="20"/>
                <w:szCs w:val="20"/>
                <w:color w:val="auto"/>
              </w:rPr>
            </w:pPr>
            <w:r>
              <w:rPr>
                <w:rFonts w:ascii="Arial" w:cs="Arial" w:eastAsia="Arial" w:hAnsi="Arial"/>
                <w:sz w:val="16"/>
                <w:szCs w:val="16"/>
                <w:b w:val="1"/>
                <w:bCs w:val="1"/>
                <w:color w:val="auto"/>
              </w:rPr>
              <w:t>Other</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vMerge w:val="restart"/>
          </w:tcPr>
          <w:p>
            <w:pPr>
              <w:jc w:val="right"/>
              <w:ind w:right="33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7"/>
        </w:trPr>
        <w:tc>
          <w:tcPr>
            <w:tcW w:w="40" w:type="dxa"/>
            <w:vAlign w:val="bottom"/>
          </w:tcPr>
          <w:p>
            <w:pPr>
              <w:spacing w:after="0"/>
              <w:rPr>
                <w:sz w:val="14"/>
                <w:szCs w:val="14"/>
                <w:color w:val="auto"/>
              </w:rPr>
            </w:pPr>
          </w:p>
        </w:tc>
        <w:tc>
          <w:tcPr>
            <w:tcW w:w="2120" w:type="dxa"/>
            <w:vAlign w:val="bottom"/>
            <w:tcBorders>
              <w:bottom w:val="single" w:sz="8" w:color="auto"/>
            </w:tcBorders>
            <w:vMerge w:val="continue"/>
          </w:tcPr>
          <w:p>
            <w:pPr>
              <w:spacing w:after="0"/>
              <w:rPr>
                <w:sz w:val="14"/>
                <w:szCs w:val="14"/>
                <w:color w:val="auto"/>
              </w:rPr>
            </w:pPr>
          </w:p>
        </w:tc>
        <w:tc>
          <w:tcPr>
            <w:tcW w:w="17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ind w:right="113"/>
              <w:spacing w:after="0" w:line="172" w:lineRule="exact"/>
              <w:rPr>
                <w:sz w:val="20"/>
                <w:szCs w:val="20"/>
                <w:color w:val="auto"/>
              </w:rPr>
            </w:pPr>
            <w:r>
              <w:rPr>
                <w:rFonts w:ascii="Arial" w:cs="Arial" w:eastAsia="Arial" w:hAnsi="Arial"/>
                <w:sz w:val="16"/>
                <w:szCs w:val="16"/>
                <w:b w:val="1"/>
                <w:bCs w:val="1"/>
                <w:color w:val="auto"/>
                <w:w w:val="88"/>
              </w:rPr>
              <w:t>Rights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center"/>
              <w:ind w:right="93"/>
              <w:spacing w:after="0" w:line="172" w:lineRule="exact"/>
              <w:rPr>
                <w:sz w:val="20"/>
                <w:szCs w:val="20"/>
                <w:color w:val="auto"/>
              </w:rPr>
            </w:pPr>
            <w:r>
              <w:rPr>
                <w:rFonts w:ascii="Arial" w:cs="Arial" w:eastAsia="Arial" w:hAnsi="Arial"/>
                <w:sz w:val="16"/>
                <w:szCs w:val="16"/>
                <w:b w:val="1"/>
                <w:bCs w:val="1"/>
                <w:color w:val="auto"/>
                <w:w w:val="88"/>
              </w:rPr>
              <w:t>Allowances</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394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(In millions)</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3940" w:type="dxa"/>
            <w:vAlign w:val="bottom"/>
            <w:gridSpan w:val="3"/>
            <w:vMerge w:val="continue"/>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40" w:type="dxa"/>
            <w:vAlign w:val="bottom"/>
            <w:shd w:val="clear" w:color="auto" w:fill="E6E6E6"/>
          </w:tcPr>
          <w:p>
            <w:pPr>
              <w:spacing w:after="0"/>
              <w:rPr>
                <w:sz w:val="24"/>
                <w:szCs w:val="24"/>
                <w:color w:val="auto"/>
              </w:rPr>
            </w:pPr>
          </w:p>
        </w:tc>
        <w:tc>
          <w:tcPr>
            <w:tcW w:w="3900" w:type="dxa"/>
            <w:vAlign w:val="bottom"/>
            <w:gridSpan w:val="2"/>
            <w:shd w:val="clear" w:color="auto" w:fill="E6E6E6"/>
          </w:tcPr>
          <w:p>
            <w:pPr>
              <w:spacing w:after="0"/>
              <w:rPr>
                <w:sz w:val="20"/>
                <w:szCs w:val="20"/>
                <w:color w:val="auto"/>
              </w:rPr>
            </w:pPr>
            <w:r>
              <w:rPr>
                <w:rFonts w:ascii="Arial" w:cs="Arial" w:eastAsia="Arial" w:hAnsi="Arial"/>
                <w:sz w:val="18"/>
                <w:szCs w:val="18"/>
                <w:color w:val="auto"/>
                <w:w w:val="90"/>
              </w:rPr>
              <w:t xml:space="preserve">January 1, 2023 </w:t>
            </w:r>
            <w:r>
              <w:rPr>
                <w:rFonts w:ascii="Arial" w:cs="Arial" w:eastAsia="Arial" w:hAnsi="Arial"/>
                <w:sz w:val="18"/>
                <w:szCs w:val="18"/>
                <w:color w:val="BDBDBD"/>
                <w:w w:val="90"/>
              </w:rPr>
              <w:t>. . . . . . . . . . . . . . . . . . . . . . . . . . . . . .</w:t>
            </w:r>
          </w:p>
        </w:tc>
        <w:tc>
          <w:tcPr>
            <w:tcW w:w="280" w:type="dxa"/>
            <w:vAlign w:val="bottom"/>
            <w:shd w:val="clear" w:color="auto" w:fill="E6E6E6"/>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3,321</w:t>
            </w:r>
          </w:p>
        </w:tc>
        <w:tc>
          <w:tcPr>
            <w:tcW w:w="28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86</w:t>
            </w:r>
          </w:p>
        </w:tc>
        <w:tc>
          <w:tcPr>
            <w:tcW w:w="260" w:type="dxa"/>
            <w:vAlign w:val="bottom"/>
            <w:gridSpan w:val="2"/>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17</w:t>
            </w:r>
          </w:p>
        </w:tc>
        <w:tc>
          <w:tcPr>
            <w:tcW w:w="340" w:type="dxa"/>
            <w:vAlign w:val="bottom"/>
            <w:gridSpan w:val="2"/>
            <w:shd w:val="clear" w:color="auto" w:fill="E6E6E6"/>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18</w:t>
            </w:r>
          </w:p>
        </w:tc>
        <w:tc>
          <w:tcPr>
            <w:tcW w:w="340" w:type="dxa"/>
            <w:vAlign w:val="bottom"/>
            <w:gridSpan w:val="2"/>
            <w:shd w:val="clear" w:color="auto" w:fill="E6E6E6"/>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3,442</w:t>
            </w:r>
          </w:p>
        </w:tc>
        <w:tc>
          <w:tcPr>
            <w:tcW w:w="0" w:type="dxa"/>
            <w:vAlign w:val="bottom"/>
          </w:tcPr>
          <w:p>
            <w:pPr>
              <w:spacing w:after="0"/>
              <w:rPr>
                <w:sz w:val="1"/>
                <w:szCs w:val="1"/>
                <w:color w:val="auto"/>
              </w:rPr>
            </w:pPr>
          </w:p>
        </w:tc>
      </w:tr>
      <w:tr>
        <w:trPr>
          <w:trHeight w:val="291"/>
        </w:trPr>
        <w:tc>
          <w:tcPr>
            <w:tcW w:w="3940" w:type="dxa"/>
            <w:vAlign w:val="bottom"/>
            <w:gridSpan w:val="3"/>
          </w:tcPr>
          <w:p>
            <w:pPr>
              <w:ind w:left="40"/>
              <w:spacing w:after="0"/>
              <w:rPr>
                <w:sz w:val="20"/>
                <w:szCs w:val="20"/>
                <w:color w:val="auto"/>
              </w:rPr>
            </w:pPr>
            <w:r>
              <w:rPr>
                <w:rFonts w:ascii="Arial" w:cs="Arial" w:eastAsia="Arial" w:hAnsi="Arial"/>
                <w:sz w:val="18"/>
                <w:szCs w:val="18"/>
                <w:color w:val="auto"/>
                <w:w w:val="92"/>
              </w:rPr>
              <w:t xml:space="preserve">Walnut Creek PPA expiration  </w:t>
            </w:r>
            <w:r>
              <w:rPr>
                <w:rFonts w:ascii="Arial" w:cs="Arial" w:eastAsia="Arial" w:hAnsi="Arial"/>
                <w:sz w:val="18"/>
                <w:szCs w:val="18"/>
                <w:color w:val="BDBDBD"/>
                <w:w w:val="92"/>
              </w:rPr>
              <w:t>. . . . . . . . . . . . . . . . . .</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96"/>
        </w:trPr>
        <w:tc>
          <w:tcPr>
            <w:tcW w:w="4220" w:type="dxa"/>
            <w:vAlign w:val="bottom"/>
            <w:gridSpan w:val="4"/>
            <w:shd w:val="clear" w:color="auto" w:fill="E6E6E6"/>
          </w:tcPr>
          <w:p>
            <w:pPr>
              <w:ind w:left="40"/>
              <w:spacing w:after="0"/>
              <w:rPr>
                <w:sz w:val="20"/>
                <w:szCs w:val="20"/>
                <w:color w:val="auto"/>
              </w:rPr>
            </w:pPr>
            <w:r>
              <w:rPr>
                <w:rFonts w:ascii="Arial" w:cs="Arial" w:eastAsia="Arial" w:hAnsi="Arial"/>
                <w:sz w:val="18"/>
                <w:szCs w:val="18"/>
                <w:color w:val="auto"/>
                <w:w w:val="97"/>
              </w:rPr>
              <w:t xml:space="preserve">Other </w:t>
            </w:r>
            <w:r>
              <w:rPr>
                <w:rFonts w:ascii="Arial" w:cs="Arial" w:eastAsia="Arial" w:hAnsi="Arial"/>
                <w:sz w:val="18"/>
                <w:szCs w:val="18"/>
                <w:color w:val="BDBDBD"/>
                <w:w w:val="97"/>
              </w:rPr>
              <w:t>. . . . . . . . . . . . . . . . . . . . . . . . . . . . . . . . . . . . . .</w:t>
            </w:r>
          </w:p>
        </w:tc>
        <w:tc>
          <w:tcPr>
            <w:tcW w:w="9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81"/>
        </w:trPr>
        <w:tc>
          <w:tcPr>
            <w:tcW w:w="3940" w:type="dxa"/>
            <w:vAlign w:val="bottom"/>
            <w:tcBorders>
              <w:top w:val="single" w:sz="8" w:color="E6E6E6"/>
            </w:tcBorders>
            <w:gridSpan w:val="3"/>
          </w:tcPr>
          <w:p>
            <w:pPr>
              <w:ind w:left="40"/>
              <w:spacing w:after="0"/>
              <w:rPr>
                <w:sz w:val="20"/>
                <w:szCs w:val="20"/>
                <w:color w:val="auto"/>
              </w:rPr>
            </w:pPr>
            <w:r>
              <w:rPr>
                <w:rFonts w:ascii="Arial" w:cs="Arial" w:eastAsia="Arial" w:hAnsi="Arial"/>
                <w:sz w:val="18"/>
                <w:szCs w:val="18"/>
                <w:color w:val="auto"/>
              </w:rPr>
              <w:t>December 31, 2023</w:t>
            </w:r>
          </w:p>
        </w:tc>
        <w:tc>
          <w:tcPr>
            <w:tcW w:w="2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3,265</w:t>
            </w:r>
          </w:p>
        </w:tc>
        <w:tc>
          <w:tcPr>
            <w:tcW w:w="80" w:type="dxa"/>
            <w:vAlign w:val="bottom"/>
            <w:tcBorders>
              <w:top w:val="single" w:sz="8" w:color="E6E6E6"/>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80" w:type="dxa"/>
            <w:vAlign w:val="bottom"/>
            <w:tcBorders>
              <w:top w:val="single" w:sz="8" w:color="E6E6E6"/>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80" w:type="dxa"/>
            <w:vAlign w:val="bottom"/>
            <w:tcBorders>
              <w:top w:val="single" w:sz="8" w:color="E6E6E6"/>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top w:val="single" w:sz="8" w:color="E6E6E6"/>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3,383</w:t>
            </w:r>
          </w:p>
        </w:tc>
        <w:tc>
          <w:tcPr>
            <w:tcW w:w="0" w:type="dxa"/>
            <w:vAlign w:val="bottom"/>
          </w:tcPr>
          <w:p>
            <w:pPr>
              <w:spacing w:after="0"/>
              <w:rPr>
                <w:sz w:val="1"/>
                <w:szCs w:val="1"/>
                <w:color w:val="auto"/>
              </w:rPr>
            </w:pPr>
          </w:p>
        </w:tc>
      </w:tr>
      <w:tr>
        <w:trPr>
          <w:trHeight w:val="296"/>
        </w:trPr>
        <w:tc>
          <w:tcPr>
            <w:tcW w:w="40" w:type="dxa"/>
            <w:vAlign w:val="bottom"/>
            <w:tcBorders>
              <w:bottom w:val="single" w:sz="8" w:color="E6E6E6"/>
            </w:tcBorders>
            <w:shd w:val="clear" w:color="auto" w:fill="E6E6E6"/>
          </w:tcPr>
          <w:p>
            <w:pPr>
              <w:spacing w:after="0"/>
              <w:rPr>
                <w:sz w:val="24"/>
                <w:szCs w:val="24"/>
                <w:color w:val="auto"/>
              </w:rPr>
            </w:pPr>
          </w:p>
        </w:tc>
        <w:tc>
          <w:tcPr>
            <w:tcW w:w="3900" w:type="dxa"/>
            <w:vAlign w:val="bottom"/>
            <w:tcBorders>
              <w:bottom w:val="single" w:sz="8" w:color="E6E6E6"/>
            </w:tcBorders>
            <w:gridSpan w:val="2"/>
            <w:shd w:val="clear" w:color="auto" w:fill="E6E6E6"/>
          </w:tcPr>
          <w:p>
            <w:pPr>
              <w:ind w:left="180"/>
              <w:spacing w:after="0"/>
              <w:rPr>
                <w:sz w:val="20"/>
                <w:szCs w:val="20"/>
                <w:color w:val="auto"/>
              </w:rPr>
            </w:pPr>
            <w:r>
              <w:rPr>
                <w:rFonts w:ascii="Arial" w:cs="Arial" w:eastAsia="Arial" w:hAnsi="Arial"/>
                <w:sz w:val="18"/>
                <w:szCs w:val="18"/>
                <w:color w:val="auto"/>
                <w:w w:val="91"/>
              </w:rPr>
              <w:t xml:space="preserve">Less accumulated amortization  </w:t>
            </w:r>
            <w:r>
              <w:rPr>
                <w:rFonts w:ascii="Arial" w:cs="Arial" w:eastAsia="Arial" w:hAnsi="Arial"/>
                <w:sz w:val="18"/>
                <w:szCs w:val="18"/>
                <w:color w:val="BDBDBD"/>
                <w:w w:val="91"/>
              </w:rPr>
              <w:t>. . . . . . . . . . . . . . .</w:t>
            </w:r>
          </w:p>
        </w:tc>
        <w:tc>
          <w:tcPr>
            <w:tcW w:w="280" w:type="dxa"/>
            <w:vAlign w:val="bottom"/>
            <w:tcBorders>
              <w:bottom w:val="single" w:sz="8" w:color="auto"/>
            </w:tcBorders>
            <w:shd w:val="clear" w:color="auto" w:fill="E6E6E6"/>
          </w:tcPr>
          <w:p>
            <w:pPr>
              <w:spacing w:after="0"/>
              <w:rPr>
                <w:sz w:val="24"/>
                <w:szCs w:val="24"/>
                <w:color w:val="auto"/>
              </w:rPr>
            </w:pPr>
          </w:p>
        </w:tc>
        <w:tc>
          <w:tcPr>
            <w:tcW w:w="9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(962)</w:t>
            </w:r>
          </w:p>
        </w:tc>
        <w:tc>
          <w:tcPr>
            <w:tcW w:w="8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spacing w:after="0"/>
              <w:rPr>
                <w:sz w:val="24"/>
                <w:szCs w:val="24"/>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(38)</w:t>
            </w:r>
          </w:p>
        </w:tc>
        <w:tc>
          <w:tcPr>
            <w:tcW w:w="8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spacing w:after="0"/>
              <w:rPr>
                <w:sz w:val="24"/>
                <w:szCs w:val="24"/>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59"/>
        </w:trPr>
        <w:tc>
          <w:tcPr>
            <w:tcW w:w="3940" w:type="dxa"/>
            <w:vAlign w:val="bottom"/>
            <w:gridSpan w:val="3"/>
          </w:tcPr>
          <w:p>
            <w:pPr>
              <w:ind w:left="40"/>
              <w:spacing w:after="0"/>
              <w:rPr>
                <w:sz w:val="20"/>
                <w:szCs w:val="20"/>
                <w:color w:val="auto"/>
              </w:rPr>
            </w:pPr>
            <w:r>
              <w:rPr>
                <w:rFonts w:ascii="Arial" w:cs="Arial" w:eastAsia="Arial" w:hAnsi="Arial"/>
                <w:sz w:val="18"/>
                <w:szCs w:val="18"/>
                <w:color w:val="auto"/>
                <w:w w:val="91"/>
              </w:rPr>
              <w:t xml:space="preserve">Net carrying amount </w:t>
            </w:r>
            <w:r>
              <w:rPr>
                <w:rFonts w:ascii="Arial" w:cs="Arial" w:eastAsia="Arial" w:hAnsi="Arial"/>
                <w:sz w:val="18"/>
                <w:szCs w:val="18"/>
                <w:color w:val="BDBDBD"/>
                <w:w w:val="91"/>
              </w:rPr>
              <w:t>. . . . . . . . . . . . . . . . . . . . . . . . . .</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2,303</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2,374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40" w:type="dxa"/>
            <w:vAlign w:val="bottom"/>
          </w:tcPr>
          <w:p>
            <w:pPr>
              <w:spacing w:after="0"/>
              <w:rPr>
                <w:sz w:val="24"/>
                <w:szCs w:val="24"/>
                <w:color w:val="auto"/>
              </w:rPr>
            </w:pPr>
          </w:p>
        </w:tc>
        <w:tc>
          <w:tcPr>
            <w:tcW w:w="2120" w:type="dxa"/>
            <w:vAlign w:val="bottom"/>
            <w:vMerge w:val="restart"/>
          </w:tcPr>
          <w:p>
            <w:pPr>
              <w:spacing w:after="0"/>
              <w:rPr>
                <w:sz w:val="20"/>
                <w:szCs w:val="20"/>
                <w:color w:val="auto"/>
              </w:rPr>
            </w:pPr>
            <w:r>
              <w:rPr>
                <w:rFonts w:ascii="Arial" w:cs="Arial" w:eastAsia="Arial" w:hAnsi="Arial"/>
                <w:sz w:val="16"/>
                <w:szCs w:val="16"/>
                <w:b w:val="1"/>
                <w:bCs w:val="1"/>
                <w:color w:val="auto"/>
                <w:w w:val="89"/>
              </w:rPr>
              <w:t>Year ended December 31, 2022</w:t>
            </w:r>
          </w:p>
        </w:tc>
        <w:tc>
          <w:tcPr>
            <w:tcW w:w="1780" w:type="dxa"/>
            <w:vAlign w:val="bottom"/>
            <w:vMerge w:val="restart"/>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vMerge w:val="restart"/>
          </w:tcPr>
          <w:p>
            <w:pPr>
              <w:jc w:val="right"/>
              <w:ind w:right="312"/>
              <w:spacing w:after="0"/>
              <w:rPr>
                <w:sz w:val="20"/>
                <w:szCs w:val="20"/>
                <w:color w:val="auto"/>
              </w:rPr>
            </w:pPr>
            <w:r>
              <w:rPr>
                <w:rFonts w:ascii="Arial" w:cs="Arial" w:eastAsia="Arial" w:hAnsi="Arial"/>
                <w:sz w:val="16"/>
                <w:szCs w:val="16"/>
                <w:b w:val="1"/>
                <w:bCs w:val="1"/>
                <w:color w:val="auto"/>
              </w:rPr>
              <w:t>PPAs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center"/>
              <w:ind w:right="113"/>
              <w:spacing w:after="0"/>
              <w:rPr>
                <w:sz w:val="20"/>
                <w:szCs w:val="20"/>
                <w:color w:val="auto"/>
              </w:rPr>
            </w:pPr>
            <w:r>
              <w:rPr>
                <w:rFonts w:ascii="Arial" w:cs="Arial" w:eastAsia="Arial" w:hAnsi="Arial"/>
                <w:sz w:val="16"/>
                <w:szCs w:val="16"/>
                <w:b w:val="1"/>
                <w:bCs w:val="1"/>
                <w:color w:val="auto"/>
                <w:w w:val="85"/>
              </w:rPr>
              <w:t>Leasehold</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center"/>
              <w:ind w:right="93"/>
              <w:spacing w:after="0"/>
              <w:rPr>
                <w:sz w:val="20"/>
                <w:szCs w:val="20"/>
                <w:color w:val="auto"/>
              </w:rPr>
            </w:pPr>
            <w:r>
              <w:rPr>
                <w:rFonts w:ascii="Arial" w:cs="Arial" w:eastAsia="Arial" w:hAnsi="Arial"/>
                <w:sz w:val="16"/>
                <w:szCs w:val="16"/>
                <w:b w:val="1"/>
                <w:bCs w:val="1"/>
                <w:color w:val="auto"/>
                <w:w w:val="87"/>
              </w:rPr>
              <w:t>Emission</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vMerge w:val="restart"/>
          </w:tcPr>
          <w:p>
            <w:pPr>
              <w:jc w:val="right"/>
              <w:ind w:right="312"/>
              <w:spacing w:after="0"/>
              <w:rPr>
                <w:sz w:val="20"/>
                <w:szCs w:val="20"/>
                <w:color w:val="auto"/>
              </w:rPr>
            </w:pPr>
            <w:r>
              <w:rPr>
                <w:rFonts w:ascii="Arial" w:cs="Arial" w:eastAsia="Arial" w:hAnsi="Arial"/>
                <w:sz w:val="16"/>
                <w:szCs w:val="16"/>
                <w:b w:val="1"/>
                <w:bCs w:val="1"/>
                <w:color w:val="auto"/>
              </w:rPr>
              <w:t>Other</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vMerge w:val="restart"/>
          </w:tcPr>
          <w:p>
            <w:pPr>
              <w:jc w:val="right"/>
              <w:ind w:right="33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7"/>
        </w:trPr>
        <w:tc>
          <w:tcPr>
            <w:tcW w:w="40" w:type="dxa"/>
            <w:vAlign w:val="bottom"/>
          </w:tcPr>
          <w:p>
            <w:pPr>
              <w:spacing w:after="0"/>
              <w:rPr>
                <w:sz w:val="14"/>
                <w:szCs w:val="14"/>
                <w:color w:val="auto"/>
              </w:rPr>
            </w:pPr>
          </w:p>
        </w:tc>
        <w:tc>
          <w:tcPr>
            <w:tcW w:w="2120" w:type="dxa"/>
            <w:vAlign w:val="bottom"/>
            <w:tcBorders>
              <w:bottom w:val="single" w:sz="8" w:color="auto"/>
            </w:tcBorders>
            <w:vMerge w:val="continue"/>
          </w:tcPr>
          <w:p>
            <w:pPr>
              <w:spacing w:after="0"/>
              <w:rPr>
                <w:sz w:val="14"/>
                <w:szCs w:val="14"/>
                <w:color w:val="auto"/>
              </w:rPr>
            </w:pPr>
          </w:p>
        </w:tc>
        <w:tc>
          <w:tcPr>
            <w:tcW w:w="17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ind w:right="113"/>
              <w:spacing w:after="0" w:line="172" w:lineRule="exact"/>
              <w:rPr>
                <w:sz w:val="20"/>
                <w:szCs w:val="20"/>
                <w:color w:val="auto"/>
              </w:rPr>
            </w:pPr>
            <w:r>
              <w:rPr>
                <w:rFonts w:ascii="Arial" w:cs="Arial" w:eastAsia="Arial" w:hAnsi="Arial"/>
                <w:sz w:val="16"/>
                <w:szCs w:val="16"/>
                <w:b w:val="1"/>
                <w:bCs w:val="1"/>
                <w:color w:val="auto"/>
                <w:w w:val="88"/>
              </w:rPr>
              <w:t>Rights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center"/>
              <w:ind w:right="93"/>
              <w:spacing w:after="0" w:line="172" w:lineRule="exact"/>
              <w:rPr>
                <w:sz w:val="20"/>
                <w:szCs w:val="20"/>
                <w:color w:val="auto"/>
              </w:rPr>
            </w:pPr>
            <w:r>
              <w:rPr>
                <w:rFonts w:ascii="Arial" w:cs="Arial" w:eastAsia="Arial" w:hAnsi="Arial"/>
                <w:sz w:val="16"/>
                <w:szCs w:val="16"/>
                <w:b w:val="1"/>
                <w:bCs w:val="1"/>
                <w:color w:val="auto"/>
                <w:w w:val="88"/>
              </w:rPr>
              <w:t>Allowances</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394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(In millions)</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6"/>
        </w:trPr>
        <w:tc>
          <w:tcPr>
            <w:tcW w:w="3940" w:type="dxa"/>
            <w:vAlign w:val="bottom"/>
            <w:gridSpan w:val="3"/>
            <w:vMerge w:val="continue"/>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2"/>
        </w:trPr>
        <w:tc>
          <w:tcPr>
            <w:tcW w:w="40" w:type="dxa"/>
            <w:vAlign w:val="bottom"/>
            <w:shd w:val="clear" w:color="auto" w:fill="E6E6E6"/>
          </w:tcPr>
          <w:p>
            <w:pPr>
              <w:spacing w:after="0"/>
              <w:rPr>
                <w:sz w:val="24"/>
                <w:szCs w:val="24"/>
                <w:color w:val="auto"/>
              </w:rPr>
            </w:pPr>
          </w:p>
        </w:tc>
        <w:tc>
          <w:tcPr>
            <w:tcW w:w="3900" w:type="dxa"/>
            <w:vAlign w:val="bottom"/>
            <w:gridSpan w:val="2"/>
            <w:shd w:val="clear" w:color="auto" w:fill="E6E6E6"/>
          </w:tcPr>
          <w:p>
            <w:pPr>
              <w:spacing w:after="0"/>
              <w:rPr>
                <w:sz w:val="20"/>
                <w:szCs w:val="20"/>
                <w:color w:val="auto"/>
              </w:rPr>
            </w:pPr>
            <w:r>
              <w:rPr>
                <w:rFonts w:ascii="Arial" w:cs="Arial" w:eastAsia="Arial" w:hAnsi="Arial"/>
                <w:sz w:val="18"/>
                <w:szCs w:val="18"/>
                <w:color w:val="auto"/>
                <w:w w:val="90"/>
              </w:rPr>
              <w:t xml:space="preserve">January 1, 2022 </w:t>
            </w:r>
            <w:r>
              <w:rPr>
                <w:rFonts w:ascii="Arial" w:cs="Arial" w:eastAsia="Arial" w:hAnsi="Arial"/>
                <w:sz w:val="18"/>
                <w:szCs w:val="18"/>
                <w:color w:val="BDBDBD"/>
                <w:w w:val="90"/>
              </w:rPr>
              <w:t>. . . . . . . . . . . . . . . . . . . . . . . . . . . . . .</w:t>
            </w:r>
          </w:p>
        </w:tc>
        <w:tc>
          <w:tcPr>
            <w:tcW w:w="280" w:type="dxa"/>
            <w:vAlign w:val="bottom"/>
            <w:shd w:val="clear" w:color="auto" w:fill="E6E6E6"/>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2,985</w:t>
            </w:r>
          </w:p>
        </w:tc>
        <w:tc>
          <w:tcPr>
            <w:tcW w:w="28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86</w:t>
            </w:r>
          </w:p>
        </w:tc>
        <w:tc>
          <w:tcPr>
            <w:tcW w:w="260" w:type="dxa"/>
            <w:vAlign w:val="bottom"/>
            <w:gridSpan w:val="2"/>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17</w:t>
            </w:r>
          </w:p>
        </w:tc>
        <w:tc>
          <w:tcPr>
            <w:tcW w:w="340" w:type="dxa"/>
            <w:vAlign w:val="bottom"/>
            <w:gridSpan w:val="2"/>
            <w:shd w:val="clear" w:color="auto" w:fill="E6E6E6"/>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w:t>
            </w:r>
          </w:p>
        </w:tc>
        <w:tc>
          <w:tcPr>
            <w:tcW w:w="340" w:type="dxa"/>
            <w:vAlign w:val="bottom"/>
            <w:gridSpan w:val="2"/>
            <w:shd w:val="clear" w:color="auto" w:fill="E6E6E6"/>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3,104</w:t>
            </w:r>
          </w:p>
        </w:tc>
        <w:tc>
          <w:tcPr>
            <w:tcW w:w="0" w:type="dxa"/>
            <w:vAlign w:val="bottom"/>
          </w:tcPr>
          <w:p>
            <w:pPr>
              <w:spacing w:after="0"/>
              <w:rPr>
                <w:sz w:val="1"/>
                <w:szCs w:val="1"/>
                <w:color w:val="auto"/>
              </w:rPr>
            </w:pPr>
          </w:p>
        </w:tc>
      </w:tr>
      <w:tr>
        <w:trPr>
          <w:trHeight w:val="284"/>
        </w:trPr>
        <w:tc>
          <w:tcPr>
            <w:tcW w:w="4220" w:type="dxa"/>
            <w:vAlign w:val="bottom"/>
            <w:gridSpan w:val="4"/>
          </w:tcPr>
          <w:p>
            <w:pPr>
              <w:ind w:left="40"/>
              <w:spacing w:after="0"/>
              <w:rPr>
                <w:sz w:val="20"/>
                <w:szCs w:val="20"/>
                <w:color w:val="auto"/>
              </w:rPr>
            </w:pPr>
            <w:r>
              <w:rPr>
                <w:rFonts w:ascii="Arial" w:cs="Arial" w:eastAsia="Arial" w:hAnsi="Arial"/>
                <w:sz w:val="18"/>
                <w:szCs w:val="18"/>
                <w:color w:val="auto"/>
                <w:w w:val="97"/>
              </w:rPr>
              <w:t xml:space="preserve">Acquisitions </w:t>
            </w:r>
            <w:r>
              <w:rPr>
                <w:rFonts w:ascii="Arial" w:cs="Arial" w:eastAsia="Arial" w:hAnsi="Arial"/>
                <w:sz w:val="23"/>
                <w:szCs w:val="23"/>
                <w:color w:val="auto"/>
                <w:w w:val="97"/>
                <w:vertAlign w:val="superscript"/>
              </w:rPr>
              <w:t>(a)</w:t>
            </w:r>
            <w:r>
              <w:rPr>
                <w:rFonts w:ascii="Arial" w:cs="Arial" w:eastAsia="Arial" w:hAnsi="Arial"/>
                <w:sz w:val="18"/>
                <w:szCs w:val="18"/>
                <w:color w:val="auto"/>
                <w:w w:val="97"/>
              </w:rPr>
              <w:t xml:space="preserve">  </w:t>
            </w:r>
            <w:r>
              <w:rPr>
                <w:rFonts w:ascii="Arial" w:cs="Arial" w:eastAsia="Arial" w:hAnsi="Arial"/>
                <w:sz w:val="18"/>
                <w:szCs w:val="18"/>
                <w:color w:val="BDBDBD"/>
                <w:w w:val="97"/>
              </w:rPr>
              <w:t>. . . . . . . . . . . . . . . . . . . . . . . . . . . . . .</w:t>
            </w:r>
          </w:p>
        </w:tc>
        <w:tc>
          <w:tcPr>
            <w:tcW w:w="900" w:type="dxa"/>
            <w:vAlign w:val="bottom"/>
          </w:tcPr>
          <w:p>
            <w:pPr>
              <w:jc w:val="right"/>
              <w:spacing w:after="0"/>
              <w:rPr>
                <w:sz w:val="20"/>
                <w:szCs w:val="20"/>
                <w:color w:val="auto"/>
              </w:rPr>
            </w:pPr>
            <w:r>
              <w:rPr>
                <w:rFonts w:ascii="Arial" w:cs="Arial" w:eastAsia="Arial" w:hAnsi="Arial"/>
                <w:sz w:val="18"/>
                <w:szCs w:val="18"/>
                <w:color w:val="auto"/>
              </w:rPr>
              <w:t>336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74"/>
        </w:trPr>
        <w:tc>
          <w:tcPr>
            <w:tcW w:w="3940" w:type="dxa"/>
            <w:vAlign w:val="bottom"/>
            <w:tcBorders>
              <w:bottom w:val="single" w:sz="8" w:color="E6E6E6"/>
            </w:tcBorders>
            <w:gridSpan w:val="3"/>
            <w:shd w:val="clear" w:color="auto" w:fill="E6E6E6"/>
          </w:tcPr>
          <w:p>
            <w:pPr>
              <w:ind w:left="40"/>
              <w:spacing w:after="0"/>
              <w:rPr>
                <w:sz w:val="20"/>
                <w:szCs w:val="20"/>
                <w:color w:val="auto"/>
              </w:rPr>
            </w:pPr>
            <w:r>
              <w:rPr>
                <w:rFonts w:ascii="Arial" w:cs="Arial" w:eastAsia="Arial" w:hAnsi="Arial"/>
                <w:sz w:val="18"/>
                <w:szCs w:val="18"/>
                <w:color w:val="auto"/>
                <w:w w:val="91"/>
              </w:rPr>
              <w:t xml:space="preserve">Other </w:t>
            </w:r>
            <w:r>
              <w:rPr>
                <w:rFonts w:ascii="Arial" w:cs="Arial" w:eastAsia="Arial" w:hAnsi="Arial"/>
                <w:sz w:val="18"/>
                <w:szCs w:val="18"/>
                <w:color w:val="BDBDBD"/>
                <w:w w:val="91"/>
              </w:rPr>
              <w:t>. . . . . . . . . . . . . . . . . . . . . . . . . . . . . . . . . . . . . .</w:t>
            </w:r>
          </w:p>
        </w:tc>
        <w:tc>
          <w:tcPr>
            <w:tcW w:w="280" w:type="dxa"/>
            <w:vAlign w:val="bottom"/>
            <w:tcBorders>
              <w:bottom w:val="single" w:sz="8" w:color="auto"/>
            </w:tcBorders>
            <w:shd w:val="clear" w:color="auto" w:fill="E6E6E6"/>
          </w:tcPr>
          <w:p>
            <w:pPr>
              <w:spacing w:after="0"/>
              <w:rPr>
                <w:sz w:val="23"/>
                <w:szCs w:val="23"/>
                <w:color w:val="auto"/>
              </w:rPr>
            </w:pPr>
          </w:p>
        </w:tc>
        <w:tc>
          <w:tcPr>
            <w:tcW w:w="9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6E6E6"/>
            </w:tcBorders>
            <w:shd w:val="clear" w:color="auto" w:fill="E6E6E6"/>
          </w:tcPr>
          <w:p>
            <w:pPr>
              <w:spacing w:after="0"/>
              <w:rPr>
                <w:sz w:val="23"/>
                <w:szCs w:val="23"/>
                <w:color w:val="auto"/>
              </w:rPr>
            </w:pPr>
          </w:p>
        </w:tc>
        <w:tc>
          <w:tcPr>
            <w:tcW w:w="200" w:type="dxa"/>
            <w:vAlign w:val="bottom"/>
            <w:tcBorders>
              <w:bottom w:val="single" w:sz="8" w:color="auto"/>
            </w:tcBorders>
            <w:shd w:val="clear" w:color="auto" w:fill="E6E6E6"/>
          </w:tcPr>
          <w:p>
            <w:pPr>
              <w:spacing w:after="0"/>
              <w:rPr>
                <w:sz w:val="23"/>
                <w:szCs w:val="23"/>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6E6E6"/>
            </w:tcBorders>
            <w:shd w:val="clear" w:color="auto" w:fill="E6E6E6"/>
          </w:tcPr>
          <w:p>
            <w:pPr>
              <w:spacing w:after="0"/>
              <w:rPr>
                <w:sz w:val="23"/>
                <w:szCs w:val="23"/>
                <w:color w:val="auto"/>
              </w:rPr>
            </w:pPr>
          </w:p>
        </w:tc>
        <w:tc>
          <w:tcPr>
            <w:tcW w:w="180" w:type="dxa"/>
            <w:vAlign w:val="bottom"/>
            <w:tcBorders>
              <w:bottom w:val="single" w:sz="8" w:color="auto"/>
            </w:tcBorders>
            <w:shd w:val="clear" w:color="auto" w:fill="E6E6E6"/>
          </w:tcPr>
          <w:p>
            <w:pPr>
              <w:spacing w:after="0"/>
              <w:rPr>
                <w:sz w:val="23"/>
                <w:szCs w:val="23"/>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6E6E6"/>
            </w:tcBorders>
            <w:shd w:val="clear" w:color="auto" w:fill="E6E6E6"/>
          </w:tcPr>
          <w:p>
            <w:pPr>
              <w:spacing w:after="0"/>
              <w:rPr>
                <w:sz w:val="23"/>
                <w:szCs w:val="23"/>
                <w:color w:val="auto"/>
              </w:rPr>
            </w:pPr>
          </w:p>
        </w:tc>
        <w:tc>
          <w:tcPr>
            <w:tcW w:w="260" w:type="dxa"/>
            <w:vAlign w:val="bottom"/>
            <w:tcBorders>
              <w:bottom w:val="single" w:sz="8" w:color="auto"/>
            </w:tcBorders>
            <w:shd w:val="clear" w:color="auto" w:fill="E6E6E6"/>
          </w:tcPr>
          <w:p>
            <w:pPr>
              <w:spacing w:after="0"/>
              <w:rPr>
                <w:sz w:val="23"/>
                <w:szCs w:val="23"/>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E6E6E6"/>
            </w:tcBorders>
            <w:shd w:val="clear" w:color="auto" w:fill="E6E6E6"/>
          </w:tcPr>
          <w:p>
            <w:pPr>
              <w:spacing w:after="0"/>
              <w:rPr>
                <w:sz w:val="23"/>
                <w:szCs w:val="23"/>
                <w:color w:val="auto"/>
              </w:rPr>
            </w:pPr>
          </w:p>
        </w:tc>
        <w:tc>
          <w:tcPr>
            <w:tcW w:w="260" w:type="dxa"/>
            <w:vAlign w:val="bottom"/>
            <w:tcBorders>
              <w:bottom w:val="single" w:sz="8" w:color="auto"/>
            </w:tcBorders>
            <w:shd w:val="clear" w:color="auto" w:fill="E6E6E6"/>
          </w:tcPr>
          <w:p>
            <w:pPr>
              <w:spacing w:after="0"/>
              <w:rPr>
                <w:sz w:val="23"/>
                <w:szCs w:val="23"/>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66"/>
        </w:trPr>
        <w:tc>
          <w:tcPr>
            <w:tcW w:w="4220" w:type="dxa"/>
            <w:vAlign w:val="bottom"/>
            <w:gridSpan w:val="4"/>
          </w:tcPr>
          <w:p>
            <w:pPr>
              <w:ind w:left="40"/>
              <w:spacing w:after="0"/>
              <w:rPr>
                <w:sz w:val="20"/>
                <w:szCs w:val="20"/>
                <w:color w:val="auto"/>
              </w:rPr>
            </w:pPr>
            <w:r>
              <w:rPr>
                <w:rFonts w:ascii="Arial" w:cs="Arial" w:eastAsia="Arial" w:hAnsi="Arial"/>
                <w:sz w:val="18"/>
                <w:szCs w:val="18"/>
                <w:color w:val="auto"/>
                <w:w w:val="97"/>
              </w:rPr>
              <w:t xml:space="preserve">December 31, 2022 </w:t>
            </w:r>
            <w:r>
              <w:rPr>
                <w:rFonts w:ascii="Arial" w:cs="Arial" w:eastAsia="Arial" w:hAnsi="Arial"/>
                <w:sz w:val="18"/>
                <w:szCs w:val="18"/>
                <w:color w:val="BDBDBD"/>
                <w:w w:val="97"/>
              </w:rPr>
              <w:t>. . . . . . . . . . . . . . . . . . . . . . . . . . .</w:t>
            </w:r>
          </w:p>
        </w:tc>
        <w:tc>
          <w:tcPr>
            <w:tcW w:w="900" w:type="dxa"/>
            <w:vAlign w:val="bottom"/>
          </w:tcPr>
          <w:p>
            <w:pPr>
              <w:jc w:val="right"/>
              <w:spacing w:after="0"/>
              <w:rPr>
                <w:sz w:val="20"/>
                <w:szCs w:val="20"/>
                <w:color w:val="auto"/>
              </w:rPr>
            </w:pPr>
            <w:r>
              <w:rPr>
                <w:rFonts w:ascii="Arial" w:cs="Arial" w:eastAsia="Arial" w:hAnsi="Arial"/>
                <w:sz w:val="18"/>
                <w:szCs w:val="18"/>
                <w:color w:val="auto"/>
              </w:rPr>
              <w:t>3,321</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3,442</w:t>
            </w:r>
          </w:p>
        </w:tc>
        <w:tc>
          <w:tcPr>
            <w:tcW w:w="0" w:type="dxa"/>
            <w:vAlign w:val="bottom"/>
          </w:tcPr>
          <w:p>
            <w:pPr>
              <w:spacing w:after="0"/>
              <w:rPr>
                <w:sz w:val="1"/>
                <w:szCs w:val="1"/>
                <w:color w:val="auto"/>
              </w:rPr>
            </w:pPr>
          </w:p>
        </w:tc>
      </w:tr>
      <w:tr>
        <w:trPr>
          <w:trHeight w:val="281"/>
        </w:trPr>
        <w:tc>
          <w:tcPr>
            <w:tcW w:w="40" w:type="dxa"/>
            <w:vAlign w:val="bottom"/>
            <w:tcBorders>
              <w:bottom w:val="single" w:sz="8" w:color="E6E6E6"/>
            </w:tcBorders>
            <w:shd w:val="clear" w:color="auto" w:fill="E6E6E6"/>
          </w:tcPr>
          <w:p>
            <w:pPr>
              <w:spacing w:after="0"/>
              <w:rPr>
                <w:sz w:val="24"/>
                <w:szCs w:val="24"/>
                <w:color w:val="auto"/>
              </w:rPr>
            </w:pPr>
          </w:p>
        </w:tc>
        <w:tc>
          <w:tcPr>
            <w:tcW w:w="3900" w:type="dxa"/>
            <w:vAlign w:val="bottom"/>
            <w:tcBorders>
              <w:bottom w:val="single" w:sz="8" w:color="E6E6E6"/>
            </w:tcBorders>
            <w:gridSpan w:val="2"/>
            <w:shd w:val="clear" w:color="auto" w:fill="E6E6E6"/>
          </w:tcPr>
          <w:p>
            <w:pPr>
              <w:ind w:left="180"/>
              <w:spacing w:after="0"/>
              <w:rPr>
                <w:sz w:val="20"/>
                <w:szCs w:val="20"/>
                <w:color w:val="auto"/>
              </w:rPr>
            </w:pPr>
            <w:r>
              <w:rPr>
                <w:rFonts w:ascii="Arial" w:cs="Arial" w:eastAsia="Arial" w:hAnsi="Arial"/>
                <w:sz w:val="18"/>
                <w:szCs w:val="18"/>
                <w:color w:val="auto"/>
                <w:w w:val="91"/>
              </w:rPr>
              <w:t xml:space="preserve">Less accumulated amortization  </w:t>
            </w:r>
            <w:r>
              <w:rPr>
                <w:rFonts w:ascii="Arial" w:cs="Arial" w:eastAsia="Arial" w:hAnsi="Arial"/>
                <w:sz w:val="18"/>
                <w:szCs w:val="18"/>
                <w:color w:val="BDBDBD"/>
                <w:w w:val="91"/>
              </w:rPr>
              <w:t>. . . . . . . . . . . . . . .</w:t>
            </w:r>
          </w:p>
        </w:tc>
        <w:tc>
          <w:tcPr>
            <w:tcW w:w="280" w:type="dxa"/>
            <w:vAlign w:val="bottom"/>
            <w:tcBorders>
              <w:bottom w:val="single" w:sz="8" w:color="auto"/>
            </w:tcBorders>
            <w:shd w:val="clear" w:color="auto" w:fill="E6E6E6"/>
          </w:tcPr>
          <w:p>
            <w:pPr>
              <w:spacing w:after="0"/>
              <w:rPr>
                <w:sz w:val="24"/>
                <w:szCs w:val="24"/>
                <w:color w:val="auto"/>
              </w:rPr>
            </w:pPr>
          </w:p>
        </w:tc>
        <w:tc>
          <w:tcPr>
            <w:tcW w:w="9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(833)</w:t>
            </w:r>
          </w:p>
        </w:tc>
        <w:tc>
          <w:tcPr>
            <w:tcW w:w="8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spacing w:after="0"/>
              <w:rPr>
                <w:sz w:val="24"/>
                <w:szCs w:val="24"/>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(34)</w:t>
            </w:r>
          </w:p>
        </w:tc>
        <w:tc>
          <w:tcPr>
            <w:tcW w:w="8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spacing w:after="0"/>
              <w:rPr>
                <w:sz w:val="24"/>
                <w:szCs w:val="24"/>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44"/>
        </w:trPr>
        <w:tc>
          <w:tcPr>
            <w:tcW w:w="3940" w:type="dxa"/>
            <w:vAlign w:val="bottom"/>
            <w:gridSpan w:val="3"/>
          </w:tcPr>
          <w:p>
            <w:pPr>
              <w:ind w:left="40"/>
              <w:spacing w:after="0"/>
              <w:rPr>
                <w:sz w:val="20"/>
                <w:szCs w:val="20"/>
                <w:color w:val="auto"/>
              </w:rPr>
            </w:pPr>
            <w:r>
              <w:rPr>
                <w:rFonts w:ascii="Arial" w:cs="Arial" w:eastAsia="Arial" w:hAnsi="Arial"/>
                <w:sz w:val="18"/>
                <w:szCs w:val="18"/>
                <w:color w:val="auto"/>
                <w:w w:val="91"/>
              </w:rPr>
              <w:t xml:space="preserve">Net carrying amount </w:t>
            </w:r>
            <w:r>
              <w:rPr>
                <w:rFonts w:ascii="Arial" w:cs="Arial" w:eastAsia="Arial" w:hAnsi="Arial"/>
                <w:sz w:val="18"/>
                <w:szCs w:val="18"/>
                <w:color w:val="BDBDBD"/>
                <w:w w:val="91"/>
              </w:rPr>
              <w:t>. . . . . . . . . . . . . . . . . . . . . . . . . .</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2,488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52</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2,565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2486660</wp:posOffset>
            </wp:positionH>
            <wp:positionV relativeFrom="paragraph">
              <wp:posOffset>-2302510</wp:posOffset>
            </wp:positionV>
            <wp:extent cx="4005580"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19">
                      <a:extLst>
                        <a:ext uri="{28A0092B-C50C-407E-A947-70E740481C1C}"/>
                      </a:extLst>
                    </a:blip>
                    <a:srcRect/>
                    <a:stretch>
                      <a:fillRect/>
                    </a:stretch>
                  </pic:blipFill>
                  <pic:spPr bwMode="auto">
                    <a:xfrm>
                      <a:off x="0" y="0"/>
                      <a:ext cx="4005580" cy="25400"/>
                    </a:xfrm>
                    <a:prstGeom prst="rect">
                      <a:avLst/>
                    </a:prstGeom>
                    <a:noFill/>
                  </pic:spPr>
                </pic:pic>
              </a:graphicData>
            </a:graphic>
          </wp:anchor>
        </w:drawing>
        <w:drawing>
          <wp:anchor simplePos="0" relativeHeight="251657728" behindDoc="1" locked="0" layoutInCell="0" allowOverlap="1">
            <wp:simplePos x="0" y="0"/>
            <wp:positionH relativeFrom="column">
              <wp:posOffset>2486660</wp:posOffset>
            </wp:positionH>
            <wp:positionV relativeFrom="paragraph">
              <wp:posOffset>-1923415</wp:posOffset>
            </wp:positionV>
            <wp:extent cx="4005580"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20">
                      <a:extLst>
                        <a:ext uri="{28A0092B-C50C-407E-A947-70E740481C1C}"/>
                      </a:extLst>
                    </a:blip>
                    <a:srcRect/>
                    <a:stretch>
                      <a:fillRect/>
                    </a:stretch>
                  </pic:blipFill>
                  <pic:spPr bwMode="auto">
                    <a:xfrm>
                      <a:off x="0" y="0"/>
                      <a:ext cx="4005580" cy="25400"/>
                    </a:xfrm>
                    <a:prstGeom prst="rect">
                      <a:avLst/>
                    </a:prstGeom>
                    <a:noFill/>
                  </pic:spPr>
                </pic:pic>
              </a:graphicData>
            </a:graphic>
          </wp:anchor>
        </w:drawing>
        <w:drawing>
          <wp:anchor simplePos="0" relativeHeight="251657728" behindDoc="1" locked="0" layoutInCell="0" allowOverlap="1">
            <wp:simplePos x="0" y="0"/>
            <wp:positionH relativeFrom="column">
              <wp:posOffset>2486660</wp:posOffset>
            </wp:positionH>
            <wp:positionV relativeFrom="paragraph">
              <wp:posOffset>-571500</wp:posOffset>
            </wp:positionV>
            <wp:extent cx="4005580"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21">
                      <a:extLst>
                        <a:ext uri="{28A0092B-C50C-407E-A947-70E740481C1C}"/>
                      </a:extLst>
                    </a:blip>
                    <a:srcRect/>
                    <a:stretch>
                      <a:fillRect/>
                    </a:stretch>
                  </pic:blipFill>
                  <pic:spPr bwMode="auto">
                    <a:xfrm>
                      <a:off x="0" y="0"/>
                      <a:ext cx="4005580" cy="25400"/>
                    </a:xfrm>
                    <a:prstGeom prst="rect">
                      <a:avLst/>
                    </a:prstGeom>
                    <a:noFill/>
                  </pic:spPr>
                </pic:pic>
              </a:graphicData>
            </a:graphic>
          </wp:anchor>
        </w:drawing>
        <w:drawing>
          <wp:anchor simplePos="0" relativeHeight="251657728" behindDoc="1" locked="0" layoutInCell="0" allowOverlap="1">
            <wp:simplePos x="0" y="0"/>
            <wp:positionH relativeFrom="column">
              <wp:posOffset>2486660</wp:posOffset>
            </wp:positionH>
            <wp:positionV relativeFrom="paragraph">
              <wp:posOffset>-210820</wp:posOffset>
            </wp:positionV>
            <wp:extent cx="4005580"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22">
                      <a:extLst>
                        <a:ext uri="{28A0092B-C50C-407E-A947-70E740481C1C}"/>
                      </a:extLst>
                    </a:blip>
                    <a:srcRect/>
                    <a:stretch>
                      <a:fillRect/>
                    </a:stretch>
                  </pic:blipFill>
                  <pic:spPr bwMode="auto">
                    <a:xfrm>
                      <a:off x="0" y="0"/>
                      <a:ext cx="4005580" cy="254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-2540</wp:posOffset>
                </wp:positionH>
                <wp:positionV relativeFrom="paragraph">
                  <wp:posOffset>91440</wp:posOffset>
                </wp:positionV>
                <wp:extent cx="1259840" cy="0"/>
                <wp:wrapNone/>
                <wp:docPr id="289" name="Shape 2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598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89" o:spid="_x0000_s13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7.2pt" to="99pt,7.2pt" o:allowincell="f" strokecolor="#000000" strokeweight="1pt"/>
            </w:pict>
          </mc:Fallback>
        </mc:AlternateContent>
      </w:r>
    </w:p>
    <w:p>
      <w:pPr>
        <w:spacing w:after="0" w:line="111" w:lineRule="exact"/>
        <w:rPr>
          <w:sz w:val="20"/>
          <w:szCs w:val="20"/>
          <w:color w:val="auto"/>
        </w:rPr>
      </w:pPr>
    </w:p>
    <w:p>
      <w:pPr>
        <w:ind w:left="300" w:hanging="215"/>
        <w:spacing w:after="0"/>
        <w:tabs>
          <w:tab w:leader="none" w:pos="300" w:val="left"/>
        </w:tabs>
        <w:numPr>
          <w:ilvl w:val="0"/>
          <w:numId w:val="74"/>
        </w:numPr>
        <w:rPr>
          <w:rFonts w:ascii="Arial" w:cs="Arial" w:eastAsia="Arial" w:hAnsi="Arial"/>
          <w:sz w:val="26"/>
          <w:szCs w:val="26"/>
          <w:color w:val="auto"/>
          <w:vertAlign w:val="superscript"/>
        </w:rPr>
      </w:pPr>
      <w:r>
        <w:rPr>
          <w:rFonts w:ascii="Arial" w:cs="Arial" w:eastAsia="Arial" w:hAnsi="Arial"/>
          <w:sz w:val="16"/>
          <w:szCs w:val="16"/>
          <w:color w:val="auto"/>
        </w:rPr>
        <w:t>The weighted average life of acquired intangibles was 10 years for PPAs.</w:t>
      </w:r>
    </w:p>
    <w:p>
      <w:pPr>
        <w:spacing w:after="0" w:line="170" w:lineRule="exact"/>
        <w:rPr>
          <w:sz w:val="20"/>
          <w:szCs w:val="20"/>
          <w:color w:val="auto"/>
        </w:rPr>
      </w:pPr>
    </w:p>
    <w:p>
      <w:pPr>
        <w:jc w:val="both"/>
        <w:ind w:firstLine="448"/>
        <w:spacing w:after="0" w:line="255" w:lineRule="auto"/>
        <w:rPr>
          <w:sz w:val="20"/>
          <w:szCs w:val="20"/>
          <w:color w:val="auto"/>
        </w:rPr>
      </w:pPr>
      <w:r>
        <w:rPr>
          <w:rFonts w:ascii="Arial" w:cs="Arial" w:eastAsia="Arial" w:hAnsi="Arial"/>
          <w:sz w:val="20"/>
          <w:szCs w:val="20"/>
          <w:color w:val="auto"/>
        </w:rPr>
        <w:t>The Company recorded amortization expense of $186 million, $174 million and $143 million during the years ended December 31, 2023, 2022 and 2021, respectively. Of these amounts, $181 million, $168 million and $135 million during the years ended December 31, 2023, 2022 and 2021, respectively, were related to the amortization of intangible assets for power purchase agreements and were recorded to contract amortization expense, which reduced operating revenues in the consolidated statements of income. The Company estimates the future amortization expense for its intangibles for the next five years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8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(In millions)</w:t>
            </w:r>
          </w:p>
        </w:tc>
      </w:tr>
      <w:tr>
        <w:trPr>
          <w:trHeight w:val="229"/>
        </w:trPr>
        <w:tc>
          <w:tcPr>
            <w:tcW w:w="8240" w:type="dxa"/>
            <w:vAlign w:val="bottom"/>
          </w:tcPr>
          <w:p>
            <w:pPr>
              <w:jc w:val="right"/>
              <w:spacing w:after="0"/>
              <w:rPr>
                <w:sz w:val="20"/>
                <w:szCs w:val="20"/>
                <w:color w:val="auto"/>
              </w:rPr>
            </w:pPr>
            <w:r>
              <w:rPr>
                <w:rFonts w:ascii="Arial" w:cs="Arial" w:eastAsia="Arial" w:hAnsi="Arial"/>
                <w:sz w:val="18"/>
                <w:szCs w:val="18"/>
                <w:color w:val="BDBDBD"/>
                <w:w w:val="91"/>
              </w:rPr>
              <w:t>. . . . . . . . . . . . . . . . . . . . . . . . . . . . . . . . . . . . . . . . . . . . . . . . . . . . . . . . . . . . . . . . . . . . . . . . . . . . . . . . . . . . . .</w:t>
            </w:r>
            <w:r>
              <w:rPr>
                <w:rFonts w:ascii="Arial" w:cs="Arial" w:eastAsia="Arial" w:hAnsi="Arial"/>
                <w:sz w:val="18"/>
                <w:szCs w:val="18"/>
                <w:color w:val="000000"/>
                <w:w w:val="91"/>
              </w:rPr>
              <w:t>2024</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39"/>
        </w:trPr>
        <w:tc>
          <w:tcPr>
            <w:tcW w:w="824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0"/>
              </w:rPr>
              <w:t xml:space="preserve">2025  </w:t>
            </w:r>
            <w:r>
              <w:rPr>
                <w:rFonts w:ascii="Arial" w:cs="Arial" w:eastAsia="Arial" w:hAnsi="Arial"/>
                <w:sz w:val="18"/>
                <w:szCs w:val="18"/>
                <w:color w:val="BDBDBD"/>
                <w:w w:val="90"/>
              </w:rPr>
              <w:t>. . . . . . . . . . . . . . . . . . . . . . . . . . . . . . . . . . . . . . . . . . . . . . . . . . . . . . . . . . . . . . . . . . . . . . . . . . . . . . . . . . . . . .</w:t>
            </w:r>
          </w:p>
        </w:tc>
        <w:tc>
          <w:tcPr>
            <w:tcW w:w="320" w:type="dxa"/>
            <w:vAlign w:val="bottom"/>
            <w:shd w:val="clear" w:color="auto" w:fill="E6E6E6"/>
          </w:tcPr>
          <w:p>
            <w:pPr>
              <w:spacing w:after="0"/>
              <w:rPr>
                <w:sz w:val="20"/>
                <w:szCs w:val="20"/>
                <w:color w:val="auto"/>
              </w:rPr>
            </w:pPr>
          </w:p>
        </w:tc>
        <w:tc>
          <w:tcPr>
            <w:tcW w:w="16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184</w:t>
            </w:r>
          </w:p>
        </w:tc>
      </w:tr>
      <w:tr>
        <w:trPr>
          <w:trHeight w:val="237"/>
        </w:trPr>
        <w:tc>
          <w:tcPr>
            <w:tcW w:w="8240" w:type="dxa"/>
            <w:vAlign w:val="bottom"/>
          </w:tcPr>
          <w:p>
            <w:pPr>
              <w:jc w:val="right"/>
              <w:spacing w:after="0"/>
              <w:rPr>
                <w:sz w:val="20"/>
                <w:szCs w:val="20"/>
                <w:color w:val="auto"/>
              </w:rPr>
            </w:pPr>
            <w:r>
              <w:rPr>
                <w:rFonts w:ascii="Arial" w:cs="Arial" w:eastAsia="Arial" w:hAnsi="Arial"/>
                <w:sz w:val="18"/>
                <w:szCs w:val="18"/>
                <w:color w:val="auto"/>
                <w:w w:val="90"/>
              </w:rPr>
              <w:t xml:space="preserve">2026  </w:t>
            </w:r>
            <w:r>
              <w:rPr>
                <w:rFonts w:ascii="Arial" w:cs="Arial" w:eastAsia="Arial" w:hAnsi="Arial"/>
                <w:sz w:val="18"/>
                <w:szCs w:val="18"/>
                <w:color w:val="BDBDBD"/>
                <w:w w:val="90"/>
              </w:rPr>
              <w:t>. . . . . . . . . . . . . . . . . . . . . . . . . . . . . . . . . . . . . . . . . . . . . . . . . . . . . . . . . . . . . . . . . . . . . . . . . . . . . . . . . . . . . .</w:t>
            </w:r>
          </w:p>
        </w:tc>
        <w:tc>
          <w:tcPr>
            <w:tcW w:w="3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41"/>
        </w:trPr>
        <w:tc>
          <w:tcPr>
            <w:tcW w:w="824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0"/>
              </w:rPr>
              <w:t xml:space="preserve">2027  </w:t>
            </w:r>
            <w:r>
              <w:rPr>
                <w:rFonts w:ascii="Arial" w:cs="Arial" w:eastAsia="Arial" w:hAnsi="Arial"/>
                <w:sz w:val="18"/>
                <w:szCs w:val="18"/>
                <w:color w:val="BDBDBD"/>
                <w:w w:val="90"/>
              </w:rPr>
              <w:t>. . . . . . . . . . . . . . . . . . . . . . . . . . . . . . . . . . . . . . . . . . . . . . . . . . . . . . . . . . . . . . . . . . . . . . . . . . . . . . . . . . . . . .</w:t>
            </w:r>
          </w:p>
        </w:tc>
        <w:tc>
          <w:tcPr>
            <w:tcW w:w="320" w:type="dxa"/>
            <w:vAlign w:val="bottom"/>
            <w:shd w:val="clear" w:color="auto" w:fill="E6E6E6"/>
          </w:tcPr>
          <w:p>
            <w:pPr>
              <w:spacing w:after="0"/>
              <w:rPr>
                <w:sz w:val="20"/>
                <w:szCs w:val="20"/>
                <w:color w:val="auto"/>
              </w:rPr>
            </w:pPr>
          </w:p>
        </w:tc>
        <w:tc>
          <w:tcPr>
            <w:tcW w:w="16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183</w:t>
            </w:r>
          </w:p>
        </w:tc>
      </w:tr>
      <w:tr>
        <w:trPr>
          <w:trHeight w:val="234"/>
        </w:trPr>
        <w:tc>
          <w:tcPr>
            <w:tcW w:w="8240" w:type="dxa"/>
            <w:vAlign w:val="bottom"/>
          </w:tcPr>
          <w:p>
            <w:pPr>
              <w:jc w:val="right"/>
              <w:spacing w:after="0"/>
              <w:rPr>
                <w:sz w:val="20"/>
                <w:szCs w:val="20"/>
                <w:color w:val="auto"/>
              </w:rPr>
            </w:pPr>
            <w:r>
              <w:rPr>
                <w:rFonts w:ascii="Arial" w:cs="Arial" w:eastAsia="Arial" w:hAnsi="Arial"/>
                <w:sz w:val="18"/>
                <w:szCs w:val="18"/>
                <w:color w:val="auto"/>
                <w:w w:val="90"/>
              </w:rPr>
              <w:t xml:space="preserve">2028  </w:t>
            </w:r>
            <w:r>
              <w:rPr>
                <w:rFonts w:ascii="Arial" w:cs="Arial" w:eastAsia="Arial" w:hAnsi="Arial"/>
                <w:sz w:val="18"/>
                <w:szCs w:val="18"/>
                <w:color w:val="BDBDBD"/>
                <w:w w:val="90"/>
              </w:rPr>
              <w:t>. . . . . . . . . . . . . . . . . . . . . . . . . . . . . . . . . . . . . . . . . . . . . . . . . . . . . . . . . . . . . . . . . . . . . . . . . . . . . . . . . . . . . .</w:t>
            </w:r>
          </w:p>
        </w:tc>
        <w:tc>
          <w:tcPr>
            <w:tcW w:w="3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183</w:t>
            </w:r>
          </w:p>
        </w:tc>
      </w:tr>
    </w:tbl>
    <w:p>
      <w:pPr>
        <w:spacing w:after="0" w:line="200" w:lineRule="exact"/>
        <w:rPr>
          <w:sz w:val="20"/>
          <w:szCs w:val="20"/>
          <w:color w:val="auto"/>
        </w:rPr>
      </w:pPr>
    </w:p>
    <w:p>
      <w:pPr>
        <w:sectPr>
          <w:pgSz w:w="11880" w:h="15480" w:orient="portrait"/>
          <w:cols w:equalWidth="0" w:num="1">
            <w:col w:w="10200"/>
          </w:cols>
          <w:pgMar w:left="840" w:top="31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107</w:t>
      </w:r>
    </w:p>
    <w:p>
      <w:pPr>
        <w:sectPr>
          <w:pgSz w:w="11880" w:h="15480" w:orient="portrait"/>
          <w:cols w:equalWidth="0" w:num="1">
            <w:col w:w="10200"/>
          </w:cols>
          <w:pgMar w:left="840" w:top="318" w:right="840" w:bottom="0" w:gutter="0" w:footer="0" w:header="0"/>
          <w:type w:val="continuous"/>
        </w:sectPr>
      </w:pPr>
    </w:p>
    <w:bookmarkStart w:id="109" w:name="page110"/>
    <w:bookmarkEnd w:id="109"/>
    <w:p>
      <w:pPr>
        <w:spacing w:after="0"/>
        <w:rPr>
          <w:sz w:val="20"/>
          <w:szCs w:val="20"/>
          <w:color w:val="auto"/>
        </w:rPr>
      </w:pPr>
      <w:r>
        <w:rPr>
          <w:rFonts w:ascii="Arial" w:cs="Arial" w:eastAsia="Arial" w:hAnsi="Arial"/>
          <w:sz w:val="20"/>
          <w:szCs w:val="20"/>
          <w:b w:val="1"/>
          <w:bCs w:val="1"/>
          <w:color w:val="auto"/>
        </w:rPr>
        <w:t>Note 9 — Asset Impairments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2023 Impairment Losses</w:t>
      </w:r>
    </w:p>
    <w:p>
      <w:pPr>
        <w:spacing w:after="0" w:line="196" w:lineRule="exact"/>
        <w:rPr>
          <w:sz w:val="20"/>
          <w:szCs w:val="20"/>
          <w:color w:val="auto"/>
        </w:rPr>
      </w:pPr>
    </w:p>
    <w:p>
      <w:pPr>
        <w:jc w:val="both"/>
        <w:ind w:firstLine="448"/>
        <w:spacing w:after="0" w:line="283" w:lineRule="auto"/>
        <w:rPr>
          <w:sz w:val="20"/>
          <w:szCs w:val="20"/>
          <w:color w:val="auto"/>
        </w:rPr>
      </w:pPr>
      <w:r>
        <w:rPr>
          <w:rFonts w:ascii="Arial" w:cs="Arial" w:eastAsia="Arial" w:hAnsi="Arial"/>
          <w:sz w:val="18"/>
          <w:szCs w:val="18"/>
          <w:color w:val="auto"/>
        </w:rPr>
        <w:t>During the fourth quarter of 2023, in preparation and review of its annual budget, the Company updated its long-term estimates of operating and capital expenditures and revised its assessment of long-term merchant power prices, which was primarily informed by present conditions and did not contemplate future policy changes, which could impact renewable energy power prices. The impairment analysis reviews certain qualitative factors as well as the results of long-term operating expectations and its carrying value to determine if impairment indicators are present. The impairment analysis indicated that the projected future cash flows for certain projects within the Renewables segment no longer supported the recoverability of the carrying value of the related long-lived assets. As such, the Company recorded an impairment loss of $12 million, which primarily related to property, plant, and equipment to reflect the assets at fair market value. The fair value of the facilities was determined using an income approach by applying a discounted cash flow methodology to the updated long-term budgets for each respective plant. The income approach included key inputs such as forecasted merchant power prices, operations and maintenance expense, and discount rates. The resulting fair value is a Level 3 fair value measurement.</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2022 Impairment Losses</w:t>
      </w:r>
    </w:p>
    <w:p>
      <w:pPr>
        <w:spacing w:after="0" w:line="196" w:lineRule="exact"/>
        <w:rPr>
          <w:sz w:val="20"/>
          <w:szCs w:val="20"/>
          <w:color w:val="auto"/>
        </w:rPr>
      </w:pPr>
    </w:p>
    <w:p>
      <w:pPr>
        <w:jc w:val="both"/>
        <w:ind w:firstLine="542"/>
        <w:spacing w:after="0" w:line="254" w:lineRule="auto"/>
        <w:rPr>
          <w:sz w:val="20"/>
          <w:szCs w:val="20"/>
          <w:color w:val="auto"/>
        </w:rPr>
      </w:pPr>
      <w:r>
        <w:rPr>
          <w:rFonts w:ascii="Arial" w:cs="Arial" w:eastAsia="Arial" w:hAnsi="Arial"/>
          <w:sz w:val="20"/>
          <w:szCs w:val="20"/>
          <w:color w:val="auto"/>
        </w:rPr>
        <w:t>The impairment analysis indicated that the projected future cash flows for certain projects within the Renewables segment no longer supported the recoverability of the carrying value of the related long-lived assets. As such, the Company recorded an impairment loss of $16 million, which primarily related to property, plant, and equipment to reflect the assets at fair market value. The fair value of the facilities was determined using an income approach by applying a discounted cash flow methodology to the updated long-term budgets for each respective plant. The income approach included key inputs such as forecasted merchant power prices, operations and maintenance expense, and discount rates. The resulting fair value is a Level 3 fair value measurement.</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2021 Impairment Losses</w:t>
      </w:r>
    </w:p>
    <w:p>
      <w:pPr>
        <w:spacing w:after="0" w:line="196" w:lineRule="exact"/>
        <w:rPr>
          <w:sz w:val="20"/>
          <w:szCs w:val="20"/>
          <w:color w:val="auto"/>
        </w:rPr>
      </w:pPr>
    </w:p>
    <w:p>
      <w:pPr>
        <w:jc w:val="both"/>
        <w:ind w:firstLine="448"/>
        <w:spacing w:after="0" w:line="254" w:lineRule="auto"/>
        <w:rPr>
          <w:sz w:val="20"/>
          <w:szCs w:val="20"/>
          <w:color w:val="auto"/>
        </w:rPr>
      </w:pPr>
      <w:r>
        <w:rPr>
          <w:rFonts w:ascii="Arial" w:cs="Arial" w:eastAsia="Arial" w:hAnsi="Arial"/>
          <w:sz w:val="20"/>
          <w:szCs w:val="20"/>
          <w:color w:val="auto"/>
        </w:rPr>
        <w:t>The impairment analysis indicated that the projected future cash flows for several wind projects within the Renewables segment no longer supported the recoverability of the carrying value of the related long-lived assets. As such, the Company recorded an impairment loss of $6 million, which primarily related to property, plant, and equipment to reflect the assets at fair market value. The fair value of the facilities was determined using an income approach by applying a discounted cash flow methodology to the updated long-term budgets for each respective plant. The income approach included key inputs such as forecasted merchant power prices, operations and maintenance expense, and discount rates. The resulting fair value is a Level 3 fair value measurement.</w:t>
      </w:r>
    </w:p>
    <w:p>
      <w:pPr>
        <w:sectPr>
          <w:pgSz w:w="11880" w:h="15480" w:orient="portrait"/>
          <w:cols w:equalWidth="0" w:num="1">
            <w:col w:w="10200"/>
          </w:cols>
          <w:pgMar w:left="840" w:top="404"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108</w:t>
      </w:r>
    </w:p>
    <w:p>
      <w:pPr>
        <w:sectPr>
          <w:pgSz w:w="11880" w:h="15480" w:orient="portrait"/>
          <w:cols w:equalWidth="0" w:num="1">
            <w:col w:w="10200"/>
          </w:cols>
          <w:pgMar w:left="840" w:top="404" w:right="840" w:bottom="0" w:gutter="0" w:footer="0" w:header="0"/>
          <w:type w:val="continuous"/>
        </w:sectPr>
      </w:pPr>
    </w:p>
    <w:bookmarkStart w:id="110" w:name="page111"/>
    <w:bookmarkEnd w:id="110"/>
    <w:p>
      <w:pPr>
        <w:spacing w:after="0"/>
        <w:rPr>
          <w:sz w:val="20"/>
          <w:szCs w:val="20"/>
          <w:color w:val="auto"/>
        </w:rPr>
      </w:pPr>
      <w:r>
        <w:rPr>
          <w:rFonts w:ascii="Arial" w:cs="Arial" w:eastAsia="Arial" w:hAnsi="Arial"/>
          <w:sz w:val="20"/>
          <w:szCs w:val="20"/>
          <w:b w:val="1"/>
          <w:bCs w:val="1"/>
          <w:color w:val="auto"/>
        </w:rPr>
        <w:t>Note 10 — Long-term Debt</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Company’s borrowings, including short-term and long-term portions, consisted of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140" w:type="dxa"/>
            <w:vAlign w:val="bottom"/>
            <w:gridSpan w:val="2"/>
            <w:vMerge w:val="restart"/>
          </w:tcPr>
          <w:p>
            <w:pPr>
              <w:jc w:val="right"/>
              <w:ind w:right="11"/>
              <w:spacing w:after="0"/>
              <w:rPr>
                <w:sz w:val="20"/>
                <w:szCs w:val="20"/>
                <w:color w:val="auto"/>
              </w:rPr>
            </w:pPr>
            <w:r>
              <w:rPr>
                <w:rFonts w:ascii="Arial" w:cs="Arial" w:eastAsia="Arial" w:hAnsi="Arial"/>
                <w:sz w:val="16"/>
                <w:szCs w:val="16"/>
                <w:b w:val="1"/>
                <w:bCs w:val="1"/>
                <w:color w:val="auto"/>
                <w:w w:val="97"/>
              </w:rPr>
              <w:t>December 31,</w:t>
            </w:r>
          </w:p>
        </w:tc>
        <w:tc>
          <w:tcPr>
            <w:tcW w:w="80" w:type="dxa"/>
            <w:vAlign w:val="bottom"/>
          </w:tcPr>
          <w:p>
            <w:pPr>
              <w:spacing w:after="0"/>
              <w:rPr>
                <w:sz w:val="16"/>
                <w:szCs w:val="16"/>
                <w:color w:val="auto"/>
              </w:rPr>
            </w:pPr>
          </w:p>
        </w:tc>
        <w:tc>
          <w:tcPr>
            <w:tcW w:w="1140" w:type="dxa"/>
            <w:vAlign w:val="bottom"/>
            <w:gridSpan w:val="2"/>
            <w:vMerge w:val="restart"/>
          </w:tcPr>
          <w:p>
            <w:pPr>
              <w:jc w:val="right"/>
              <w:ind w:right="11"/>
              <w:spacing w:after="0"/>
              <w:rPr>
                <w:sz w:val="20"/>
                <w:szCs w:val="20"/>
                <w:color w:val="auto"/>
              </w:rPr>
            </w:pPr>
            <w:r>
              <w:rPr>
                <w:rFonts w:ascii="Arial" w:cs="Arial" w:eastAsia="Arial" w:hAnsi="Arial"/>
                <w:sz w:val="16"/>
                <w:szCs w:val="16"/>
                <w:b w:val="1"/>
                <w:bCs w:val="1"/>
                <w:color w:val="auto"/>
                <w:w w:val="97"/>
              </w:rPr>
              <w:t>December 31,</w:t>
            </w:r>
          </w:p>
        </w:tc>
        <w:tc>
          <w:tcPr>
            <w:tcW w:w="80" w:type="dxa"/>
            <w:vAlign w:val="bottom"/>
          </w:tcPr>
          <w:p>
            <w:pPr>
              <w:spacing w:after="0"/>
              <w:rPr>
                <w:sz w:val="16"/>
                <w:szCs w:val="16"/>
                <w:color w:val="auto"/>
              </w:rPr>
            </w:pPr>
          </w:p>
        </w:tc>
        <w:tc>
          <w:tcPr>
            <w:tcW w:w="1300" w:type="dxa"/>
            <w:vAlign w:val="bottom"/>
            <w:vMerge w:val="restart"/>
          </w:tcPr>
          <w:p>
            <w:pPr>
              <w:jc w:val="right"/>
              <w:ind w:right="33"/>
              <w:spacing w:after="0"/>
              <w:rPr>
                <w:sz w:val="20"/>
                <w:szCs w:val="20"/>
                <w:color w:val="auto"/>
              </w:rPr>
            </w:pPr>
            <w:r>
              <w:rPr>
                <w:rFonts w:ascii="Arial" w:cs="Arial" w:eastAsia="Arial" w:hAnsi="Arial"/>
                <w:sz w:val="16"/>
                <w:szCs w:val="16"/>
                <w:b w:val="1"/>
                <w:bCs w:val="1"/>
                <w:color w:val="auto"/>
              </w:rPr>
              <w:t>Interest rate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center"/>
              <w:ind w:right="71"/>
              <w:spacing w:after="0"/>
              <w:rPr>
                <w:sz w:val="20"/>
                <w:szCs w:val="20"/>
                <w:color w:val="auto"/>
              </w:rPr>
            </w:pPr>
            <w:r>
              <w:rPr>
                <w:rFonts w:ascii="Arial" w:cs="Arial" w:eastAsia="Arial" w:hAnsi="Arial"/>
                <w:sz w:val="16"/>
                <w:szCs w:val="16"/>
                <w:b w:val="1"/>
                <w:bCs w:val="1"/>
                <w:color w:val="auto"/>
                <w:w w:val="92"/>
              </w:rPr>
              <w:t>Letters of Credit</w:t>
            </w:r>
          </w:p>
        </w:tc>
        <w:tc>
          <w:tcPr>
            <w:tcW w:w="0" w:type="dxa"/>
            <w:vAlign w:val="bottom"/>
          </w:tcPr>
          <w:p>
            <w:pPr>
              <w:spacing w:after="0"/>
              <w:rPr>
                <w:sz w:val="1"/>
                <w:szCs w:val="1"/>
                <w:color w:val="auto"/>
              </w:rPr>
            </w:pPr>
          </w:p>
        </w:tc>
      </w:tr>
      <w:tr>
        <w:trPr>
          <w:trHeight w:val="159"/>
        </w:trPr>
        <w:tc>
          <w:tcPr>
            <w:tcW w:w="198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jc w:val="center"/>
              <w:ind w:right="71"/>
              <w:spacing w:after="0" w:line="159" w:lineRule="exact"/>
              <w:rPr>
                <w:sz w:val="20"/>
                <w:szCs w:val="20"/>
                <w:color w:val="auto"/>
              </w:rPr>
            </w:pPr>
            <w:r>
              <w:rPr>
                <w:rFonts w:ascii="Arial" w:cs="Arial" w:eastAsia="Arial" w:hAnsi="Arial"/>
                <w:sz w:val="16"/>
                <w:szCs w:val="16"/>
                <w:b w:val="1"/>
                <w:bCs w:val="1"/>
                <w:color w:val="auto"/>
                <w:w w:val="90"/>
              </w:rPr>
              <w:t>Outstanding at</w:t>
            </w:r>
          </w:p>
        </w:tc>
        <w:tc>
          <w:tcPr>
            <w:tcW w:w="0" w:type="dxa"/>
            <w:vAlign w:val="bottom"/>
          </w:tcPr>
          <w:p>
            <w:pPr>
              <w:spacing w:after="0"/>
              <w:rPr>
                <w:sz w:val="1"/>
                <w:szCs w:val="1"/>
                <w:color w:val="auto"/>
              </w:rPr>
            </w:pPr>
          </w:p>
        </w:tc>
      </w:tr>
      <w:tr>
        <w:trPr>
          <w:trHeight w:val="136"/>
        </w:trPr>
        <w:tc>
          <w:tcPr>
            <w:tcW w:w="198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vMerge w:val="restart"/>
          </w:tcPr>
          <w:p>
            <w:pPr>
              <w:jc w:val="right"/>
              <w:ind w:right="331"/>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vMerge w:val="restart"/>
          </w:tcPr>
          <w:p>
            <w:pPr>
              <w:jc w:val="right"/>
              <w:ind w:right="331"/>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1"/>
                <w:szCs w:val="11"/>
                <w:color w:val="auto"/>
              </w:rPr>
            </w:pPr>
          </w:p>
        </w:tc>
        <w:tc>
          <w:tcPr>
            <w:tcW w:w="1300" w:type="dxa"/>
            <w:vAlign w:val="bottom"/>
          </w:tcPr>
          <w:p>
            <w:pPr>
              <w:jc w:val="right"/>
              <w:ind w:right="433"/>
              <w:spacing w:after="0"/>
              <w:rPr>
                <w:sz w:val="20"/>
                <w:szCs w:val="20"/>
                <w:color w:val="auto"/>
              </w:rPr>
            </w:pPr>
            <w:r>
              <w:rPr>
                <w:rFonts w:ascii="Arial" w:cs="Arial" w:eastAsia="Arial" w:hAnsi="Arial"/>
                <w:sz w:val="10"/>
                <w:szCs w:val="10"/>
                <w:b w:val="1"/>
                <w:bCs w:val="1"/>
                <w:color w:val="auto"/>
              </w:rPr>
              <w:t>(a)(b)</w:t>
            </w:r>
          </w:p>
        </w:tc>
        <w:tc>
          <w:tcPr>
            <w:tcW w:w="80" w:type="dxa"/>
            <w:vAlign w:val="bottom"/>
          </w:tcPr>
          <w:p>
            <w:pPr>
              <w:spacing w:after="0"/>
              <w:rPr>
                <w:sz w:val="11"/>
                <w:szCs w:val="11"/>
                <w:color w:val="auto"/>
              </w:rPr>
            </w:pPr>
          </w:p>
        </w:tc>
        <w:tc>
          <w:tcPr>
            <w:tcW w:w="15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0"/>
              </w:rPr>
              <w:t>December 31, 2023</w:t>
            </w:r>
          </w:p>
        </w:tc>
        <w:tc>
          <w:tcPr>
            <w:tcW w:w="0" w:type="dxa"/>
            <w:vAlign w:val="bottom"/>
          </w:tcPr>
          <w:p>
            <w:pPr>
              <w:spacing w:after="0"/>
              <w:rPr>
                <w:sz w:val="1"/>
                <w:szCs w:val="1"/>
                <w:color w:val="auto"/>
              </w:rPr>
            </w:pPr>
          </w:p>
        </w:tc>
      </w:tr>
      <w:tr>
        <w:trPr>
          <w:trHeight w:val="77"/>
        </w:trPr>
        <w:tc>
          <w:tcPr>
            <w:tcW w:w="1980" w:type="dxa"/>
            <w:vAlign w:val="bottom"/>
          </w:tcPr>
          <w:p>
            <w:pPr>
              <w:spacing w:after="0"/>
              <w:rPr>
                <w:sz w:val="6"/>
                <w:szCs w:val="6"/>
                <w:color w:val="auto"/>
              </w:rPr>
            </w:pPr>
          </w:p>
        </w:tc>
        <w:tc>
          <w:tcPr>
            <w:tcW w:w="286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540" w:type="dxa"/>
            <w:vAlign w:val="bottom"/>
            <w:tcBorders>
              <w:bottom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19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60" w:type="dxa"/>
            <w:vAlign w:val="bottom"/>
            <w:gridSpan w:val="6"/>
          </w:tcPr>
          <w:p>
            <w:pPr>
              <w:jc w:val="right"/>
              <w:ind w:right="933"/>
              <w:spacing w:after="0"/>
              <w:rPr>
                <w:sz w:val="20"/>
                <w:szCs w:val="20"/>
                <w:color w:val="auto"/>
              </w:rPr>
            </w:pPr>
            <w:r>
              <w:rPr>
                <w:rFonts w:ascii="Arial" w:cs="Arial" w:eastAsia="Arial" w:hAnsi="Arial"/>
                <w:sz w:val="16"/>
                <w:szCs w:val="16"/>
                <w:b w:val="1"/>
                <w:bCs w:val="1"/>
                <w:color w:val="auto"/>
              </w:rPr>
              <w:t>(In millions, except rates)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840" w:type="dxa"/>
            <w:vAlign w:val="bottom"/>
            <w:gridSpan w:val="2"/>
            <w:shd w:val="clear" w:color="auto" w:fill="E6E6E6"/>
          </w:tcPr>
          <w:p>
            <w:pPr>
              <w:ind w:left="40"/>
              <w:spacing w:after="0"/>
              <w:rPr>
                <w:sz w:val="20"/>
                <w:szCs w:val="20"/>
                <w:color w:val="auto"/>
              </w:rPr>
            </w:pPr>
            <w:r>
              <w:rPr>
                <w:rFonts w:ascii="Arial" w:cs="Arial" w:eastAsia="Arial" w:hAnsi="Arial"/>
                <w:sz w:val="18"/>
                <w:szCs w:val="18"/>
                <w:color w:val="auto"/>
                <w:w w:val="91"/>
              </w:rPr>
              <w:t xml:space="preserve">2028 Senior Notes  </w:t>
            </w:r>
            <w:r>
              <w:rPr>
                <w:rFonts w:ascii="Arial" w:cs="Arial" w:eastAsia="Arial" w:hAnsi="Arial"/>
                <w:sz w:val="18"/>
                <w:szCs w:val="18"/>
                <w:color w:val="BDBDBD"/>
                <w:w w:val="91"/>
              </w:rPr>
              <w:t>. . . . . . . . . . . . . . . . . . . . . . . . . . . . . . . . . . . . .</w:t>
            </w:r>
          </w:p>
        </w:tc>
        <w:tc>
          <w:tcPr>
            <w:tcW w:w="280" w:type="dxa"/>
            <w:vAlign w:val="bottom"/>
            <w:shd w:val="clear" w:color="auto" w:fill="E6E6E6"/>
          </w:tcPr>
          <w:p>
            <w:pPr>
              <w:jc w:val="right"/>
              <w:ind w:right="54"/>
              <w:spacing w:after="0"/>
              <w:rPr>
                <w:sz w:val="20"/>
                <w:szCs w:val="20"/>
                <w:color w:val="auto"/>
              </w:rPr>
            </w:pPr>
            <w:r>
              <w:rPr>
                <w:rFonts w:ascii="Arial" w:cs="Arial" w:eastAsia="Arial" w:hAnsi="Arial"/>
                <w:sz w:val="18"/>
                <w:szCs w:val="18"/>
                <w:color w:val="auto"/>
              </w:rPr>
              <w:t>$</w:t>
            </w: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850</w:t>
            </w:r>
          </w:p>
        </w:tc>
        <w:tc>
          <w:tcPr>
            <w:tcW w:w="360" w:type="dxa"/>
            <w:vAlign w:val="bottom"/>
            <w:gridSpan w:val="2"/>
            <w:shd w:val="clear" w:color="auto" w:fill="E6E6E6"/>
          </w:tcPr>
          <w:p>
            <w:pPr>
              <w:jc w:val="right"/>
              <w:ind w:right="55"/>
              <w:spacing w:after="0"/>
              <w:rPr>
                <w:sz w:val="20"/>
                <w:szCs w:val="20"/>
                <w:color w:val="auto"/>
              </w:rPr>
            </w:pPr>
            <w:r>
              <w:rPr>
                <w:rFonts w:ascii="Arial" w:cs="Arial" w:eastAsia="Arial" w:hAnsi="Arial"/>
                <w:sz w:val="18"/>
                <w:szCs w:val="18"/>
                <w:color w:val="auto"/>
              </w:rPr>
              <w:t>$</w:t>
            </w: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850</w:t>
            </w:r>
          </w:p>
        </w:tc>
        <w:tc>
          <w:tcPr>
            <w:tcW w:w="138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4.750</w:t>
            </w:r>
          </w:p>
        </w:tc>
        <w:tc>
          <w:tcPr>
            <w:tcW w:w="8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138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5120" w:type="dxa"/>
            <w:vAlign w:val="bottom"/>
            <w:gridSpan w:val="3"/>
          </w:tcPr>
          <w:p>
            <w:pPr>
              <w:ind w:left="40"/>
              <w:spacing w:after="0"/>
              <w:rPr>
                <w:sz w:val="20"/>
                <w:szCs w:val="20"/>
                <w:color w:val="auto"/>
              </w:rPr>
            </w:pPr>
            <w:r>
              <w:rPr>
                <w:rFonts w:ascii="Arial" w:cs="Arial" w:eastAsia="Arial" w:hAnsi="Arial"/>
                <w:sz w:val="18"/>
                <w:szCs w:val="18"/>
                <w:color w:val="auto"/>
                <w:w w:val="96"/>
              </w:rPr>
              <w:t xml:space="preserve">2031 Senior Notes  </w:t>
            </w:r>
            <w:r>
              <w:rPr>
                <w:rFonts w:ascii="Arial" w:cs="Arial" w:eastAsia="Arial" w:hAnsi="Arial"/>
                <w:sz w:val="18"/>
                <w:szCs w:val="18"/>
                <w:color w:val="BDBDBD"/>
                <w:w w:val="96"/>
              </w:rPr>
              <w:t>. . . . . . . . . . . . . . . . . . . . . . . . . . . . . . . . . . . . .</w:t>
            </w:r>
          </w:p>
        </w:tc>
        <w:tc>
          <w:tcPr>
            <w:tcW w:w="860" w:type="dxa"/>
            <w:vAlign w:val="bottom"/>
          </w:tcPr>
          <w:p>
            <w:pPr>
              <w:jc w:val="right"/>
              <w:spacing w:after="0"/>
              <w:rPr>
                <w:sz w:val="20"/>
                <w:szCs w:val="20"/>
                <w:color w:val="auto"/>
              </w:rPr>
            </w:pPr>
            <w:r>
              <w:rPr>
                <w:rFonts w:ascii="Arial" w:cs="Arial" w:eastAsia="Arial" w:hAnsi="Arial"/>
                <w:sz w:val="18"/>
                <w:szCs w:val="18"/>
                <w:color w:val="auto"/>
              </w:rPr>
              <w:t>925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3.750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5120" w:type="dxa"/>
            <w:vAlign w:val="bottom"/>
            <w:gridSpan w:val="3"/>
            <w:shd w:val="clear" w:color="auto" w:fill="E6E6E6"/>
          </w:tcPr>
          <w:p>
            <w:pPr>
              <w:jc w:val="right"/>
              <w:ind w:right="254"/>
              <w:spacing w:after="0"/>
              <w:rPr>
                <w:sz w:val="20"/>
                <w:szCs w:val="20"/>
                <w:color w:val="auto"/>
              </w:rPr>
            </w:pPr>
            <w:r>
              <w:rPr>
                <w:rFonts w:ascii="Arial" w:cs="Arial" w:eastAsia="Arial" w:hAnsi="Arial"/>
                <w:sz w:val="18"/>
                <w:szCs w:val="18"/>
                <w:color w:val="auto"/>
                <w:w w:val="90"/>
              </w:rPr>
              <w:t xml:space="preserve">2032 Senior Notes  </w:t>
            </w:r>
            <w:r>
              <w:rPr>
                <w:rFonts w:ascii="Arial" w:cs="Arial" w:eastAsia="Arial" w:hAnsi="Arial"/>
                <w:sz w:val="18"/>
                <w:szCs w:val="18"/>
                <w:color w:val="BDBDBD"/>
                <w:w w:val="90"/>
              </w:rPr>
              <w:t>. . . . . . . . . . . . . . . . . . . . . . . . . . . . . . . . . . . . .</w:t>
            </w: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350</w:t>
            </w:r>
          </w:p>
        </w:tc>
        <w:tc>
          <w:tcPr>
            <w:tcW w:w="80" w:type="dxa"/>
            <w:vAlign w:val="bottom"/>
            <w:shd w:val="clear" w:color="auto" w:fill="E6E6E6"/>
          </w:tcPr>
          <w:p>
            <w:pPr>
              <w:spacing w:after="0"/>
              <w:rPr>
                <w:sz w:val="22"/>
                <w:szCs w:val="22"/>
                <w:color w:val="auto"/>
              </w:rPr>
            </w:pPr>
          </w:p>
        </w:tc>
        <w:tc>
          <w:tcPr>
            <w:tcW w:w="28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350</w:t>
            </w:r>
          </w:p>
        </w:tc>
        <w:tc>
          <w:tcPr>
            <w:tcW w:w="138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3.750</w:t>
            </w:r>
          </w:p>
        </w:tc>
        <w:tc>
          <w:tcPr>
            <w:tcW w:w="8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138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4840" w:type="dxa"/>
            <w:vAlign w:val="bottom"/>
            <w:gridSpan w:val="2"/>
          </w:tcPr>
          <w:p>
            <w:pPr>
              <w:ind w:left="40"/>
              <w:spacing w:after="0" w:line="170" w:lineRule="exact"/>
              <w:rPr>
                <w:sz w:val="20"/>
                <w:szCs w:val="20"/>
                <w:color w:val="auto"/>
              </w:rPr>
            </w:pPr>
            <w:r>
              <w:rPr>
                <w:rFonts w:ascii="Arial" w:cs="Arial" w:eastAsia="Arial" w:hAnsi="Arial"/>
                <w:sz w:val="18"/>
                <w:szCs w:val="18"/>
                <w:color w:val="auto"/>
              </w:rPr>
              <w:t>Clearway Energy LLC and Clearway Energy Operating LLC</w:t>
            </w:r>
          </w:p>
        </w:tc>
        <w:tc>
          <w:tcPr>
            <w:tcW w:w="2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S+1.850</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47"/>
        </w:trPr>
        <w:tc>
          <w:tcPr>
            <w:tcW w:w="4840" w:type="dxa"/>
            <w:vAlign w:val="bottom"/>
            <w:gridSpan w:val="2"/>
          </w:tcPr>
          <w:p>
            <w:pPr>
              <w:jc w:val="right"/>
              <w:ind w:right="60"/>
              <w:spacing w:after="0" w:line="247" w:lineRule="exact"/>
              <w:rPr>
                <w:sz w:val="20"/>
                <w:szCs w:val="20"/>
                <w:color w:val="auto"/>
              </w:rPr>
            </w:pPr>
            <w:r>
              <w:rPr>
                <w:rFonts w:ascii="Arial" w:cs="Arial" w:eastAsia="Arial" w:hAnsi="Arial"/>
                <w:sz w:val="18"/>
                <w:szCs w:val="18"/>
                <w:color w:val="auto"/>
                <w:w w:val="94"/>
              </w:rPr>
              <w:t xml:space="preserve">Revolving Credit Facility, due 2023 </w:t>
            </w:r>
            <w:r>
              <w:rPr>
                <w:rFonts w:ascii="Arial" w:cs="Arial" w:eastAsia="Arial" w:hAnsi="Arial"/>
                <w:sz w:val="23"/>
                <w:szCs w:val="23"/>
                <w:color w:val="auto"/>
                <w:w w:val="94"/>
                <w:vertAlign w:val="superscript"/>
              </w:rPr>
              <w:t>(b)</w:t>
            </w:r>
            <w:r>
              <w:rPr>
                <w:rFonts w:ascii="Arial" w:cs="Arial" w:eastAsia="Arial" w:hAnsi="Arial"/>
                <w:sz w:val="18"/>
                <w:szCs w:val="18"/>
                <w:color w:val="auto"/>
                <w:w w:val="94"/>
              </w:rPr>
              <w:t xml:space="preserve"> </w:t>
            </w:r>
            <w:r>
              <w:rPr>
                <w:rFonts w:ascii="Arial" w:cs="Arial" w:eastAsia="Arial" w:hAnsi="Arial"/>
                <w:sz w:val="18"/>
                <w:szCs w:val="18"/>
                <w:color w:val="BDBDBD"/>
                <w:w w:val="94"/>
              </w:rPr>
              <w:t>. . . . . . . . . . . . . . . . . . . .</w:t>
            </w:r>
          </w:p>
        </w:tc>
        <w:tc>
          <w:tcPr>
            <w:tcW w:w="28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240" w:type="dxa"/>
            <w:vAlign w:val="bottom"/>
            <w:gridSpan w:val="2"/>
            <w:vMerge w:val="continue"/>
          </w:tcPr>
          <w:p>
            <w:pPr>
              <w:spacing w:after="0"/>
              <w:rPr>
                <w:sz w:val="21"/>
                <w:szCs w:val="21"/>
                <w:color w:val="auto"/>
              </w:rPr>
            </w:pPr>
          </w:p>
        </w:tc>
        <w:tc>
          <w:tcPr>
            <w:tcW w:w="13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4840" w:type="dxa"/>
            <w:vAlign w:val="bottom"/>
            <w:gridSpan w:val="2"/>
            <w:shd w:val="clear" w:color="auto" w:fill="E6E6E6"/>
          </w:tcPr>
          <w:p>
            <w:pPr>
              <w:ind w:left="40"/>
              <w:spacing w:after="0"/>
              <w:rPr>
                <w:sz w:val="20"/>
                <w:szCs w:val="20"/>
                <w:color w:val="auto"/>
              </w:rPr>
            </w:pPr>
            <w:r>
              <w:rPr>
                <w:rFonts w:ascii="Arial" w:cs="Arial" w:eastAsia="Arial" w:hAnsi="Arial"/>
                <w:sz w:val="18"/>
                <w:szCs w:val="18"/>
                <w:b w:val="1"/>
                <w:bCs w:val="1"/>
                <w:color w:val="auto"/>
              </w:rPr>
              <w:t>Non-recourse project-level debt:</w:t>
            </w:r>
          </w:p>
        </w:tc>
        <w:tc>
          <w:tcPr>
            <w:tcW w:w="28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2"/>
                <w:szCs w:val="22"/>
                <w:color w:val="auto"/>
              </w:rPr>
            </w:pPr>
          </w:p>
        </w:tc>
        <w:tc>
          <w:tcPr>
            <w:tcW w:w="280" w:type="dxa"/>
            <w:vAlign w:val="bottom"/>
            <w:shd w:val="clear" w:color="auto" w:fill="E6E6E6"/>
          </w:tcPr>
          <w:p>
            <w:pPr>
              <w:spacing w:after="0"/>
              <w:rPr>
                <w:sz w:val="22"/>
                <w:szCs w:val="22"/>
                <w:color w:val="auto"/>
              </w:rPr>
            </w:pPr>
          </w:p>
        </w:tc>
        <w:tc>
          <w:tcPr>
            <w:tcW w:w="86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130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138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4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 xml:space="preserve">Agua Caliente Solar LLC, due 2037  </w:t>
            </w:r>
            <w:r>
              <w:rPr>
                <w:rFonts w:ascii="Arial" w:cs="Arial" w:eastAsia="Arial" w:hAnsi="Arial"/>
                <w:sz w:val="18"/>
                <w:szCs w:val="18"/>
                <w:color w:val="BDBDBD"/>
                <w:w w:val="91"/>
              </w:rPr>
              <w:t>. . . . . . . . . . . . . . . . . . . . . . .</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2.395-3.633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57"/>
        </w:trPr>
        <w:tc>
          <w:tcPr>
            <w:tcW w:w="484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w w:val="93"/>
              </w:rPr>
              <w:t xml:space="preserve">Alta Wind Asset Management LLC, due 2031 </w:t>
            </w:r>
            <w:r>
              <w:rPr>
                <w:rFonts w:ascii="Arial" w:cs="Arial" w:eastAsia="Arial" w:hAnsi="Arial"/>
                <w:sz w:val="18"/>
                <w:szCs w:val="18"/>
                <w:color w:val="BDBDBD"/>
                <w:w w:val="93"/>
              </w:rPr>
              <w:t>. . . . . . . . . . . . . . .</w:t>
            </w:r>
          </w:p>
        </w:tc>
        <w:tc>
          <w:tcPr>
            <w:tcW w:w="28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E6E6E6"/>
          </w:tcPr>
          <w:p>
            <w:pPr>
              <w:spacing w:after="0"/>
              <w:rPr>
                <w:sz w:val="22"/>
                <w:szCs w:val="22"/>
                <w:color w:val="auto"/>
              </w:rPr>
            </w:pPr>
          </w:p>
        </w:tc>
        <w:tc>
          <w:tcPr>
            <w:tcW w:w="28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E6E6E6"/>
          </w:tcPr>
          <w:p>
            <w:pPr>
              <w:spacing w:after="0"/>
              <w:rPr>
                <w:sz w:val="22"/>
                <w:szCs w:val="22"/>
                <w:color w:val="auto"/>
              </w:rPr>
            </w:pPr>
          </w:p>
        </w:tc>
        <w:tc>
          <w:tcPr>
            <w:tcW w:w="13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S+2.775</w:t>
            </w:r>
          </w:p>
        </w:tc>
        <w:tc>
          <w:tcPr>
            <w:tcW w:w="8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13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84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 xml:space="preserve">Alta Wind I-V lease financing arrangements, due 2034 and 2035 </w:t>
            </w:r>
            <w:r>
              <w:rPr>
                <w:rFonts w:ascii="Arial" w:cs="Arial" w:eastAsia="Arial" w:hAnsi="Arial"/>
                <w:sz w:val="18"/>
                <w:szCs w:val="18"/>
                <w:color w:val="BDBDBD"/>
                <w:w w:val="91"/>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5.696-7.015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58"/>
        </w:trPr>
        <w:tc>
          <w:tcPr>
            <w:tcW w:w="484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w w:val="92"/>
              </w:rPr>
              <w:t xml:space="preserve">Alta Wind Realty Investments LLC, due 2031  </w:t>
            </w:r>
            <w:r>
              <w:rPr>
                <w:rFonts w:ascii="Arial" w:cs="Arial" w:eastAsia="Arial" w:hAnsi="Arial"/>
                <w:sz w:val="18"/>
                <w:szCs w:val="18"/>
                <w:color w:val="BDBDBD"/>
                <w:w w:val="92"/>
              </w:rPr>
              <w:t>. . . . . . . . . . . . . . .</w:t>
            </w:r>
          </w:p>
        </w:tc>
        <w:tc>
          <w:tcPr>
            <w:tcW w:w="28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E6E6E6"/>
          </w:tcPr>
          <w:p>
            <w:pPr>
              <w:spacing w:after="0"/>
              <w:rPr>
                <w:sz w:val="22"/>
                <w:szCs w:val="22"/>
                <w:color w:val="auto"/>
              </w:rPr>
            </w:pPr>
          </w:p>
        </w:tc>
        <w:tc>
          <w:tcPr>
            <w:tcW w:w="28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22</w:t>
            </w:r>
          </w:p>
        </w:tc>
        <w:tc>
          <w:tcPr>
            <w:tcW w:w="138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7.000</w:t>
            </w:r>
          </w:p>
        </w:tc>
        <w:tc>
          <w:tcPr>
            <w:tcW w:w="8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13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84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 xml:space="preserve">Borrego, due 2024 and 2038  </w:t>
            </w:r>
            <w:r>
              <w:rPr>
                <w:rFonts w:ascii="Arial" w:cs="Arial" w:eastAsia="Arial" w:hAnsi="Arial"/>
                <w:sz w:val="18"/>
                <w:szCs w:val="18"/>
                <w:color w:val="BDBDBD"/>
                <w:w w:val="90"/>
              </w:rPr>
              <w:t>. . . . . . . . . . . . . . . . . . . . . . . . . . . . .</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Various</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8"/>
        </w:trPr>
        <w:tc>
          <w:tcPr>
            <w:tcW w:w="5120" w:type="dxa"/>
            <w:vAlign w:val="bottom"/>
            <w:gridSpan w:val="3"/>
            <w:shd w:val="clear" w:color="auto" w:fill="E6E6E6"/>
          </w:tcPr>
          <w:p>
            <w:pPr>
              <w:jc w:val="right"/>
              <w:ind w:right="254"/>
              <w:spacing w:after="0"/>
              <w:rPr>
                <w:sz w:val="20"/>
                <w:szCs w:val="20"/>
                <w:color w:val="auto"/>
              </w:rPr>
            </w:pPr>
            <w:r>
              <w:rPr>
                <w:rFonts w:ascii="Arial" w:cs="Arial" w:eastAsia="Arial" w:hAnsi="Arial"/>
                <w:sz w:val="18"/>
                <w:szCs w:val="18"/>
                <w:color w:val="auto"/>
                <w:w w:val="91"/>
              </w:rPr>
              <w:t xml:space="preserve">Broken Bow, due 2031  </w:t>
            </w:r>
            <w:r>
              <w:rPr>
                <w:rFonts w:ascii="Arial" w:cs="Arial" w:eastAsia="Arial" w:hAnsi="Arial"/>
                <w:sz w:val="18"/>
                <w:szCs w:val="18"/>
                <w:color w:val="BDBDBD"/>
                <w:w w:val="91"/>
              </w:rPr>
              <w:t>. . . . . . . . . . . . . . . . . . . . . . . . . . . . . . . . .</w:t>
            </w: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E6E6E6"/>
          </w:tcPr>
          <w:p>
            <w:pPr>
              <w:spacing w:after="0"/>
              <w:rPr>
                <w:sz w:val="22"/>
                <w:szCs w:val="22"/>
                <w:color w:val="auto"/>
              </w:rPr>
            </w:pPr>
          </w:p>
        </w:tc>
        <w:tc>
          <w:tcPr>
            <w:tcW w:w="28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45</w:t>
            </w:r>
          </w:p>
        </w:tc>
        <w:tc>
          <w:tcPr>
            <w:tcW w:w="80" w:type="dxa"/>
            <w:vAlign w:val="bottom"/>
            <w:shd w:val="clear" w:color="auto" w:fill="E6E6E6"/>
          </w:tcPr>
          <w:p>
            <w:pPr>
              <w:spacing w:after="0"/>
              <w:rPr>
                <w:sz w:val="22"/>
                <w:szCs w:val="22"/>
                <w:color w:val="auto"/>
              </w:rPr>
            </w:pPr>
          </w:p>
        </w:tc>
        <w:tc>
          <w:tcPr>
            <w:tcW w:w="13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S+2.100</w:t>
            </w:r>
          </w:p>
        </w:tc>
        <w:tc>
          <w:tcPr>
            <w:tcW w:w="8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13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0"/>
        </w:trPr>
        <w:tc>
          <w:tcPr>
            <w:tcW w:w="484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 xml:space="preserve">Buckthorn Solar, due 2025 </w:t>
            </w:r>
            <w:r>
              <w:rPr>
                <w:rFonts w:ascii="Arial" w:cs="Arial" w:eastAsia="Arial" w:hAnsi="Arial"/>
                <w:sz w:val="18"/>
                <w:szCs w:val="18"/>
                <w:color w:val="BDBDBD"/>
                <w:w w:val="90"/>
              </w:rPr>
              <w:t>. . . . . . . . . . . . . . . . . . . . . . . . . . . . . . .</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S+2.100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8"/>
        </w:trPr>
        <w:tc>
          <w:tcPr>
            <w:tcW w:w="484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w w:val="92"/>
              </w:rPr>
              <w:t xml:space="preserve">Carlsbad Energy Holdings LLC, due 2027  </w:t>
            </w:r>
            <w:r>
              <w:rPr>
                <w:rFonts w:ascii="Arial" w:cs="Arial" w:eastAsia="Arial" w:hAnsi="Arial"/>
                <w:sz w:val="18"/>
                <w:szCs w:val="18"/>
                <w:color w:val="BDBDBD"/>
                <w:w w:val="92"/>
              </w:rPr>
              <w:t>. . . . . . . . . . . . . . . . . .</w:t>
            </w:r>
          </w:p>
        </w:tc>
        <w:tc>
          <w:tcPr>
            <w:tcW w:w="28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93</w:t>
            </w:r>
          </w:p>
        </w:tc>
        <w:tc>
          <w:tcPr>
            <w:tcW w:w="80" w:type="dxa"/>
            <w:vAlign w:val="bottom"/>
            <w:shd w:val="clear" w:color="auto" w:fill="E6E6E6"/>
          </w:tcPr>
          <w:p>
            <w:pPr>
              <w:spacing w:after="0"/>
              <w:rPr>
                <w:sz w:val="22"/>
                <w:szCs w:val="22"/>
                <w:color w:val="auto"/>
              </w:rPr>
            </w:pPr>
          </w:p>
        </w:tc>
        <w:tc>
          <w:tcPr>
            <w:tcW w:w="28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115</w:t>
            </w:r>
          </w:p>
        </w:tc>
        <w:tc>
          <w:tcPr>
            <w:tcW w:w="80" w:type="dxa"/>
            <w:vAlign w:val="bottom"/>
            <w:shd w:val="clear" w:color="auto" w:fill="E6E6E6"/>
          </w:tcPr>
          <w:p>
            <w:pPr>
              <w:spacing w:after="0"/>
              <w:rPr>
                <w:sz w:val="22"/>
                <w:szCs w:val="22"/>
                <w:color w:val="auto"/>
              </w:rPr>
            </w:pPr>
          </w:p>
        </w:tc>
        <w:tc>
          <w:tcPr>
            <w:tcW w:w="13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S+1.900</w:t>
            </w:r>
          </w:p>
        </w:tc>
        <w:tc>
          <w:tcPr>
            <w:tcW w:w="8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13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50"/>
        </w:trPr>
        <w:tc>
          <w:tcPr>
            <w:tcW w:w="484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 xml:space="preserve">Carlsbad Energy Holdings LLC, due 2038  </w:t>
            </w:r>
            <w:r>
              <w:rPr>
                <w:rFonts w:ascii="Arial" w:cs="Arial" w:eastAsia="Arial" w:hAnsi="Arial"/>
                <w:sz w:val="18"/>
                <w:szCs w:val="18"/>
                <w:color w:val="BDBDBD"/>
                <w:w w:val="92"/>
              </w:rPr>
              <w:t>. . . . . . . . . . . . . . . . . .</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4.120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84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w w:val="91"/>
              </w:rPr>
              <w:t xml:space="preserve">Carlsbad Holdco, LLC, due 2038 </w:t>
            </w:r>
            <w:r>
              <w:rPr>
                <w:rFonts w:ascii="Arial" w:cs="Arial" w:eastAsia="Arial" w:hAnsi="Arial"/>
                <w:sz w:val="18"/>
                <w:szCs w:val="18"/>
                <w:color w:val="BDBDBD"/>
                <w:w w:val="91"/>
              </w:rPr>
              <w:t>. . . . . . . . . . . . . . . . . . . . . . . . . .</w:t>
            </w:r>
          </w:p>
        </w:tc>
        <w:tc>
          <w:tcPr>
            <w:tcW w:w="28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195</w:t>
            </w:r>
          </w:p>
        </w:tc>
        <w:tc>
          <w:tcPr>
            <w:tcW w:w="80" w:type="dxa"/>
            <w:vAlign w:val="bottom"/>
            <w:shd w:val="clear" w:color="auto" w:fill="E6E6E6"/>
          </w:tcPr>
          <w:p>
            <w:pPr>
              <w:spacing w:after="0"/>
              <w:rPr>
                <w:sz w:val="22"/>
                <w:szCs w:val="22"/>
                <w:color w:val="auto"/>
              </w:rPr>
            </w:pPr>
          </w:p>
        </w:tc>
        <w:tc>
          <w:tcPr>
            <w:tcW w:w="28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197</w:t>
            </w:r>
          </w:p>
        </w:tc>
        <w:tc>
          <w:tcPr>
            <w:tcW w:w="138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4.210</w:t>
            </w:r>
          </w:p>
        </w:tc>
        <w:tc>
          <w:tcPr>
            <w:tcW w:w="8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13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0"/>
        </w:trPr>
        <w:tc>
          <w:tcPr>
            <w:tcW w:w="484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 xml:space="preserve">Cedro Hill, due 2024 and 2029 </w:t>
            </w:r>
            <w:r>
              <w:rPr>
                <w:rFonts w:ascii="Arial" w:cs="Arial" w:eastAsia="Arial" w:hAnsi="Arial"/>
                <w:sz w:val="18"/>
                <w:szCs w:val="18"/>
                <w:color w:val="BDBDBD"/>
                <w:w w:val="90"/>
              </w:rPr>
              <w:t>. . . . . . . . . . . . . . . . . . . . . . . . . . . .</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S+1.375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8"/>
        </w:trPr>
        <w:tc>
          <w:tcPr>
            <w:tcW w:w="5120" w:type="dxa"/>
            <w:vAlign w:val="bottom"/>
            <w:gridSpan w:val="3"/>
            <w:shd w:val="clear" w:color="auto" w:fill="E6E6E6"/>
          </w:tcPr>
          <w:p>
            <w:pPr>
              <w:jc w:val="right"/>
              <w:ind w:right="254"/>
              <w:spacing w:after="0"/>
              <w:rPr>
                <w:sz w:val="20"/>
                <w:szCs w:val="20"/>
                <w:color w:val="auto"/>
              </w:rPr>
            </w:pPr>
            <w:r>
              <w:rPr>
                <w:rFonts w:ascii="Arial" w:cs="Arial" w:eastAsia="Arial" w:hAnsi="Arial"/>
                <w:sz w:val="18"/>
                <w:szCs w:val="18"/>
                <w:color w:val="auto"/>
                <w:w w:val="92"/>
              </w:rPr>
              <w:t xml:space="preserve">Crofton Bluffs, due 2031 </w:t>
            </w:r>
            <w:r>
              <w:rPr>
                <w:rFonts w:ascii="Arial" w:cs="Arial" w:eastAsia="Arial" w:hAnsi="Arial"/>
                <w:sz w:val="18"/>
                <w:szCs w:val="18"/>
                <w:color w:val="BDBDBD"/>
                <w:w w:val="92"/>
              </w:rPr>
              <w:t>. . . . . . . . . . . . . . . . . . . . . . . . . . . . . . . .</w:t>
            </w: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E6E6E6"/>
          </w:tcPr>
          <w:p>
            <w:pPr>
              <w:spacing w:after="0"/>
              <w:rPr>
                <w:sz w:val="22"/>
                <w:szCs w:val="22"/>
                <w:color w:val="auto"/>
              </w:rPr>
            </w:pPr>
          </w:p>
        </w:tc>
        <w:tc>
          <w:tcPr>
            <w:tcW w:w="28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E6E6E6"/>
          </w:tcPr>
          <w:p>
            <w:pPr>
              <w:spacing w:after="0"/>
              <w:rPr>
                <w:sz w:val="22"/>
                <w:szCs w:val="22"/>
                <w:color w:val="auto"/>
              </w:rPr>
            </w:pPr>
          </w:p>
        </w:tc>
        <w:tc>
          <w:tcPr>
            <w:tcW w:w="13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S+2.100</w:t>
            </w:r>
          </w:p>
        </w:tc>
        <w:tc>
          <w:tcPr>
            <w:tcW w:w="8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13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0"/>
        </w:trPr>
        <w:tc>
          <w:tcPr>
            <w:tcW w:w="5120" w:type="dxa"/>
            <w:vAlign w:val="bottom"/>
            <w:gridSpan w:val="3"/>
          </w:tcPr>
          <w:p>
            <w:pPr>
              <w:jc w:val="right"/>
              <w:ind w:right="254"/>
              <w:spacing w:after="0"/>
              <w:rPr>
                <w:sz w:val="20"/>
                <w:szCs w:val="20"/>
                <w:color w:val="auto"/>
              </w:rPr>
            </w:pPr>
            <w:r>
              <w:rPr>
                <w:rFonts w:ascii="Arial" w:cs="Arial" w:eastAsia="Arial" w:hAnsi="Arial"/>
                <w:sz w:val="18"/>
                <w:szCs w:val="18"/>
                <w:color w:val="auto"/>
                <w:w w:val="90"/>
              </w:rPr>
              <w:t xml:space="preserve">CVSR, due 2037 </w:t>
            </w:r>
            <w:r>
              <w:rPr>
                <w:rFonts w:ascii="Arial" w:cs="Arial" w:eastAsia="Arial" w:hAnsi="Arial"/>
                <w:sz w:val="18"/>
                <w:szCs w:val="18"/>
                <w:color w:val="BDBDBD"/>
                <w:w w:val="90"/>
              </w:rPr>
              <w:t>. . . . . . . . . . . . . . . . . . . . . . . . . . . . . . . . . . . . . . .</w:t>
            </w:r>
          </w:p>
        </w:tc>
        <w:tc>
          <w:tcPr>
            <w:tcW w:w="860" w:type="dxa"/>
            <w:vAlign w:val="bottom"/>
          </w:tcPr>
          <w:p>
            <w:pPr>
              <w:jc w:val="right"/>
              <w:spacing w:after="0"/>
              <w:rPr>
                <w:sz w:val="20"/>
                <w:szCs w:val="20"/>
                <w:color w:val="auto"/>
              </w:rPr>
            </w:pPr>
            <w:r>
              <w:rPr>
                <w:rFonts w:ascii="Arial" w:cs="Arial" w:eastAsia="Arial" w:hAnsi="Arial"/>
                <w:sz w:val="18"/>
                <w:szCs w:val="18"/>
                <w:color w:val="auto"/>
              </w:rPr>
              <w:t>601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2.339-3.775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8"/>
        </w:trPr>
        <w:tc>
          <w:tcPr>
            <w:tcW w:w="484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w w:val="91"/>
              </w:rPr>
              <w:t xml:space="preserve">CVSR Holdco Notes, due 2037 </w:t>
            </w:r>
            <w:r>
              <w:rPr>
                <w:rFonts w:ascii="Arial" w:cs="Arial" w:eastAsia="Arial" w:hAnsi="Arial"/>
                <w:sz w:val="18"/>
                <w:szCs w:val="18"/>
                <w:color w:val="BDBDBD"/>
                <w:w w:val="91"/>
              </w:rPr>
              <w:t>. . . . . . . . . . . . . . . . . . . . . . . . . . .</w:t>
            </w:r>
          </w:p>
        </w:tc>
        <w:tc>
          <w:tcPr>
            <w:tcW w:w="28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152</w:t>
            </w:r>
          </w:p>
        </w:tc>
        <w:tc>
          <w:tcPr>
            <w:tcW w:w="80" w:type="dxa"/>
            <w:vAlign w:val="bottom"/>
            <w:shd w:val="clear" w:color="auto" w:fill="E6E6E6"/>
          </w:tcPr>
          <w:p>
            <w:pPr>
              <w:spacing w:after="0"/>
              <w:rPr>
                <w:sz w:val="22"/>
                <w:szCs w:val="22"/>
                <w:color w:val="auto"/>
              </w:rPr>
            </w:pPr>
          </w:p>
        </w:tc>
        <w:tc>
          <w:tcPr>
            <w:tcW w:w="28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160</w:t>
            </w:r>
          </w:p>
        </w:tc>
        <w:tc>
          <w:tcPr>
            <w:tcW w:w="138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4.680</w:t>
            </w:r>
          </w:p>
        </w:tc>
        <w:tc>
          <w:tcPr>
            <w:tcW w:w="8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13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0"/>
        </w:trPr>
        <w:tc>
          <w:tcPr>
            <w:tcW w:w="5120" w:type="dxa"/>
            <w:vAlign w:val="bottom"/>
            <w:gridSpan w:val="3"/>
          </w:tcPr>
          <w:p>
            <w:pPr>
              <w:jc w:val="right"/>
              <w:ind w:right="254"/>
              <w:spacing w:after="0"/>
              <w:rPr>
                <w:sz w:val="20"/>
                <w:szCs w:val="20"/>
                <w:color w:val="auto"/>
              </w:rPr>
            </w:pPr>
            <w:r>
              <w:rPr>
                <w:rFonts w:ascii="Arial" w:cs="Arial" w:eastAsia="Arial" w:hAnsi="Arial"/>
                <w:sz w:val="18"/>
                <w:szCs w:val="18"/>
                <w:color w:val="auto"/>
                <w:w w:val="90"/>
              </w:rPr>
              <w:t xml:space="preserve">Daggett 2, due 2028 </w:t>
            </w:r>
            <w:r>
              <w:rPr>
                <w:rFonts w:ascii="Arial" w:cs="Arial" w:eastAsia="Arial" w:hAnsi="Arial"/>
                <w:sz w:val="18"/>
                <w:szCs w:val="18"/>
                <w:color w:val="BDBDBD"/>
                <w:w w:val="90"/>
              </w:rPr>
              <w:t>. . . . . . . . . . . . . . . . . . . . . . . . . . . . . . . . . . . .</w:t>
            </w:r>
          </w:p>
        </w:tc>
        <w:tc>
          <w:tcPr>
            <w:tcW w:w="860" w:type="dxa"/>
            <w:vAlign w:val="bottom"/>
          </w:tcPr>
          <w:p>
            <w:pPr>
              <w:jc w:val="right"/>
              <w:spacing w:after="0"/>
              <w:rPr>
                <w:sz w:val="20"/>
                <w:szCs w:val="20"/>
                <w:color w:val="auto"/>
              </w:rPr>
            </w:pPr>
            <w:r>
              <w:rPr>
                <w:rFonts w:ascii="Arial" w:cs="Arial" w:eastAsia="Arial" w:hAnsi="Arial"/>
                <w:sz w:val="18"/>
                <w:szCs w:val="18"/>
                <w:color w:val="auto"/>
              </w:rPr>
              <w:t>156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S+1.762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57"/>
        </w:trPr>
        <w:tc>
          <w:tcPr>
            <w:tcW w:w="5120" w:type="dxa"/>
            <w:vAlign w:val="bottom"/>
            <w:gridSpan w:val="3"/>
            <w:shd w:val="clear" w:color="auto" w:fill="E6E6E6"/>
          </w:tcPr>
          <w:p>
            <w:pPr>
              <w:jc w:val="right"/>
              <w:ind w:right="254"/>
              <w:spacing w:after="0"/>
              <w:rPr>
                <w:sz w:val="20"/>
                <w:szCs w:val="20"/>
                <w:color w:val="auto"/>
              </w:rPr>
            </w:pPr>
            <w:r>
              <w:rPr>
                <w:rFonts w:ascii="Arial" w:cs="Arial" w:eastAsia="Arial" w:hAnsi="Arial"/>
                <w:sz w:val="18"/>
                <w:szCs w:val="18"/>
                <w:color w:val="auto"/>
                <w:w w:val="90"/>
              </w:rPr>
              <w:t xml:space="preserve">Daggett 3, due 2028 </w:t>
            </w:r>
            <w:r>
              <w:rPr>
                <w:rFonts w:ascii="Arial" w:cs="Arial" w:eastAsia="Arial" w:hAnsi="Arial"/>
                <w:sz w:val="18"/>
                <w:szCs w:val="18"/>
                <w:color w:val="BDBDBD"/>
                <w:w w:val="90"/>
              </w:rPr>
              <w:t>. . . . . . . . . . . . . . . . . . . . . . . . . . . . . . . . . . . .</w:t>
            </w: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217</w:t>
            </w:r>
          </w:p>
        </w:tc>
        <w:tc>
          <w:tcPr>
            <w:tcW w:w="80" w:type="dxa"/>
            <w:vAlign w:val="bottom"/>
            <w:shd w:val="clear" w:color="auto" w:fill="E6E6E6"/>
          </w:tcPr>
          <w:p>
            <w:pPr>
              <w:spacing w:after="0"/>
              <w:rPr>
                <w:sz w:val="22"/>
                <w:szCs w:val="22"/>
                <w:color w:val="auto"/>
              </w:rPr>
            </w:pPr>
          </w:p>
        </w:tc>
        <w:tc>
          <w:tcPr>
            <w:tcW w:w="28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2"/>
                <w:szCs w:val="22"/>
                <w:color w:val="auto"/>
              </w:rPr>
            </w:pPr>
          </w:p>
        </w:tc>
        <w:tc>
          <w:tcPr>
            <w:tcW w:w="13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S+1.762</w:t>
            </w:r>
          </w:p>
        </w:tc>
        <w:tc>
          <w:tcPr>
            <w:tcW w:w="8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13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50"/>
        </w:trPr>
        <w:tc>
          <w:tcPr>
            <w:tcW w:w="484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 xml:space="preserve">DG-CS Master Borrower LLC, due 2040  </w:t>
            </w:r>
            <w:r>
              <w:rPr>
                <w:rFonts w:ascii="Arial" w:cs="Arial" w:eastAsia="Arial" w:hAnsi="Arial"/>
                <w:sz w:val="18"/>
                <w:szCs w:val="18"/>
                <w:color w:val="BDBDBD"/>
                <w:w w:val="92"/>
              </w:rPr>
              <w:t>. . . . . . . . . . . . . . . . . . .</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3.510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57"/>
        </w:trPr>
        <w:tc>
          <w:tcPr>
            <w:tcW w:w="5120" w:type="dxa"/>
            <w:vAlign w:val="bottom"/>
            <w:gridSpan w:val="3"/>
            <w:shd w:val="clear" w:color="auto" w:fill="E6E6E6"/>
          </w:tcPr>
          <w:p>
            <w:pPr>
              <w:jc w:val="right"/>
              <w:ind w:right="254"/>
              <w:spacing w:after="0" w:line="257" w:lineRule="exact"/>
              <w:rPr>
                <w:sz w:val="20"/>
                <w:szCs w:val="20"/>
                <w:color w:val="auto"/>
              </w:rPr>
            </w:pPr>
            <w:r>
              <w:rPr>
                <w:rFonts w:ascii="Arial" w:cs="Arial" w:eastAsia="Arial" w:hAnsi="Arial"/>
                <w:sz w:val="18"/>
                <w:szCs w:val="18"/>
                <w:color w:val="auto"/>
                <w:w w:val="91"/>
              </w:rPr>
              <w:t xml:space="preserve">Mililani I, due 2027 </w:t>
            </w:r>
            <w:r>
              <w:rPr>
                <w:rFonts w:ascii="Arial" w:cs="Arial" w:eastAsia="Arial" w:hAnsi="Arial"/>
                <w:sz w:val="23"/>
                <w:szCs w:val="23"/>
                <w:color w:val="auto"/>
                <w:w w:val="91"/>
                <w:vertAlign w:val="superscript"/>
              </w:rPr>
              <w:t>(c)</w:t>
            </w:r>
            <w:r>
              <w:rPr>
                <w:rFonts w:ascii="Arial" w:cs="Arial" w:eastAsia="Arial" w:hAnsi="Arial"/>
                <w:sz w:val="18"/>
                <w:szCs w:val="18"/>
                <w:color w:val="auto"/>
                <w:w w:val="91"/>
              </w:rPr>
              <w:t xml:space="preserve">  </w:t>
            </w:r>
            <w:r>
              <w:rPr>
                <w:rFonts w:ascii="Arial" w:cs="Arial" w:eastAsia="Arial" w:hAnsi="Arial"/>
                <w:sz w:val="18"/>
                <w:szCs w:val="18"/>
                <w:color w:val="BDBDBD"/>
                <w:w w:val="91"/>
              </w:rPr>
              <w:t>. . . . . . . . . . . . . . . . . . . . . . . . . . . . . . . . . .</w:t>
            </w: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2"/>
                <w:szCs w:val="22"/>
                <w:color w:val="auto"/>
              </w:rPr>
            </w:pPr>
          </w:p>
        </w:tc>
        <w:tc>
          <w:tcPr>
            <w:tcW w:w="28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47</w:t>
            </w:r>
          </w:p>
        </w:tc>
        <w:tc>
          <w:tcPr>
            <w:tcW w:w="80" w:type="dxa"/>
            <w:vAlign w:val="bottom"/>
            <w:shd w:val="clear" w:color="auto" w:fill="E6E6E6"/>
          </w:tcPr>
          <w:p>
            <w:pPr>
              <w:spacing w:after="0"/>
              <w:rPr>
                <w:sz w:val="22"/>
                <w:szCs w:val="22"/>
                <w:color w:val="auto"/>
              </w:rPr>
            </w:pPr>
          </w:p>
        </w:tc>
        <w:tc>
          <w:tcPr>
            <w:tcW w:w="13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S+1.600</w:t>
            </w:r>
          </w:p>
        </w:tc>
        <w:tc>
          <w:tcPr>
            <w:tcW w:w="8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13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4"/>
        </w:trPr>
        <w:tc>
          <w:tcPr>
            <w:tcW w:w="4840" w:type="dxa"/>
            <w:vAlign w:val="bottom"/>
            <w:gridSpan w:val="2"/>
          </w:tcPr>
          <w:p>
            <w:pPr>
              <w:jc w:val="right"/>
              <w:ind w:right="60"/>
              <w:spacing w:after="0" w:line="254" w:lineRule="exact"/>
              <w:rPr>
                <w:sz w:val="20"/>
                <w:szCs w:val="20"/>
                <w:color w:val="auto"/>
              </w:rPr>
            </w:pPr>
            <w:r>
              <w:rPr>
                <w:rFonts w:ascii="Arial" w:cs="Arial" w:eastAsia="Arial" w:hAnsi="Arial"/>
                <w:sz w:val="18"/>
                <w:szCs w:val="18"/>
                <w:color w:val="auto"/>
                <w:w w:val="92"/>
              </w:rPr>
              <w:t xml:space="preserve">Mililani Class B Member Holdco LLC, due 2028 </w:t>
            </w:r>
            <w:r>
              <w:rPr>
                <w:rFonts w:ascii="Arial" w:cs="Arial" w:eastAsia="Arial" w:hAnsi="Arial"/>
                <w:sz w:val="23"/>
                <w:szCs w:val="23"/>
                <w:color w:val="auto"/>
                <w:w w:val="92"/>
                <w:vertAlign w:val="superscript"/>
              </w:rPr>
              <w:t>(c)</w:t>
            </w:r>
            <w:r>
              <w:rPr>
                <w:rFonts w:ascii="Arial" w:cs="Arial" w:eastAsia="Arial" w:hAnsi="Arial"/>
                <w:sz w:val="18"/>
                <w:szCs w:val="18"/>
                <w:color w:val="auto"/>
                <w:w w:val="92"/>
              </w:rPr>
              <w:t xml:space="preserve">  </w:t>
            </w:r>
            <w:r>
              <w:rPr>
                <w:rFonts w:ascii="Arial" w:cs="Arial" w:eastAsia="Arial" w:hAnsi="Arial"/>
                <w:sz w:val="18"/>
                <w:szCs w:val="18"/>
                <w:color w:val="BDBDBD"/>
                <w:w w:val="92"/>
              </w:rPr>
              <w:t>. . . . . . . . . . .</w:t>
            </w: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S+1.600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54"/>
        </w:trPr>
        <w:tc>
          <w:tcPr>
            <w:tcW w:w="5120" w:type="dxa"/>
            <w:vAlign w:val="bottom"/>
            <w:gridSpan w:val="3"/>
            <w:shd w:val="clear" w:color="auto" w:fill="E6E6E6"/>
          </w:tcPr>
          <w:p>
            <w:pPr>
              <w:jc w:val="right"/>
              <w:ind w:right="254"/>
              <w:spacing w:after="0"/>
              <w:rPr>
                <w:sz w:val="20"/>
                <w:szCs w:val="20"/>
                <w:color w:val="auto"/>
              </w:rPr>
            </w:pPr>
            <w:r>
              <w:rPr>
                <w:rFonts w:ascii="Arial" w:cs="Arial" w:eastAsia="Arial" w:hAnsi="Arial"/>
                <w:sz w:val="18"/>
                <w:szCs w:val="18"/>
                <w:color w:val="auto"/>
                <w:w w:val="91"/>
              </w:rPr>
              <w:t xml:space="preserve">NIMH Solar, due 2024 </w:t>
            </w:r>
            <w:r>
              <w:rPr>
                <w:rFonts w:ascii="Arial" w:cs="Arial" w:eastAsia="Arial" w:hAnsi="Arial"/>
                <w:sz w:val="18"/>
                <w:szCs w:val="18"/>
                <w:color w:val="BDBDBD"/>
                <w:w w:val="91"/>
              </w:rPr>
              <w:t>. . . . . . . . . . . . . . . . . . . . . . . . . . . . . . . . . .</w:t>
            </w: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148</w:t>
            </w:r>
          </w:p>
        </w:tc>
        <w:tc>
          <w:tcPr>
            <w:tcW w:w="80" w:type="dxa"/>
            <w:vAlign w:val="bottom"/>
            <w:shd w:val="clear" w:color="auto" w:fill="E6E6E6"/>
          </w:tcPr>
          <w:p>
            <w:pPr>
              <w:spacing w:after="0"/>
              <w:rPr>
                <w:sz w:val="22"/>
                <w:szCs w:val="22"/>
                <w:color w:val="auto"/>
              </w:rPr>
            </w:pPr>
          </w:p>
        </w:tc>
        <w:tc>
          <w:tcPr>
            <w:tcW w:w="28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163</w:t>
            </w:r>
          </w:p>
        </w:tc>
        <w:tc>
          <w:tcPr>
            <w:tcW w:w="80" w:type="dxa"/>
            <w:vAlign w:val="bottom"/>
            <w:shd w:val="clear" w:color="auto" w:fill="E6E6E6"/>
          </w:tcPr>
          <w:p>
            <w:pPr>
              <w:spacing w:after="0"/>
              <w:rPr>
                <w:sz w:val="22"/>
                <w:szCs w:val="22"/>
                <w:color w:val="auto"/>
              </w:rPr>
            </w:pPr>
          </w:p>
        </w:tc>
        <w:tc>
          <w:tcPr>
            <w:tcW w:w="13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S+2.275</w:t>
            </w:r>
          </w:p>
        </w:tc>
        <w:tc>
          <w:tcPr>
            <w:tcW w:w="8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13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3"/>
        </w:trPr>
        <w:tc>
          <w:tcPr>
            <w:tcW w:w="484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 xml:space="preserve">Oahu Solar Holdings LLC, due 2026 </w:t>
            </w:r>
            <w:r>
              <w:rPr>
                <w:rFonts w:ascii="Arial" w:cs="Arial" w:eastAsia="Arial" w:hAnsi="Arial"/>
                <w:sz w:val="18"/>
                <w:szCs w:val="18"/>
                <w:color w:val="BDBDBD"/>
                <w:w w:val="91"/>
              </w:rPr>
              <w:t>. . . . . . . . . . . . . . . . . . . . . . .</w:t>
            </w: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S+1.525</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4"/>
        </w:trPr>
        <w:tc>
          <w:tcPr>
            <w:tcW w:w="484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w w:val="90"/>
              </w:rPr>
              <w:t xml:space="preserve">Rosie Class B LLC, due 2024 and 2029 </w:t>
            </w:r>
            <w:r>
              <w:rPr>
                <w:rFonts w:ascii="Arial" w:cs="Arial" w:eastAsia="Arial" w:hAnsi="Arial"/>
                <w:sz w:val="18"/>
                <w:szCs w:val="18"/>
                <w:color w:val="BDBDBD"/>
                <w:w w:val="90"/>
              </w:rPr>
              <w:t>. . . . . . . . . . . . . . . . . . . . .</w:t>
            </w:r>
          </w:p>
        </w:tc>
        <w:tc>
          <w:tcPr>
            <w:tcW w:w="28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347</w:t>
            </w:r>
          </w:p>
        </w:tc>
        <w:tc>
          <w:tcPr>
            <w:tcW w:w="80" w:type="dxa"/>
            <w:vAlign w:val="bottom"/>
            <w:shd w:val="clear" w:color="auto" w:fill="E6E6E6"/>
          </w:tcPr>
          <w:p>
            <w:pPr>
              <w:spacing w:after="0"/>
              <w:rPr>
                <w:sz w:val="22"/>
                <w:szCs w:val="22"/>
                <w:color w:val="auto"/>
              </w:rPr>
            </w:pPr>
          </w:p>
        </w:tc>
        <w:tc>
          <w:tcPr>
            <w:tcW w:w="28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E6E6E6"/>
          </w:tcPr>
          <w:p>
            <w:pPr>
              <w:spacing w:after="0"/>
              <w:rPr>
                <w:sz w:val="22"/>
                <w:szCs w:val="22"/>
                <w:color w:val="auto"/>
              </w:rPr>
            </w:pPr>
          </w:p>
        </w:tc>
        <w:tc>
          <w:tcPr>
            <w:tcW w:w="13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S+1.250-1.375</w:t>
            </w:r>
          </w:p>
        </w:tc>
        <w:tc>
          <w:tcPr>
            <w:tcW w:w="8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13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54"/>
        </w:trPr>
        <w:tc>
          <w:tcPr>
            <w:tcW w:w="484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 xml:space="preserve">Texas Solar Nova 1, due 2028 </w:t>
            </w:r>
            <w:r>
              <w:rPr>
                <w:rFonts w:ascii="Arial" w:cs="Arial" w:eastAsia="Arial" w:hAnsi="Arial"/>
                <w:sz w:val="18"/>
                <w:szCs w:val="18"/>
                <w:color w:val="BDBDBD"/>
                <w:w w:val="90"/>
              </w:rPr>
              <w:t>. . . . . . . . . . . . . . . . . . . . . . . . . . . .</w:t>
            </w: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S+1.750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54"/>
        </w:trPr>
        <w:tc>
          <w:tcPr>
            <w:tcW w:w="484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w w:val="91"/>
              </w:rPr>
              <w:t xml:space="preserve">Utah Solar Portfolio, due 2036 </w:t>
            </w:r>
            <w:r>
              <w:rPr>
                <w:rFonts w:ascii="Arial" w:cs="Arial" w:eastAsia="Arial" w:hAnsi="Arial"/>
                <w:sz w:val="18"/>
                <w:szCs w:val="18"/>
                <w:color w:val="BDBDBD"/>
                <w:w w:val="91"/>
              </w:rPr>
              <w:t>. . . . . . . . . . . . . . . . . . . . . . . . . . . .</w:t>
            </w:r>
          </w:p>
        </w:tc>
        <w:tc>
          <w:tcPr>
            <w:tcW w:w="28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242</w:t>
            </w:r>
          </w:p>
        </w:tc>
        <w:tc>
          <w:tcPr>
            <w:tcW w:w="80" w:type="dxa"/>
            <w:vAlign w:val="bottom"/>
            <w:shd w:val="clear" w:color="auto" w:fill="E6E6E6"/>
          </w:tcPr>
          <w:p>
            <w:pPr>
              <w:spacing w:after="0"/>
              <w:rPr>
                <w:sz w:val="22"/>
                <w:szCs w:val="22"/>
                <w:color w:val="auto"/>
              </w:rPr>
            </w:pPr>
          </w:p>
        </w:tc>
        <w:tc>
          <w:tcPr>
            <w:tcW w:w="28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257</w:t>
            </w:r>
          </w:p>
        </w:tc>
        <w:tc>
          <w:tcPr>
            <w:tcW w:w="138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3.590</w:t>
            </w:r>
          </w:p>
        </w:tc>
        <w:tc>
          <w:tcPr>
            <w:tcW w:w="8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13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54"/>
        </w:trPr>
        <w:tc>
          <w:tcPr>
            <w:tcW w:w="48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 xml:space="preserve">Viento Funding II, LLC, due 2029  </w:t>
            </w:r>
            <w:r>
              <w:rPr>
                <w:rFonts w:ascii="Arial" w:cs="Arial" w:eastAsia="Arial" w:hAnsi="Arial"/>
                <w:sz w:val="18"/>
                <w:szCs w:val="18"/>
                <w:color w:val="BDBDBD"/>
                <w:w w:val="93"/>
              </w:rPr>
              <w:t>. . . . . . . . . . . . . . . . . . . . . . . .</w:t>
            </w: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175</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184</w:t>
            </w:r>
          </w:p>
        </w:tc>
        <w:tc>
          <w:tcPr>
            <w:tcW w:w="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S+1.475</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54"/>
        </w:trPr>
        <w:tc>
          <w:tcPr>
            <w:tcW w:w="484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w w:val="91"/>
              </w:rPr>
              <w:t xml:space="preserve">Victory Pass and Arica, due 2024  </w:t>
            </w:r>
            <w:r>
              <w:rPr>
                <w:rFonts w:ascii="Arial" w:cs="Arial" w:eastAsia="Arial" w:hAnsi="Arial"/>
                <w:sz w:val="18"/>
                <w:szCs w:val="18"/>
                <w:color w:val="BDBDBD"/>
                <w:w w:val="91"/>
              </w:rPr>
              <w:t>. . . . . . . . . . . . . . . . . . . . . . . . .</w:t>
            </w:r>
          </w:p>
        </w:tc>
        <w:tc>
          <w:tcPr>
            <w:tcW w:w="28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757</w:t>
            </w:r>
          </w:p>
        </w:tc>
        <w:tc>
          <w:tcPr>
            <w:tcW w:w="80" w:type="dxa"/>
            <w:vAlign w:val="bottom"/>
            <w:shd w:val="clear" w:color="auto" w:fill="E6E6E6"/>
          </w:tcPr>
          <w:p>
            <w:pPr>
              <w:spacing w:after="0"/>
              <w:rPr>
                <w:sz w:val="22"/>
                <w:szCs w:val="22"/>
                <w:color w:val="auto"/>
              </w:rPr>
            </w:pPr>
          </w:p>
        </w:tc>
        <w:tc>
          <w:tcPr>
            <w:tcW w:w="28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2"/>
                <w:szCs w:val="22"/>
                <w:color w:val="auto"/>
              </w:rPr>
            </w:pPr>
          </w:p>
        </w:tc>
        <w:tc>
          <w:tcPr>
            <w:tcW w:w="13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S+1.125</w:t>
            </w:r>
          </w:p>
        </w:tc>
        <w:tc>
          <w:tcPr>
            <w:tcW w:w="8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13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4"/>
        </w:trPr>
        <w:tc>
          <w:tcPr>
            <w:tcW w:w="5120" w:type="dxa"/>
            <w:vAlign w:val="bottom"/>
            <w:gridSpan w:val="3"/>
          </w:tcPr>
          <w:p>
            <w:pPr>
              <w:jc w:val="right"/>
              <w:ind w:right="254"/>
              <w:spacing w:after="0" w:line="254" w:lineRule="exact"/>
              <w:rPr>
                <w:sz w:val="20"/>
                <w:szCs w:val="20"/>
                <w:color w:val="auto"/>
              </w:rPr>
            </w:pPr>
            <w:r>
              <w:rPr>
                <w:rFonts w:ascii="Arial" w:cs="Arial" w:eastAsia="Arial" w:hAnsi="Arial"/>
                <w:sz w:val="18"/>
                <w:szCs w:val="18"/>
                <w:color w:val="auto"/>
                <w:w w:val="90"/>
              </w:rPr>
              <w:t xml:space="preserve">Waiawa, due 2028 </w:t>
            </w:r>
            <w:r>
              <w:rPr>
                <w:rFonts w:ascii="Arial" w:cs="Arial" w:eastAsia="Arial" w:hAnsi="Arial"/>
                <w:sz w:val="23"/>
                <w:szCs w:val="23"/>
                <w:color w:val="auto"/>
                <w:w w:val="90"/>
                <w:vertAlign w:val="superscript"/>
              </w:rPr>
              <w:t>(c)</w:t>
            </w:r>
            <w:r>
              <w:rPr>
                <w:rFonts w:ascii="Arial" w:cs="Arial" w:eastAsia="Arial" w:hAnsi="Arial"/>
                <w:sz w:val="18"/>
                <w:szCs w:val="18"/>
                <w:color w:val="auto"/>
                <w:w w:val="90"/>
              </w:rPr>
              <w:t xml:space="preserve">  </w:t>
            </w:r>
            <w:r>
              <w:rPr>
                <w:rFonts w:ascii="Arial" w:cs="Arial" w:eastAsia="Arial" w:hAnsi="Arial"/>
                <w:sz w:val="18"/>
                <w:szCs w:val="18"/>
                <w:color w:val="BDBDBD"/>
                <w:w w:val="90"/>
              </w:rPr>
              <w:t>. . . . . . . . . . . . . . . . . . . . . . . . . . . . . . . . . . .</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S+1.600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5120" w:type="dxa"/>
            <w:vAlign w:val="bottom"/>
            <w:gridSpan w:val="3"/>
            <w:shd w:val="clear" w:color="auto" w:fill="E6E6E6"/>
          </w:tcPr>
          <w:p>
            <w:pPr>
              <w:jc w:val="right"/>
              <w:ind w:right="254"/>
              <w:spacing w:after="0"/>
              <w:rPr>
                <w:sz w:val="20"/>
                <w:szCs w:val="20"/>
                <w:color w:val="auto"/>
              </w:rPr>
            </w:pPr>
            <w:r>
              <w:rPr>
                <w:rFonts w:ascii="Arial" w:cs="Arial" w:eastAsia="Arial" w:hAnsi="Arial"/>
                <w:sz w:val="18"/>
                <w:szCs w:val="18"/>
                <w:color w:val="auto"/>
                <w:w w:val="90"/>
              </w:rPr>
              <w:t xml:space="preserve">Other </w:t>
            </w:r>
            <w:r>
              <w:rPr>
                <w:rFonts w:ascii="Arial" w:cs="Arial" w:eastAsia="Arial" w:hAnsi="Arial"/>
                <w:sz w:val="18"/>
                <w:szCs w:val="18"/>
                <w:color w:val="BDBDBD"/>
                <w:w w:val="90"/>
              </w:rPr>
              <w:t>. . . . . . . . . . . . . . . . . . . . . . . . . . . . . . . . . . . . . . . . . . . . . . . .</w:t>
            </w: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124</w:t>
            </w:r>
          </w:p>
        </w:tc>
        <w:tc>
          <w:tcPr>
            <w:tcW w:w="80" w:type="dxa"/>
            <w:vAlign w:val="bottom"/>
            <w:shd w:val="clear" w:color="auto" w:fill="E6E6E6"/>
          </w:tcPr>
          <w:p>
            <w:pPr>
              <w:spacing w:after="0"/>
              <w:rPr>
                <w:sz w:val="22"/>
                <w:szCs w:val="22"/>
                <w:color w:val="auto"/>
              </w:rPr>
            </w:pPr>
          </w:p>
        </w:tc>
        <w:tc>
          <w:tcPr>
            <w:tcW w:w="28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201</w:t>
            </w:r>
          </w:p>
        </w:tc>
        <w:tc>
          <w:tcPr>
            <w:tcW w:w="80" w:type="dxa"/>
            <w:vAlign w:val="bottom"/>
            <w:shd w:val="clear" w:color="auto" w:fill="E6E6E6"/>
          </w:tcPr>
          <w:p>
            <w:pPr>
              <w:spacing w:after="0"/>
              <w:rPr>
                <w:sz w:val="22"/>
                <w:szCs w:val="22"/>
                <w:color w:val="auto"/>
              </w:rPr>
            </w:pPr>
          </w:p>
        </w:tc>
        <w:tc>
          <w:tcPr>
            <w:tcW w:w="13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Various</w:t>
            </w:r>
          </w:p>
        </w:tc>
        <w:tc>
          <w:tcPr>
            <w:tcW w:w="8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13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9"/>
        </w:trPr>
        <w:tc>
          <w:tcPr>
            <w:tcW w:w="4840" w:type="dxa"/>
            <w:vAlign w:val="bottom"/>
            <w:tcBorders>
              <w:top w:val="single" w:sz="8" w:color="E6E6E6"/>
              <w:bottom w:val="single" w:sz="8" w:color="E6E6E6"/>
            </w:tcBorders>
            <w:gridSpan w:val="2"/>
          </w:tcPr>
          <w:p>
            <w:pPr>
              <w:jc w:val="right"/>
              <w:ind w:right="60"/>
              <w:spacing w:after="0"/>
              <w:rPr>
                <w:sz w:val="20"/>
                <w:szCs w:val="20"/>
                <w:color w:val="auto"/>
              </w:rPr>
            </w:pPr>
            <w:r>
              <w:rPr>
                <w:rFonts w:ascii="Arial" w:cs="Arial" w:eastAsia="Arial" w:hAnsi="Arial"/>
                <w:sz w:val="18"/>
                <w:szCs w:val="18"/>
                <w:color w:val="BDBDBD"/>
                <w:w w:val="97"/>
              </w:rPr>
              <w:t>. . . . . . . . . . . . . . . . . . .</w:t>
            </w:r>
            <w:r>
              <w:rPr>
                <w:rFonts w:ascii="Arial" w:cs="Arial" w:eastAsia="Arial" w:hAnsi="Arial"/>
                <w:sz w:val="18"/>
                <w:szCs w:val="18"/>
                <w:color w:val="000000"/>
                <w:w w:val="97"/>
              </w:rPr>
              <w:t>Subtotalnon-recourseproject-leveldebt</w:t>
            </w:r>
          </w:p>
        </w:tc>
        <w:tc>
          <w:tcPr>
            <w:tcW w:w="2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5,974</w:t>
            </w:r>
          </w:p>
        </w:tc>
        <w:tc>
          <w:tcPr>
            <w:tcW w:w="80" w:type="dxa"/>
            <w:vAlign w:val="bottom"/>
            <w:tcBorders>
              <w:top w:val="single" w:sz="8" w:color="E6E6E6"/>
              <w:bottom w:val="single" w:sz="8" w:color="E6E6E6"/>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4,745</w:t>
            </w:r>
          </w:p>
        </w:tc>
        <w:tc>
          <w:tcPr>
            <w:tcW w:w="80" w:type="dxa"/>
            <w:vAlign w:val="bottom"/>
            <w:tcBorders>
              <w:top w:val="single" w:sz="8" w:color="E6E6E6"/>
              <w:bottom w:val="single" w:sz="8" w:color="E6E6E6"/>
            </w:tcBorders>
          </w:tcPr>
          <w:p>
            <w:pPr>
              <w:spacing w:after="0"/>
              <w:rPr>
                <w:sz w:val="20"/>
                <w:szCs w:val="20"/>
                <w:color w:val="auto"/>
              </w:rPr>
            </w:pPr>
          </w:p>
        </w:tc>
        <w:tc>
          <w:tcPr>
            <w:tcW w:w="1300" w:type="dxa"/>
            <w:vAlign w:val="bottom"/>
            <w:tcBorders>
              <w:top w:val="single" w:sz="8" w:color="E6E6E6"/>
              <w:bottom w:val="single" w:sz="8" w:color="E6E6E6"/>
            </w:tcBorders>
          </w:tcPr>
          <w:p>
            <w:pPr>
              <w:spacing w:after="0"/>
              <w:rPr>
                <w:sz w:val="20"/>
                <w:szCs w:val="20"/>
                <w:color w:val="auto"/>
              </w:rPr>
            </w:pPr>
          </w:p>
        </w:tc>
        <w:tc>
          <w:tcPr>
            <w:tcW w:w="80" w:type="dxa"/>
            <w:vAlign w:val="bottom"/>
            <w:tcBorders>
              <w:top w:val="single" w:sz="8" w:color="E6E6E6"/>
              <w:bottom w:val="single" w:sz="8" w:color="E6E6E6"/>
            </w:tcBorders>
          </w:tcPr>
          <w:p>
            <w:pPr>
              <w:spacing w:after="0"/>
              <w:rPr>
                <w:sz w:val="20"/>
                <w:szCs w:val="20"/>
                <w:color w:val="auto"/>
              </w:rPr>
            </w:pPr>
          </w:p>
        </w:tc>
        <w:tc>
          <w:tcPr>
            <w:tcW w:w="160" w:type="dxa"/>
            <w:vAlign w:val="bottom"/>
            <w:tcBorders>
              <w:top w:val="single" w:sz="8" w:color="E6E6E6"/>
              <w:bottom w:val="single" w:sz="8" w:color="E6E6E6"/>
            </w:tcBorders>
          </w:tcPr>
          <w:p>
            <w:pPr>
              <w:spacing w:after="0"/>
              <w:rPr>
                <w:sz w:val="20"/>
                <w:szCs w:val="20"/>
                <w:color w:val="auto"/>
              </w:rPr>
            </w:pPr>
          </w:p>
        </w:tc>
        <w:tc>
          <w:tcPr>
            <w:tcW w:w="1380" w:type="dxa"/>
            <w:vAlign w:val="bottom"/>
            <w:tcBorders>
              <w:top w:val="single" w:sz="8" w:color="E6E6E6"/>
              <w:bottom w:val="single" w:sz="8" w:color="E6E6E6"/>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120" w:type="dxa"/>
            <w:vAlign w:val="bottom"/>
            <w:tcBorders>
              <w:top w:val="single" w:sz="8" w:color="E6E6E6"/>
            </w:tcBorders>
            <w:gridSpan w:val="3"/>
            <w:shd w:val="clear" w:color="auto" w:fill="E6E6E6"/>
          </w:tcPr>
          <w:p>
            <w:pPr>
              <w:jc w:val="right"/>
              <w:ind w:right="254"/>
              <w:spacing w:after="0"/>
              <w:rPr>
                <w:sz w:val="20"/>
                <w:szCs w:val="20"/>
                <w:color w:val="auto"/>
              </w:rPr>
            </w:pPr>
            <w:r>
              <w:rPr>
                <w:rFonts w:ascii="Arial" w:cs="Arial" w:eastAsia="Arial" w:hAnsi="Arial"/>
                <w:sz w:val="18"/>
                <w:szCs w:val="18"/>
                <w:color w:val="BDBDBD"/>
              </w:rPr>
              <w:t>. . . . . . . . . . . . . . . . . . . . . . . . . . . . . . . . . . . . . . . .</w:t>
            </w:r>
            <w:r>
              <w:rPr>
                <w:rFonts w:ascii="Arial" w:cs="Arial" w:eastAsia="Arial" w:hAnsi="Arial"/>
                <w:sz w:val="18"/>
                <w:szCs w:val="18"/>
                <w:color w:val="000000"/>
              </w:rPr>
              <w:t>Totaldebt</w:t>
            </w:r>
          </w:p>
        </w:tc>
        <w:tc>
          <w:tcPr>
            <w:tcW w:w="860" w:type="dxa"/>
            <w:vAlign w:val="bottom"/>
            <w:tcBorders>
              <w:top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8,099</w:t>
            </w:r>
          </w:p>
        </w:tc>
        <w:tc>
          <w:tcPr>
            <w:tcW w:w="80" w:type="dxa"/>
            <w:vAlign w:val="bottom"/>
            <w:tcBorders>
              <w:top w:val="single" w:sz="8" w:color="E6E6E6"/>
            </w:tcBorders>
            <w:shd w:val="clear" w:color="auto" w:fill="E6E6E6"/>
          </w:tcPr>
          <w:p>
            <w:pPr>
              <w:spacing w:after="0"/>
              <w:rPr>
                <w:sz w:val="19"/>
                <w:szCs w:val="19"/>
                <w:color w:val="auto"/>
              </w:rPr>
            </w:pPr>
          </w:p>
        </w:tc>
        <w:tc>
          <w:tcPr>
            <w:tcW w:w="280" w:type="dxa"/>
            <w:vAlign w:val="bottom"/>
            <w:tcBorders>
              <w:top w:val="single" w:sz="8" w:color="auto"/>
            </w:tcBorders>
            <w:shd w:val="clear" w:color="auto" w:fill="E6E6E6"/>
          </w:tcPr>
          <w:p>
            <w:pPr>
              <w:spacing w:after="0"/>
              <w:rPr>
                <w:sz w:val="19"/>
                <w:szCs w:val="19"/>
                <w:color w:val="auto"/>
              </w:rPr>
            </w:pPr>
          </w:p>
        </w:tc>
        <w:tc>
          <w:tcPr>
            <w:tcW w:w="86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6,870</w:t>
            </w:r>
          </w:p>
        </w:tc>
        <w:tc>
          <w:tcPr>
            <w:tcW w:w="80" w:type="dxa"/>
            <w:vAlign w:val="bottom"/>
            <w:tcBorders>
              <w:top w:val="single" w:sz="8" w:color="E6E6E6"/>
            </w:tcBorders>
            <w:shd w:val="clear" w:color="auto" w:fill="E6E6E6"/>
          </w:tcPr>
          <w:p>
            <w:pPr>
              <w:spacing w:after="0"/>
              <w:rPr>
                <w:sz w:val="19"/>
                <w:szCs w:val="19"/>
                <w:color w:val="auto"/>
              </w:rPr>
            </w:pPr>
          </w:p>
        </w:tc>
        <w:tc>
          <w:tcPr>
            <w:tcW w:w="1300" w:type="dxa"/>
            <w:vAlign w:val="bottom"/>
            <w:tcBorders>
              <w:top w:val="single" w:sz="8" w:color="E6E6E6"/>
            </w:tcBorders>
            <w:shd w:val="clear" w:color="auto" w:fill="E6E6E6"/>
          </w:tcPr>
          <w:p>
            <w:pPr>
              <w:spacing w:after="0"/>
              <w:rPr>
                <w:sz w:val="19"/>
                <w:szCs w:val="19"/>
                <w:color w:val="auto"/>
              </w:rPr>
            </w:pPr>
          </w:p>
        </w:tc>
        <w:tc>
          <w:tcPr>
            <w:tcW w:w="80" w:type="dxa"/>
            <w:vAlign w:val="bottom"/>
            <w:tcBorders>
              <w:top w:val="single" w:sz="8" w:color="E6E6E6"/>
            </w:tcBorders>
            <w:shd w:val="clear" w:color="auto" w:fill="E6E6E6"/>
          </w:tcPr>
          <w:p>
            <w:pPr>
              <w:spacing w:after="0"/>
              <w:rPr>
                <w:sz w:val="19"/>
                <w:szCs w:val="19"/>
                <w:color w:val="auto"/>
              </w:rPr>
            </w:pPr>
          </w:p>
        </w:tc>
        <w:tc>
          <w:tcPr>
            <w:tcW w:w="160" w:type="dxa"/>
            <w:vAlign w:val="bottom"/>
            <w:tcBorders>
              <w:top w:val="single" w:sz="8" w:color="E6E6E6"/>
            </w:tcBorders>
            <w:shd w:val="clear" w:color="auto" w:fill="E6E6E6"/>
          </w:tcPr>
          <w:p>
            <w:pPr>
              <w:spacing w:after="0"/>
              <w:rPr>
                <w:sz w:val="19"/>
                <w:szCs w:val="19"/>
                <w:color w:val="auto"/>
              </w:rPr>
            </w:pPr>
          </w:p>
        </w:tc>
        <w:tc>
          <w:tcPr>
            <w:tcW w:w="1380" w:type="dxa"/>
            <w:vAlign w:val="bottom"/>
            <w:tcBorders>
              <w:top w:val="single" w:sz="8" w:color="E6E6E6"/>
            </w:tcBorders>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120" w:type="dxa"/>
            <w:vAlign w:val="bottom"/>
            <w:gridSpan w:val="3"/>
          </w:tcPr>
          <w:p>
            <w:pPr>
              <w:jc w:val="right"/>
              <w:ind w:right="254"/>
              <w:spacing w:after="0"/>
              <w:rPr>
                <w:sz w:val="20"/>
                <w:szCs w:val="20"/>
                <w:color w:val="auto"/>
              </w:rPr>
            </w:pPr>
            <w:r>
              <w:rPr>
                <w:rFonts w:ascii="Arial" w:cs="Arial" w:eastAsia="Arial" w:hAnsi="Arial"/>
                <w:sz w:val="18"/>
                <w:szCs w:val="18"/>
                <w:color w:val="auto"/>
                <w:w w:val="91"/>
              </w:rPr>
              <w:t xml:space="preserve">Less current maturities </w:t>
            </w:r>
            <w:r>
              <w:rPr>
                <w:rFonts w:ascii="Arial" w:cs="Arial" w:eastAsia="Arial" w:hAnsi="Arial"/>
                <w:sz w:val="18"/>
                <w:szCs w:val="18"/>
                <w:color w:val="BDBDBD"/>
                <w:w w:val="91"/>
              </w:rPr>
              <w:t>. . . . . . . . . . . . . . . . . . . . . . . . . . . . . . . . . .</w:t>
            </w:r>
          </w:p>
        </w:tc>
        <w:tc>
          <w:tcPr>
            <w:tcW w:w="860" w:type="dxa"/>
            <w:vAlign w:val="bottom"/>
          </w:tcPr>
          <w:p>
            <w:pPr>
              <w:jc w:val="right"/>
              <w:spacing w:after="0"/>
              <w:rPr>
                <w:sz w:val="20"/>
                <w:szCs w:val="20"/>
                <w:color w:val="auto"/>
              </w:rPr>
            </w:pPr>
            <w:r>
              <w:rPr>
                <w:rFonts w:ascii="Arial" w:cs="Arial" w:eastAsia="Arial" w:hAnsi="Arial"/>
                <w:sz w:val="18"/>
                <w:szCs w:val="18"/>
                <w:color w:val="auto"/>
              </w:rPr>
              <w:t>(558)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484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w w:val="89"/>
              </w:rPr>
              <w:t xml:space="preserve">Less net debt issuance costs </w:t>
            </w:r>
            <w:r>
              <w:rPr>
                <w:rFonts w:ascii="Arial" w:cs="Arial" w:eastAsia="Arial" w:hAnsi="Arial"/>
                <w:sz w:val="18"/>
                <w:szCs w:val="18"/>
                <w:color w:val="BDBDBD"/>
                <w:w w:val="89"/>
              </w:rPr>
              <w:t>. . . . . . . . . . . . . . . . . . . . . . . . . . . . . .</w:t>
            </w:r>
          </w:p>
        </w:tc>
        <w:tc>
          <w:tcPr>
            <w:tcW w:w="28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E6E6E6"/>
          </w:tcPr>
          <w:p>
            <w:pPr>
              <w:spacing w:after="0"/>
              <w:rPr>
                <w:sz w:val="22"/>
                <w:szCs w:val="22"/>
                <w:color w:val="auto"/>
              </w:rPr>
            </w:pPr>
          </w:p>
        </w:tc>
        <w:tc>
          <w:tcPr>
            <w:tcW w:w="28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(61)</w:t>
            </w:r>
          </w:p>
        </w:tc>
        <w:tc>
          <w:tcPr>
            <w:tcW w:w="80" w:type="dxa"/>
            <w:vAlign w:val="bottom"/>
            <w:shd w:val="clear" w:color="auto" w:fill="E6E6E6"/>
          </w:tcPr>
          <w:p>
            <w:pPr>
              <w:spacing w:after="0"/>
              <w:rPr>
                <w:sz w:val="22"/>
                <w:szCs w:val="22"/>
                <w:color w:val="auto"/>
              </w:rPr>
            </w:pPr>
          </w:p>
        </w:tc>
        <w:tc>
          <w:tcPr>
            <w:tcW w:w="130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138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5120" w:type="dxa"/>
            <w:vAlign w:val="bottom"/>
            <w:gridSpan w:val="3"/>
          </w:tcPr>
          <w:p>
            <w:pPr>
              <w:jc w:val="right"/>
              <w:ind w:right="254"/>
              <w:spacing w:after="0" w:line="244" w:lineRule="exact"/>
              <w:rPr>
                <w:sz w:val="20"/>
                <w:szCs w:val="20"/>
                <w:color w:val="auto"/>
              </w:rPr>
            </w:pPr>
            <w:r>
              <w:rPr>
                <w:rFonts w:ascii="Arial" w:cs="Arial" w:eastAsia="Arial" w:hAnsi="Arial"/>
                <w:sz w:val="18"/>
                <w:szCs w:val="18"/>
                <w:color w:val="auto"/>
                <w:w w:val="90"/>
              </w:rPr>
              <w:t xml:space="preserve">Add premiums </w:t>
            </w:r>
            <w:r>
              <w:rPr>
                <w:rFonts w:ascii="Arial" w:cs="Arial" w:eastAsia="Arial" w:hAnsi="Arial"/>
                <w:sz w:val="23"/>
                <w:szCs w:val="23"/>
                <w:color w:val="auto"/>
                <w:w w:val="90"/>
                <w:vertAlign w:val="superscript"/>
              </w:rPr>
              <w:t>(d)</w:t>
            </w:r>
            <w:r>
              <w:rPr>
                <w:rFonts w:ascii="Arial" w:cs="Arial" w:eastAsia="Arial" w:hAnsi="Arial"/>
                <w:sz w:val="18"/>
                <w:szCs w:val="18"/>
                <w:color w:val="auto"/>
                <w:w w:val="90"/>
              </w:rPr>
              <w:t xml:space="preserve">  </w:t>
            </w:r>
            <w:r>
              <w:rPr>
                <w:rFonts w:ascii="Arial" w:cs="Arial" w:eastAsia="Arial" w:hAnsi="Arial"/>
                <w:sz w:val="18"/>
                <w:szCs w:val="18"/>
                <w:color w:val="BDBDBD"/>
                <w:w w:val="90"/>
              </w:rPr>
              <w:t>. . . . . . . . . . . . . . . . . . . . . . . . . . . . . . . . . . . . . .</w:t>
            </w: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4840" w:type="dxa"/>
            <w:vAlign w:val="bottom"/>
            <w:tcBorders>
              <w:top w:val="single" w:sz="8" w:color="E6E6E6"/>
              <w:bottom w:val="single" w:sz="8" w:color="E6E6E6"/>
            </w:tcBorders>
            <w:gridSpan w:val="2"/>
            <w:shd w:val="clear" w:color="auto" w:fill="E6E6E6"/>
          </w:tcPr>
          <w:p>
            <w:pPr>
              <w:jc w:val="right"/>
              <w:ind w:right="60"/>
              <w:spacing w:after="0"/>
              <w:rPr>
                <w:sz w:val="20"/>
                <w:szCs w:val="20"/>
                <w:color w:val="auto"/>
              </w:rPr>
            </w:pPr>
            <w:r>
              <w:rPr>
                <w:rFonts w:ascii="Arial" w:cs="Arial" w:eastAsia="Arial" w:hAnsi="Arial"/>
                <w:sz w:val="18"/>
                <w:szCs w:val="18"/>
                <w:color w:val="BDBDBD"/>
                <w:w w:val="97"/>
              </w:rPr>
              <w:t>. . . . . . . . . . . . . . . . . . . . . . . . . . . . . . . . . .</w:t>
            </w:r>
            <w:r>
              <w:rPr>
                <w:rFonts w:ascii="Arial" w:cs="Arial" w:eastAsia="Arial" w:hAnsi="Arial"/>
                <w:sz w:val="18"/>
                <w:szCs w:val="18"/>
                <w:color w:val="000000"/>
                <w:w w:val="97"/>
              </w:rPr>
              <w:t>Totallong-termdebt</w:t>
            </w:r>
          </w:p>
        </w:tc>
        <w:tc>
          <w:tcPr>
            <w:tcW w:w="280" w:type="dxa"/>
            <w:vAlign w:val="bottom"/>
            <w:tcBorders>
              <w:top w:val="single" w:sz="8" w:color="auto"/>
              <w:bottom w:val="single" w:sz="8" w:color="auto"/>
            </w:tcBorders>
            <w:shd w:val="clear" w:color="auto" w:fill="E6E6E6"/>
          </w:tcPr>
          <w:p>
            <w:pPr>
              <w:jc w:val="right"/>
              <w:ind w:right="54"/>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7,479</w:t>
            </w:r>
          </w:p>
        </w:tc>
        <w:tc>
          <w:tcPr>
            <w:tcW w:w="80" w:type="dxa"/>
            <w:vAlign w:val="bottom"/>
            <w:tcBorders>
              <w:top w:val="single" w:sz="8" w:color="E6E6E6"/>
              <w:bottom w:val="single" w:sz="8" w:color="E6E6E6"/>
            </w:tcBorders>
            <w:shd w:val="clear" w:color="auto" w:fill="E6E6E6"/>
          </w:tcPr>
          <w:p>
            <w:pPr>
              <w:spacing w:after="0"/>
              <w:rPr>
                <w:sz w:val="22"/>
                <w:szCs w:val="22"/>
                <w:color w:val="auto"/>
              </w:rPr>
            </w:pPr>
          </w:p>
        </w:tc>
        <w:tc>
          <w:tcPr>
            <w:tcW w:w="280" w:type="dxa"/>
            <w:vAlign w:val="bottom"/>
            <w:tcBorders>
              <w:top w:val="single" w:sz="8" w:color="auto"/>
              <w:bottom w:val="single" w:sz="8" w:color="auto"/>
            </w:tcBorders>
            <w:shd w:val="clear" w:color="auto" w:fill="E6E6E6"/>
          </w:tcPr>
          <w:p>
            <w:pPr>
              <w:jc w:val="right"/>
              <w:ind w:right="55"/>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6,491</w:t>
            </w:r>
          </w:p>
        </w:tc>
        <w:tc>
          <w:tcPr>
            <w:tcW w:w="80" w:type="dxa"/>
            <w:vAlign w:val="bottom"/>
            <w:tcBorders>
              <w:top w:val="single" w:sz="8" w:color="E6E6E6"/>
              <w:bottom w:val="single" w:sz="8" w:color="E6E6E6"/>
            </w:tcBorders>
            <w:shd w:val="clear" w:color="auto" w:fill="E6E6E6"/>
          </w:tcPr>
          <w:p>
            <w:pPr>
              <w:spacing w:after="0"/>
              <w:rPr>
                <w:sz w:val="22"/>
                <w:szCs w:val="22"/>
                <w:color w:val="auto"/>
              </w:rPr>
            </w:pPr>
          </w:p>
        </w:tc>
        <w:tc>
          <w:tcPr>
            <w:tcW w:w="1300" w:type="dxa"/>
            <w:vAlign w:val="bottom"/>
            <w:tcBorders>
              <w:top w:val="single" w:sz="8" w:color="E6E6E6"/>
              <w:bottom w:val="single" w:sz="8" w:color="E6E6E6"/>
            </w:tcBorders>
            <w:shd w:val="clear" w:color="auto" w:fill="E6E6E6"/>
          </w:tcPr>
          <w:p>
            <w:pPr>
              <w:spacing w:after="0"/>
              <w:rPr>
                <w:sz w:val="22"/>
                <w:szCs w:val="22"/>
                <w:color w:val="auto"/>
              </w:rPr>
            </w:pPr>
          </w:p>
        </w:tc>
        <w:tc>
          <w:tcPr>
            <w:tcW w:w="80" w:type="dxa"/>
            <w:vAlign w:val="bottom"/>
            <w:tcBorders>
              <w:top w:val="single" w:sz="8" w:color="E6E6E6"/>
              <w:bottom w:val="single" w:sz="8" w:color="E6E6E6"/>
            </w:tcBorders>
            <w:shd w:val="clear" w:color="auto" w:fill="E6E6E6"/>
          </w:tcPr>
          <w:p>
            <w:pPr>
              <w:spacing w:after="0"/>
              <w:rPr>
                <w:sz w:val="22"/>
                <w:szCs w:val="22"/>
                <w:color w:val="auto"/>
              </w:rPr>
            </w:pPr>
          </w:p>
        </w:tc>
        <w:tc>
          <w:tcPr>
            <w:tcW w:w="160" w:type="dxa"/>
            <w:vAlign w:val="bottom"/>
            <w:tcBorders>
              <w:top w:val="single" w:sz="8" w:color="E6E6E6"/>
              <w:bottom w:val="single" w:sz="8" w:color="E6E6E6"/>
            </w:tcBorders>
            <w:shd w:val="clear" w:color="auto" w:fill="E6E6E6"/>
          </w:tcPr>
          <w:p>
            <w:pPr>
              <w:spacing w:after="0"/>
              <w:rPr>
                <w:sz w:val="22"/>
                <w:szCs w:val="22"/>
                <w:color w:val="auto"/>
              </w:rPr>
            </w:pPr>
          </w:p>
        </w:tc>
        <w:tc>
          <w:tcPr>
            <w:tcW w:w="1380" w:type="dxa"/>
            <w:vAlign w:val="bottom"/>
            <w:tcBorders>
              <w:top w:val="single" w:sz="8" w:color="E6E6E6"/>
              <w:bottom w:val="single" w:sz="8" w:color="E6E6E6"/>
            </w:tcBorders>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134"/>
        </w:trPr>
        <w:tc>
          <w:tcPr>
            <w:tcW w:w="1980" w:type="dxa"/>
            <w:vAlign w:val="bottom"/>
            <w:tcBorders>
              <w:bottom w:val="single" w:sz="8" w:color="auto"/>
            </w:tcBorders>
          </w:tcPr>
          <w:p>
            <w:pPr>
              <w:spacing w:after="0"/>
              <w:rPr>
                <w:sz w:val="11"/>
                <w:szCs w:val="11"/>
                <w:color w:val="auto"/>
              </w:rPr>
            </w:pPr>
          </w:p>
        </w:tc>
        <w:tc>
          <w:tcPr>
            <w:tcW w:w="2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-1095375</wp:posOffset>
            </wp:positionV>
            <wp:extent cx="153225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23">
                      <a:extLst>
                        <a:ext uri="{28A0092B-C50C-407E-A947-70E740481C1C}"/>
                      </a:extLst>
                    </a:blip>
                    <a:srcRect/>
                    <a:stretch>
                      <a:fillRect/>
                    </a:stretch>
                  </pic:blipFill>
                  <pic:spPr bwMode="auto">
                    <a:xfrm>
                      <a:off x="0" y="0"/>
                      <a:ext cx="1532255" cy="25400"/>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-934720</wp:posOffset>
            </wp:positionV>
            <wp:extent cx="153225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24">
                      <a:extLst>
                        <a:ext uri="{28A0092B-C50C-407E-A947-70E740481C1C}"/>
                      </a:extLst>
                    </a:blip>
                    <a:srcRect/>
                    <a:stretch>
                      <a:fillRect/>
                    </a:stretch>
                  </pic:blipFill>
                  <pic:spPr bwMode="auto">
                    <a:xfrm>
                      <a:off x="0" y="0"/>
                      <a:ext cx="1532255" cy="25400"/>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-290195</wp:posOffset>
            </wp:positionV>
            <wp:extent cx="153225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25">
                      <a:extLst>
                        <a:ext uri="{28A0092B-C50C-407E-A947-70E740481C1C}"/>
                      </a:extLst>
                    </a:blip>
                    <a:srcRect/>
                    <a:stretch>
                      <a:fillRect/>
                    </a:stretch>
                  </pic:blipFill>
                  <pic:spPr bwMode="auto">
                    <a:xfrm>
                      <a:off x="0" y="0"/>
                      <a:ext cx="1532255" cy="25400"/>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-141605</wp:posOffset>
            </wp:positionV>
            <wp:extent cx="1532255" cy="508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226">
                      <a:extLst>
                        <a:ext uri="{28A0092B-C50C-407E-A947-70E740481C1C}"/>
                      </a:extLst>
                    </a:blip>
                    <a:srcRect/>
                    <a:stretch>
                      <a:fillRect/>
                    </a:stretch>
                  </pic:blipFill>
                  <pic:spPr bwMode="auto">
                    <a:xfrm>
                      <a:off x="0" y="0"/>
                      <a:ext cx="1532255" cy="50800"/>
                    </a:xfrm>
                    <a:prstGeom prst="rect">
                      <a:avLst/>
                    </a:prstGeom>
                    <a:noFill/>
                  </pic:spPr>
                </pic:pic>
              </a:graphicData>
            </a:graphic>
          </wp:anchor>
        </w:drawing>
      </w:r>
    </w:p>
    <w:p>
      <w:pPr>
        <w:ind w:left="280" w:hanging="195"/>
        <w:spacing w:after="0"/>
        <w:tabs>
          <w:tab w:leader="none" w:pos="280" w:val="left"/>
        </w:tabs>
        <w:numPr>
          <w:ilvl w:val="0"/>
          <w:numId w:val="75"/>
        </w:numPr>
        <w:rPr>
          <w:rFonts w:ascii="Arial" w:cs="Arial" w:eastAsia="Arial" w:hAnsi="Arial"/>
          <w:sz w:val="21"/>
          <w:szCs w:val="21"/>
          <w:color w:val="auto"/>
          <w:vertAlign w:val="superscript"/>
        </w:rPr>
      </w:pPr>
      <w:r>
        <w:rPr>
          <w:rFonts w:ascii="Arial" w:cs="Arial" w:eastAsia="Arial" w:hAnsi="Arial"/>
          <w:sz w:val="16"/>
          <w:szCs w:val="16"/>
          <w:color w:val="auto"/>
        </w:rPr>
        <w:t>As of December 31, 2023, S+ equals SOFR plus x%.</w:t>
      </w:r>
    </w:p>
    <w:p>
      <w:pPr>
        <w:spacing w:after="0" w:line="22" w:lineRule="exact"/>
        <w:rPr>
          <w:rFonts w:ascii="Arial" w:cs="Arial" w:eastAsia="Arial" w:hAnsi="Arial"/>
          <w:sz w:val="21"/>
          <w:szCs w:val="21"/>
          <w:color w:val="auto"/>
          <w:vertAlign w:val="superscript"/>
        </w:rPr>
      </w:pPr>
    </w:p>
    <w:p>
      <w:pPr>
        <w:ind w:left="280" w:hanging="195"/>
        <w:spacing w:after="0" w:line="207" w:lineRule="auto"/>
        <w:tabs>
          <w:tab w:leader="none" w:pos="280" w:val="left"/>
        </w:tabs>
        <w:numPr>
          <w:ilvl w:val="0"/>
          <w:numId w:val="75"/>
        </w:numPr>
        <w:rPr>
          <w:rFonts w:ascii="Arial" w:cs="Arial" w:eastAsia="Arial" w:hAnsi="Arial"/>
          <w:sz w:val="21"/>
          <w:szCs w:val="21"/>
          <w:color w:val="auto"/>
          <w:vertAlign w:val="superscript"/>
        </w:rPr>
      </w:pPr>
      <w:r>
        <w:rPr>
          <w:rFonts w:ascii="Arial" w:cs="Arial" w:eastAsia="Arial" w:hAnsi="Arial"/>
          <w:sz w:val="16"/>
          <w:szCs w:val="16"/>
          <w:color w:val="auto"/>
        </w:rPr>
        <w:t>Applicable rate is determined by the borrower leverage ratio, as defined in the credit agreement.</w:t>
      </w:r>
    </w:p>
    <w:p>
      <w:pPr>
        <w:spacing w:after="0" w:line="22" w:lineRule="exact"/>
        <w:rPr>
          <w:rFonts w:ascii="Arial" w:cs="Arial" w:eastAsia="Arial" w:hAnsi="Arial"/>
          <w:sz w:val="21"/>
          <w:szCs w:val="21"/>
          <w:color w:val="auto"/>
          <w:vertAlign w:val="superscript"/>
        </w:rPr>
      </w:pPr>
    </w:p>
    <w:p>
      <w:pPr>
        <w:ind w:left="80" w:right="140" w:firstLine="5"/>
        <w:spacing w:after="0" w:line="225" w:lineRule="auto"/>
        <w:tabs>
          <w:tab w:leader="none" w:pos="274" w:val="left"/>
        </w:tabs>
        <w:numPr>
          <w:ilvl w:val="0"/>
          <w:numId w:val="75"/>
        </w:numPr>
        <w:rPr>
          <w:rFonts w:ascii="Arial" w:cs="Arial" w:eastAsia="Arial" w:hAnsi="Arial"/>
          <w:sz w:val="21"/>
          <w:szCs w:val="21"/>
          <w:color w:val="auto"/>
          <w:vertAlign w:val="superscript"/>
        </w:rPr>
      </w:pPr>
      <w:r>
        <w:rPr>
          <w:rFonts w:ascii="Arial" w:cs="Arial" w:eastAsia="Arial" w:hAnsi="Arial"/>
          <w:sz w:val="16"/>
          <w:szCs w:val="16"/>
          <w:color w:val="auto"/>
        </w:rPr>
        <w:t>On July 21, 2023, Mililani I’s financing agreement was amended to merge the project-level debt of Mililani I and Waiawa as a combined term loan under Mililani Class B Member Holdco LLC.</w:t>
      </w:r>
    </w:p>
    <w:p>
      <w:pPr>
        <w:ind w:left="280" w:hanging="195"/>
        <w:spacing w:after="0" w:line="229" w:lineRule="auto"/>
        <w:tabs>
          <w:tab w:leader="none" w:pos="280" w:val="left"/>
        </w:tabs>
        <w:numPr>
          <w:ilvl w:val="0"/>
          <w:numId w:val="75"/>
        </w:numPr>
        <w:rPr>
          <w:rFonts w:ascii="Arial" w:cs="Arial" w:eastAsia="Arial" w:hAnsi="Arial"/>
          <w:sz w:val="21"/>
          <w:szCs w:val="21"/>
          <w:color w:val="auto"/>
          <w:vertAlign w:val="superscript"/>
        </w:rPr>
      </w:pPr>
      <w:r>
        <w:rPr>
          <w:rFonts w:ascii="Arial" w:cs="Arial" w:eastAsia="Arial" w:hAnsi="Arial"/>
          <w:sz w:val="16"/>
          <w:szCs w:val="16"/>
          <w:color w:val="auto"/>
        </w:rPr>
        <w:t>Premiums relate to the 2028 Senior Notes.</w:t>
      </w:r>
    </w:p>
    <w:p>
      <w:pPr>
        <w:sectPr>
          <w:pgSz w:w="11880" w:h="15480" w:orient="portrait"/>
          <w:cols w:equalWidth="0" w:num="1">
            <w:col w:w="10200"/>
          </w:cols>
          <w:pgMar w:left="840" w:top="404"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109</w:t>
      </w:r>
    </w:p>
    <w:p>
      <w:pPr>
        <w:sectPr>
          <w:pgSz w:w="11880" w:h="15480" w:orient="portrait"/>
          <w:cols w:equalWidth="0" w:num="1">
            <w:col w:w="10200"/>
          </w:cols>
          <w:pgMar w:left="840" w:top="404" w:right="840" w:bottom="0" w:gutter="0" w:footer="0" w:header="0"/>
          <w:type w:val="continuous"/>
        </w:sectPr>
      </w:pPr>
    </w:p>
    <w:bookmarkStart w:id="111" w:name="page112"/>
    <w:bookmarkEnd w:id="111"/>
    <w:p>
      <w:pPr>
        <w:jc w:val="both"/>
        <w:ind w:firstLine="448"/>
        <w:spacing w:after="0" w:line="268" w:lineRule="auto"/>
        <w:rPr>
          <w:sz w:val="20"/>
          <w:szCs w:val="20"/>
          <w:color w:val="auto"/>
        </w:rPr>
      </w:pPr>
      <w:r>
        <w:rPr>
          <w:rFonts w:ascii="Arial" w:cs="Arial" w:eastAsia="Arial" w:hAnsi="Arial"/>
          <w:sz w:val="19"/>
          <w:szCs w:val="19"/>
          <w:color w:val="auto"/>
        </w:rPr>
        <w:t>The financing arrangements listed above contain certain covenants, including financial covenants that the Company is required to be in compliance with during the term of the respective arrangement. Under the project-level financing arrangements, each project is permitted to pay distributions out of available cash as long as certain conditions are satisfied, including that no default under the applicable arrangements has occurred and that each project is otherwise in compliance with all relevant conditions under the financing agreements, including meeting required financial ratios, where applicable. The Company’s project-level financing arrangements are non-recourse to the Company, thus, each project pledges its underlying assets as collateral, and if a project is in default of its financing arrangement, then the related lender could demand repayment of the project or enforce their security interests with respect to the pledged collateral.</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20"/>
          <w:szCs w:val="20"/>
          <w:color w:val="auto"/>
        </w:rPr>
        <w:t>As of December 31, 2023, the Company was in compliance with all of the required covenants.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Clearway Energy LLC and Clearway Energy Operating LLC Revolving Credit Facility</w:t>
      </w:r>
    </w:p>
    <w:p>
      <w:pPr>
        <w:spacing w:after="0" w:line="196" w:lineRule="exact"/>
        <w:rPr>
          <w:sz w:val="20"/>
          <w:szCs w:val="20"/>
          <w:color w:val="auto"/>
        </w:rPr>
      </w:pPr>
    </w:p>
    <w:p>
      <w:pPr>
        <w:jc w:val="both"/>
        <w:ind w:firstLine="448"/>
        <w:spacing w:after="0" w:line="297" w:lineRule="auto"/>
        <w:rPr>
          <w:sz w:val="20"/>
          <w:szCs w:val="20"/>
          <w:color w:val="auto"/>
        </w:rPr>
      </w:pPr>
      <w:r>
        <w:rPr>
          <w:rFonts w:ascii="Arial" w:cs="Arial" w:eastAsia="Arial" w:hAnsi="Arial"/>
          <w:sz w:val="18"/>
          <w:szCs w:val="18"/>
          <w:color w:val="auto"/>
        </w:rPr>
        <w:t>On March 15, 2023, Clearway Energy Operating LLC refinanced the Amended and Restated Credit Agreement, which (i) replaced LIBOR with SOFR plus a credit spread adjustment of 0.10% as the applicable reference rate, (ii) increased the available revolving commitments to an aggregate principal amount of $700 million, (iii) extended the maturity date to March 15, 2028, (iv) increased the letter of credit sublimit to $594 million and (v) implemented certain other technical modifications.</w:t>
      </w:r>
    </w:p>
    <w:p>
      <w:pPr>
        <w:spacing w:after="0" w:line="110"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20"/>
          <w:szCs w:val="20"/>
          <w:color w:val="auto"/>
        </w:rPr>
        <w:t>As of December 31, 2023, the Company had no outstanding borrowings under the revolving credit facility and $246 million in letters of credit outstanding. The facility will continue to be used for general corporate purposes, including financing of future acquisitions and posting letters of credit.</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Bridge Loan Agreement</w:t>
      </w:r>
    </w:p>
    <w:p>
      <w:pPr>
        <w:spacing w:after="0" w:line="196" w:lineRule="exact"/>
        <w:rPr>
          <w:sz w:val="20"/>
          <w:szCs w:val="20"/>
          <w:color w:val="auto"/>
        </w:rPr>
      </w:pPr>
    </w:p>
    <w:p>
      <w:pPr>
        <w:jc w:val="both"/>
        <w:ind w:firstLine="448"/>
        <w:spacing w:after="0" w:line="259" w:lineRule="auto"/>
        <w:rPr>
          <w:sz w:val="20"/>
          <w:szCs w:val="20"/>
          <w:color w:val="auto"/>
        </w:rPr>
      </w:pPr>
      <w:r>
        <w:rPr>
          <w:rFonts w:ascii="Arial" w:cs="Arial" w:eastAsia="Arial" w:hAnsi="Arial"/>
          <w:sz w:val="20"/>
          <w:szCs w:val="20"/>
          <w:color w:val="auto"/>
        </w:rPr>
        <w:t>On November 30, 2021, Clearway Energy Operating LLC entered into a senior secured bridge credit agreement, or the Bridge Loan Agreement. The Bridge Loan Agreement provided for a senior secured term loan facility in an aggregate principal amount of $335 million. The borrowings under the term loan facility were used to acquire the Utah Solar Portfolio on December 1, 2021</w:t>
      </w:r>
      <w:r>
        <w:rPr>
          <w:rFonts w:ascii="Arial" w:cs="Arial" w:eastAsia="Arial" w:hAnsi="Arial"/>
          <w:sz w:val="20"/>
          <w:szCs w:val="20"/>
          <w:b w:val="1"/>
          <w:bCs w:val="1"/>
          <w:i w:val="1"/>
          <w:iCs w:val="1"/>
          <w:color w:val="auto"/>
        </w:rPr>
        <w:t>.</w:t>
      </w:r>
    </w:p>
    <w:p>
      <w:pPr>
        <w:spacing w:after="0" w:line="142" w:lineRule="exact"/>
        <w:rPr>
          <w:sz w:val="20"/>
          <w:szCs w:val="20"/>
          <w:color w:val="auto"/>
        </w:rPr>
      </w:pPr>
    </w:p>
    <w:p>
      <w:pPr>
        <w:jc w:val="both"/>
        <w:ind w:firstLine="521"/>
        <w:spacing w:after="0" w:line="339" w:lineRule="auto"/>
        <w:rPr>
          <w:sz w:val="20"/>
          <w:szCs w:val="20"/>
          <w:color w:val="auto"/>
        </w:rPr>
      </w:pPr>
      <w:r>
        <w:rPr>
          <w:rFonts w:ascii="Arial" w:cs="Arial" w:eastAsia="Arial" w:hAnsi="Arial"/>
          <w:sz w:val="18"/>
          <w:szCs w:val="18"/>
          <w:color w:val="auto"/>
        </w:rPr>
        <w:t xml:space="preserve">On May 3, 2022, the Company repaid the $335 million in outstanding borrowings under the Bridge Loan Agreement utilizing proceeds received from the Thermal Disposition, as further described in Note 3, </w:t>
      </w:r>
      <w:r>
        <w:rPr>
          <w:rFonts w:ascii="Arial" w:cs="Arial" w:eastAsia="Arial" w:hAnsi="Arial"/>
          <w:sz w:val="18"/>
          <w:szCs w:val="18"/>
          <w:b w:val="1"/>
          <w:bCs w:val="1"/>
          <w:i w:val="1"/>
          <w:iCs w:val="1"/>
          <w:color w:val="auto"/>
        </w:rPr>
        <w:t>Acquisitions and Dispositions</w:t>
      </w:r>
      <w:r>
        <w:rPr>
          <w:rFonts w:ascii="Arial" w:cs="Arial" w:eastAsia="Arial" w:hAnsi="Arial"/>
          <w:sz w:val="18"/>
          <w:szCs w:val="18"/>
          <w:color w:val="auto"/>
        </w:rPr>
        <w:t>.</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Project-level Debt</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Texas Solar Nova 1</w:t>
      </w:r>
    </w:p>
    <w:p>
      <w:pPr>
        <w:spacing w:after="0" w:line="188" w:lineRule="exact"/>
        <w:rPr>
          <w:sz w:val="20"/>
          <w:szCs w:val="20"/>
          <w:color w:val="auto"/>
        </w:rPr>
      </w:pPr>
    </w:p>
    <w:p>
      <w:pPr>
        <w:jc w:val="both"/>
        <w:ind w:firstLine="448"/>
        <w:spacing w:after="0" w:line="253" w:lineRule="auto"/>
        <w:rPr>
          <w:sz w:val="20"/>
          <w:szCs w:val="20"/>
          <w:color w:val="auto"/>
        </w:rPr>
      </w:pPr>
      <w:r>
        <w:rPr>
          <w:rFonts w:ascii="Arial" w:cs="Arial" w:eastAsia="Arial" w:hAnsi="Arial"/>
          <w:sz w:val="20"/>
          <w:szCs w:val="20"/>
          <w:color w:val="auto"/>
        </w:rPr>
        <w:t xml:space="preserve">On December 28, 2023, as part of the acquisition of Texas Solar Nova 1, as further described in Note 3, </w:t>
      </w:r>
      <w:r>
        <w:rPr>
          <w:rFonts w:ascii="Arial" w:cs="Arial" w:eastAsia="Arial" w:hAnsi="Arial"/>
          <w:sz w:val="20"/>
          <w:szCs w:val="20"/>
          <w:b w:val="1"/>
          <w:bCs w:val="1"/>
          <w:i w:val="1"/>
          <w:iCs w:val="1"/>
          <w:color w:val="auto"/>
        </w:rPr>
        <w:t>Acquisitions and</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Dispositions</w:t>
      </w:r>
      <w:r>
        <w:rPr>
          <w:rFonts w:ascii="Arial" w:cs="Arial" w:eastAsia="Arial" w:hAnsi="Arial"/>
          <w:sz w:val="20"/>
          <w:szCs w:val="20"/>
          <w:color w:val="auto"/>
        </w:rPr>
        <w:t>, the Company assumed the project’s financing agreement, which included a $90 million construction loan,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$109 million sponsor equity bridge loan and $151 million tax equity bridge loan, offset by $1 million in unamortized debt issuance costs. At acquisition date, the tax equity investor contributed $148 million, which was utilized, along with the Company’s entire purchase price that was contributed back to the Company by CEG and the proceeds from the cash equity investor, to repay the $109 million sponsor equity bridge loan, to repay the $151 million tax equity bridge loan, to fund $18 million in construction completion reserves, which is included in restricted cash on the Company’s consolidated balance sheet, and to pay $5 million in associated fees with the remaining $9 million distributed back to CEG. Also at acquisition date, the $90 million construction loan was converted into a term loan in the amount of $102 million, which includes an additional borrowing of $12 million.</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Cedro Hill Repowering</w:t>
      </w:r>
    </w:p>
    <w:p>
      <w:pPr>
        <w:spacing w:after="0" w:line="191" w:lineRule="exact"/>
        <w:rPr>
          <w:sz w:val="20"/>
          <w:szCs w:val="20"/>
          <w:color w:val="auto"/>
        </w:rPr>
      </w:pPr>
    </w:p>
    <w:p>
      <w:pPr>
        <w:jc w:val="both"/>
        <w:ind w:firstLine="448"/>
        <w:spacing w:after="0" w:line="268" w:lineRule="auto"/>
        <w:rPr>
          <w:sz w:val="20"/>
          <w:szCs w:val="20"/>
          <w:color w:val="auto"/>
        </w:rPr>
      </w:pPr>
      <w:r>
        <w:rPr>
          <w:rFonts w:ascii="Arial" w:cs="Arial" w:eastAsia="Arial" w:hAnsi="Arial"/>
          <w:sz w:val="19"/>
          <w:szCs w:val="19"/>
          <w:color w:val="auto"/>
        </w:rPr>
        <w:t>On December 12, 2023, the Company entered into a financing agreement for non-recourse debt for a total commitment of $254 million, which consists of construction loans, a tax equity bridge loan and a sponsor equity bridge loan, related to the repowering of the Cedro Hill wind project. The Company’s initial borrowing of $165 million was utilized to repay the $72 million of outstanding principal under the original financing agreement, to pay $55 million to Clearway Renew for the future delivery of equipment, which is included in other non-current assets on the Company’s consolidated balance sheet, to pay $27 million to a third party for the future delivery of equipment, which is included in other non-current assets on the Company’s balance sheet, to pay a $4 million development services fee to Clearway Renew, to pay for $4 million in debt issuance costs that were deferred and to pay for $3 million in capital expenditures.</w:t>
      </w:r>
    </w:p>
    <w:p>
      <w:pPr>
        <w:sectPr>
          <w:pgSz w:w="11880" w:h="15480" w:orient="portrait"/>
          <w:cols w:equalWidth="0" w:num="1">
            <w:col w:w="10200"/>
          </w:cols>
          <w:pgMar w:left="840" w:top="411"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ectPr>
          <w:pgSz w:w="11880" w:h="15480" w:orient="portrait"/>
          <w:cols w:equalWidth="0" w:num="1">
            <w:col w:w="10200"/>
          </w:cols>
          <w:pgMar w:left="840" w:top="411" w:right="840" w:bottom="0" w:gutter="0" w:footer="0" w:header="0"/>
          <w:type w:val="continuous"/>
        </w:sectPr>
      </w:pPr>
    </w:p>
    <w:bookmarkStart w:id="112" w:name="page113"/>
    <w:bookmarkEnd w:id="112"/>
    <w:p>
      <w:pPr>
        <w:ind w:left="444"/>
        <w:spacing w:after="0"/>
        <w:rPr>
          <w:sz w:val="20"/>
          <w:szCs w:val="20"/>
          <w:color w:val="auto"/>
        </w:rPr>
      </w:pPr>
      <w:r>
        <w:rPr>
          <w:rFonts w:ascii="Arial" w:cs="Arial" w:eastAsia="Arial" w:hAnsi="Arial"/>
          <w:sz w:val="20"/>
          <w:szCs w:val="20"/>
          <w:b w:val="1"/>
          <w:bCs w:val="1"/>
          <w:i w:val="1"/>
          <w:iCs w:val="1"/>
          <w:color w:val="auto"/>
        </w:rPr>
        <w:t>Victory Pass and Arica</w:t>
      </w:r>
    </w:p>
    <w:p>
      <w:pPr>
        <w:spacing w:after="0" w:line="188" w:lineRule="exact"/>
        <w:rPr>
          <w:sz w:val="20"/>
          <w:szCs w:val="20"/>
          <w:color w:val="auto"/>
        </w:rPr>
      </w:pPr>
    </w:p>
    <w:p>
      <w:pPr>
        <w:jc w:val="both"/>
        <w:ind w:left="4" w:firstLine="448"/>
        <w:spacing w:after="0" w:line="284" w:lineRule="auto"/>
        <w:rPr>
          <w:sz w:val="20"/>
          <w:szCs w:val="20"/>
          <w:color w:val="auto"/>
        </w:rPr>
      </w:pPr>
      <w:r>
        <w:rPr>
          <w:rFonts w:ascii="Arial" w:cs="Arial" w:eastAsia="Arial" w:hAnsi="Arial"/>
          <w:sz w:val="18"/>
          <w:szCs w:val="18"/>
          <w:color w:val="auto"/>
        </w:rPr>
        <w:t xml:space="preserve">On October 31, 2023, as part of the acquisition of Victory Pass and Arica, as further described in Note 3, </w:t>
      </w:r>
      <w:r>
        <w:rPr>
          <w:rFonts w:ascii="Arial" w:cs="Arial" w:eastAsia="Arial" w:hAnsi="Arial"/>
          <w:sz w:val="18"/>
          <w:szCs w:val="18"/>
          <w:b w:val="1"/>
          <w:bCs w:val="1"/>
          <w:i w:val="1"/>
          <w:iCs w:val="1"/>
          <w:color w:val="auto"/>
        </w:rPr>
        <w:t>Acquisitions and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Dispositions</w:t>
      </w:r>
      <w:r>
        <w:rPr>
          <w:rFonts w:ascii="Arial" w:cs="Arial" w:eastAsia="Arial" w:hAnsi="Arial"/>
          <w:sz w:val="18"/>
          <w:szCs w:val="18"/>
          <w:color w:val="auto"/>
        </w:rPr>
        <w:t>, the Company assumed the project’s financing agreement, which included a $483 million sponsor equity bridge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loan and a $385 million tax equity bridge loan, offset by $4 million in unamortized debt issuance costs. A partial payment of $133 million was made on the sponsor equity bridge loan at acquisition date utilizing all of the proceeds from the Company, which were contributed back to the Company by CEG, and the contribution from the cash equity investor. The tax equity bridge loan and the remaining sponsor equity bridge loan will be repaid with the final proceeds received from the tax equity investor and cash equity investor upon Victory Pass and Arica reaching substantial completion, which is expected to occur in the first half of 2024, along with the $100 million that was contributed into escrow by the tax equity investor at acquisition date, which is included in restricted cash on the Company’s consolidated balance sheet. Subsequent to the acquisition, the Company borrowed an additional $22 million in tax equity bridge loans.</w:t>
      </w:r>
    </w:p>
    <w:p>
      <w:pPr>
        <w:spacing w:after="0" w:line="118" w:lineRule="exact"/>
        <w:rPr>
          <w:sz w:val="20"/>
          <w:szCs w:val="20"/>
          <w:color w:val="auto"/>
        </w:rPr>
      </w:pPr>
    </w:p>
    <w:p>
      <w:pPr>
        <w:ind w:left="444"/>
        <w:spacing w:after="0"/>
        <w:rPr>
          <w:sz w:val="20"/>
          <w:szCs w:val="20"/>
          <w:color w:val="auto"/>
        </w:rPr>
      </w:pPr>
      <w:r>
        <w:rPr>
          <w:rFonts w:ascii="Arial" w:cs="Arial" w:eastAsia="Arial" w:hAnsi="Arial"/>
          <w:sz w:val="20"/>
          <w:szCs w:val="20"/>
          <w:b w:val="1"/>
          <w:bCs w:val="1"/>
          <w:i w:val="1"/>
          <w:iCs w:val="1"/>
          <w:color w:val="auto"/>
        </w:rPr>
        <w:t>Daggett 2</w:t>
      </w:r>
    </w:p>
    <w:p>
      <w:pPr>
        <w:spacing w:after="0" w:line="188" w:lineRule="exact"/>
        <w:rPr>
          <w:sz w:val="20"/>
          <w:szCs w:val="20"/>
          <w:color w:val="auto"/>
        </w:rPr>
      </w:pPr>
    </w:p>
    <w:p>
      <w:pPr>
        <w:jc w:val="both"/>
        <w:ind w:left="4" w:firstLine="448"/>
        <w:spacing w:after="0" w:line="285" w:lineRule="auto"/>
        <w:rPr>
          <w:sz w:val="20"/>
          <w:szCs w:val="20"/>
          <w:color w:val="auto"/>
        </w:rPr>
      </w:pPr>
      <w:r>
        <w:rPr>
          <w:rFonts w:ascii="Arial" w:cs="Arial" w:eastAsia="Arial" w:hAnsi="Arial"/>
          <w:sz w:val="18"/>
          <w:szCs w:val="18"/>
          <w:color w:val="auto"/>
        </w:rPr>
        <w:t xml:space="preserve">On August 30, 2023, as part of the acquisition of Daggett 2, as further described in Note 3, </w:t>
      </w:r>
      <w:r>
        <w:rPr>
          <w:rFonts w:ascii="Arial" w:cs="Arial" w:eastAsia="Arial" w:hAnsi="Arial"/>
          <w:sz w:val="18"/>
          <w:szCs w:val="18"/>
          <w:b w:val="1"/>
          <w:bCs w:val="1"/>
          <w:i w:val="1"/>
          <w:iCs w:val="1"/>
          <w:color w:val="auto"/>
        </w:rPr>
        <w:t>Acquisitions and Dispositions</w:t>
      </w:r>
      <w:r>
        <w:rPr>
          <w:rFonts w:ascii="Arial" w:cs="Arial" w:eastAsia="Arial" w:hAnsi="Arial"/>
          <w:sz w:val="18"/>
          <w:szCs w:val="18"/>
          <w:color w:val="auto"/>
        </w:rPr>
        <w:t>, the Company assumed the project’s financing agreement, which included a $107 million construction loan and a $204 million tax equity bridge loan, offset by $3 million in unamortized debt issuance costs. On December 22, 2023, when the project reached substantial completion, the tax equity investor contributed an additional $202 million, which was utilized, along with the $120 million in escrow and $10 million in construction loan proceeds, to repay the $204 million tax equity bridge loan, to fund $36 million in construction completion reserves, which is included in restricted cash on the Company’s consolidated balance sheet, and to pay $1 million in associated fees with the remaining $91 million distributed to CEG. Subsequent to the acquisition, the Company borrowed an additional $49 million in construction loans and the total outstanding construction loans were converted to a term loan in the amount of $156 million on December 22, 2023.</w:t>
      </w:r>
    </w:p>
    <w:p>
      <w:pPr>
        <w:spacing w:after="0" w:line="116" w:lineRule="exact"/>
        <w:rPr>
          <w:sz w:val="20"/>
          <w:szCs w:val="20"/>
          <w:color w:val="auto"/>
        </w:rPr>
      </w:pPr>
    </w:p>
    <w:p>
      <w:pPr>
        <w:ind w:left="444"/>
        <w:spacing w:after="0"/>
        <w:rPr>
          <w:sz w:val="20"/>
          <w:szCs w:val="20"/>
          <w:color w:val="auto"/>
        </w:rPr>
      </w:pPr>
      <w:r>
        <w:rPr>
          <w:rFonts w:ascii="Arial" w:cs="Arial" w:eastAsia="Arial" w:hAnsi="Arial"/>
          <w:sz w:val="20"/>
          <w:szCs w:val="20"/>
          <w:b w:val="1"/>
          <w:bCs w:val="1"/>
          <w:i w:val="1"/>
          <w:iCs w:val="1"/>
          <w:color w:val="auto"/>
        </w:rPr>
        <w:t>Rosamond Central (Rosie Class B LLC)</w:t>
      </w:r>
    </w:p>
    <w:p>
      <w:pPr>
        <w:spacing w:after="0" w:line="191" w:lineRule="exact"/>
        <w:rPr>
          <w:sz w:val="20"/>
          <w:szCs w:val="20"/>
          <w:color w:val="auto"/>
        </w:rPr>
      </w:pPr>
    </w:p>
    <w:p>
      <w:pPr>
        <w:jc w:val="both"/>
        <w:ind w:left="4" w:firstLine="448"/>
        <w:spacing w:after="0" w:line="276" w:lineRule="auto"/>
        <w:rPr>
          <w:sz w:val="20"/>
          <w:szCs w:val="20"/>
          <w:color w:val="auto"/>
        </w:rPr>
      </w:pPr>
      <w:r>
        <w:rPr>
          <w:rFonts w:ascii="Arial" w:cs="Arial" w:eastAsia="Arial" w:hAnsi="Arial"/>
          <w:sz w:val="18"/>
          <w:szCs w:val="18"/>
          <w:color w:val="auto"/>
        </w:rPr>
        <w:t>On June 30, 2023, Rosie Class B LLC, the indirect owner of the Rosamond Central solar project, amended its financing agreement to provide for (i) a refinanced term loan in the amount of $77 million, (ii) construction loans up to $115 million, which will convert to a term loan upon the BESS project reaching substantial completion, (iii) tax equity bridge loans up to $188 million, which will be repaid with tax equity proceeds received upon the BESS project reaching substantial completion,</w:t>
      </w:r>
    </w:p>
    <w:p>
      <w:pPr>
        <w:spacing w:after="0" w:line="3" w:lineRule="exact"/>
        <w:rPr>
          <w:sz w:val="20"/>
          <w:szCs w:val="20"/>
          <w:color w:val="auto"/>
        </w:rPr>
      </w:pPr>
    </w:p>
    <w:p>
      <w:pPr>
        <w:jc w:val="both"/>
        <w:ind w:left="4" w:hanging="4"/>
        <w:spacing w:after="0" w:line="277" w:lineRule="auto"/>
        <w:tabs>
          <w:tab w:leader="none" w:pos="362" w:val="left"/>
        </w:tabs>
        <w:numPr>
          <w:ilvl w:val="0"/>
          <w:numId w:val="76"/>
        </w:numPr>
        <w:rPr>
          <w:rFonts w:ascii="Arial" w:cs="Arial" w:eastAsia="Arial" w:hAnsi="Arial"/>
          <w:sz w:val="19"/>
          <w:szCs w:val="19"/>
          <w:color w:val="auto"/>
        </w:rPr>
      </w:pPr>
      <w:r>
        <w:rPr>
          <w:rFonts w:ascii="Arial" w:cs="Arial" w:eastAsia="Arial" w:hAnsi="Arial"/>
          <w:sz w:val="19"/>
          <w:szCs w:val="19"/>
          <w:color w:val="auto"/>
        </w:rPr>
        <w:t>an increase to the letter of credit sublimit to $41 million and (v) an extension of the maturity date of the term loan and construction loans to five years subsequent to term conversions. During the year ended December 31, 2023, Rosie Class B LLC received total loan proceeds of $265 million, which was comprised of $115 million in construction loans and $155 million in tax equity bridge loans, net of $5 million in debt issuance costs that were deferred.</w:t>
      </w:r>
    </w:p>
    <w:p>
      <w:pPr>
        <w:spacing w:after="0" w:line="126" w:lineRule="exact"/>
        <w:rPr>
          <w:sz w:val="20"/>
          <w:szCs w:val="20"/>
          <w:color w:val="auto"/>
        </w:rPr>
      </w:pPr>
    </w:p>
    <w:p>
      <w:pPr>
        <w:jc w:val="both"/>
        <w:ind w:left="4" w:firstLine="448"/>
        <w:spacing w:after="0" w:line="287" w:lineRule="auto"/>
        <w:rPr>
          <w:sz w:val="20"/>
          <w:szCs w:val="20"/>
          <w:color w:val="auto"/>
        </w:rPr>
      </w:pPr>
      <w:r>
        <w:rPr>
          <w:rFonts w:ascii="Arial" w:cs="Arial" w:eastAsia="Arial" w:hAnsi="Arial"/>
          <w:sz w:val="18"/>
          <w:szCs w:val="18"/>
          <w:color w:val="auto"/>
        </w:rPr>
        <w:t xml:space="preserve">On July 3, 2023, Rosie Class B LLC issued a loan to Clearway Renew, utilizing a portion of the loan proceeds under the amended financing agreement, in order to finance the construction of the BESS project. On December 1, 2023, the Rosamond Central solar project acquired the BESS project from Clearway Renew for initial cash consideration of $70 million, as further discussed in Note 3, </w:t>
      </w:r>
      <w:r>
        <w:rPr>
          <w:rFonts w:ascii="Arial" w:cs="Arial" w:eastAsia="Arial" w:hAnsi="Arial"/>
          <w:sz w:val="18"/>
          <w:szCs w:val="18"/>
          <w:b w:val="1"/>
          <w:bCs w:val="1"/>
          <w:i w:val="1"/>
          <w:iCs w:val="1"/>
          <w:color w:val="auto"/>
        </w:rPr>
        <w:t>Acquisitions and Dispositions</w:t>
      </w:r>
      <w:r>
        <w:rPr>
          <w:rFonts w:ascii="Arial" w:cs="Arial" w:eastAsia="Arial" w:hAnsi="Arial"/>
          <w:sz w:val="18"/>
          <w:szCs w:val="18"/>
          <w:color w:val="auto"/>
        </w:rPr>
        <w:t>, and Clearway Renew utilized the funds to partially repay the loan. As of December 31, 2023, the loan had an aggregate principal amount of $174 million. The loan bears interest at a fixed annual rate of 9.00% and matures when the project reaches substantial completion, which is expected to occur in the first half of 2024 and is included in note receivable — affiliate on the Company’s consolidated balance sheet.</w:t>
      </w:r>
    </w:p>
    <w:p>
      <w:pPr>
        <w:spacing w:after="0" w:line="118" w:lineRule="exact"/>
        <w:rPr>
          <w:sz w:val="20"/>
          <w:szCs w:val="20"/>
          <w:color w:val="auto"/>
        </w:rPr>
      </w:pPr>
    </w:p>
    <w:p>
      <w:pPr>
        <w:jc w:val="both"/>
        <w:ind w:left="4" w:firstLine="448"/>
        <w:spacing w:after="0" w:line="259" w:lineRule="auto"/>
        <w:rPr>
          <w:sz w:val="20"/>
          <w:szCs w:val="20"/>
          <w:color w:val="auto"/>
        </w:rPr>
      </w:pPr>
      <w:r>
        <w:rPr>
          <w:rFonts w:ascii="Arial" w:cs="Arial" w:eastAsia="Arial" w:hAnsi="Arial"/>
          <w:sz w:val="20"/>
          <w:szCs w:val="20"/>
          <w:color w:val="auto"/>
        </w:rPr>
        <w:t xml:space="preserve">Also, during the year ended December 31, 2023, the Company utilized a portion of the loan proceeds received under the amended financing agreement to contribute $18 million into Rosie Central BESS, which is an investment accounted for under the equity method of accounting, as further described in Note 5, </w:t>
      </w:r>
      <w:r>
        <w:rPr>
          <w:rFonts w:ascii="Arial" w:cs="Arial" w:eastAsia="Arial" w:hAnsi="Arial"/>
          <w:sz w:val="20"/>
          <w:szCs w:val="20"/>
          <w:b w:val="1"/>
          <w:bCs w:val="1"/>
          <w:i w:val="1"/>
          <w:iCs w:val="1"/>
          <w:color w:val="auto"/>
        </w:rPr>
        <w:t>Investments Accounted for by the Equity Method and Variable</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Interest Entities</w:t>
      </w:r>
      <w:r>
        <w:rPr>
          <w:rFonts w:ascii="Arial" w:cs="Arial" w:eastAsia="Arial" w:hAnsi="Arial"/>
          <w:sz w:val="20"/>
          <w:szCs w:val="20"/>
          <w:color w:val="auto"/>
        </w:rPr>
        <w:t>.</w:t>
      </w:r>
    </w:p>
    <w:p>
      <w:pPr>
        <w:sectPr>
          <w:pgSz w:w="11880" w:h="15480" w:orient="portrait"/>
          <w:cols w:equalWidth="0" w:num="1">
            <w:col w:w="10204"/>
          </w:cols>
          <w:pgMar w:left="836" w:top="40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
        <w:spacing w:after="0"/>
        <w:rPr>
          <w:sz w:val="20"/>
          <w:szCs w:val="20"/>
          <w:color w:val="auto"/>
        </w:rPr>
      </w:pPr>
      <w:r>
        <w:rPr>
          <w:rFonts w:ascii="Arial" w:cs="Arial" w:eastAsia="Arial" w:hAnsi="Arial"/>
          <w:sz w:val="15"/>
          <w:szCs w:val="15"/>
          <w:color w:val="auto"/>
        </w:rPr>
        <w:t>111</w:t>
      </w:r>
    </w:p>
    <w:p>
      <w:pPr>
        <w:sectPr>
          <w:pgSz w:w="11880" w:h="15480" w:orient="portrait"/>
          <w:cols w:equalWidth="0" w:num="1">
            <w:col w:w="10204"/>
          </w:cols>
          <w:pgMar w:left="836" w:top="408" w:right="840" w:bottom="0" w:gutter="0" w:footer="0" w:header="0"/>
          <w:type w:val="continuous"/>
        </w:sectPr>
      </w:pPr>
    </w:p>
    <w:bookmarkStart w:id="113" w:name="page114"/>
    <w:bookmarkEnd w:id="113"/>
    <w:p>
      <w:pPr>
        <w:ind w:left="440"/>
        <w:spacing w:after="0"/>
        <w:rPr>
          <w:sz w:val="20"/>
          <w:szCs w:val="20"/>
          <w:color w:val="auto"/>
        </w:rPr>
      </w:pPr>
      <w:r>
        <w:rPr>
          <w:rFonts w:ascii="Arial" w:cs="Arial" w:eastAsia="Arial" w:hAnsi="Arial"/>
          <w:sz w:val="20"/>
          <w:szCs w:val="20"/>
          <w:b w:val="1"/>
          <w:bCs w:val="1"/>
          <w:i w:val="1"/>
          <w:iCs w:val="1"/>
          <w:color w:val="auto"/>
        </w:rPr>
        <w:t>Daggett 3</w:t>
      </w:r>
    </w:p>
    <w:p>
      <w:pPr>
        <w:spacing w:after="0" w:line="188" w:lineRule="exact"/>
        <w:rPr>
          <w:sz w:val="20"/>
          <w:szCs w:val="20"/>
          <w:color w:val="auto"/>
        </w:rPr>
      </w:pPr>
    </w:p>
    <w:p>
      <w:pPr>
        <w:jc w:val="both"/>
        <w:ind w:firstLine="448"/>
        <w:spacing w:after="0" w:line="283" w:lineRule="auto"/>
        <w:rPr>
          <w:sz w:val="20"/>
          <w:szCs w:val="20"/>
          <w:color w:val="auto"/>
        </w:rPr>
      </w:pPr>
      <w:r>
        <w:rPr>
          <w:rFonts w:ascii="Arial" w:cs="Arial" w:eastAsia="Arial" w:hAnsi="Arial"/>
          <w:sz w:val="18"/>
          <w:szCs w:val="18"/>
          <w:color w:val="auto"/>
        </w:rPr>
        <w:t xml:space="preserve">On February 17, 2023, as part of the acquisition of Daggett 3, as further described in Note 3, </w:t>
      </w:r>
      <w:r>
        <w:rPr>
          <w:rFonts w:ascii="Arial" w:cs="Arial" w:eastAsia="Arial" w:hAnsi="Arial"/>
          <w:sz w:val="18"/>
          <w:szCs w:val="18"/>
          <w:b w:val="1"/>
          <w:bCs w:val="1"/>
          <w:i w:val="1"/>
          <w:iCs w:val="1"/>
          <w:color w:val="auto"/>
        </w:rPr>
        <w:t>Acquisitions and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Dispositions</w:t>
      </w:r>
      <w:r>
        <w:rPr>
          <w:rFonts w:ascii="Arial" w:cs="Arial" w:eastAsia="Arial" w:hAnsi="Arial"/>
          <w:sz w:val="18"/>
          <w:szCs w:val="18"/>
          <w:color w:val="auto"/>
        </w:rPr>
        <w:t>, the Company assumed the project’s financing agreement, which included a $181 million construction loan, a $229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tax equity bridge loan and a $75 million sponsor equity bridge loan, offset by $5 million in unamortized debt issuance costs. The sponsor equity bridge loan was repaid at acquisition date, along with $8 million in associated fees, utilizing all of the proceeds from the Company, which were contributed back to the Company by CEG, and the contribution from the cash equity investor. On December 1, 2023, when the project reached substantial completion, the tax equity investor contributed an additional $252 million, which was utilized along with the $69 million in escrow, to repay the $229 million tax equity bridge loan, to fund $40 million in construction completion reserves, which is included in restricted cash on the Company’s consolidated balance sheet, and to pay $7 million in associated fees with the remaining $45 million distributed to CEG. Subsequent to the acquisition, the Company borrowed an additional $36 million in construction loans and the total outstanding construction loans were converted to a term loan in the amount of $217 million on December 1, 2023.</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El Segundo Energy Center</w:t>
      </w:r>
    </w:p>
    <w:p>
      <w:pPr>
        <w:spacing w:after="0" w:line="191" w:lineRule="exact"/>
        <w:rPr>
          <w:sz w:val="20"/>
          <w:szCs w:val="20"/>
          <w:color w:val="auto"/>
        </w:rPr>
      </w:pPr>
    </w:p>
    <w:p>
      <w:pPr>
        <w:jc w:val="both"/>
        <w:ind w:firstLine="448"/>
        <w:spacing w:after="0" w:line="338" w:lineRule="auto"/>
        <w:rPr>
          <w:sz w:val="20"/>
          <w:szCs w:val="20"/>
          <w:color w:val="auto"/>
        </w:rPr>
      </w:pPr>
      <w:r>
        <w:rPr>
          <w:rFonts w:ascii="Arial" w:cs="Arial" w:eastAsia="Arial" w:hAnsi="Arial"/>
          <w:sz w:val="18"/>
          <w:szCs w:val="18"/>
          <w:color w:val="auto"/>
        </w:rPr>
        <w:t>On December 15, 2022, the Company repaid the outstanding project-level debt of El Segundo Energy Center in the amount of approximately $130 million, utilizing cash on hand. The project-level debt had an original maturity of August 2023.</w:t>
      </w:r>
    </w:p>
    <w:p>
      <w:pPr>
        <w:spacing w:after="0" w:line="71"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Capistrano Wind Portfolio</w:t>
      </w:r>
    </w:p>
    <w:p>
      <w:pPr>
        <w:spacing w:after="0" w:line="191" w:lineRule="exact"/>
        <w:rPr>
          <w:sz w:val="20"/>
          <w:szCs w:val="20"/>
          <w:color w:val="auto"/>
        </w:rPr>
      </w:pPr>
    </w:p>
    <w:p>
      <w:pPr>
        <w:jc w:val="both"/>
        <w:ind w:firstLine="448"/>
        <w:spacing w:after="0" w:line="313" w:lineRule="auto"/>
        <w:rPr>
          <w:sz w:val="20"/>
          <w:szCs w:val="20"/>
          <w:color w:val="auto"/>
        </w:rPr>
      </w:pPr>
      <w:r>
        <w:rPr>
          <w:rFonts w:ascii="Arial" w:cs="Arial" w:eastAsia="Arial" w:hAnsi="Arial"/>
          <w:sz w:val="17"/>
          <w:szCs w:val="17"/>
          <w:color w:val="auto"/>
        </w:rPr>
        <w:t xml:space="preserve">On August 22, 2022, as part of the acquisition of the Capistrano Wind Portfolio, as further described in Note 3, </w:t>
      </w:r>
      <w:r>
        <w:rPr>
          <w:rFonts w:ascii="Arial" w:cs="Arial" w:eastAsia="Arial" w:hAnsi="Arial"/>
          <w:sz w:val="17"/>
          <w:szCs w:val="17"/>
          <w:b w:val="1"/>
          <w:bCs w:val="1"/>
          <w:i w:val="1"/>
          <w:iCs w:val="1"/>
          <w:color w:val="auto"/>
        </w:rPr>
        <w:t>Acquisitions and Dispositions</w:t>
      </w:r>
      <w:r>
        <w:rPr>
          <w:rFonts w:ascii="Arial" w:cs="Arial" w:eastAsia="Arial" w:hAnsi="Arial"/>
          <w:sz w:val="17"/>
          <w:szCs w:val="17"/>
          <w:color w:val="auto"/>
        </w:rPr>
        <w:t>, the Company assumed non-recourse project-level debt totaling $164 million held by the Broken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Bow, Cedro Hill and Crofton Bluffs wind projects, which is net of $2 million in previously deferred unamortized debt issuance costs. As discussed above, in connection with the Company’s entry into a new financing agreement related to the repowering of the Cedro Hill wind project, the Company repaid $72 million of outstanding principal under the original financing agreement.</w:t>
      </w:r>
    </w:p>
    <w:p>
      <w:pPr>
        <w:spacing w:after="0" w:line="95"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Mililani I and Waiawa</w:t>
      </w:r>
    </w:p>
    <w:p>
      <w:pPr>
        <w:spacing w:after="0" w:line="188" w:lineRule="exact"/>
        <w:rPr>
          <w:sz w:val="20"/>
          <w:szCs w:val="20"/>
          <w:color w:val="auto"/>
        </w:rPr>
      </w:pPr>
    </w:p>
    <w:p>
      <w:pPr>
        <w:jc w:val="both"/>
        <w:ind w:firstLine="448"/>
        <w:spacing w:after="0" w:line="284" w:lineRule="auto"/>
        <w:rPr>
          <w:sz w:val="20"/>
          <w:szCs w:val="20"/>
          <w:color w:val="auto"/>
        </w:rPr>
      </w:pPr>
      <w:r>
        <w:rPr>
          <w:rFonts w:ascii="Arial" w:cs="Arial" w:eastAsia="Arial" w:hAnsi="Arial"/>
          <w:sz w:val="18"/>
          <w:szCs w:val="18"/>
          <w:color w:val="auto"/>
        </w:rPr>
        <w:t xml:space="preserve">On October 3, 2022, as part of the acquisition of Waiawa, as further described in Note 3, </w:t>
      </w:r>
      <w:r>
        <w:rPr>
          <w:rFonts w:ascii="Arial" w:cs="Arial" w:eastAsia="Arial" w:hAnsi="Arial"/>
          <w:sz w:val="18"/>
          <w:szCs w:val="18"/>
          <w:b w:val="1"/>
          <w:bCs w:val="1"/>
          <w:i w:val="1"/>
          <w:iCs w:val="1"/>
          <w:color w:val="auto"/>
        </w:rPr>
        <w:t>Acquisitions and Dispositions</w:t>
      </w:r>
      <w:r>
        <w:rPr>
          <w:rFonts w:ascii="Arial" w:cs="Arial" w:eastAsia="Arial" w:hAnsi="Arial"/>
          <w:sz w:val="18"/>
          <w:szCs w:val="18"/>
          <w:color w:val="auto"/>
        </w:rPr>
        <w:t>, the Company assumed the project’s financing agreement, which included a $22 million construction loan, a $55 million tax equity bridge loan and a $27 million sponsor equity bridge loan, offset by $1 million in unamortized debt issuance costs. The sponsor equity bridge loan was repaid at acquisition date, along with $2 million in associated fees, utilizing $12 million from the cash equity investor, as well as $16 million of the Company’s purchase price, which was contributed back by CEG. On March 30, 2023, when the project reached substantial completion, the tax equity investor contributed an additional $41 million and CEG contributed an additional $8 million, which was utilized, along with the $17 million in escrow, to repay the $55 million tax equity bridge loan, to fund $10 million in construction completion reserves and to pay $1 million in associated fees. Subsequent to the acquisition, the Company borrowed an additional $25 million in construction loans and the total outstanding construction loans were converted to a term loan in the amount of $47 million on March 30, 2023.</w:t>
      </w:r>
    </w:p>
    <w:p>
      <w:pPr>
        <w:spacing w:after="0" w:line="118" w:lineRule="exact"/>
        <w:rPr>
          <w:sz w:val="20"/>
          <w:szCs w:val="20"/>
          <w:color w:val="auto"/>
        </w:rPr>
      </w:pPr>
    </w:p>
    <w:p>
      <w:pPr>
        <w:jc w:val="both"/>
        <w:ind w:firstLine="448"/>
        <w:spacing w:after="0" w:line="284" w:lineRule="auto"/>
        <w:rPr>
          <w:sz w:val="20"/>
          <w:szCs w:val="20"/>
          <w:color w:val="auto"/>
        </w:rPr>
      </w:pPr>
      <w:r>
        <w:rPr>
          <w:rFonts w:ascii="Arial" w:cs="Arial" w:eastAsia="Arial" w:hAnsi="Arial"/>
          <w:sz w:val="18"/>
          <w:szCs w:val="18"/>
          <w:color w:val="auto"/>
        </w:rPr>
        <w:t xml:space="preserve">On March 25, 2022, as part of the acquisition of Mililani I, as further described in Note 3, </w:t>
      </w:r>
      <w:r>
        <w:rPr>
          <w:rFonts w:ascii="Arial" w:cs="Arial" w:eastAsia="Arial" w:hAnsi="Arial"/>
          <w:sz w:val="18"/>
          <w:szCs w:val="18"/>
          <w:b w:val="1"/>
          <w:bCs w:val="1"/>
          <w:i w:val="1"/>
          <w:iCs w:val="1"/>
          <w:color w:val="auto"/>
        </w:rPr>
        <w:t>Acquisitions and Dispositions</w:t>
      </w:r>
      <w:r>
        <w:rPr>
          <w:rFonts w:ascii="Arial" w:cs="Arial" w:eastAsia="Arial" w:hAnsi="Arial"/>
          <w:sz w:val="18"/>
          <w:szCs w:val="18"/>
          <w:color w:val="auto"/>
        </w:rPr>
        <w:t>, the Company assumed the project’s financing agreement, which included a $16 million construction loan, a $60 million tax equity bridge loan and a $27 million sponsor equity bridge loan, offset by $3 million in unamortized debt issuance costs. The sponsor equity bridge loan was repaid at acquisition date, along with $2 million in associated fees, utilizing $14 million from the cash equity investor, as well as $15 million of the Company’s purchase price, which was contributed back by CEG. On December 7, 2022, when the project reached substantial completion, the tax equity investor contributed an additional $42 million and CEG contributed an additional $11 million, which was utilized, along with the $18 million in escrow, to repay the $60 million tax equity bridge loan, to fund $7 million in construction completion reserves and to pay $4 million in associated fees. Subsequent to the acquisition, the Company borrowed an additional $32 million in construction loans and the total outstanding construction loans were converted to a term loan in the amount of $48 million on December 7, 2022.</w:t>
      </w:r>
    </w:p>
    <w:p>
      <w:pPr>
        <w:spacing w:after="0" w:line="121" w:lineRule="exact"/>
        <w:rPr>
          <w:sz w:val="20"/>
          <w:szCs w:val="20"/>
          <w:color w:val="auto"/>
        </w:rPr>
      </w:pPr>
    </w:p>
    <w:p>
      <w:pPr>
        <w:jc w:val="both"/>
        <w:ind w:firstLine="448"/>
        <w:spacing w:after="0" w:line="280" w:lineRule="auto"/>
        <w:rPr>
          <w:sz w:val="20"/>
          <w:szCs w:val="20"/>
          <w:color w:val="auto"/>
        </w:rPr>
      </w:pPr>
      <w:r>
        <w:rPr>
          <w:rFonts w:ascii="Arial" w:cs="Arial" w:eastAsia="Arial" w:hAnsi="Arial"/>
          <w:sz w:val="20"/>
          <w:szCs w:val="20"/>
          <w:color w:val="auto"/>
        </w:rPr>
        <w:t>On July 21, 2023, Mililani I’s financing agreement was amended to merge the project-level debt of Mililani I and Waiawa as a combined term loan under Mililani Class B Member Holdco LLC that matures on July 21, 2028.</w:t>
      </w:r>
    </w:p>
    <w:p>
      <w:pPr>
        <w:sectPr>
          <w:pgSz w:w="11880" w:h="15480" w:orient="portrait"/>
          <w:cols w:equalWidth="0" w:num="1">
            <w:col w:w="10200"/>
          </w:cols>
          <w:pgMar w:left="840" w:top="40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112</w:t>
      </w:r>
    </w:p>
    <w:p>
      <w:pPr>
        <w:sectPr>
          <w:pgSz w:w="11880" w:h="15480" w:orient="portrait"/>
          <w:cols w:equalWidth="0" w:num="1">
            <w:col w:w="10200"/>
          </w:cols>
          <w:pgMar w:left="840" w:top="408" w:right="840" w:bottom="0" w:gutter="0" w:footer="0" w:header="0"/>
          <w:type w:val="continuous"/>
        </w:sectPr>
      </w:pPr>
    </w:p>
    <w:bookmarkStart w:id="114" w:name="page115"/>
    <w:bookmarkEnd w:id="114"/>
    <w:p>
      <w:pPr>
        <w:ind w:left="440"/>
        <w:spacing w:after="0"/>
        <w:rPr>
          <w:sz w:val="20"/>
          <w:szCs w:val="20"/>
          <w:color w:val="auto"/>
        </w:rPr>
      </w:pPr>
      <w:r>
        <w:rPr>
          <w:rFonts w:ascii="Arial" w:cs="Arial" w:eastAsia="Arial" w:hAnsi="Arial"/>
          <w:sz w:val="20"/>
          <w:szCs w:val="20"/>
          <w:b w:val="1"/>
          <w:bCs w:val="1"/>
          <w:i w:val="1"/>
          <w:iCs w:val="1"/>
          <w:color w:val="auto"/>
        </w:rPr>
        <w:t>Viento Funding II, LLC</w:t>
      </w:r>
    </w:p>
    <w:p>
      <w:pPr>
        <w:spacing w:after="0" w:line="191" w:lineRule="exact"/>
        <w:rPr>
          <w:sz w:val="20"/>
          <w:szCs w:val="20"/>
          <w:color w:val="auto"/>
        </w:rPr>
      </w:pPr>
    </w:p>
    <w:p>
      <w:pPr>
        <w:jc w:val="both"/>
        <w:ind w:firstLine="448"/>
        <w:spacing w:after="0" w:line="255" w:lineRule="auto"/>
        <w:rPr>
          <w:sz w:val="20"/>
          <w:szCs w:val="20"/>
          <w:color w:val="auto"/>
        </w:rPr>
      </w:pPr>
      <w:r>
        <w:rPr>
          <w:rFonts w:ascii="Arial" w:cs="Arial" w:eastAsia="Arial" w:hAnsi="Arial"/>
          <w:sz w:val="20"/>
          <w:szCs w:val="20"/>
          <w:color w:val="auto"/>
        </w:rPr>
        <w:t>On March 16, 2022, the Company, through its indirect subsidiary, Viento Funding II, LLC, entered into a financing agreement which included the issuance of a $190 million term loan as well as $35 million in letters of credit, supported by the Company’s interests in the Elkhorn Ridge, Laredo Ridge, San Juan Mesa and Taloga wind projects. The proceeds from the term loan were used to pay off the existing debt in the amount of $186 million related to Laredo Ridge, Tapestry Wind LLC and Viento Funding II, LLC and to pay related financing costs. The Company recorded a loss on debt extinguishment of $2 million to expense unamortized debt issuance costs.</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 xml:space="preserve">Interest Rate Swaps </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Project Financings</w:t>
      </w:r>
    </w:p>
    <w:p>
      <w:pPr>
        <w:spacing w:after="0" w:line="196" w:lineRule="exact"/>
        <w:rPr>
          <w:sz w:val="20"/>
          <w:szCs w:val="20"/>
          <w:color w:val="auto"/>
        </w:rPr>
      </w:pPr>
    </w:p>
    <w:p>
      <w:pPr>
        <w:jc w:val="both"/>
        <w:ind w:firstLine="448"/>
        <w:spacing w:after="0" w:line="255" w:lineRule="auto"/>
        <w:rPr>
          <w:sz w:val="20"/>
          <w:szCs w:val="20"/>
          <w:color w:val="auto"/>
        </w:rPr>
      </w:pPr>
      <w:r>
        <w:rPr>
          <w:rFonts w:ascii="Arial" w:cs="Arial" w:eastAsia="Arial" w:hAnsi="Arial"/>
          <w:sz w:val="20"/>
          <w:szCs w:val="20"/>
          <w:color w:val="auto"/>
        </w:rPr>
        <w:t>Many of the Company’s project subsidiaries entered into interest rate swaps, intended to hedge the risks associated with interest rates on non-recourse project level debt. These swaps amortize in proportion to their respective loans and are floating for a fixed rate where the project subsidiary pays its counterparty the equivalent of a fixed interest payment on a predetermined notional amount and will receive quarterly the equivalent of a floating interest payment based on the same notional amount. All interest rate swap payments by the project subsidiary and its counterparty are made quarterly and the SOFR is determined in advance of each interest period.</w:t>
      </w:r>
    </w:p>
    <w:p>
      <w:pPr>
        <w:spacing w:after="0" w:line="146" w:lineRule="exact"/>
        <w:rPr>
          <w:sz w:val="20"/>
          <w:szCs w:val="20"/>
          <w:color w:val="auto"/>
        </w:rPr>
      </w:pPr>
    </w:p>
    <w:p>
      <w:pPr>
        <w:jc w:val="both"/>
        <w:ind w:firstLine="448"/>
        <w:spacing w:after="0" w:line="280" w:lineRule="auto"/>
        <w:rPr>
          <w:sz w:val="20"/>
          <w:szCs w:val="20"/>
          <w:color w:val="auto"/>
        </w:rPr>
      </w:pPr>
      <w:r>
        <w:rPr>
          <w:rFonts w:ascii="Arial" w:cs="Arial" w:eastAsia="Arial" w:hAnsi="Arial"/>
          <w:sz w:val="20"/>
          <w:szCs w:val="20"/>
          <w:color w:val="auto"/>
        </w:rPr>
        <w:t>The following table summarizes the swaps, some of which are forward starting as indicated, related to the Company’s project level debt:</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00" w:type="dxa"/>
            <w:vAlign w:val="bottom"/>
          </w:tcPr>
          <w:p>
            <w:pPr>
              <w:spacing w:after="0"/>
              <w:rPr>
                <w:sz w:val="18"/>
                <w:szCs w:val="18"/>
                <w:color w:val="auto"/>
              </w:rPr>
            </w:pPr>
          </w:p>
        </w:tc>
        <w:tc>
          <w:tcPr>
            <w:tcW w:w="84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 of</w:t>
            </w:r>
          </w:p>
        </w:tc>
        <w:tc>
          <w:tcPr>
            <w:tcW w:w="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93"/>
              </w:rPr>
              <w:t>Fixed</w:t>
            </w:r>
          </w:p>
        </w:tc>
        <w:tc>
          <w:tcPr>
            <w:tcW w:w="80" w:type="dxa"/>
            <w:vAlign w:val="bottom"/>
          </w:tcPr>
          <w:p>
            <w:pPr>
              <w:spacing w:after="0"/>
              <w:rPr>
                <w:sz w:val="18"/>
                <w:szCs w:val="18"/>
                <w:color w:val="auto"/>
              </w:rPr>
            </w:pPr>
          </w:p>
        </w:tc>
        <w:tc>
          <w:tcPr>
            <w:tcW w:w="136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Floating</w:t>
            </w:r>
          </w:p>
        </w:tc>
        <w:tc>
          <w:tcPr>
            <w:tcW w:w="60" w:type="dxa"/>
            <w:vAlign w:val="bottom"/>
          </w:tcPr>
          <w:p>
            <w:pPr>
              <w:spacing w:after="0"/>
              <w:rPr>
                <w:sz w:val="18"/>
                <w:szCs w:val="18"/>
                <w:color w:val="auto"/>
              </w:rPr>
            </w:pPr>
          </w:p>
        </w:tc>
        <w:tc>
          <w:tcPr>
            <w:tcW w:w="15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Notional Amount</w:t>
            </w: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1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center"/>
              <w:spacing w:after="0" w:line="179" w:lineRule="exact"/>
              <w:rPr>
                <w:sz w:val="20"/>
                <w:szCs w:val="20"/>
                <w:color w:val="auto"/>
              </w:rPr>
            </w:pPr>
            <w:r>
              <w:rPr>
                <w:rFonts w:ascii="Arial" w:cs="Arial" w:eastAsia="Arial" w:hAnsi="Arial"/>
                <w:sz w:val="18"/>
                <w:szCs w:val="18"/>
                <w:b w:val="1"/>
                <w:bCs w:val="1"/>
                <w:color w:val="auto"/>
                <w:w w:val="92"/>
              </w:rPr>
              <w:t>Interest</w:t>
            </w:r>
          </w:p>
        </w:tc>
        <w:tc>
          <w:tcPr>
            <w:tcW w:w="8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center"/>
              <w:ind w:right="70"/>
              <w:spacing w:after="0" w:line="179" w:lineRule="exact"/>
              <w:rPr>
                <w:sz w:val="20"/>
                <w:szCs w:val="20"/>
                <w:color w:val="auto"/>
              </w:rPr>
            </w:pPr>
            <w:r>
              <w:rPr>
                <w:rFonts w:ascii="Arial" w:cs="Arial" w:eastAsia="Arial" w:hAnsi="Arial"/>
                <w:sz w:val="18"/>
                <w:szCs w:val="18"/>
                <w:b w:val="1"/>
                <w:bCs w:val="1"/>
                <w:color w:val="auto"/>
                <w:w w:val="89"/>
              </w:rPr>
              <w:t>at December 31,</w:t>
            </w:r>
          </w:p>
        </w:tc>
        <w:tc>
          <w:tcPr>
            <w:tcW w:w="80" w:type="dxa"/>
            <w:vAlign w:val="bottom"/>
          </w:tcPr>
          <w:p>
            <w:pPr>
              <w:spacing w:after="0"/>
              <w:rPr>
                <w:sz w:val="15"/>
                <w:szCs w:val="15"/>
                <w:color w:val="auto"/>
              </w:rPr>
            </w:pPr>
          </w:p>
        </w:tc>
        <w:tc>
          <w:tcPr>
            <w:tcW w:w="166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Effective Date</w:t>
            </w:r>
          </w:p>
        </w:tc>
        <w:tc>
          <w:tcPr>
            <w:tcW w:w="60" w:type="dxa"/>
            <w:vAlign w:val="bottom"/>
          </w:tcPr>
          <w:p>
            <w:pPr>
              <w:spacing w:after="0"/>
              <w:rPr>
                <w:sz w:val="15"/>
                <w:szCs w:val="15"/>
                <w:color w:val="auto"/>
              </w:rPr>
            </w:pPr>
          </w:p>
        </w:tc>
        <w:tc>
          <w:tcPr>
            <w:tcW w:w="160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Maturity Date</w:t>
            </w:r>
          </w:p>
        </w:tc>
        <w:tc>
          <w:tcPr>
            <w:tcW w:w="0" w:type="dxa"/>
            <w:vAlign w:val="bottom"/>
          </w:tcPr>
          <w:p>
            <w:pPr>
              <w:spacing w:after="0"/>
              <w:rPr>
                <w:sz w:val="1"/>
                <w:szCs w:val="1"/>
                <w:color w:val="auto"/>
              </w:rPr>
            </w:pPr>
          </w:p>
        </w:tc>
      </w:tr>
      <w:tr>
        <w:trPr>
          <w:trHeight w:val="238"/>
        </w:trPr>
        <w:tc>
          <w:tcPr>
            <w:tcW w:w="2100" w:type="dxa"/>
            <w:vAlign w:val="bottom"/>
            <w:tcBorders>
              <w:bottom w:val="single" w:sz="8" w:color="E6E6E6"/>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Principal</w:t>
            </w:r>
          </w:p>
        </w:tc>
        <w:tc>
          <w:tcPr>
            <w:tcW w:w="80" w:type="dxa"/>
            <w:vAlign w:val="bottom"/>
            <w:tcBorders>
              <w:bottom w:val="single" w:sz="8" w:color="E6E6E6"/>
            </w:tcBorders>
          </w:tcPr>
          <w:p>
            <w:pPr>
              <w:spacing w:after="0"/>
              <w:rPr>
                <w:sz w:val="20"/>
                <w:szCs w:val="20"/>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Rate</w:t>
            </w:r>
          </w:p>
        </w:tc>
        <w:tc>
          <w:tcPr>
            <w:tcW w:w="80" w:type="dxa"/>
            <w:vAlign w:val="bottom"/>
            <w:tcBorders>
              <w:bottom w:val="single" w:sz="8" w:color="E6E6E6"/>
            </w:tcBorders>
          </w:tcPr>
          <w:p>
            <w:pPr>
              <w:spacing w:after="0"/>
              <w:rPr>
                <w:sz w:val="20"/>
                <w:szCs w:val="20"/>
                <w:color w:val="auto"/>
              </w:rPr>
            </w:pP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Interest Rate</w:t>
            </w:r>
          </w:p>
        </w:tc>
        <w:tc>
          <w:tcPr>
            <w:tcW w:w="60" w:type="dxa"/>
            <w:vAlign w:val="bottom"/>
            <w:tcBorders>
              <w:bottom w:val="single" w:sz="8" w:color="E6E6E6"/>
            </w:tcBorders>
          </w:tcPr>
          <w:p>
            <w:pPr>
              <w:spacing w:after="0"/>
              <w:rPr>
                <w:sz w:val="20"/>
                <w:szCs w:val="20"/>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2023 (In millions)</w:t>
            </w:r>
          </w:p>
        </w:tc>
        <w:tc>
          <w:tcPr>
            <w:tcW w:w="80" w:type="dxa"/>
            <w:vAlign w:val="bottom"/>
            <w:tcBorders>
              <w:bottom w:val="single" w:sz="8" w:color="E6E6E6"/>
            </w:tcBorders>
          </w:tcPr>
          <w:p>
            <w:pPr>
              <w:spacing w:after="0"/>
              <w:rPr>
                <w:sz w:val="20"/>
                <w:szCs w:val="20"/>
                <w:color w:val="auto"/>
              </w:rPr>
            </w:pPr>
          </w:p>
        </w:tc>
        <w:tc>
          <w:tcPr>
            <w:tcW w:w="166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E6E6E6"/>
            </w:tcBorders>
          </w:tcPr>
          <w:p>
            <w:pPr>
              <w:spacing w:after="0"/>
              <w:rPr>
                <w:sz w:val="20"/>
                <w:szCs w:val="20"/>
                <w:color w:val="auto"/>
              </w:rPr>
            </w:pPr>
          </w:p>
        </w:tc>
        <w:tc>
          <w:tcPr>
            <w:tcW w:w="16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2100" w:type="dxa"/>
            <w:vAlign w:val="bottom"/>
            <w:shd w:val="clear" w:color="auto" w:fill="E6E6E6"/>
          </w:tcPr>
          <w:p>
            <w:pPr>
              <w:ind w:left="40"/>
              <w:spacing w:after="0"/>
              <w:rPr>
                <w:sz w:val="20"/>
                <w:szCs w:val="20"/>
                <w:color w:val="auto"/>
              </w:rPr>
            </w:pPr>
            <w:r>
              <w:rPr>
                <w:rFonts w:ascii="Arial" w:cs="Arial" w:eastAsia="Arial" w:hAnsi="Arial"/>
                <w:sz w:val="18"/>
                <w:szCs w:val="18"/>
                <w:color w:val="auto"/>
              </w:rPr>
              <w:t xml:space="preserve">Avra Valley </w:t>
            </w:r>
            <w:r>
              <w:rPr>
                <w:rFonts w:ascii="Arial" w:cs="Arial" w:eastAsia="Arial" w:hAnsi="Arial"/>
                <w:sz w:val="18"/>
                <w:szCs w:val="18"/>
                <w:color w:val="BDBDBD"/>
              </w:rPr>
              <w:t>. . . . . . . . . . .</w:t>
            </w: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85 %</w:t>
            </w:r>
          </w:p>
        </w:tc>
        <w:tc>
          <w:tcPr>
            <w:tcW w:w="80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2.20 %</w:t>
            </w:r>
          </w:p>
        </w:tc>
        <w:tc>
          <w:tcPr>
            <w:tcW w:w="80" w:type="dxa"/>
            <w:vAlign w:val="bottom"/>
            <w:shd w:val="clear" w:color="auto" w:fill="E6E6E6"/>
          </w:tcPr>
          <w:p>
            <w:pPr>
              <w:spacing w:after="0"/>
              <w:rPr>
                <w:sz w:val="23"/>
                <w:szCs w:val="23"/>
                <w:color w:val="auto"/>
              </w:rPr>
            </w:pPr>
          </w:p>
        </w:tc>
        <w:tc>
          <w:tcPr>
            <w:tcW w:w="1360" w:type="dxa"/>
            <w:vAlign w:val="bottom"/>
            <w:shd w:val="clear" w:color="auto" w:fill="E6E6E6"/>
          </w:tcPr>
          <w:p>
            <w:pPr>
              <w:ind w:left="40"/>
              <w:spacing w:after="0"/>
              <w:rPr>
                <w:sz w:val="20"/>
                <w:szCs w:val="20"/>
                <w:color w:val="auto"/>
              </w:rPr>
            </w:pPr>
            <w:r>
              <w:rPr>
                <w:rFonts w:ascii="Arial" w:cs="Arial" w:eastAsia="Arial" w:hAnsi="Arial"/>
                <w:sz w:val="18"/>
                <w:szCs w:val="18"/>
                <w:color w:val="auto"/>
              </w:rPr>
              <w:t>SOFR</w:t>
            </w:r>
          </w:p>
        </w:tc>
        <w:tc>
          <w:tcPr>
            <w:tcW w:w="22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E6E6E6"/>
          </w:tcPr>
          <w:p>
            <w:pPr>
              <w:spacing w:after="0"/>
              <w:rPr>
                <w:sz w:val="23"/>
                <w:szCs w:val="23"/>
                <w:color w:val="auto"/>
              </w:rPr>
            </w:pPr>
          </w:p>
        </w:tc>
        <w:tc>
          <w:tcPr>
            <w:tcW w:w="16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March 31, 2023</w:t>
            </w:r>
          </w:p>
        </w:tc>
        <w:tc>
          <w:tcPr>
            <w:tcW w:w="60" w:type="dxa"/>
            <w:vAlign w:val="bottom"/>
            <w:shd w:val="clear" w:color="auto" w:fill="E6E6E6"/>
          </w:tcPr>
          <w:p>
            <w:pPr>
              <w:spacing w:after="0"/>
              <w:rPr>
                <w:sz w:val="23"/>
                <w:szCs w:val="23"/>
                <w:color w:val="auto"/>
              </w:rPr>
            </w:pPr>
          </w:p>
        </w:tc>
        <w:tc>
          <w:tcPr>
            <w:tcW w:w="16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January 31, 2031</w:t>
            </w:r>
          </w:p>
        </w:tc>
        <w:tc>
          <w:tcPr>
            <w:tcW w:w="0" w:type="dxa"/>
            <w:vAlign w:val="bottom"/>
          </w:tcPr>
          <w:p>
            <w:pPr>
              <w:spacing w:after="0"/>
              <w:rPr>
                <w:sz w:val="1"/>
                <w:szCs w:val="1"/>
                <w:color w:val="auto"/>
              </w:rPr>
            </w:pPr>
          </w:p>
        </w:tc>
      </w:tr>
      <w:tr>
        <w:trPr>
          <w:trHeight w:val="215"/>
        </w:trPr>
        <w:tc>
          <w:tcPr>
            <w:tcW w:w="2100" w:type="dxa"/>
            <w:vAlign w:val="bottom"/>
          </w:tcPr>
          <w:p>
            <w:pPr>
              <w:ind w:left="40"/>
              <w:spacing w:after="0"/>
              <w:rPr>
                <w:sz w:val="20"/>
                <w:szCs w:val="20"/>
                <w:color w:val="auto"/>
              </w:rPr>
            </w:pPr>
            <w:r>
              <w:rPr>
                <w:rFonts w:ascii="Arial" w:cs="Arial" w:eastAsia="Arial" w:hAnsi="Arial"/>
                <w:sz w:val="18"/>
                <w:szCs w:val="18"/>
                <w:color w:val="auto"/>
              </w:rPr>
              <w:t>Alta Wind Asset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100 %</w:t>
            </w:r>
          </w:p>
        </w:tc>
        <w:tc>
          <w:tcPr>
            <w:tcW w:w="800" w:type="dxa"/>
            <w:vAlign w:val="bottom"/>
            <w:gridSpan w:val="2"/>
            <w:vMerge w:val="restart"/>
          </w:tcPr>
          <w:p>
            <w:pPr>
              <w:jc w:val="right"/>
              <w:spacing w:after="0"/>
              <w:rPr>
                <w:sz w:val="20"/>
                <w:szCs w:val="20"/>
                <w:color w:val="auto"/>
              </w:rPr>
            </w:pPr>
            <w:r>
              <w:rPr>
                <w:rFonts w:ascii="Arial" w:cs="Arial" w:eastAsia="Arial" w:hAnsi="Arial"/>
                <w:sz w:val="18"/>
                <w:szCs w:val="18"/>
                <w:color w:val="auto"/>
              </w:rPr>
              <w:t>2.22 %</w:t>
            </w:r>
          </w:p>
        </w:tc>
        <w:tc>
          <w:tcPr>
            <w:tcW w:w="80" w:type="dxa"/>
            <w:vAlign w:val="bottom"/>
          </w:tcPr>
          <w:p>
            <w:pPr>
              <w:spacing w:after="0"/>
              <w:rPr>
                <w:sz w:val="18"/>
                <w:szCs w:val="18"/>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SOFR</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1660" w:type="dxa"/>
            <w:vAlign w:val="bottom"/>
            <w:vMerge w:val="restart"/>
          </w:tcPr>
          <w:p>
            <w:pPr>
              <w:jc w:val="right"/>
              <w:spacing w:after="0"/>
              <w:rPr>
                <w:sz w:val="20"/>
                <w:szCs w:val="20"/>
                <w:color w:val="auto"/>
              </w:rPr>
            </w:pPr>
            <w:r>
              <w:rPr>
                <w:rFonts w:ascii="Arial" w:cs="Arial" w:eastAsia="Arial" w:hAnsi="Arial"/>
                <w:sz w:val="18"/>
                <w:szCs w:val="18"/>
                <w:color w:val="auto"/>
              </w:rPr>
              <w:t>May 22, 2013</w:t>
            </w:r>
          </w:p>
        </w:tc>
        <w:tc>
          <w:tcPr>
            <w:tcW w:w="60" w:type="dxa"/>
            <w:vAlign w:val="bottom"/>
          </w:tcPr>
          <w:p>
            <w:pPr>
              <w:spacing w:after="0"/>
              <w:rPr>
                <w:sz w:val="18"/>
                <w:szCs w:val="18"/>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May 15, 2031</w:t>
            </w:r>
          </w:p>
        </w:tc>
        <w:tc>
          <w:tcPr>
            <w:tcW w:w="0" w:type="dxa"/>
            <w:vAlign w:val="bottom"/>
          </w:tcPr>
          <w:p>
            <w:pPr>
              <w:spacing w:after="0"/>
              <w:rPr>
                <w:sz w:val="1"/>
                <w:szCs w:val="1"/>
                <w:color w:val="auto"/>
              </w:rPr>
            </w:pPr>
          </w:p>
        </w:tc>
      </w:tr>
      <w:tr>
        <w:trPr>
          <w:trHeight w:val="241"/>
        </w:trPr>
        <w:tc>
          <w:tcPr>
            <w:tcW w:w="2100" w:type="dxa"/>
            <w:vAlign w:val="bottom"/>
          </w:tcPr>
          <w:p>
            <w:pPr>
              <w:jc w:val="right"/>
              <w:ind w:right="30"/>
              <w:spacing w:after="0"/>
              <w:rPr>
                <w:sz w:val="20"/>
                <w:szCs w:val="20"/>
                <w:color w:val="auto"/>
              </w:rPr>
            </w:pPr>
            <w:r>
              <w:rPr>
                <w:rFonts w:ascii="Arial" w:cs="Arial" w:eastAsia="Arial" w:hAnsi="Arial"/>
                <w:sz w:val="18"/>
                <w:szCs w:val="18"/>
                <w:color w:val="auto"/>
              </w:rPr>
              <w:t xml:space="preserve">Management </w:t>
            </w:r>
            <w:r>
              <w:rPr>
                <w:rFonts w:ascii="Arial" w:cs="Arial" w:eastAsia="Arial" w:hAnsi="Arial"/>
                <w:sz w:val="18"/>
                <w:szCs w:val="18"/>
                <w:color w:val="BDBDBD"/>
              </w:rPr>
              <w:t>. . . . . . . . .</w:t>
            </w:r>
          </w:p>
        </w:tc>
        <w:tc>
          <w:tcPr>
            <w:tcW w:w="840" w:type="dxa"/>
            <w:vAlign w:val="bottom"/>
            <w:vMerge w:val="continue"/>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6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2100" w:type="dxa"/>
            <w:vAlign w:val="bottom"/>
            <w:shd w:val="clear" w:color="auto" w:fill="E6E6E6"/>
          </w:tcPr>
          <w:p>
            <w:pPr>
              <w:ind w:left="40"/>
              <w:spacing w:after="0"/>
              <w:rPr>
                <w:sz w:val="20"/>
                <w:szCs w:val="20"/>
                <w:color w:val="auto"/>
              </w:rPr>
            </w:pPr>
            <w:r>
              <w:rPr>
                <w:rFonts w:ascii="Arial" w:cs="Arial" w:eastAsia="Arial" w:hAnsi="Arial"/>
                <w:sz w:val="18"/>
                <w:szCs w:val="18"/>
                <w:color w:val="auto"/>
                <w:w w:val="97"/>
              </w:rPr>
              <w:t xml:space="preserve">Borrego  </w:t>
            </w:r>
            <w:r>
              <w:rPr>
                <w:rFonts w:ascii="Arial" w:cs="Arial" w:eastAsia="Arial" w:hAnsi="Arial"/>
                <w:sz w:val="18"/>
                <w:szCs w:val="18"/>
                <w:color w:val="BDBDBD"/>
                <w:w w:val="97"/>
              </w:rPr>
              <w:t>. . . . . . . . . . . . . .</w:t>
            </w: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100 %</w:t>
            </w:r>
          </w:p>
        </w:tc>
        <w:tc>
          <w:tcPr>
            <w:tcW w:w="80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0.21 %</w:t>
            </w:r>
          </w:p>
        </w:tc>
        <w:tc>
          <w:tcPr>
            <w:tcW w:w="80" w:type="dxa"/>
            <w:vAlign w:val="bottom"/>
            <w:shd w:val="clear" w:color="auto" w:fill="E6E6E6"/>
          </w:tcPr>
          <w:p>
            <w:pPr>
              <w:spacing w:after="0"/>
              <w:rPr>
                <w:sz w:val="22"/>
                <w:szCs w:val="22"/>
                <w:color w:val="auto"/>
              </w:rPr>
            </w:pPr>
          </w:p>
        </w:tc>
        <w:tc>
          <w:tcPr>
            <w:tcW w:w="1360" w:type="dxa"/>
            <w:vAlign w:val="bottom"/>
            <w:shd w:val="clear" w:color="auto" w:fill="E6E6E6"/>
          </w:tcPr>
          <w:p>
            <w:pPr>
              <w:ind w:left="40"/>
              <w:spacing w:after="0"/>
              <w:rPr>
                <w:sz w:val="20"/>
                <w:szCs w:val="20"/>
                <w:color w:val="auto"/>
              </w:rPr>
            </w:pPr>
            <w:r>
              <w:rPr>
                <w:rFonts w:ascii="Arial" w:cs="Arial" w:eastAsia="Arial" w:hAnsi="Arial"/>
                <w:sz w:val="18"/>
                <w:szCs w:val="18"/>
                <w:color w:val="auto"/>
              </w:rPr>
              <w:t>SOFR</w:t>
            </w:r>
          </w:p>
        </w:tc>
        <w:tc>
          <w:tcPr>
            <w:tcW w:w="6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14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E6E6E6"/>
          </w:tcPr>
          <w:p>
            <w:pPr>
              <w:spacing w:after="0"/>
              <w:rPr>
                <w:sz w:val="22"/>
                <w:szCs w:val="22"/>
                <w:color w:val="auto"/>
              </w:rPr>
            </w:pPr>
          </w:p>
        </w:tc>
        <w:tc>
          <w:tcPr>
            <w:tcW w:w="3320" w:type="dxa"/>
            <w:vAlign w:val="bottom"/>
            <w:gridSpan w:val="3"/>
            <w:shd w:val="clear" w:color="auto" w:fill="E6E6E6"/>
          </w:tcPr>
          <w:p>
            <w:pPr>
              <w:jc w:val="right"/>
              <w:spacing w:after="0"/>
              <w:rPr>
                <w:sz w:val="20"/>
                <w:szCs w:val="20"/>
                <w:color w:val="auto"/>
              </w:rPr>
            </w:pPr>
            <w:r>
              <w:rPr>
                <w:rFonts w:ascii="Arial" w:cs="Arial" w:eastAsia="Arial" w:hAnsi="Arial"/>
                <w:sz w:val="18"/>
                <w:szCs w:val="18"/>
                <w:color w:val="auto"/>
              </w:rPr>
              <w:t>June 30, 2020   December 31, 2024</w:t>
            </w:r>
          </w:p>
        </w:tc>
        <w:tc>
          <w:tcPr>
            <w:tcW w:w="0" w:type="dxa"/>
            <w:vAlign w:val="bottom"/>
          </w:tcPr>
          <w:p>
            <w:pPr>
              <w:spacing w:after="0"/>
              <w:rPr>
                <w:sz w:val="1"/>
                <w:szCs w:val="1"/>
                <w:color w:val="auto"/>
              </w:rPr>
            </w:pPr>
          </w:p>
        </w:tc>
      </w:tr>
      <w:tr>
        <w:trPr>
          <w:trHeight w:val="247"/>
        </w:trPr>
        <w:tc>
          <w:tcPr>
            <w:tcW w:w="2100" w:type="dxa"/>
            <w:vAlign w:val="bottom"/>
          </w:tcPr>
          <w:p>
            <w:pPr>
              <w:ind w:left="40"/>
              <w:spacing w:after="0"/>
              <w:rPr>
                <w:sz w:val="20"/>
                <w:szCs w:val="20"/>
                <w:color w:val="auto"/>
              </w:rPr>
            </w:pPr>
            <w:r>
              <w:rPr>
                <w:rFonts w:ascii="Arial" w:cs="Arial" w:eastAsia="Arial" w:hAnsi="Arial"/>
                <w:sz w:val="18"/>
                <w:szCs w:val="18"/>
                <w:color w:val="auto"/>
                <w:w w:val="98"/>
              </w:rPr>
              <w:t xml:space="preserve">Broken Bow </w:t>
            </w:r>
            <w:r>
              <w:rPr>
                <w:rFonts w:ascii="Arial" w:cs="Arial" w:eastAsia="Arial" w:hAnsi="Arial"/>
                <w:sz w:val="18"/>
                <w:szCs w:val="18"/>
                <w:color w:val="BDBDBD"/>
                <w:w w:val="98"/>
              </w:rPr>
              <w:t>. . . . . . . . . . .</w:t>
            </w:r>
          </w:p>
        </w:tc>
        <w:tc>
          <w:tcPr>
            <w:tcW w:w="840" w:type="dxa"/>
            <w:vAlign w:val="bottom"/>
          </w:tcPr>
          <w:p>
            <w:pPr>
              <w:jc w:val="right"/>
              <w:spacing w:after="0"/>
              <w:rPr>
                <w:sz w:val="20"/>
                <w:szCs w:val="20"/>
                <w:color w:val="auto"/>
              </w:rPr>
            </w:pPr>
            <w:r>
              <w:rPr>
                <w:rFonts w:ascii="Arial" w:cs="Arial" w:eastAsia="Arial" w:hAnsi="Arial"/>
                <w:sz w:val="18"/>
                <w:szCs w:val="18"/>
                <w:color w:val="auto"/>
              </w:rPr>
              <w:t>90 %</w:t>
            </w: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Various</w:t>
            </w:r>
          </w:p>
        </w:tc>
        <w:tc>
          <w:tcPr>
            <w:tcW w:w="80" w:type="dxa"/>
            <w:vAlign w:val="bottom"/>
          </w:tcPr>
          <w:p>
            <w:pPr>
              <w:spacing w:after="0"/>
              <w:rPr>
                <w:sz w:val="21"/>
                <w:szCs w:val="21"/>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SOFR</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Various</w:t>
            </w:r>
          </w:p>
        </w:tc>
        <w:tc>
          <w:tcPr>
            <w:tcW w:w="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Various</w:t>
            </w:r>
          </w:p>
        </w:tc>
        <w:tc>
          <w:tcPr>
            <w:tcW w:w="0" w:type="dxa"/>
            <w:vAlign w:val="bottom"/>
          </w:tcPr>
          <w:p>
            <w:pPr>
              <w:spacing w:after="0"/>
              <w:rPr>
                <w:sz w:val="1"/>
                <w:szCs w:val="1"/>
                <w:color w:val="auto"/>
              </w:rPr>
            </w:pPr>
          </w:p>
        </w:tc>
      </w:tr>
      <w:tr>
        <w:trPr>
          <w:trHeight w:val="261"/>
        </w:trPr>
        <w:tc>
          <w:tcPr>
            <w:tcW w:w="2100" w:type="dxa"/>
            <w:vAlign w:val="bottom"/>
            <w:shd w:val="clear" w:color="auto" w:fill="E6E6E6"/>
          </w:tcPr>
          <w:p>
            <w:pPr>
              <w:ind w:left="40"/>
              <w:spacing w:after="0"/>
              <w:rPr>
                <w:sz w:val="20"/>
                <w:szCs w:val="20"/>
                <w:color w:val="auto"/>
              </w:rPr>
            </w:pPr>
            <w:r>
              <w:rPr>
                <w:rFonts w:ascii="Arial" w:cs="Arial" w:eastAsia="Arial" w:hAnsi="Arial"/>
                <w:sz w:val="18"/>
                <w:szCs w:val="18"/>
                <w:color w:val="auto"/>
                <w:w w:val="97"/>
              </w:rPr>
              <w:t xml:space="preserve">Buckthorn Solar </w:t>
            </w:r>
            <w:r>
              <w:rPr>
                <w:rFonts w:ascii="Arial" w:cs="Arial" w:eastAsia="Arial" w:hAnsi="Arial"/>
                <w:sz w:val="18"/>
                <w:szCs w:val="18"/>
                <w:color w:val="BDBDBD"/>
                <w:w w:val="97"/>
              </w:rPr>
              <w:t>. . . . . . . .</w:t>
            </w: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80 %</w:t>
            </w:r>
          </w:p>
        </w:tc>
        <w:tc>
          <w:tcPr>
            <w:tcW w:w="80" w:type="dxa"/>
            <w:vAlign w:val="bottom"/>
            <w:shd w:val="clear" w:color="auto" w:fill="E6E6E6"/>
          </w:tcPr>
          <w:p>
            <w:pPr>
              <w:spacing w:after="0"/>
              <w:rPr>
                <w:sz w:val="22"/>
                <w:szCs w:val="22"/>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Various</w:t>
            </w:r>
          </w:p>
        </w:tc>
        <w:tc>
          <w:tcPr>
            <w:tcW w:w="80" w:type="dxa"/>
            <w:vAlign w:val="bottom"/>
            <w:shd w:val="clear" w:color="auto" w:fill="E6E6E6"/>
          </w:tcPr>
          <w:p>
            <w:pPr>
              <w:spacing w:after="0"/>
              <w:rPr>
                <w:sz w:val="22"/>
                <w:szCs w:val="22"/>
                <w:color w:val="auto"/>
              </w:rPr>
            </w:pPr>
          </w:p>
        </w:tc>
        <w:tc>
          <w:tcPr>
            <w:tcW w:w="1360" w:type="dxa"/>
            <w:vAlign w:val="bottom"/>
            <w:shd w:val="clear" w:color="auto" w:fill="E6E6E6"/>
          </w:tcPr>
          <w:p>
            <w:pPr>
              <w:ind w:left="40"/>
              <w:spacing w:after="0"/>
              <w:rPr>
                <w:sz w:val="20"/>
                <w:szCs w:val="20"/>
                <w:color w:val="auto"/>
              </w:rPr>
            </w:pPr>
            <w:r>
              <w:rPr>
                <w:rFonts w:ascii="Arial" w:cs="Arial" w:eastAsia="Arial" w:hAnsi="Arial"/>
                <w:sz w:val="18"/>
                <w:szCs w:val="18"/>
                <w:color w:val="auto"/>
              </w:rPr>
              <w:t>SOFR</w:t>
            </w:r>
          </w:p>
        </w:tc>
        <w:tc>
          <w:tcPr>
            <w:tcW w:w="6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14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93</w:t>
            </w:r>
          </w:p>
        </w:tc>
        <w:tc>
          <w:tcPr>
            <w:tcW w:w="80" w:type="dxa"/>
            <w:vAlign w:val="bottom"/>
            <w:shd w:val="clear" w:color="auto" w:fill="E6E6E6"/>
          </w:tcPr>
          <w:p>
            <w:pPr>
              <w:spacing w:after="0"/>
              <w:rPr>
                <w:sz w:val="22"/>
                <w:szCs w:val="22"/>
                <w:color w:val="auto"/>
              </w:rPr>
            </w:pPr>
          </w:p>
        </w:tc>
        <w:tc>
          <w:tcPr>
            <w:tcW w:w="16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February 28, 2018</w:t>
            </w:r>
          </w:p>
        </w:tc>
        <w:tc>
          <w:tcPr>
            <w:tcW w:w="60" w:type="dxa"/>
            <w:vAlign w:val="bottom"/>
            <w:shd w:val="clear" w:color="auto" w:fill="E6E6E6"/>
          </w:tcPr>
          <w:p>
            <w:pPr>
              <w:spacing w:after="0"/>
              <w:rPr>
                <w:sz w:val="22"/>
                <w:szCs w:val="22"/>
                <w:color w:val="auto"/>
              </w:rPr>
            </w:pPr>
          </w:p>
        </w:tc>
        <w:tc>
          <w:tcPr>
            <w:tcW w:w="160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7"/>
              </w:rPr>
              <w:t>December 31, 2041</w:t>
            </w:r>
          </w:p>
        </w:tc>
        <w:tc>
          <w:tcPr>
            <w:tcW w:w="0" w:type="dxa"/>
            <w:vAlign w:val="bottom"/>
          </w:tcPr>
          <w:p>
            <w:pPr>
              <w:spacing w:after="0"/>
              <w:rPr>
                <w:sz w:val="1"/>
                <w:szCs w:val="1"/>
                <w:color w:val="auto"/>
              </w:rPr>
            </w:pPr>
          </w:p>
        </w:tc>
      </w:tr>
      <w:tr>
        <w:trPr>
          <w:trHeight w:val="276"/>
        </w:trPr>
        <w:tc>
          <w:tcPr>
            <w:tcW w:w="2100" w:type="dxa"/>
            <w:vAlign w:val="bottom"/>
          </w:tcPr>
          <w:p>
            <w:pPr>
              <w:ind w:left="40"/>
              <w:spacing w:after="0"/>
              <w:rPr>
                <w:sz w:val="20"/>
                <w:szCs w:val="20"/>
                <w:color w:val="auto"/>
              </w:rPr>
            </w:pPr>
            <w:r>
              <w:rPr>
                <w:rFonts w:ascii="Arial" w:cs="Arial" w:eastAsia="Arial" w:hAnsi="Arial"/>
                <w:sz w:val="18"/>
                <w:szCs w:val="18"/>
                <w:color w:val="auto"/>
                <w:w w:val="97"/>
              </w:rPr>
              <w:t>Carlsbad Energy Holdings</w:t>
            </w:r>
          </w:p>
        </w:tc>
        <w:tc>
          <w:tcPr>
            <w:tcW w:w="840" w:type="dxa"/>
            <w:vAlign w:val="bottom"/>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Various</w:t>
            </w:r>
          </w:p>
        </w:tc>
        <w:tc>
          <w:tcPr>
            <w:tcW w:w="80" w:type="dxa"/>
            <w:vAlign w:val="bottom"/>
          </w:tcPr>
          <w:p>
            <w:pPr>
              <w:spacing w:after="0"/>
              <w:rPr>
                <w:sz w:val="24"/>
                <w:szCs w:val="24"/>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SOFR</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Various</w:t>
            </w:r>
          </w:p>
        </w:tc>
        <w:tc>
          <w:tcPr>
            <w:tcW w:w="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w w:val="94"/>
              </w:rPr>
              <w:t>September 30, 2027</w:t>
            </w:r>
          </w:p>
        </w:tc>
        <w:tc>
          <w:tcPr>
            <w:tcW w:w="0" w:type="dxa"/>
            <w:vAlign w:val="bottom"/>
          </w:tcPr>
          <w:p>
            <w:pPr>
              <w:spacing w:after="0"/>
              <w:rPr>
                <w:sz w:val="1"/>
                <w:szCs w:val="1"/>
                <w:color w:val="auto"/>
              </w:rPr>
            </w:pPr>
          </w:p>
        </w:tc>
      </w:tr>
      <w:tr>
        <w:trPr>
          <w:trHeight w:val="291"/>
        </w:trPr>
        <w:tc>
          <w:tcPr>
            <w:tcW w:w="2100" w:type="dxa"/>
            <w:vAlign w:val="bottom"/>
            <w:shd w:val="clear" w:color="auto" w:fill="E6E6E6"/>
          </w:tcPr>
          <w:p>
            <w:pPr>
              <w:ind w:left="40"/>
              <w:spacing w:after="0"/>
              <w:rPr>
                <w:sz w:val="20"/>
                <w:szCs w:val="20"/>
                <w:color w:val="auto"/>
              </w:rPr>
            </w:pPr>
            <w:r>
              <w:rPr>
                <w:rFonts w:ascii="Arial" w:cs="Arial" w:eastAsia="Arial" w:hAnsi="Arial"/>
                <w:sz w:val="18"/>
                <w:szCs w:val="18"/>
                <w:color w:val="auto"/>
                <w:w w:val="99"/>
              </w:rPr>
              <w:t xml:space="preserve">Cedro Hill  </w:t>
            </w:r>
            <w:r>
              <w:rPr>
                <w:rFonts w:ascii="Arial" w:cs="Arial" w:eastAsia="Arial" w:hAnsi="Arial"/>
                <w:sz w:val="18"/>
                <w:szCs w:val="18"/>
                <w:color w:val="BDBDBD"/>
                <w:w w:val="99"/>
              </w:rPr>
              <w:t>. . . . . . . . . . . .</w:t>
            </w: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86 %</w:t>
            </w:r>
          </w:p>
        </w:tc>
        <w:tc>
          <w:tcPr>
            <w:tcW w:w="80" w:type="dxa"/>
            <w:vAlign w:val="bottom"/>
            <w:shd w:val="clear" w:color="auto" w:fill="E6E6E6"/>
          </w:tcPr>
          <w:p>
            <w:pPr>
              <w:spacing w:after="0"/>
              <w:rPr>
                <w:sz w:val="24"/>
                <w:szCs w:val="24"/>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Various</w:t>
            </w:r>
          </w:p>
        </w:tc>
        <w:tc>
          <w:tcPr>
            <w:tcW w:w="80" w:type="dxa"/>
            <w:vAlign w:val="bottom"/>
            <w:shd w:val="clear" w:color="auto" w:fill="E6E6E6"/>
          </w:tcPr>
          <w:p>
            <w:pPr>
              <w:spacing w:after="0"/>
              <w:rPr>
                <w:sz w:val="24"/>
                <w:szCs w:val="24"/>
                <w:color w:val="auto"/>
              </w:rPr>
            </w:pPr>
          </w:p>
        </w:tc>
        <w:tc>
          <w:tcPr>
            <w:tcW w:w="1360" w:type="dxa"/>
            <w:vAlign w:val="bottom"/>
            <w:shd w:val="clear" w:color="auto" w:fill="E6E6E6"/>
          </w:tcPr>
          <w:p>
            <w:pPr>
              <w:ind w:left="40"/>
              <w:spacing w:after="0"/>
              <w:rPr>
                <w:sz w:val="20"/>
                <w:szCs w:val="20"/>
                <w:color w:val="auto"/>
              </w:rPr>
            </w:pPr>
            <w:r>
              <w:rPr>
                <w:rFonts w:ascii="Arial" w:cs="Arial" w:eastAsia="Arial" w:hAnsi="Arial"/>
                <w:sz w:val="18"/>
                <w:szCs w:val="18"/>
                <w:color w:val="auto"/>
              </w:rPr>
              <w:t>SOFR</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4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142</w:t>
            </w:r>
          </w:p>
        </w:tc>
        <w:tc>
          <w:tcPr>
            <w:tcW w:w="80" w:type="dxa"/>
            <w:vAlign w:val="bottom"/>
            <w:shd w:val="clear" w:color="auto" w:fill="E6E6E6"/>
          </w:tcPr>
          <w:p>
            <w:pPr>
              <w:spacing w:after="0"/>
              <w:rPr>
                <w:sz w:val="24"/>
                <w:szCs w:val="24"/>
                <w:color w:val="auto"/>
              </w:rPr>
            </w:pPr>
          </w:p>
        </w:tc>
        <w:tc>
          <w:tcPr>
            <w:tcW w:w="16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December 12, 2023</w:t>
            </w:r>
          </w:p>
        </w:tc>
        <w:tc>
          <w:tcPr>
            <w:tcW w:w="60" w:type="dxa"/>
            <w:vAlign w:val="bottom"/>
            <w:shd w:val="clear" w:color="auto" w:fill="E6E6E6"/>
          </w:tcPr>
          <w:p>
            <w:pPr>
              <w:spacing w:after="0"/>
              <w:rPr>
                <w:sz w:val="24"/>
                <w:szCs w:val="24"/>
                <w:color w:val="auto"/>
              </w:rPr>
            </w:pPr>
          </w:p>
        </w:tc>
        <w:tc>
          <w:tcPr>
            <w:tcW w:w="16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Various</w:t>
            </w:r>
          </w:p>
        </w:tc>
        <w:tc>
          <w:tcPr>
            <w:tcW w:w="0" w:type="dxa"/>
            <w:vAlign w:val="bottom"/>
          </w:tcPr>
          <w:p>
            <w:pPr>
              <w:spacing w:after="0"/>
              <w:rPr>
                <w:sz w:val="1"/>
                <w:szCs w:val="1"/>
                <w:color w:val="auto"/>
              </w:rPr>
            </w:pPr>
          </w:p>
        </w:tc>
      </w:tr>
      <w:tr>
        <w:trPr>
          <w:trHeight w:val="246"/>
        </w:trPr>
        <w:tc>
          <w:tcPr>
            <w:tcW w:w="2100" w:type="dxa"/>
            <w:vAlign w:val="bottom"/>
          </w:tcPr>
          <w:p>
            <w:pPr>
              <w:ind w:left="40"/>
              <w:spacing w:after="0"/>
              <w:rPr>
                <w:sz w:val="20"/>
                <w:szCs w:val="20"/>
                <w:color w:val="auto"/>
              </w:rPr>
            </w:pPr>
            <w:r>
              <w:rPr>
                <w:rFonts w:ascii="Arial" w:cs="Arial" w:eastAsia="Arial" w:hAnsi="Arial"/>
                <w:sz w:val="18"/>
                <w:szCs w:val="18"/>
                <w:color w:val="auto"/>
              </w:rPr>
              <w:t xml:space="preserve">Crofton Bluffs </w:t>
            </w:r>
            <w:r>
              <w:rPr>
                <w:rFonts w:ascii="Arial" w:cs="Arial" w:eastAsia="Arial" w:hAnsi="Arial"/>
                <w:sz w:val="18"/>
                <w:szCs w:val="18"/>
                <w:color w:val="BDBDBD"/>
              </w:rPr>
              <w:t>. . . . . . . . .</w:t>
            </w:r>
          </w:p>
        </w:tc>
        <w:tc>
          <w:tcPr>
            <w:tcW w:w="840" w:type="dxa"/>
            <w:vAlign w:val="bottom"/>
          </w:tcPr>
          <w:p>
            <w:pPr>
              <w:jc w:val="right"/>
              <w:spacing w:after="0"/>
              <w:rPr>
                <w:sz w:val="20"/>
                <w:szCs w:val="20"/>
                <w:color w:val="auto"/>
              </w:rPr>
            </w:pPr>
            <w:r>
              <w:rPr>
                <w:rFonts w:ascii="Arial" w:cs="Arial" w:eastAsia="Arial" w:hAnsi="Arial"/>
                <w:sz w:val="18"/>
                <w:szCs w:val="18"/>
                <w:color w:val="auto"/>
              </w:rPr>
              <w:t>90 %</w:t>
            </w: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Various</w:t>
            </w:r>
          </w:p>
        </w:tc>
        <w:tc>
          <w:tcPr>
            <w:tcW w:w="80" w:type="dxa"/>
            <w:vAlign w:val="bottom"/>
          </w:tcPr>
          <w:p>
            <w:pPr>
              <w:spacing w:after="0"/>
              <w:rPr>
                <w:sz w:val="21"/>
                <w:szCs w:val="21"/>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SOFR</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Various</w:t>
            </w:r>
          </w:p>
        </w:tc>
        <w:tc>
          <w:tcPr>
            <w:tcW w:w="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Various</w:t>
            </w:r>
          </w:p>
        </w:tc>
        <w:tc>
          <w:tcPr>
            <w:tcW w:w="0" w:type="dxa"/>
            <w:vAlign w:val="bottom"/>
          </w:tcPr>
          <w:p>
            <w:pPr>
              <w:spacing w:after="0"/>
              <w:rPr>
                <w:sz w:val="1"/>
                <w:szCs w:val="1"/>
                <w:color w:val="auto"/>
              </w:rPr>
            </w:pPr>
          </w:p>
        </w:tc>
      </w:tr>
      <w:tr>
        <w:trPr>
          <w:trHeight w:val="261"/>
        </w:trPr>
        <w:tc>
          <w:tcPr>
            <w:tcW w:w="2100" w:type="dxa"/>
            <w:vAlign w:val="bottom"/>
            <w:shd w:val="clear" w:color="auto" w:fill="E6E6E6"/>
          </w:tcPr>
          <w:p>
            <w:pPr>
              <w:ind w:left="40"/>
              <w:spacing w:after="0"/>
              <w:rPr>
                <w:sz w:val="20"/>
                <w:szCs w:val="20"/>
                <w:color w:val="auto"/>
              </w:rPr>
            </w:pPr>
            <w:r>
              <w:rPr>
                <w:rFonts w:ascii="Arial" w:cs="Arial" w:eastAsia="Arial" w:hAnsi="Arial"/>
                <w:sz w:val="18"/>
                <w:szCs w:val="18"/>
                <w:color w:val="auto"/>
                <w:w w:val="97"/>
              </w:rPr>
              <w:t xml:space="preserve">Daggett 2 </w:t>
            </w:r>
            <w:r>
              <w:rPr>
                <w:rFonts w:ascii="Arial" w:cs="Arial" w:eastAsia="Arial" w:hAnsi="Arial"/>
                <w:sz w:val="18"/>
                <w:szCs w:val="18"/>
                <w:color w:val="BDBDBD"/>
                <w:w w:val="97"/>
              </w:rPr>
              <w:t>. . . . . . . . . . . . .</w:t>
            </w: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90 %</w:t>
            </w:r>
          </w:p>
        </w:tc>
        <w:tc>
          <w:tcPr>
            <w:tcW w:w="80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2.22 %</w:t>
            </w:r>
          </w:p>
        </w:tc>
        <w:tc>
          <w:tcPr>
            <w:tcW w:w="80" w:type="dxa"/>
            <w:vAlign w:val="bottom"/>
            <w:shd w:val="clear" w:color="auto" w:fill="E6E6E6"/>
          </w:tcPr>
          <w:p>
            <w:pPr>
              <w:spacing w:after="0"/>
              <w:rPr>
                <w:sz w:val="22"/>
                <w:szCs w:val="22"/>
                <w:color w:val="auto"/>
              </w:rPr>
            </w:pPr>
          </w:p>
        </w:tc>
        <w:tc>
          <w:tcPr>
            <w:tcW w:w="1360" w:type="dxa"/>
            <w:vAlign w:val="bottom"/>
            <w:shd w:val="clear" w:color="auto" w:fill="E6E6E6"/>
          </w:tcPr>
          <w:p>
            <w:pPr>
              <w:ind w:left="40"/>
              <w:spacing w:after="0"/>
              <w:rPr>
                <w:sz w:val="20"/>
                <w:szCs w:val="20"/>
                <w:color w:val="auto"/>
              </w:rPr>
            </w:pPr>
            <w:r>
              <w:rPr>
                <w:rFonts w:ascii="Arial" w:cs="Arial" w:eastAsia="Arial" w:hAnsi="Arial"/>
                <w:sz w:val="18"/>
                <w:szCs w:val="18"/>
                <w:color w:val="auto"/>
              </w:rPr>
              <w:t>SOFR</w:t>
            </w:r>
          </w:p>
        </w:tc>
        <w:tc>
          <w:tcPr>
            <w:tcW w:w="6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14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141</w:t>
            </w:r>
          </w:p>
        </w:tc>
        <w:tc>
          <w:tcPr>
            <w:tcW w:w="80" w:type="dxa"/>
            <w:vAlign w:val="bottom"/>
            <w:shd w:val="clear" w:color="auto" w:fill="E6E6E6"/>
          </w:tcPr>
          <w:p>
            <w:pPr>
              <w:spacing w:after="0"/>
              <w:rPr>
                <w:sz w:val="22"/>
                <w:szCs w:val="22"/>
                <w:color w:val="auto"/>
              </w:rPr>
            </w:pPr>
          </w:p>
        </w:tc>
        <w:tc>
          <w:tcPr>
            <w:tcW w:w="16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August 3, 2022</w:t>
            </w:r>
          </w:p>
        </w:tc>
        <w:tc>
          <w:tcPr>
            <w:tcW w:w="60" w:type="dxa"/>
            <w:vAlign w:val="bottom"/>
            <w:shd w:val="clear" w:color="auto" w:fill="E6E6E6"/>
          </w:tcPr>
          <w:p>
            <w:pPr>
              <w:spacing w:after="0"/>
              <w:rPr>
                <w:sz w:val="22"/>
                <w:szCs w:val="22"/>
                <w:color w:val="auto"/>
              </w:rPr>
            </w:pPr>
          </w:p>
        </w:tc>
        <w:tc>
          <w:tcPr>
            <w:tcW w:w="16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March 31, 2043</w:t>
            </w:r>
          </w:p>
        </w:tc>
        <w:tc>
          <w:tcPr>
            <w:tcW w:w="0" w:type="dxa"/>
            <w:vAlign w:val="bottom"/>
          </w:tcPr>
          <w:p>
            <w:pPr>
              <w:spacing w:after="0"/>
              <w:rPr>
                <w:sz w:val="1"/>
                <w:szCs w:val="1"/>
                <w:color w:val="auto"/>
              </w:rPr>
            </w:pPr>
          </w:p>
        </w:tc>
      </w:tr>
      <w:tr>
        <w:trPr>
          <w:trHeight w:val="247"/>
        </w:trPr>
        <w:tc>
          <w:tcPr>
            <w:tcW w:w="2100" w:type="dxa"/>
            <w:vAlign w:val="bottom"/>
          </w:tcPr>
          <w:p>
            <w:pPr>
              <w:ind w:left="40"/>
              <w:spacing w:after="0"/>
              <w:rPr>
                <w:sz w:val="20"/>
                <w:szCs w:val="20"/>
                <w:color w:val="auto"/>
              </w:rPr>
            </w:pPr>
            <w:r>
              <w:rPr>
                <w:rFonts w:ascii="Arial" w:cs="Arial" w:eastAsia="Arial" w:hAnsi="Arial"/>
                <w:sz w:val="18"/>
                <w:szCs w:val="18"/>
                <w:color w:val="auto"/>
                <w:w w:val="97"/>
              </w:rPr>
              <w:t xml:space="preserve">Daggett 3 </w:t>
            </w:r>
            <w:r>
              <w:rPr>
                <w:rFonts w:ascii="Arial" w:cs="Arial" w:eastAsia="Arial" w:hAnsi="Arial"/>
                <w:sz w:val="18"/>
                <w:szCs w:val="18"/>
                <w:color w:val="BDBDBD"/>
                <w:w w:val="97"/>
              </w:rPr>
              <w:t>. . . . . . . . . . . . .</w:t>
            </w:r>
          </w:p>
        </w:tc>
        <w:tc>
          <w:tcPr>
            <w:tcW w:w="840" w:type="dxa"/>
            <w:vAlign w:val="bottom"/>
          </w:tcPr>
          <w:p>
            <w:pPr>
              <w:jc w:val="right"/>
              <w:spacing w:after="0"/>
              <w:rPr>
                <w:sz w:val="20"/>
                <w:szCs w:val="20"/>
                <w:color w:val="auto"/>
              </w:rPr>
            </w:pPr>
            <w:r>
              <w:rPr>
                <w:rFonts w:ascii="Arial" w:cs="Arial" w:eastAsia="Arial" w:hAnsi="Arial"/>
                <w:sz w:val="18"/>
                <w:szCs w:val="18"/>
                <w:color w:val="auto"/>
              </w:rPr>
              <w:t>86 %</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1.91 %</w:t>
            </w:r>
          </w:p>
        </w:tc>
        <w:tc>
          <w:tcPr>
            <w:tcW w:w="80" w:type="dxa"/>
            <w:vAlign w:val="bottom"/>
          </w:tcPr>
          <w:p>
            <w:pPr>
              <w:spacing w:after="0"/>
              <w:rPr>
                <w:sz w:val="21"/>
                <w:szCs w:val="21"/>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SOFR</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Various</w:t>
            </w:r>
          </w:p>
        </w:tc>
        <w:tc>
          <w:tcPr>
            <w:tcW w:w="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w w:val="94"/>
              </w:rPr>
              <w:t>September 30, 2043</w:t>
            </w:r>
          </w:p>
        </w:tc>
        <w:tc>
          <w:tcPr>
            <w:tcW w:w="0" w:type="dxa"/>
            <w:vAlign w:val="bottom"/>
          </w:tcPr>
          <w:p>
            <w:pPr>
              <w:spacing w:after="0"/>
              <w:rPr>
                <w:sz w:val="1"/>
                <w:szCs w:val="1"/>
                <w:color w:val="auto"/>
              </w:rPr>
            </w:pPr>
          </w:p>
        </w:tc>
      </w:tr>
      <w:tr>
        <w:trPr>
          <w:trHeight w:val="261"/>
        </w:trPr>
        <w:tc>
          <w:tcPr>
            <w:tcW w:w="2100" w:type="dxa"/>
            <w:vAlign w:val="bottom"/>
            <w:shd w:val="clear" w:color="auto" w:fill="E6E6E6"/>
          </w:tcPr>
          <w:p>
            <w:pPr>
              <w:ind w:left="40"/>
              <w:spacing w:after="0"/>
              <w:rPr>
                <w:sz w:val="20"/>
                <w:szCs w:val="20"/>
                <w:color w:val="auto"/>
              </w:rPr>
            </w:pPr>
            <w:r>
              <w:rPr>
                <w:rFonts w:ascii="Arial" w:cs="Arial" w:eastAsia="Arial" w:hAnsi="Arial"/>
                <w:sz w:val="18"/>
                <w:szCs w:val="18"/>
                <w:color w:val="auto"/>
                <w:w w:val="96"/>
              </w:rPr>
              <w:t xml:space="preserve">Kansas South </w:t>
            </w:r>
            <w:r>
              <w:rPr>
                <w:rFonts w:ascii="Arial" w:cs="Arial" w:eastAsia="Arial" w:hAnsi="Arial"/>
                <w:sz w:val="18"/>
                <w:szCs w:val="18"/>
                <w:color w:val="BDBDBD"/>
                <w:w w:val="96"/>
              </w:rPr>
              <w:t>. . . . . . . . . .</w:t>
            </w: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75 %</w:t>
            </w:r>
          </w:p>
        </w:tc>
        <w:tc>
          <w:tcPr>
            <w:tcW w:w="80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1.93 %</w:t>
            </w:r>
          </w:p>
        </w:tc>
        <w:tc>
          <w:tcPr>
            <w:tcW w:w="80" w:type="dxa"/>
            <w:vAlign w:val="bottom"/>
            <w:shd w:val="clear" w:color="auto" w:fill="E6E6E6"/>
          </w:tcPr>
          <w:p>
            <w:pPr>
              <w:spacing w:after="0"/>
              <w:rPr>
                <w:sz w:val="22"/>
                <w:szCs w:val="22"/>
                <w:color w:val="auto"/>
              </w:rPr>
            </w:pPr>
          </w:p>
        </w:tc>
        <w:tc>
          <w:tcPr>
            <w:tcW w:w="1360" w:type="dxa"/>
            <w:vAlign w:val="bottom"/>
            <w:shd w:val="clear" w:color="auto" w:fill="E6E6E6"/>
          </w:tcPr>
          <w:p>
            <w:pPr>
              <w:ind w:left="40"/>
              <w:spacing w:after="0"/>
              <w:rPr>
                <w:sz w:val="20"/>
                <w:szCs w:val="20"/>
                <w:color w:val="auto"/>
              </w:rPr>
            </w:pPr>
            <w:r>
              <w:rPr>
                <w:rFonts w:ascii="Arial" w:cs="Arial" w:eastAsia="Arial" w:hAnsi="Arial"/>
                <w:sz w:val="18"/>
                <w:szCs w:val="18"/>
                <w:color w:val="auto"/>
              </w:rPr>
              <w:t>SOFR</w:t>
            </w:r>
          </w:p>
        </w:tc>
        <w:tc>
          <w:tcPr>
            <w:tcW w:w="6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14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E6E6E6"/>
          </w:tcPr>
          <w:p>
            <w:pPr>
              <w:spacing w:after="0"/>
              <w:rPr>
                <w:sz w:val="22"/>
                <w:szCs w:val="22"/>
                <w:color w:val="auto"/>
              </w:rPr>
            </w:pPr>
          </w:p>
        </w:tc>
        <w:tc>
          <w:tcPr>
            <w:tcW w:w="3320" w:type="dxa"/>
            <w:vAlign w:val="bottom"/>
            <w:gridSpan w:val="3"/>
            <w:shd w:val="clear" w:color="auto" w:fill="E6E6E6"/>
          </w:tcPr>
          <w:p>
            <w:pPr>
              <w:jc w:val="right"/>
              <w:spacing w:after="0"/>
              <w:rPr>
                <w:sz w:val="20"/>
                <w:szCs w:val="20"/>
                <w:color w:val="auto"/>
              </w:rPr>
            </w:pPr>
            <w:r>
              <w:rPr>
                <w:rFonts w:ascii="Arial" w:cs="Arial" w:eastAsia="Arial" w:hAnsi="Arial"/>
                <w:sz w:val="18"/>
                <w:szCs w:val="18"/>
                <w:color w:val="auto"/>
              </w:rPr>
              <w:t>June 28, 2013   December 31, 2030</w:t>
            </w:r>
          </w:p>
        </w:tc>
        <w:tc>
          <w:tcPr>
            <w:tcW w:w="0" w:type="dxa"/>
            <w:vAlign w:val="bottom"/>
          </w:tcPr>
          <w:p>
            <w:pPr>
              <w:spacing w:after="0"/>
              <w:rPr>
                <w:sz w:val="1"/>
                <w:szCs w:val="1"/>
                <w:color w:val="auto"/>
              </w:rPr>
            </w:pPr>
          </w:p>
        </w:tc>
      </w:tr>
      <w:tr>
        <w:trPr>
          <w:trHeight w:val="247"/>
        </w:trPr>
        <w:tc>
          <w:tcPr>
            <w:tcW w:w="2100" w:type="dxa"/>
            <w:vAlign w:val="bottom"/>
          </w:tcPr>
          <w:p>
            <w:pPr>
              <w:ind w:left="40"/>
              <w:spacing w:after="0"/>
              <w:rPr>
                <w:sz w:val="20"/>
                <w:szCs w:val="20"/>
                <w:color w:val="auto"/>
              </w:rPr>
            </w:pPr>
            <w:r>
              <w:rPr>
                <w:rFonts w:ascii="Arial" w:cs="Arial" w:eastAsia="Arial" w:hAnsi="Arial"/>
                <w:sz w:val="18"/>
                <w:szCs w:val="18"/>
                <w:color w:val="auto"/>
              </w:rPr>
              <w:t xml:space="preserve">Mililani Class B </w:t>
            </w:r>
            <w:r>
              <w:rPr>
                <w:rFonts w:ascii="Arial" w:cs="Arial" w:eastAsia="Arial" w:hAnsi="Arial"/>
                <w:sz w:val="18"/>
                <w:szCs w:val="18"/>
                <w:color w:val="BDBDBD"/>
              </w:rPr>
              <w:t>. . . . . . . .</w:t>
            </w:r>
          </w:p>
        </w:tc>
        <w:tc>
          <w:tcPr>
            <w:tcW w:w="840" w:type="dxa"/>
            <w:vAlign w:val="bottom"/>
          </w:tcPr>
          <w:p>
            <w:pPr>
              <w:jc w:val="right"/>
              <w:spacing w:after="0"/>
              <w:rPr>
                <w:sz w:val="20"/>
                <w:szCs w:val="20"/>
                <w:color w:val="auto"/>
              </w:rPr>
            </w:pPr>
            <w:r>
              <w:rPr>
                <w:rFonts w:ascii="Arial" w:cs="Arial" w:eastAsia="Arial" w:hAnsi="Arial"/>
                <w:sz w:val="18"/>
                <w:szCs w:val="18"/>
                <w:color w:val="auto"/>
              </w:rPr>
              <w:t>98 %</w:t>
            </w: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Various</w:t>
            </w:r>
          </w:p>
        </w:tc>
        <w:tc>
          <w:tcPr>
            <w:tcW w:w="80" w:type="dxa"/>
            <w:vAlign w:val="bottom"/>
          </w:tcPr>
          <w:p>
            <w:pPr>
              <w:spacing w:after="0"/>
              <w:rPr>
                <w:sz w:val="21"/>
                <w:szCs w:val="21"/>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SOFR</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Various</w:t>
            </w:r>
          </w:p>
        </w:tc>
        <w:tc>
          <w:tcPr>
            <w:tcW w:w="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Various</w:t>
            </w:r>
          </w:p>
        </w:tc>
        <w:tc>
          <w:tcPr>
            <w:tcW w:w="0" w:type="dxa"/>
            <w:vAlign w:val="bottom"/>
          </w:tcPr>
          <w:p>
            <w:pPr>
              <w:spacing w:after="0"/>
              <w:rPr>
                <w:sz w:val="1"/>
                <w:szCs w:val="1"/>
                <w:color w:val="auto"/>
              </w:rPr>
            </w:pPr>
          </w:p>
        </w:tc>
      </w:tr>
      <w:tr>
        <w:trPr>
          <w:trHeight w:val="261"/>
        </w:trPr>
        <w:tc>
          <w:tcPr>
            <w:tcW w:w="2100" w:type="dxa"/>
            <w:vAlign w:val="bottom"/>
            <w:shd w:val="clear" w:color="auto" w:fill="E6E6E6"/>
          </w:tcPr>
          <w:p>
            <w:pPr>
              <w:ind w:left="40"/>
              <w:spacing w:after="0"/>
              <w:rPr>
                <w:sz w:val="20"/>
                <w:szCs w:val="20"/>
                <w:color w:val="auto"/>
              </w:rPr>
            </w:pPr>
            <w:r>
              <w:rPr>
                <w:rFonts w:ascii="Arial" w:cs="Arial" w:eastAsia="Arial" w:hAnsi="Arial"/>
                <w:sz w:val="18"/>
                <w:szCs w:val="18"/>
                <w:color w:val="auto"/>
              </w:rPr>
              <w:t xml:space="preserve">NIMH Solar </w:t>
            </w:r>
            <w:r>
              <w:rPr>
                <w:rFonts w:ascii="Arial" w:cs="Arial" w:eastAsia="Arial" w:hAnsi="Arial"/>
                <w:sz w:val="18"/>
                <w:szCs w:val="18"/>
                <w:color w:val="BDBDBD"/>
              </w:rPr>
              <w:t>. . . . . . . . . . .</w:t>
            </w: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100 %</w:t>
            </w:r>
          </w:p>
        </w:tc>
        <w:tc>
          <w:tcPr>
            <w:tcW w:w="80" w:type="dxa"/>
            <w:vAlign w:val="bottom"/>
            <w:shd w:val="clear" w:color="auto" w:fill="E6E6E6"/>
          </w:tcPr>
          <w:p>
            <w:pPr>
              <w:spacing w:after="0"/>
              <w:rPr>
                <w:sz w:val="22"/>
                <w:szCs w:val="22"/>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Various</w:t>
            </w:r>
          </w:p>
        </w:tc>
        <w:tc>
          <w:tcPr>
            <w:tcW w:w="80" w:type="dxa"/>
            <w:vAlign w:val="bottom"/>
            <w:shd w:val="clear" w:color="auto" w:fill="E6E6E6"/>
          </w:tcPr>
          <w:p>
            <w:pPr>
              <w:spacing w:after="0"/>
              <w:rPr>
                <w:sz w:val="22"/>
                <w:szCs w:val="22"/>
                <w:color w:val="auto"/>
              </w:rPr>
            </w:pPr>
          </w:p>
        </w:tc>
        <w:tc>
          <w:tcPr>
            <w:tcW w:w="1360" w:type="dxa"/>
            <w:vAlign w:val="bottom"/>
            <w:shd w:val="clear" w:color="auto" w:fill="E6E6E6"/>
          </w:tcPr>
          <w:p>
            <w:pPr>
              <w:ind w:left="40"/>
              <w:spacing w:after="0"/>
              <w:rPr>
                <w:sz w:val="20"/>
                <w:szCs w:val="20"/>
                <w:color w:val="auto"/>
              </w:rPr>
            </w:pPr>
            <w:r>
              <w:rPr>
                <w:rFonts w:ascii="Arial" w:cs="Arial" w:eastAsia="Arial" w:hAnsi="Arial"/>
                <w:sz w:val="18"/>
                <w:szCs w:val="18"/>
                <w:color w:val="auto"/>
              </w:rPr>
              <w:t>SOFR</w:t>
            </w:r>
          </w:p>
        </w:tc>
        <w:tc>
          <w:tcPr>
            <w:tcW w:w="6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14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148</w:t>
            </w:r>
          </w:p>
        </w:tc>
        <w:tc>
          <w:tcPr>
            <w:tcW w:w="80" w:type="dxa"/>
            <w:vAlign w:val="bottom"/>
            <w:shd w:val="clear" w:color="auto" w:fill="E6E6E6"/>
          </w:tcPr>
          <w:p>
            <w:pPr>
              <w:spacing w:after="0"/>
              <w:rPr>
                <w:sz w:val="22"/>
                <w:szCs w:val="22"/>
                <w:color w:val="auto"/>
              </w:rPr>
            </w:pPr>
          </w:p>
        </w:tc>
        <w:tc>
          <w:tcPr>
            <w:tcW w:w="166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6"/>
              </w:rPr>
              <w:t>September 30, 2020</w:t>
            </w:r>
          </w:p>
        </w:tc>
        <w:tc>
          <w:tcPr>
            <w:tcW w:w="60" w:type="dxa"/>
            <w:vAlign w:val="bottom"/>
            <w:shd w:val="clear" w:color="auto" w:fill="E6E6E6"/>
          </w:tcPr>
          <w:p>
            <w:pPr>
              <w:spacing w:after="0"/>
              <w:rPr>
                <w:sz w:val="22"/>
                <w:szCs w:val="22"/>
                <w:color w:val="auto"/>
              </w:rPr>
            </w:pPr>
          </w:p>
        </w:tc>
        <w:tc>
          <w:tcPr>
            <w:tcW w:w="16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Various</w:t>
            </w:r>
          </w:p>
        </w:tc>
        <w:tc>
          <w:tcPr>
            <w:tcW w:w="0" w:type="dxa"/>
            <w:vAlign w:val="bottom"/>
          </w:tcPr>
          <w:p>
            <w:pPr>
              <w:spacing w:after="0"/>
              <w:rPr>
                <w:sz w:val="1"/>
                <w:szCs w:val="1"/>
                <w:color w:val="auto"/>
              </w:rPr>
            </w:pPr>
          </w:p>
        </w:tc>
      </w:tr>
      <w:tr>
        <w:trPr>
          <w:trHeight w:val="247"/>
        </w:trPr>
        <w:tc>
          <w:tcPr>
            <w:tcW w:w="2100" w:type="dxa"/>
            <w:vAlign w:val="bottom"/>
          </w:tcPr>
          <w:p>
            <w:pPr>
              <w:ind w:left="40"/>
              <w:spacing w:after="0"/>
              <w:rPr>
                <w:sz w:val="20"/>
                <w:szCs w:val="20"/>
                <w:color w:val="auto"/>
              </w:rPr>
            </w:pPr>
            <w:r>
              <w:rPr>
                <w:rFonts w:ascii="Arial" w:cs="Arial" w:eastAsia="Arial" w:hAnsi="Arial"/>
                <w:sz w:val="18"/>
                <w:szCs w:val="18"/>
                <w:color w:val="auto"/>
                <w:w w:val="96"/>
              </w:rPr>
              <w:t xml:space="preserve">Oahu Solar </w:t>
            </w:r>
            <w:r>
              <w:rPr>
                <w:rFonts w:ascii="Arial" w:cs="Arial" w:eastAsia="Arial" w:hAnsi="Arial"/>
                <w:sz w:val="18"/>
                <w:szCs w:val="18"/>
                <w:color w:val="BDBDBD"/>
                <w:w w:val="96"/>
              </w:rPr>
              <w:t>. . . . . . . . . . . .</w:t>
            </w:r>
          </w:p>
        </w:tc>
        <w:tc>
          <w:tcPr>
            <w:tcW w:w="840" w:type="dxa"/>
            <w:vAlign w:val="bottom"/>
          </w:tcPr>
          <w:p>
            <w:pPr>
              <w:jc w:val="right"/>
              <w:spacing w:after="0"/>
              <w:rPr>
                <w:sz w:val="20"/>
                <w:szCs w:val="20"/>
                <w:color w:val="auto"/>
              </w:rPr>
            </w:pPr>
            <w:r>
              <w:rPr>
                <w:rFonts w:ascii="Arial" w:cs="Arial" w:eastAsia="Arial" w:hAnsi="Arial"/>
                <w:sz w:val="18"/>
                <w:szCs w:val="18"/>
                <w:color w:val="auto"/>
              </w:rPr>
              <w:t>96 %</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2.47 %</w:t>
            </w:r>
          </w:p>
        </w:tc>
        <w:tc>
          <w:tcPr>
            <w:tcW w:w="80" w:type="dxa"/>
            <w:vAlign w:val="bottom"/>
          </w:tcPr>
          <w:p>
            <w:pPr>
              <w:spacing w:after="0"/>
              <w:rPr>
                <w:sz w:val="21"/>
                <w:szCs w:val="21"/>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SOFR</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w w:val="99"/>
              </w:rPr>
              <w:t>November 30, 2019</w:t>
            </w:r>
          </w:p>
        </w:tc>
        <w:tc>
          <w:tcPr>
            <w:tcW w:w="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October 31, 2040</w:t>
            </w:r>
          </w:p>
        </w:tc>
        <w:tc>
          <w:tcPr>
            <w:tcW w:w="0" w:type="dxa"/>
            <w:vAlign w:val="bottom"/>
          </w:tcPr>
          <w:p>
            <w:pPr>
              <w:spacing w:after="0"/>
              <w:rPr>
                <w:sz w:val="1"/>
                <w:szCs w:val="1"/>
                <w:color w:val="auto"/>
              </w:rPr>
            </w:pPr>
          </w:p>
        </w:tc>
      </w:tr>
      <w:tr>
        <w:trPr>
          <w:trHeight w:val="261"/>
        </w:trPr>
        <w:tc>
          <w:tcPr>
            <w:tcW w:w="2100" w:type="dxa"/>
            <w:vAlign w:val="bottom"/>
            <w:shd w:val="clear" w:color="auto" w:fill="E6E6E6"/>
          </w:tcPr>
          <w:p>
            <w:pPr>
              <w:ind w:left="40"/>
              <w:spacing w:after="0"/>
              <w:rPr>
                <w:sz w:val="20"/>
                <w:szCs w:val="20"/>
                <w:color w:val="auto"/>
              </w:rPr>
            </w:pPr>
            <w:r>
              <w:rPr>
                <w:rFonts w:ascii="Arial" w:cs="Arial" w:eastAsia="Arial" w:hAnsi="Arial"/>
                <w:sz w:val="18"/>
                <w:szCs w:val="18"/>
                <w:color w:val="auto"/>
                <w:w w:val="95"/>
              </w:rPr>
              <w:t xml:space="preserve">Rosie Class B </w:t>
            </w:r>
            <w:r>
              <w:rPr>
                <w:rFonts w:ascii="Arial" w:cs="Arial" w:eastAsia="Arial" w:hAnsi="Arial"/>
                <w:sz w:val="18"/>
                <w:szCs w:val="18"/>
                <w:color w:val="BDBDBD"/>
                <w:w w:val="95"/>
              </w:rPr>
              <w:t>. . . . . . . . . .</w:t>
            </w: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53 %</w:t>
            </w:r>
          </w:p>
        </w:tc>
        <w:tc>
          <w:tcPr>
            <w:tcW w:w="80" w:type="dxa"/>
            <w:vAlign w:val="bottom"/>
            <w:shd w:val="clear" w:color="auto" w:fill="E6E6E6"/>
          </w:tcPr>
          <w:p>
            <w:pPr>
              <w:spacing w:after="0"/>
              <w:rPr>
                <w:sz w:val="22"/>
                <w:szCs w:val="22"/>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Various</w:t>
            </w:r>
          </w:p>
        </w:tc>
        <w:tc>
          <w:tcPr>
            <w:tcW w:w="80" w:type="dxa"/>
            <w:vAlign w:val="bottom"/>
            <w:shd w:val="clear" w:color="auto" w:fill="E6E6E6"/>
          </w:tcPr>
          <w:p>
            <w:pPr>
              <w:spacing w:after="0"/>
              <w:rPr>
                <w:sz w:val="22"/>
                <w:szCs w:val="22"/>
                <w:color w:val="auto"/>
              </w:rPr>
            </w:pPr>
          </w:p>
        </w:tc>
        <w:tc>
          <w:tcPr>
            <w:tcW w:w="1360" w:type="dxa"/>
            <w:vAlign w:val="bottom"/>
            <w:shd w:val="clear" w:color="auto" w:fill="E6E6E6"/>
          </w:tcPr>
          <w:p>
            <w:pPr>
              <w:ind w:left="40"/>
              <w:spacing w:after="0"/>
              <w:rPr>
                <w:sz w:val="20"/>
                <w:szCs w:val="20"/>
                <w:color w:val="auto"/>
              </w:rPr>
            </w:pPr>
            <w:r>
              <w:rPr>
                <w:rFonts w:ascii="Arial" w:cs="Arial" w:eastAsia="Arial" w:hAnsi="Arial"/>
                <w:sz w:val="18"/>
                <w:szCs w:val="18"/>
                <w:color w:val="auto"/>
              </w:rPr>
              <w:t>SOFR</w:t>
            </w:r>
          </w:p>
        </w:tc>
        <w:tc>
          <w:tcPr>
            <w:tcW w:w="6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14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182</w:t>
            </w:r>
          </w:p>
        </w:tc>
        <w:tc>
          <w:tcPr>
            <w:tcW w:w="80" w:type="dxa"/>
            <w:vAlign w:val="bottom"/>
            <w:shd w:val="clear" w:color="auto" w:fill="E6E6E6"/>
          </w:tcPr>
          <w:p>
            <w:pPr>
              <w:spacing w:after="0"/>
              <w:rPr>
                <w:sz w:val="22"/>
                <w:szCs w:val="22"/>
                <w:color w:val="auto"/>
              </w:rPr>
            </w:pPr>
          </w:p>
        </w:tc>
        <w:tc>
          <w:tcPr>
            <w:tcW w:w="16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Various</w:t>
            </w:r>
          </w:p>
        </w:tc>
        <w:tc>
          <w:tcPr>
            <w:tcW w:w="60" w:type="dxa"/>
            <w:vAlign w:val="bottom"/>
            <w:shd w:val="clear" w:color="auto" w:fill="E6E6E6"/>
          </w:tcPr>
          <w:p>
            <w:pPr>
              <w:spacing w:after="0"/>
              <w:rPr>
                <w:sz w:val="22"/>
                <w:szCs w:val="22"/>
                <w:color w:val="auto"/>
              </w:rPr>
            </w:pPr>
          </w:p>
        </w:tc>
        <w:tc>
          <w:tcPr>
            <w:tcW w:w="16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Various</w:t>
            </w:r>
          </w:p>
        </w:tc>
        <w:tc>
          <w:tcPr>
            <w:tcW w:w="0" w:type="dxa"/>
            <w:vAlign w:val="bottom"/>
          </w:tcPr>
          <w:p>
            <w:pPr>
              <w:spacing w:after="0"/>
              <w:rPr>
                <w:sz w:val="1"/>
                <w:szCs w:val="1"/>
                <w:color w:val="auto"/>
              </w:rPr>
            </w:pPr>
          </w:p>
        </w:tc>
      </w:tr>
      <w:tr>
        <w:trPr>
          <w:trHeight w:val="247"/>
        </w:trPr>
        <w:tc>
          <w:tcPr>
            <w:tcW w:w="2100" w:type="dxa"/>
            <w:vAlign w:val="bottom"/>
          </w:tcPr>
          <w:p>
            <w:pPr>
              <w:ind w:left="40"/>
              <w:spacing w:after="0"/>
              <w:rPr>
                <w:sz w:val="20"/>
                <w:szCs w:val="20"/>
                <w:color w:val="auto"/>
              </w:rPr>
            </w:pPr>
            <w:r>
              <w:rPr>
                <w:rFonts w:ascii="Arial" w:cs="Arial" w:eastAsia="Arial" w:hAnsi="Arial"/>
                <w:sz w:val="18"/>
                <w:szCs w:val="18"/>
                <w:color w:val="auto"/>
                <w:w w:val="95"/>
              </w:rPr>
              <w:t xml:space="preserve">South Trent </w:t>
            </w:r>
            <w:r>
              <w:rPr>
                <w:rFonts w:ascii="Arial" w:cs="Arial" w:eastAsia="Arial" w:hAnsi="Arial"/>
                <w:sz w:val="18"/>
                <w:szCs w:val="18"/>
                <w:color w:val="BDBDBD"/>
                <w:w w:val="95"/>
              </w:rPr>
              <w:t>. . . . . . . . . . . .</w:t>
            </w:r>
          </w:p>
        </w:tc>
        <w:tc>
          <w:tcPr>
            <w:tcW w:w="840" w:type="dxa"/>
            <w:vAlign w:val="bottom"/>
          </w:tcPr>
          <w:p>
            <w:pPr>
              <w:jc w:val="right"/>
              <w:spacing w:after="0"/>
              <w:rPr>
                <w:sz w:val="20"/>
                <w:szCs w:val="20"/>
                <w:color w:val="auto"/>
              </w:rPr>
            </w:pPr>
            <w:r>
              <w:rPr>
                <w:rFonts w:ascii="Arial" w:cs="Arial" w:eastAsia="Arial" w:hAnsi="Arial"/>
                <w:sz w:val="18"/>
                <w:szCs w:val="18"/>
                <w:color w:val="auto"/>
              </w:rPr>
              <w:t>90 %</w:t>
            </w: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Various</w:t>
            </w:r>
          </w:p>
        </w:tc>
        <w:tc>
          <w:tcPr>
            <w:tcW w:w="80" w:type="dxa"/>
            <w:vAlign w:val="bottom"/>
          </w:tcPr>
          <w:p>
            <w:pPr>
              <w:spacing w:after="0"/>
              <w:rPr>
                <w:sz w:val="21"/>
                <w:szCs w:val="21"/>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SOFR</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June 14, 2019</w:t>
            </w:r>
          </w:p>
        </w:tc>
        <w:tc>
          <w:tcPr>
            <w:tcW w:w="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June 30, 2028</w:t>
            </w:r>
          </w:p>
        </w:tc>
        <w:tc>
          <w:tcPr>
            <w:tcW w:w="0" w:type="dxa"/>
            <w:vAlign w:val="bottom"/>
          </w:tcPr>
          <w:p>
            <w:pPr>
              <w:spacing w:after="0"/>
              <w:rPr>
                <w:sz w:val="1"/>
                <w:szCs w:val="1"/>
                <w:color w:val="auto"/>
              </w:rPr>
            </w:pPr>
          </w:p>
        </w:tc>
      </w:tr>
      <w:tr>
        <w:trPr>
          <w:trHeight w:val="261"/>
        </w:trPr>
        <w:tc>
          <w:tcPr>
            <w:tcW w:w="2100" w:type="dxa"/>
            <w:vAlign w:val="bottom"/>
            <w:shd w:val="clear" w:color="auto" w:fill="E6E6E6"/>
          </w:tcPr>
          <w:p>
            <w:pPr>
              <w:ind w:left="40"/>
              <w:spacing w:after="0"/>
              <w:rPr>
                <w:sz w:val="20"/>
                <w:szCs w:val="20"/>
                <w:color w:val="auto"/>
              </w:rPr>
            </w:pPr>
            <w:r>
              <w:rPr>
                <w:rFonts w:ascii="Arial" w:cs="Arial" w:eastAsia="Arial" w:hAnsi="Arial"/>
                <w:sz w:val="18"/>
                <w:szCs w:val="18"/>
                <w:color w:val="auto"/>
                <w:w w:val="98"/>
              </w:rPr>
              <w:t xml:space="preserve">Texas Solar Nova 1 </w:t>
            </w:r>
            <w:r>
              <w:rPr>
                <w:rFonts w:ascii="Arial" w:cs="Arial" w:eastAsia="Arial" w:hAnsi="Arial"/>
                <w:sz w:val="18"/>
                <w:szCs w:val="18"/>
                <w:color w:val="BDBDBD"/>
                <w:w w:val="98"/>
              </w:rPr>
              <w:t>. . . . .</w:t>
            </w: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94 %</w:t>
            </w:r>
          </w:p>
        </w:tc>
        <w:tc>
          <w:tcPr>
            <w:tcW w:w="80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2.92 %</w:t>
            </w:r>
          </w:p>
        </w:tc>
        <w:tc>
          <w:tcPr>
            <w:tcW w:w="80" w:type="dxa"/>
            <w:vAlign w:val="bottom"/>
            <w:shd w:val="clear" w:color="auto" w:fill="E6E6E6"/>
          </w:tcPr>
          <w:p>
            <w:pPr>
              <w:spacing w:after="0"/>
              <w:rPr>
                <w:sz w:val="22"/>
                <w:szCs w:val="22"/>
                <w:color w:val="auto"/>
              </w:rPr>
            </w:pPr>
          </w:p>
        </w:tc>
        <w:tc>
          <w:tcPr>
            <w:tcW w:w="1360" w:type="dxa"/>
            <w:vAlign w:val="bottom"/>
            <w:shd w:val="clear" w:color="auto" w:fill="E6E6E6"/>
          </w:tcPr>
          <w:p>
            <w:pPr>
              <w:ind w:left="40"/>
              <w:spacing w:after="0"/>
              <w:rPr>
                <w:sz w:val="20"/>
                <w:szCs w:val="20"/>
                <w:color w:val="auto"/>
              </w:rPr>
            </w:pPr>
            <w:r>
              <w:rPr>
                <w:rFonts w:ascii="Arial" w:cs="Arial" w:eastAsia="Arial" w:hAnsi="Arial"/>
                <w:sz w:val="18"/>
                <w:szCs w:val="18"/>
                <w:color w:val="auto"/>
              </w:rPr>
              <w:t>SOFR</w:t>
            </w:r>
          </w:p>
        </w:tc>
        <w:tc>
          <w:tcPr>
            <w:tcW w:w="6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14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97</w:t>
            </w:r>
          </w:p>
        </w:tc>
        <w:tc>
          <w:tcPr>
            <w:tcW w:w="80" w:type="dxa"/>
            <w:vAlign w:val="bottom"/>
            <w:shd w:val="clear" w:color="auto" w:fill="E6E6E6"/>
          </w:tcPr>
          <w:p>
            <w:pPr>
              <w:spacing w:after="0"/>
              <w:rPr>
                <w:sz w:val="22"/>
                <w:szCs w:val="22"/>
                <w:color w:val="auto"/>
              </w:rPr>
            </w:pPr>
          </w:p>
        </w:tc>
        <w:tc>
          <w:tcPr>
            <w:tcW w:w="16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October 31, 2022</w:t>
            </w:r>
          </w:p>
        </w:tc>
        <w:tc>
          <w:tcPr>
            <w:tcW w:w="60" w:type="dxa"/>
            <w:vAlign w:val="bottom"/>
            <w:shd w:val="clear" w:color="auto" w:fill="E6E6E6"/>
          </w:tcPr>
          <w:p>
            <w:pPr>
              <w:spacing w:after="0"/>
              <w:rPr>
                <w:sz w:val="22"/>
                <w:szCs w:val="22"/>
                <w:color w:val="auto"/>
              </w:rPr>
            </w:pPr>
          </w:p>
        </w:tc>
        <w:tc>
          <w:tcPr>
            <w:tcW w:w="16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June 30, 2043</w:t>
            </w:r>
          </w:p>
        </w:tc>
        <w:tc>
          <w:tcPr>
            <w:tcW w:w="0" w:type="dxa"/>
            <w:vAlign w:val="bottom"/>
          </w:tcPr>
          <w:p>
            <w:pPr>
              <w:spacing w:after="0"/>
              <w:rPr>
                <w:sz w:val="1"/>
                <w:szCs w:val="1"/>
                <w:color w:val="auto"/>
              </w:rPr>
            </w:pPr>
          </w:p>
        </w:tc>
      </w:tr>
      <w:tr>
        <w:trPr>
          <w:trHeight w:val="247"/>
        </w:trPr>
        <w:tc>
          <w:tcPr>
            <w:tcW w:w="2100" w:type="dxa"/>
            <w:vAlign w:val="bottom"/>
          </w:tcPr>
          <w:p>
            <w:pPr>
              <w:ind w:left="40"/>
              <w:spacing w:after="0"/>
              <w:rPr>
                <w:sz w:val="20"/>
                <w:szCs w:val="20"/>
                <w:color w:val="auto"/>
              </w:rPr>
            </w:pPr>
            <w:r>
              <w:rPr>
                <w:rFonts w:ascii="Arial" w:cs="Arial" w:eastAsia="Arial" w:hAnsi="Arial"/>
                <w:sz w:val="18"/>
                <w:szCs w:val="18"/>
                <w:color w:val="auto"/>
                <w:w w:val="98"/>
              </w:rPr>
              <w:t xml:space="preserve">Viento Funding II </w:t>
            </w:r>
            <w:r>
              <w:rPr>
                <w:rFonts w:ascii="Arial" w:cs="Arial" w:eastAsia="Arial" w:hAnsi="Arial"/>
                <w:sz w:val="18"/>
                <w:szCs w:val="18"/>
                <w:color w:val="BDBDBD"/>
                <w:w w:val="98"/>
              </w:rPr>
              <w:t>. . . . . . .</w:t>
            </w:r>
          </w:p>
        </w:tc>
        <w:tc>
          <w:tcPr>
            <w:tcW w:w="840" w:type="dxa"/>
            <w:vAlign w:val="bottom"/>
          </w:tcPr>
          <w:p>
            <w:pPr>
              <w:jc w:val="right"/>
              <w:spacing w:after="0"/>
              <w:rPr>
                <w:sz w:val="20"/>
                <w:szCs w:val="20"/>
                <w:color w:val="auto"/>
              </w:rPr>
            </w:pPr>
            <w:r>
              <w:rPr>
                <w:rFonts w:ascii="Arial" w:cs="Arial" w:eastAsia="Arial" w:hAnsi="Arial"/>
                <w:sz w:val="18"/>
                <w:szCs w:val="18"/>
                <w:color w:val="auto"/>
              </w:rPr>
              <w:t>90 %</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2.53 %</w:t>
            </w:r>
          </w:p>
        </w:tc>
        <w:tc>
          <w:tcPr>
            <w:tcW w:w="80" w:type="dxa"/>
            <w:vAlign w:val="bottom"/>
          </w:tcPr>
          <w:p>
            <w:pPr>
              <w:spacing w:after="0"/>
              <w:rPr>
                <w:sz w:val="21"/>
                <w:szCs w:val="21"/>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SOFR</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Various</w:t>
            </w:r>
          </w:p>
        </w:tc>
        <w:tc>
          <w:tcPr>
            <w:tcW w:w="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w w:val="99"/>
              </w:rPr>
              <w:t>December 31, 2032</w:t>
            </w:r>
          </w:p>
        </w:tc>
        <w:tc>
          <w:tcPr>
            <w:tcW w:w="0" w:type="dxa"/>
            <w:vAlign w:val="bottom"/>
          </w:tcPr>
          <w:p>
            <w:pPr>
              <w:spacing w:after="0"/>
              <w:rPr>
                <w:sz w:val="1"/>
                <w:szCs w:val="1"/>
                <w:color w:val="auto"/>
              </w:rPr>
            </w:pPr>
          </w:p>
        </w:tc>
      </w:tr>
      <w:tr>
        <w:trPr>
          <w:trHeight w:val="269"/>
        </w:trPr>
        <w:tc>
          <w:tcPr>
            <w:tcW w:w="210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8"/>
                <w:szCs w:val="18"/>
                <w:color w:val="auto"/>
                <w:w w:val="96"/>
              </w:rPr>
              <w:t xml:space="preserve">Victory Pass and Arica </w:t>
            </w:r>
            <w:r>
              <w:rPr>
                <w:rFonts w:ascii="Arial" w:cs="Arial" w:eastAsia="Arial" w:hAnsi="Arial"/>
                <w:sz w:val="18"/>
                <w:szCs w:val="18"/>
                <w:color w:val="BDBDBD"/>
                <w:w w:val="96"/>
              </w:rPr>
              <w:t>. . .</w:t>
            </w:r>
          </w:p>
        </w:tc>
        <w:tc>
          <w:tcPr>
            <w:tcW w:w="8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122 %</w:t>
            </w:r>
          </w:p>
        </w:tc>
        <w:tc>
          <w:tcPr>
            <w:tcW w:w="80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18"/>
                <w:szCs w:val="18"/>
                <w:color w:val="auto"/>
              </w:rPr>
              <w:t>4.18 %</w:t>
            </w:r>
          </w:p>
        </w:tc>
        <w:tc>
          <w:tcPr>
            <w:tcW w:w="80" w:type="dxa"/>
            <w:vAlign w:val="bottom"/>
            <w:tcBorders>
              <w:bottom w:val="single" w:sz="8" w:color="E6E6E6"/>
            </w:tcBorders>
            <w:shd w:val="clear" w:color="auto" w:fill="E6E6E6"/>
          </w:tcPr>
          <w:p>
            <w:pPr>
              <w:spacing w:after="0"/>
              <w:rPr>
                <w:sz w:val="23"/>
                <w:szCs w:val="23"/>
                <w:color w:val="auto"/>
              </w:rPr>
            </w:pPr>
          </w:p>
        </w:tc>
        <w:tc>
          <w:tcPr>
            <w:tcW w:w="136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8"/>
                <w:szCs w:val="18"/>
                <w:color w:val="auto"/>
              </w:rPr>
              <w:t>SOFR</w:t>
            </w:r>
          </w:p>
        </w:tc>
        <w:tc>
          <w:tcPr>
            <w:tcW w:w="60" w:type="dxa"/>
            <w:vAlign w:val="bottom"/>
            <w:tcBorders>
              <w:bottom w:val="single" w:sz="8" w:color="E6E6E6"/>
            </w:tcBorders>
            <w:shd w:val="clear" w:color="auto" w:fill="E6E6E6"/>
          </w:tcPr>
          <w:p>
            <w:pPr>
              <w:spacing w:after="0"/>
              <w:rPr>
                <w:sz w:val="23"/>
                <w:szCs w:val="23"/>
                <w:color w:val="auto"/>
              </w:rPr>
            </w:pPr>
          </w:p>
        </w:tc>
        <w:tc>
          <w:tcPr>
            <w:tcW w:w="160" w:type="dxa"/>
            <w:vAlign w:val="bottom"/>
            <w:tcBorders>
              <w:bottom w:val="single" w:sz="8" w:color="auto"/>
            </w:tcBorders>
            <w:shd w:val="clear" w:color="auto" w:fill="E6E6E6"/>
          </w:tcPr>
          <w:p>
            <w:pPr>
              <w:spacing w:after="0"/>
              <w:rPr>
                <w:sz w:val="23"/>
                <w:szCs w:val="23"/>
                <w:color w:val="auto"/>
              </w:rPr>
            </w:pPr>
          </w:p>
        </w:tc>
        <w:tc>
          <w:tcPr>
            <w:tcW w:w="14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922</w:t>
            </w:r>
          </w:p>
        </w:tc>
        <w:tc>
          <w:tcPr>
            <w:tcW w:w="80" w:type="dxa"/>
            <w:vAlign w:val="bottom"/>
            <w:tcBorders>
              <w:bottom w:val="single" w:sz="8" w:color="E6E6E6"/>
            </w:tcBorders>
            <w:shd w:val="clear" w:color="auto" w:fill="E6E6E6"/>
          </w:tcPr>
          <w:p>
            <w:pPr>
              <w:spacing w:after="0"/>
              <w:rPr>
                <w:sz w:val="23"/>
                <w:szCs w:val="23"/>
                <w:color w:val="auto"/>
              </w:rPr>
            </w:pPr>
          </w:p>
        </w:tc>
        <w:tc>
          <w:tcPr>
            <w:tcW w:w="16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w w:val="99"/>
              </w:rPr>
              <w:t>November 30, 2022</w:t>
            </w:r>
          </w:p>
        </w:tc>
        <w:tc>
          <w:tcPr>
            <w:tcW w:w="60" w:type="dxa"/>
            <w:vAlign w:val="bottom"/>
            <w:tcBorders>
              <w:bottom w:val="single" w:sz="8" w:color="E6E6E6"/>
            </w:tcBorders>
            <w:shd w:val="clear" w:color="auto" w:fill="E6E6E6"/>
          </w:tcPr>
          <w:p>
            <w:pPr>
              <w:spacing w:after="0"/>
              <w:rPr>
                <w:sz w:val="23"/>
                <w:szCs w:val="23"/>
                <w:color w:val="auto"/>
              </w:rPr>
            </w:pPr>
          </w:p>
        </w:tc>
        <w:tc>
          <w:tcPr>
            <w:tcW w:w="16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January 31, 2024</w:t>
            </w:r>
          </w:p>
        </w:tc>
        <w:tc>
          <w:tcPr>
            <w:tcW w:w="0" w:type="dxa"/>
            <w:vAlign w:val="bottom"/>
          </w:tcPr>
          <w:p>
            <w:pPr>
              <w:spacing w:after="0"/>
              <w:rPr>
                <w:sz w:val="1"/>
                <w:szCs w:val="1"/>
                <w:color w:val="auto"/>
              </w:rPr>
            </w:pPr>
          </w:p>
        </w:tc>
      </w:tr>
      <w:tr>
        <w:trPr>
          <w:trHeight w:val="196"/>
        </w:trPr>
        <w:tc>
          <w:tcPr>
            <w:tcW w:w="2100" w:type="dxa"/>
            <w:vAlign w:val="bottom"/>
          </w:tcPr>
          <w:p>
            <w:pPr>
              <w:jc w:val="right"/>
              <w:ind w:right="30"/>
              <w:spacing w:after="0" w:line="196" w:lineRule="exact"/>
              <w:rPr>
                <w:sz w:val="20"/>
                <w:szCs w:val="20"/>
                <w:color w:val="auto"/>
              </w:rPr>
            </w:pPr>
            <w:r>
              <w:rPr>
                <w:rFonts w:ascii="Arial" w:cs="Arial" w:eastAsia="Arial" w:hAnsi="Arial"/>
                <w:sz w:val="18"/>
                <w:szCs w:val="18"/>
                <w:color w:val="BDBDBD"/>
                <w:w w:val="95"/>
              </w:rPr>
              <w:t>. . . . . . . . . . . . . . . . .</w:t>
            </w:r>
            <w:r>
              <w:rPr>
                <w:rFonts w:ascii="Arial" w:cs="Arial" w:eastAsia="Arial" w:hAnsi="Arial"/>
                <w:sz w:val="18"/>
                <w:szCs w:val="18"/>
                <w:color w:val="000000"/>
                <w:w w:val="95"/>
              </w:rPr>
              <w:t>Total</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2,467</w:t>
            </w: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1320800</wp:posOffset>
            </wp:positionH>
            <wp:positionV relativeFrom="paragraph">
              <wp:posOffset>-3442970</wp:posOffset>
            </wp:positionV>
            <wp:extent cx="5171440"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227">
                      <a:extLst>
                        <a:ext uri="{28A0092B-C50C-407E-A947-70E740481C1C}"/>
                      </a:extLst>
                    </a:blip>
                    <a:srcRect/>
                    <a:stretch>
                      <a:fillRect/>
                    </a:stretch>
                  </pic:blipFill>
                  <pic:spPr bwMode="auto">
                    <a:xfrm>
                      <a:off x="0" y="0"/>
                      <a:ext cx="5171440" cy="25400"/>
                    </a:xfrm>
                    <a:prstGeom prst="rect">
                      <a:avLst/>
                    </a:prstGeom>
                    <a:noFill/>
                  </pic:spPr>
                </pic:pic>
              </a:graphicData>
            </a:graphic>
          </wp:anchor>
        </w:drawing>
        <w:drawing>
          <wp:anchor simplePos="0" relativeHeight="251657728" behindDoc="1" locked="0" layoutInCell="0" allowOverlap="1">
            <wp:simplePos x="0" y="0"/>
            <wp:positionH relativeFrom="column">
              <wp:posOffset>3320415</wp:posOffset>
            </wp:positionH>
            <wp:positionV relativeFrom="paragraph">
              <wp:posOffset>-192405</wp:posOffset>
            </wp:positionV>
            <wp:extent cx="1010920"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228">
                      <a:extLst>
                        <a:ext uri="{28A0092B-C50C-407E-A947-70E740481C1C}"/>
                      </a:extLst>
                    </a:blip>
                    <a:srcRect/>
                    <a:stretch>
                      <a:fillRect/>
                    </a:stretch>
                  </pic:blipFill>
                  <pic:spPr bwMode="auto">
                    <a:xfrm>
                      <a:off x="0" y="0"/>
                      <a:ext cx="1010920" cy="25400"/>
                    </a:xfrm>
                    <a:prstGeom prst="rect">
                      <a:avLst/>
                    </a:prstGeom>
                    <a:noFill/>
                  </pic:spPr>
                </pic:pic>
              </a:graphicData>
            </a:graphic>
          </wp:anchor>
        </w:drawing>
      </w:r>
    </w:p>
    <w:p>
      <w:pPr>
        <w:sectPr>
          <w:pgSz w:w="11880" w:h="15480" w:orient="portrait"/>
          <w:cols w:equalWidth="0" w:num="1">
            <w:col w:w="10200"/>
          </w:cols>
          <w:pgMar w:left="840" w:top="40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113</w:t>
      </w:r>
    </w:p>
    <w:p>
      <w:pPr>
        <w:sectPr>
          <w:pgSz w:w="11880" w:h="15480" w:orient="portrait"/>
          <w:cols w:equalWidth="0" w:num="1">
            <w:col w:w="10200"/>
          </w:cols>
          <w:pgMar w:left="840" w:top="408" w:right="840" w:bottom="0" w:gutter="0" w:footer="0" w:header="0"/>
          <w:type w:val="continuous"/>
        </w:sectPr>
      </w:pPr>
    </w:p>
    <w:bookmarkStart w:id="115" w:name="page116"/>
    <w:bookmarkEnd w:id="115"/>
    <w:p>
      <w:pPr>
        <w:ind w:left="40"/>
        <w:spacing w:after="0"/>
        <w:rPr>
          <w:sz w:val="20"/>
          <w:szCs w:val="20"/>
          <w:color w:val="auto"/>
        </w:rPr>
      </w:pPr>
      <w:r>
        <w:rPr>
          <w:rFonts w:ascii="Arial" w:cs="Arial" w:eastAsia="Arial" w:hAnsi="Arial"/>
          <w:sz w:val="20"/>
          <w:szCs w:val="20"/>
          <w:b w:val="1"/>
          <w:bCs w:val="1"/>
          <w:i w:val="1"/>
          <w:iCs w:val="1"/>
          <w:color w:val="auto"/>
        </w:rPr>
        <w:t>Annual Maturities</w:t>
      </w:r>
    </w:p>
    <w:p>
      <w:pPr>
        <w:spacing w:after="0" w:line="196" w:lineRule="exact"/>
        <w:rPr>
          <w:sz w:val="20"/>
          <w:szCs w:val="20"/>
          <w:color w:val="auto"/>
        </w:rPr>
      </w:pPr>
    </w:p>
    <w:p>
      <w:pPr>
        <w:ind w:firstLine="493"/>
        <w:spacing w:after="0" w:line="280" w:lineRule="auto"/>
        <w:rPr>
          <w:sz w:val="20"/>
          <w:szCs w:val="20"/>
          <w:color w:val="auto"/>
        </w:rPr>
      </w:pPr>
      <w:r>
        <w:rPr>
          <w:rFonts w:ascii="Arial" w:cs="Arial" w:eastAsia="Arial" w:hAnsi="Arial"/>
          <w:sz w:val="20"/>
          <w:szCs w:val="20"/>
          <w:color w:val="auto"/>
        </w:rPr>
        <w:t>Annual payments based on the maturities of the Company’s debt, for the years ending after December 31, 2023, are as follows: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8300" w:type="dxa"/>
            <w:vAlign w:val="bottom"/>
            <w:tcBorders>
              <w:bottom w:val="single" w:sz="8" w:color="E6E6E6"/>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(In millions)</w:t>
            </w:r>
          </w:p>
        </w:tc>
      </w:tr>
      <w:tr>
        <w:trPr>
          <w:trHeight w:val="274"/>
        </w:trPr>
        <w:tc>
          <w:tcPr>
            <w:tcW w:w="8300" w:type="dxa"/>
            <w:vAlign w:val="bottom"/>
            <w:shd w:val="clear" w:color="auto" w:fill="E6E6E6"/>
          </w:tcPr>
          <w:p>
            <w:pPr>
              <w:ind w:left="40"/>
              <w:spacing w:after="0"/>
              <w:rPr>
                <w:sz w:val="20"/>
                <w:szCs w:val="20"/>
                <w:color w:val="auto"/>
              </w:rPr>
            </w:pPr>
            <w:r>
              <w:rPr>
                <w:rFonts w:ascii="Arial" w:cs="Arial" w:eastAsia="Arial" w:hAnsi="Arial"/>
                <w:sz w:val="18"/>
                <w:szCs w:val="18"/>
                <w:color w:val="auto"/>
                <w:w w:val="89"/>
              </w:rPr>
              <w:t xml:space="preserve">2024 </w:t>
            </w:r>
            <w:r>
              <w:rPr>
                <w:rFonts w:ascii="Arial" w:cs="Arial" w:eastAsia="Arial" w:hAnsi="Arial"/>
                <w:sz w:val="23"/>
                <w:szCs w:val="23"/>
                <w:color w:val="auto"/>
                <w:w w:val="89"/>
                <w:vertAlign w:val="superscript"/>
              </w:rPr>
              <w:t>(a)</w:t>
            </w:r>
            <w:r>
              <w:rPr>
                <w:rFonts w:ascii="Arial" w:cs="Arial" w:eastAsia="Arial" w:hAnsi="Arial"/>
                <w:sz w:val="18"/>
                <w:szCs w:val="18"/>
                <w:color w:val="auto"/>
                <w:w w:val="89"/>
              </w:rPr>
              <w:t xml:space="preserve">  </w:t>
            </w:r>
            <w:r>
              <w:rPr>
                <w:rFonts w:ascii="Arial" w:cs="Arial" w:eastAsia="Arial" w:hAnsi="Arial"/>
                <w:sz w:val="18"/>
                <w:szCs w:val="18"/>
                <w:color w:val="BDBDBD"/>
                <w:w w:val="89"/>
              </w:rPr>
              <w:t>. . . . . . . . . . . . . . . . . . . . . . . . . . . . . . . . . . . . . . . . . . . . . . . . . . . . . . . . . . . . . . . . . . . . . . . . . . . . . . . . . . . . .</w:t>
            </w:r>
          </w:p>
        </w:tc>
        <w:tc>
          <w:tcPr>
            <w:tcW w:w="320" w:type="dxa"/>
            <w:vAlign w:val="bottom"/>
            <w:shd w:val="clear" w:color="auto" w:fill="E6E6E6"/>
          </w:tcPr>
          <w:p>
            <w:pPr>
              <w:jc w:val="right"/>
              <w:ind w:right="70"/>
              <w:spacing w:after="0"/>
              <w:rPr>
                <w:sz w:val="20"/>
                <w:szCs w:val="20"/>
                <w:color w:val="auto"/>
              </w:rPr>
            </w:pPr>
            <w:r>
              <w:rPr>
                <w:rFonts w:ascii="Arial" w:cs="Arial" w:eastAsia="Arial" w:hAnsi="Arial"/>
                <w:sz w:val="18"/>
                <w:szCs w:val="18"/>
                <w:color w:val="auto"/>
              </w:rPr>
              <w:t>$</w:t>
            </w:r>
          </w:p>
        </w:tc>
        <w:tc>
          <w:tcPr>
            <w:tcW w:w="15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1,669</w:t>
            </w:r>
          </w:p>
        </w:tc>
      </w:tr>
      <w:tr>
        <w:trPr>
          <w:trHeight w:val="276"/>
        </w:trPr>
        <w:tc>
          <w:tcPr>
            <w:tcW w:w="8300" w:type="dxa"/>
            <w:vAlign w:val="bottom"/>
          </w:tcPr>
          <w:p>
            <w:pPr>
              <w:ind w:left="40"/>
              <w:spacing w:after="0"/>
              <w:rPr>
                <w:sz w:val="20"/>
                <w:szCs w:val="20"/>
                <w:color w:val="auto"/>
              </w:rPr>
            </w:pPr>
            <w:r>
              <w:rPr>
                <w:rFonts w:ascii="Arial" w:cs="Arial" w:eastAsia="Arial" w:hAnsi="Arial"/>
                <w:sz w:val="18"/>
                <w:szCs w:val="18"/>
                <w:color w:val="auto"/>
                <w:w w:val="90"/>
              </w:rPr>
              <w:t xml:space="preserve">2025 </w:t>
            </w:r>
            <w:r>
              <w:rPr>
                <w:rFonts w:ascii="Arial" w:cs="Arial" w:eastAsia="Arial" w:hAnsi="Arial"/>
                <w:sz w:val="18"/>
                <w:szCs w:val="18"/>
                <w:color w:val="BDBDBD"/>
                <w:w w:val="90"/>
              </w:rPr>
              <w:t>. . . . . . . . . . . . . . . . . . . . . . . . . . . . . . . . . . . . . . . . . . . . . . . . . . . . . . . . . . . . . . . . . . . . . . . . . . . . . . . . . . . . . . .</w:t>
            </w:r>
          </w:p>
        </w:tc>
        <w:tc>
          <w:tcPr>
            <w:tcW w:w="3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371</w:t>
            </w:r>
          </w:p>
        </w:tc>
      </w:tr>
      <w:tr>
        <w:trPr>
          <w:trHeight w:val="291"/>
        </w:trPr>
        <w:tc>
          <w:tcPr>
            <w:tcW w:w="8300" w:type="dxa"/>
            <w:vAlign w:val="bottom"/>
            <w:shd w:val="clear" w:color="auto" w:fill="E6E6E6"/>
          </w:tcPr>
          <w:p>
            <w:pPr>
              <w:ind w:left="40"/>
              <w:spacing w:after="0"/>
              <w:rPr>
                <w:sz w:val="20"/>
                <w:szCs w:val="20"/>
                <w:color w:val="auto"/>
              </w:rPr>
            </w:pPr>
            <w:r>
              <w:rPr>
                <w:rFonts w:ascii="Arial" w:cs="Arial" w:eastAsia="Arial" w:hAnsi="Arial"/>
                <w:sz w:val="18"/>
                <w:szCs w:val="18"/>
                <w:color w:val="auto"/>
                <w:w w:val="90"/>
              </w:rPr>
              <w:t xml:space="preserve">2026 </w:t>
            </w:r>
            <w:r>
              <w:rPr>
                <w:rFonts w:ascii="Arial" w:cs="Arial" w:eastAsia="Arial" w:hAnsi="Arial"/>
                <w:sz w:val="18"/>
                <w:szCs w:val="18"/>
                <w:color w:val="BDBDBD"/>
                <w:w w:val="90"/>
              </w:rPr>
              <w:t>. . . . . . . . . . . . . . . . . . . . . . . . . . . . . . . . . . . . . . . . . . . . . . . . . . . . . . . . . . . . . . . . . . . . . . . . . . . . . . . . . . . . . . .</w:t>
            </w:r>
          </w:p>
        </w:tc>
        <w:tc>
          <w:tcPr>
            <w:tcW w:w="320" w:type="dxa"/>
            <w:vAlign w:val="bottom"/>
            <w:shd w:val="clear" w:color="auto" w:fill="E6E6E6"/>
          </w:tcPr>
          <w:p>
            <w:pPr>
              <w:spacing w:after="0"/>
              <w:rPr>
                <w:sz w:val="24"/>
                <w:szCs w:val="24"/>
                <w:color w:val="auto"/>
              </w:rPr>
            </w:pPr>
          </w:p>
        </w:tc>
        <w:tc>
          <w:tcPr>
            <w:tcW w:w="15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351</w:t>
            </w:r>
          </w:p>
        </w:tc>
      </w:tr>
      <w:tr>
        <w:trPr>
          <w:trHeight w:val="276"/>
        </w:trPr>
        <w:tc>
          <w:tcPr>
            <w:tcW w:w="8300" w:type="dxa"/>
            <w:vAlign w:val="bottom"/>
          </w:tcPr>
          <w:p>
            <w:pPr>
              <w:ind w:left="40"/>
              <w:spacing w:after="0"/>
              <w:rPr>
                <w:sz w:val="20"/>
                <w:szCs w:val="20"/>
                <w:color w:val="auto"/>
              </w:rPr>
            </w:pPr>
            <w:r>
              <w:rPr>
                <w:rFonts w:ascii="Arial" w:cs="Arial" w:eastAsia="Arial" w:hAnsi="Arial"/>
                <w:sz w:val="18"/>
                <w:szCs w:val="18"/>
                <w:color w:val="auto"/>
                <w:w w:val="90"/>
              </w:rPr>
              <w:t xml:space="preserve">2027 </w:t>
            </w:r>
            <w:r>
              <w:rPr>
                <w:rFonts w:ascii="Arial" w:cs="Arial" w:eastAsia="Arial" w:hAnsi="Arial"/>
                <w:sz w:val="18"/>
                <w:szCs w:val="18"/>
                <w:color w:val="BDBDBD"/>
                <w:w w:val="90"/>
              </w:rPr>
              <w:t>. . . . . . . . . . . . . . . . . . . . . . . . . . . . . . . . . . . . . . . . . . . . . . . . . . . . . . . . . . . . . . . . . . . . . . . . . . . . . . . . . . . . . . .</w:t>
            </w:r>
          </w:p>
        </w:tc>
        <w:tc>
          <w:tcPr>
            <w:tcW w:w="3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288</w:t>
            </w:r>
          </w:p>
        </w:tc>
      </w:tr>
      <w:tr>
        <w:trPr>
          <w:trHeight w:val="291"/>
        </w:trPr>
        <w:tc>
          <w:tcPr>
            <w:tcW w:w="8300" w:type="dxa"/>
            <w:vAlign w:val="bottom"/>
            <w:shd w:val="clear" w:color="auto" w:fill="E6E6E6"/>
          </w:tcPr>
          <w:p>
            <w:pPr>
              <w:ind w:left="40"/>
              <w:spacing w:after="0"/>
              <w:rPr>
                <w:sz w:val="20"/>
                <w:szCs w:val="20"/>
                <w:color w:val="auto"/>
              </w:rPr>
            </w:pPr>
            <w:r>
              <w:rPr>
                <w:rFonts w:ascii="Arial" w:cs="Arial" w:eastAsia="Arial" w:hAnsi="Arial"/>
                <w:sz w:val="18"/>
                <w:szCs w:val="18"/>
                <w:color w:val="auto"/>
                <w:w w:val="90"/>
              </w:rPr>
              <w:t xml:space="preserve">2028 </w:t>
            </w:r>
            <w:r>
              <w:rPr>
                <w:rFonts w:ascii="Arial" w:cs="Arial" w:eastAsia="Arial" w:hAnsi="Arial"/>
                <w:sz w:val="18"/>
                <w:szCs w:val="18"/>
                <w:color w:val="BDBDBD"/>
                <w:w w:val="90"/>
              </w:rPr>
              <w:t>. . . . . . . . . . . . . . . . . . . . . . . . . . . . . . . . . . . . . . . . . . . . . . . . . . . . . . . . . . . . . . . . . . . . . . . . . . . . . . . . . . . . . . .</w:t>
            </w:r>
          </w:p>
        </w:tc>
        <w:tc>
          <w:tcPr>
            <w:tcW w:w="320" w:type="dxa"/>
            <w:vAlign w:val="bottom"/>
            <w:shd w:val="clear" w:color="auto" w:fill="E6E6E6"/>
          </w:tcPr>
          <w:p>
            <w:pPr>
              <w:spacing w:after="0"/>
              <w:rPr>
                <w:sz w:val="24"/>
                <w:szCs w:val="24"/>
                <w:color w:val="auto"/>
              </w:rPr>
            </w:pPr>
          </w:p>
        </w:tc>
        <w:tc>
          <w:tcPr>
            <w:tcW w:w="15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1,662</w:t>
            </w:r>
          </w:p>
        </w:tc>
      </w:tr>
      <w:tr>
        <w:trPr>
          <w:trHeight w:val="274"/>
        </w:trPr>
        <w:tc>
          <w:tcPr>
            <w:tcW w:w="8300" w:type="dxa"/>
            <w:vAlign w:val="bottom"/>
            <w:tcBorders>
              <w:bottom w:val="single" w:sz="8" w:color="E6E6E6"/>
            </w:tcBorders>
          </w:tcPr>
          <w:p>
            <w:pPr>
              <w:ind w:left="40"/>
              <w:spacing w:after="0"/>
              <w:rPr>
                <w:sz w:val="20"/>
                <w:szCs w:val="20"/>
                <w:color w:val="auto"/>
              </w:rPr>
            </w:pPr>
            <w:r>
              <w:rPr>
                <w:rFonts w:ascii="Arial" w:cs="Arial" w:eastAsia="Arial" w:hAnsi="Arial"/>
                <w:sz w:val="18"/>
                <w:szCs w:val="18"/>
                <w:color w:val="auto"/>
                <w:w w:val="90"/>
              </w:rPr>
              <w:t xml:space="preserve">Thereafter  </w:t>
            </w:r>
            <w:r>
              <w:rPr>
                <w:rFonts w:ascii="Arial" w:cs="Arial" w:eastAsia="Arial" w:hAnsi="Arial"/>
                <w:sz w:val="18"/>
                <w:szCs w:val="18"/>
                <w:color w:val="BDBDBD"/>
                <w:w w:val="90"/>
              </w:rPr>
              <w:t>. . . . . . . . . . . . . . . . . . . . . . . . . . . . . . . . . . . . . . . . . . . . . . . . . . . . . . . . . . . . . . . . . . . . . . . . . . . . . . . . . .</w:t>
            </w:r>
          </w:p>
        </w:tc>
        <w:tc>
          <w:tcPr>
            <w:tcW w:w="3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3,758</w:t>
            </w:r>
          </w:p>
        </w:tc>
      </w:tr>
      <w:tr>
        <w:trPr>
          <w:trHeight w:val="283"/>
        </w:trPr>
        <w:tc>
          <w:tcPr>
            <w:tcW w:w="830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8"/>
                <w:szCs w:val="18"/>
                <w:color w:val="auto"/>
                <w:w w:val="90"/>
              </w:rPr>
              <w:t xml:space="preserve">Total </w:t>
            </w:r>
            <w:r>
              <w:rPr>
                <w:rFonts w:ascii="Arial" w:cs="Arial" w:eastAsia="Arial" w:hAnsi="Arial"/>
                <w:sz w:val="18"/>
                <w:szCs w:val="18"/>
                <w:color w:val="BDBDBD"/>
                <w:w w:val="90"/>
              </w:rPr>
              <w:t>. . . . . . . . . . . . . . . . . . . . . . . . . . . . . . . . . . . . . . . . . . . . . . . . . . . . . . . . . . . . . . . . . . . . . . . . . . . . . . . . . . . . . . .</w:t>
            </w:r>
          </w:p>
        </w:tc>
        <w:tc>
          <w:tcPr>
            <w:tcW w:w="320" w:type="dxa"/>
            <w:vAlign w:val="bottom"/>
            <w:tcBorders>
              <w:bottom w:val="single" w:sz="8" w:color="auto"/>
            </w:tcBorders>
            <w:shd w:val="clear" w:color="auto" w:fill="E6E6E6"/>
          </w:tcPr>
          <w:p>
            <w:pPr>
              <w:jc w:val="right"/>
              <w:ind w:right="7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8,099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5263515</wp:posOffset>
            </wp:positionH>
            <wp:positionV relativeFrom="paragraph">
              <wp:posOffset>-1291590</wp:posOffset>
            </wp:positionV>
            <wp:extent cx="1210310"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229">
                      <a:extLst>
                        <a:ext uri="{28A0092B-C50C-407E-A947-70E740481C1C}"/>
                      </a:extLst>
                    </a:blip>
                    <a:srcRect/>
                    <a:stretch>
                      <a:fillRect/>
                    </a:stretch>
                  </pic:blipFill>
                  <pic:spPr bwMode="auto">
                    <a:xfrm>
                      <a:off x="0" y="0"/>
                      <a:ext cx="1210310" cy="25400"/>
                    </a:xfrm>
                    <a:prstGeom prst="rect">
                      <a:avLst/>
                    </a:prstGeom>
                    <a:noFill/>
                  </pic:spPr>
                </pic:pic>
              </a:graphicData>
            </a:graphic>
          </wp:anchor>
        </w:drawing>
        <w:drawing>
          <wp:anchor simplePos="0" relativeHeight="251657728" behindDoc="1" locked="0" layoutInCell="0" allowOverlap="1">
            <wp:simplePos x="0" y="0"/>
            <wp:positionH relativeFrom="column">
              <wp:posOffset>5263515</wp:posOffset>
            </wp:positionH>
            <wp:positionV relativeFrom="paragraph">
              <wp:posOffset>-210820</wp:posOffset>
            </wp:positionV>
            <wp:extent cx="1210310"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230">
                      <a:extLst>
                        <a:ext uri="{28A0092B-C50C-407E-A947-70E740481C1C}"/>
                      </a:extLst>
                    </a:blip>
                    <a:srcRect/>
                    <a:stretch>
                      <a:fillRect/>
                    </a:stretch>
                  </pic:blipFill>
                  <pic:spPr bwMode="auto">
                    <a:xfrm>
                      <a:off x="0" y="0"/>
                      <a:ext cx="1210310" cy="25400"/>
                    </a:xfrm>
                    <a:prstGeom prst="rect">
                      <a:avLst/>
                    </a:prstGeom>
                    <a:noFill/>
                  </pic:spPr>
                </pic:pic>
              </a:graphicData>
            </a:graphic>
          </wp:anchor>
        </w:drawing>
        <w:drawing>
          <wp:anchor simplePos="0" relativeHeight="251657728" behindDoc="1" locked="0" layoutInCell="0" allowOverlap="1">
            <wp:simplePos x="0" y="0"/>
            <wp:positionH relativeFrom="column">
              <wp:posOffset>5263515</wp:posOffset>
            </wp:positionH>
            <wp:positionV relativeFrom="paragraph">
              <wp:posOffset>-43815</wp:posOffset>
            </wp:positionV>
            <wp:extent cx="1210310" cy="508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231">
                      <a:extLst>
                        <a:ext uri="{28A0092B-C50C-407E-A947-70E740481C1C}"/>
                      </a:extLst>
                    </a:blip>
                    <a:srcRect/>
                    <a:stretch>
                      <a:fillRect/>
                    </a:stretch>
                  </pic:blipFill>
                  <pic:spPr bwMode="auto">
                    <a:xfrm>
                      <a:off x="0" y="0"/>
                      <a:ext cx="1210310" cy="508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-2540</wp:posOffset>
                </wp:positionH>
                <wp:positionV relativeFrom="paragraph">
                  <wp:posOffset>91440</wp:posOffset>
                </wp:positionV>
                <wp:extent cx="1259840" cy="0"/>
                <wp:wrapNone/>
                <wp:docPr id="299" name="Shape 2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598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99" o:spid="_x0000_s13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7.2pt" to="99pt,7.2pt" o:allowincell="f" strokecolor="#000000" strokeweight="1pt"/>
            </w:pict>
          </mc:Fallback>
        </mc:AlternateContent>
      </w:r>
    </w:p>
    <w:p>
      <w:pPr>
        <w:spacing w:after="0" w:line="201" w:lineRule="exact"/>
        <w:rPr>
          <w:sz w:val="20"/>
          <w:szCs w:val="20"/>
          <w:color w:val="auto"/>
        </w:rPr>
      </w:pPr>
    </w:p>
    <w:p>
      <w:pPr>
        <w:ind w:left="80" w:firstLine="5"/>
        <w:spacing w:after="0" w:line="304" w:lineRule="auto"/>
        <w:tabs>
          <w:tab w:leader="none" w:pos="256" w:val="left"/>
        </w:tabs>
        <w:numPr>
          <w:ilvl w:val="0"/>
          <w:numId w:val="77"/>
        </w:numPr>
        <w:rPr>
          <w:rFonts w:ascii="Arial" w:cs="Arial" w:eastAsia="Arial" w:hAnsi="Arial"/>
          <w:sz w:val="20"/>
          <w:szCs w:val="20"/>
          <w:color w:val="auto"/>
          <w:vertAlign w:val="superscript"/>
        </w:rPr>
      </w:pPr>
      <w:r>
        <w:rPr>
          <w:rFonts w:ascii="Arial" w:cs="Arial" w:eastAsia="Arial" w:hAnsi="Arial"/>
          <w:sz w:val="13"/>
          <w:szCs w:val="13"/>
          <w:color w:val="auto"/>
        </w:rPr>
        <w:t>At December 31, 2023, amount includes $1.11 billion of construction-related financings recorded in long-term debt on the Company’s consolidated balance sheet that is due in 2024 and is either being funded through long-term equity contributions or is converting to long-term debt.</w:t>
      </w:r>
    </w:p>
    <w:p>
      <w:pPr>
        <w:sectPr>
          <w:pgSz w:w="11880" w:h="15480" w:orient="portrait"/>
          <w:cols w:equalWidth="0" w:num="1">
            <w:col w:w="10200"/>
          </w:cols>
          <w:pgMar w:left="840" w:top="403"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114</w:t>
      </w:r>
    </w:p>
    <w:p>
      <w:pPr>
        <w:sectPr>
          <w:pgSz w:w="11880" w:h="15480" w:orient="portrait"/>
          <w:cols w:equalWidth="0" w:num="1">
            <w:col w:w="10200"/>
          </w:cols>
          <w:pgMar w:left="840" w:top="403" w:right="840" w:bottom="0" w:gutter="0" w:footer="0" w:header="0"/>
          <w:type w:val="continuous"/>
        </w:sectPr>
      </w:pPr>
    </w:p>
    <w:bookmarkStart w:id="116" w:name="page117"/>
    <w:bookmarkEnd w:id="116"/>
    <w:p>
      <w:pPr>
        <w:spacing w:after="0"/>
        <w:rPr>
          <w:sz w:val="20"/>
          <w:szCs w:val="20"/>
          <w:color w:val="auto"/>
        </w:rPr>
      </w:pPr>
      <w:r>
        <w:rPr>
          <w:rFonts w:ascii="Arial" w:cs="Arial" w:eastAsia="Arial" w:hAnsi="Arial"/>
          <w:sz w:val="20"/>
          <w:szCs w:val="20"/>
          <w:b w:val="1"/>
          <w:bCs w:val="1"/>
          <w:color w:val="auto"/>
        </w:rPr>
        <w:t>Note 11 — Earnings Per Share</w:t>
      </w:r>
    </w:p>
    <w:p>
      <w:pPr>
        <w:spacing w:after="0" w:line="195" w:lineRule="exact"/>
        <w:rPr>
          <w:sz w:val="20"/>
          <w:szCs w:val="20"/>
          <w:color w:val="auto"/>
        </w:rPr>
      </w:pPr>
    </w:p>
    <w:p>
      <w:pPr>
        <w:jc w:val="both"/>
        <w:ind w:firstLine="448"/>
        <w:spacing w:after="0" w:line="259" w:lineRule="auto"/>
        <w:rPr>
          <w:sz w:val="20"/>
          <w:szCs w:val="20"/>
          <w:color w:val="auto"/>
        </w:rPr>
      </w:pPr>
      <w:r>
        <w:rPr>
          <w:rFonts w:ascii="Arial" w:cs="Arial" w:eastAsia="Arial" w:hAnsi="Arial"/>
          <w:sz w:val="20"/>
          <w:szCs w:val="20"/>
          <w:color w:val="auto"/>
        </w:rPr>
        <w:t>Basic earnings per common share is computed by dividing net income by the weighted average number of common shares outstanding. Shares issued during the year are weighted for the portion of the year that they were outstanding. Diluted earnings per share is computed in a manner consistent with that of basic earnings per share while giving effect to all potentially dilutive common shares that were outstanding during the period.</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reconciliation of the Company’s basic and diluted earnings per share is shown in the following table: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7"/>
          </w:tcPr>
          <w:p>
            <w:pPr>
              <w:ind w:left="60"/>
              <w:spacing w:after="0"/>
              <w:rPr>
                <w:sz w:val="20"/>
                <w:szCs w:val="20"/>
                <w:color w:val="auto"/>
              </w:rPr>
            </w:pPr>
            <w:r>
              <w:rPr>
                <w:rFonts w:ascii="Arial" w:cs="Arial" w:eastAsia="Arial" w:hAnsi="Arial"/>
                <w:sz w:val="16"/>
                <w:szCs w:val="16"/>
                <w:b w:val="1"/>
                <w:bCs w:val="1"/>
                <w:color w:val="auto"/>
                <w:w w:val="92"/>
              </w:rPr>
              <w:t>Year Ended December 31,</w:t>
            </w: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2023</w:t>
            </w: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2022</w:t>
            </w: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2021</w:t>
            </w:r>
          </w:p>
        </w:tc>
        <w:tc>
          <w:tcPr>
            <w:tcW w:w="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47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 xml:space="preserve">(In millions, except per share data) </w:t>
            </w:r>
            <w:r>
              <w:rPr>
                <w:rFonts w:ascii="Arial" w:cs="Arial" w:eastAsia="Arial" w:hAnsi="Arial"/>
                <w:sz w:val="25"/>
                <w:szCs w:val="25"/>
                <w:b w:val="1"/>
                <w:bCs w:val="1"/>
                <w:color w:val="auto"/>
                <w:vertAlign w:val="superscript"/>
              </w:rPr>
              <w:t>(a)</w:t>
            </w:r>
          </w:p>
        </w:tc>
        <w:tc>
          <w:tcPr>
            <w:tcW w:w="840" w:type="dxa"/>
            <w:vAlign w:val="bottom"/>
            <w:gridSpan w:val="2"/>
          </w:tcPr>
          <w:p>
            <w:pPr>
              <w:jc w:val="right"/>
              <w:ind w:right="28"/>
              <w:spacing w:after="0"/>
              <w:rPr>
                <w:sz w:val="20"/>
                <w:szCs w:val="20"/>
                <w:color w:val="auto"/>
              </w:rPr>
            </w:pPr>
            <w:r>
              <w:rPr>
                <w:rFonts w:ascii="Arial" w:cs="Arial" w:eastAsia="Arial" w:hAnsi="Arial"/>
                <w:sz w:val="16"/>
                <w:szCs w:val="16"/>
                <w:b w:val="1"/>
                <w:bCs w:val="1"/>
                <w:color w:val="auto"/>
              </w:rPr>
              <w:t>Common</w:t>
            </w:r>
          </w:p>
        </w:tc>
        <w:tc>
          <w:tcPr>
            <w:tcW w:w="60" w:type="dxa"/>
            <w:vAlign w:val="bottom"/>
          </w:tcPr>
          <w:p>
            <w:pPr>
              <w:spacing w:after="0"/>
              <w:rPr>
                <w:sz w:val="16"/>
                <w:szCs w:val="16"/>
                <w:color w:val="auto"/>
              </w:rPr>
            </w:pPr>
          </w:p>
        </w:tc>
        <w:tc>
          <w:tcPr>
            <w:tcW w:w="840" w:type="dxa"/>
            <w:vAlign w:val="bottom"/>
            <w:gridSpan w:val="2"/>
          </w:tcPr>
          <w:p>
            <w:pPr>
              <w:jc w:val="right"/>
              <w:ind w:right="5"/>
              <w:spacing w:after="0"/>
              <w:rPr>
                <w:sz w:val="20"/>
                <w:szCs w:val="20"/>
                <w:color w:val="auto"/>
              </w:rPr>
            </w:pPr>
            <w:r>
              <w:rPr>
                <w:rFonts w:ascii="Arial" w:cs="Arial" w:eastAsia="Arial" w:hAnsi="Arial"/>
                <w:sz w:val="16"/>
                <w:szCs w:val="16"/>
                <w:b w:val="1"/>
                <w:bCs w:val="1"/>
                <w:color w:val="auto"/>
              </w:rPr>
              <w:t>Common</w:t>
            </w:r>
          </w:p>
        </w:tc>
        <w:tc>
          <w:tcPr>
            <w:tcW w:w="80" w:type="dxa"/>
            <w:vAlign w:val="bottom"/>
          </w:tcPr>
          <w:p>
            <w:pPr>
              <w:spacing w:after="0"/>
              <w:rPr>
                <w:sz w:val="16"/>
                <w:szCs w:val="16"/>
                <w:color w:val="auto"/>
              </w:rPr>
            </w:pPr>
          </w:p>
        </w:tc>
        <w:tc>
          <w:tcPr>
            <w:tcW w:w="840" w:type="dxa"/>
            <w:vAlign w:val="bottom"/>
            <w:gridSpan w:val="2"/>
          </w:tcPr>
          <w:p>
            <w:pPr>
              <w:jc w:val="right"/>
              <w:ind w:right="28"/>
              <w:spacing w:after="0"/>
              <w:rPr>
                <w:sz w:val="20"/>
                <w:szCs w:val="20"/>
                <w:color w:val="auto"/>
              </w:rPr>
            </w:pPr>
            <w:r>
              <w:rPr>
                <w:rFonts w:ascii="Arial" w:cs="Arial" w:eastAsia="Arial" w:hAnsi="Arial"/>
                <w:sz w:val="16"/>
                <w:szCs w:val="16"/>
                <w:b w:val="1"/>
                <w:bCs w:val="1"/>
                <w:color w:val="auto"/>
              </w:rPr>
              <w:t>Common</w:t>
            </w:r>
          </w:p>
        </w:tc>
        <w:tc>
          <w:tcPr>
            <w:tcW w:w="60" w:type="dxa"/>
            <w:vAlign w:val="bottom"/>
          </w:tcPr>
          <w:p>
            <w:pPr>
              <w:spacing w:after="0"/>
              <w:rPr>
                <w:sz w:val="16"/>
                <w:szCs w:val="16"/>
                <w:color w:val="auto"/>
              </w:rPr>
            </w:pPr>
          </w:p>
        </w:tc>
        <w:tc>
          <w:tcPr>
            <w:tcW w:w="92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89"/>
              </w:rPr>
              <w:t>Common</w:t>
            </w:r>
          </w:p>
        </w:tc>
        <w:tc>
          <w:tcPr>
            <w:tcW w:w="840" w:type="dxa"/>
            <w:vAlign w:val="bottom"/>
            <w:gridSpan w:val="2"/>
          </w:tcPr>
          <w:p>
            <w:pPr>
              <w:jc w:val="right"/>
              <w:ind w:right="28"/>
              <w:spacing w:after="0"/>
              <w:rPr>
                <w:sz w:val="20"/>
                <w:szCs w:val="20"/>
                <w:color w:val="auto"/>
              </w:rPr>
            </w:pPr>
            <w:r>
              <w:rPr>
                <w:rFonts w:ascii="Arial" w:cs="Arial" w:eastAsia="Arial" w:hAnsi="Arial"/>
                <w:sz w:val="16"/>
                <w:szCs w:val="16"/>
                <w:b w:val="1"/>
                <w:bCs w:val="1"/>
                <w:color w:val="auto"/>
              </w:rPr>
              <w:t>Common</w:t>
            </w:r>
          </w:p>
        </w:tc>
        <w:tc>
          <w:tcPr>
            <w:tcW w:w="60" w:type="dxa"/>
            <w:vAlign w:val="bottom"/>
          </w:tcPr>
          <w:p>
            <w:pPr>
              <w:spacing w:after="0"/>
              <w:rPr>
                <w:sz w:val="16"/>
                <w:szCs w:val="16"/>
                <w:color w:val="auto"/>
              </w:rPr>
            </w:pPr>
          </w:p>
        </w:tc>
        <w:tc>
          <w:tcPr>
            <w:tcW w:w="840" w:type="dxa"/>
            <w:vAlign w:val="bottom"/>
            <w:gridSpan w:val="2"/>
          </w:tcPr>
          <w:p>
            <w:pPr>
              <w:jc w:val="right"/>
              <w:ind w:right="5"/>
              <w:spacing w:after="0"/>
              <w:rPr>
                <w:sz w:val="20"/>
                <w:szCs w:val="20"/>
                <w:color w:val="auto"/>
              </w:rPr>
            </w:pPr>
            <w:r>
              <w:rPr>
                <w:rFonts w:ascii="Arial" w:cs="Arial" w:eastAsia="Arial" w:hAnsi="Arial"/>
                <w:sz w:val="16"/>
                <w:szCs w:val="16"/>
                <w:b w:val="1"/>
                <w:bCs w:val="1"/>
                <w:color w:val="auto"/>
              </w:rPr>
              <w:t>Common</w:t>
            </w: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47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68"/>
              <w:spacing w:after="0" w:line="164" w:lineRule="exact"/>
              <w:rPr>
                <w:sz w:val="20"/>
                <w:szCs w:val="20"/>
                <w:color w:val="auto"/>
              </w:rPr>
            </w:pPr>
            <w:r>
              <w:rPr>
                <w:rFonts w:ascii="Arial" w:cs="Arial" w:eastAsia="Arial" w:hAnsi="Arial"/>
                <w:sz w:val="16"/>
                <w:szCs w:val="16"/>
                <w:b w:val="1"/>
                <w:bCs w:val="1"/>
                <w:color w:val="auto"/>
                <w:w w:val="85"/>
              </w:rPr>
              <w:t>Class A</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65"/>
              <w:spacing w:after="0" w:line="164" w:lineRule="exact"/>
              <w:rPr>
                <w:sz w:val="20"/>
                <w:szCs w:val="20"/>
                <w:color w:val="auto"/>
              </w:rPr>
            </w:pPr>
            <w:r>
              <w:rPr>
                <w:rFonts w:ascii="Arial" w:cs="Arial" w:eastAsia="Arial" w:hAnsi="Arial"/>
                <w:sz w:val="16"/>
                <w:szCs w:val="16"/>
                <w:b w:val="1"/>
                <w:bCs w:val="1"/>
                <w:color w:val="auto"/>
                <w:w w:val="85"/>
              </w:rPr>
              <w:t>Class C</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68"/>
              <w:spacing w:after="0" w:line="164" w:lineRule="exact"/>
              <w:rPr>
                <w:sz w:val="20"/>
                <w:szCs w:val="20"/>
                <w:color w:val="auto"/>
              </w:rPr>
            </w:pPr>
            <w:r>
              <w:rPr>
                <w:rFonts w:ascii="Arial" w:cs="Arial" w:eastAsia="Arial" w:hAnsi="Arial"/>
                <w:sz w:val="16"/>
                <w:szCs w:val="16"/>
                <w:b w:val="1"/>
                <w:bCs w:val="1"/>
                <w:color w:val="auto"/>
                <w:w w:val="85"/>
              </w:rPr>
              <w:t>Class A</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center"/>
              <w:ind w:right="240"/>
              <w:spacing w:after="0" w:line="164" w:lineRule="exact"/>
              <w:rPr>
                <w:sz w:val="20"/>
                <w:szCs w:val="20"/>
                <w:color w:val="auto"/>
              </w:rPr>
            </w:pPr>
            <w:r>
              <w:rPr>
                <w:rFonts w:ascii="Arial" w:cs="Arial" w:eastAsia="Arial" w:hAnsi="Arial"/>
                <w:sz w:val="16"/>
                <w:szCs w:val="16"/>
                <w:b w:val="1"/>
                <w:bCs w:val="1"/>
                <w:color w:val="auto"/>
                <w:w w:val="88"/>
              </w:rPr>
              <w:t>Class C</w:t>
            </w:r>
          </w:p>
        </w:tc>
        <w:tc>
          <w:tcPr>
            <w:tcW w:w="160" w:type="dxa"/>
            <w:vAlign w:val="bottom"/>
          </w:tcPr>
          <w:p>
            <w:pPr>
              <w:spacing w:after="0"/>
              <w:rPr>
                <w:sz w:val="14"/>
                <w:szCs w:val="14"/>
                <w:color w:val="auto"/>
              </w:rPr>
            </w:pPr>
          </w:p>
        </w:tc>
        <w:tc>
          <w:tcPr>
            <w:tcW w:w="680" w:type="dxa"/>
            <w:vAlign w:val="bottom"/>
          </w:tcPr>
          <w:p>
            <w:pPr>
              <w:jc w:val="right"/>
              <w:ind w:right="68"/>
              <w:spacing w:after="0" w:line="164" w:lineRule="exact"/>
              <w:rPr>
                <w:sz w:val="20"/>
                <w:szCs w:val="20"/>
                <w:color w:val="auto"/>
              </w:rPr>
            </w:pPr>
            <w:r>
              <w:rPr>
                <w:rFonts w:ascii="Arial" w:cs="Arial" w:eastAsia="Arial" w:hAnsi="Arial"/>
                <w:sz w:val="16"/>
                <w:szCs w:val="16"/>
                <w:b w:val="1"/>
                <w:bCs w:val="1"/>
                <w:color w:val="auto"/>
                <w:w w:val="85"/>
              </w:rPr>
              <w:t>Class A</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65"/>
              <w:spacing w:after="0" w:line="164" w:lineRule="exact"/>
              <w:rPr>
                <w:sz w:val="20"/>
                <w:szCs w:val="20"/>
                <w:color w:val="auto"/>
              </w:rPr>
            </w:pPr>
            <w:r>
              <w:rPr>
                <w:rFonts w:ascii="Arial" w:cs="Arial" w:eastAsia="Arial" w:hAnsi="Arial"/>
                <w:sz w:val="16"/>
                <w:szCs w:val="16"/>
                <w:b w:val="1"/>
                <w:bCs w:val="1"/>
                <w:color w:val="auto"/>
                <w:w w:val="85"/>
              </w:rPr>
              <w:t>Class C</w:t>
            </w:r>
          </w:p>
        </w:tc>
        <w:tc>
          <w:tcPr>
            <w:tcW w:w="0" w:type="dxa"/>
            <w:vAlign w:val="bottom"/>
          </w:tcPr>
          <w:p>
            <w:pPr>
              <w:spacing w:after="0"/>
              <w:rPr>
                <w:sz w:val="1"/>
                <w:szCs w:val="1"/>
                <w:color w:val="auto"/>
              </w:rPr>
            </w:pPr>
          </w:p>
        </w:tc>
      </w:tr>
      <w:tr>
        <w:trPr>
          <w:trHeight w:val="29"/>
        </w:trPr>
        <w:tc>
          <w:tcPr>
            <w:tcW w:w="40" w:type="dxa"/>
            <w:vAlign w:val="bottom"/>
            <w:tcBorders>
              <w:bottom w:val="single" w:sz="8" w:color="E6E6E6"/>
            </w:tcBorders>
          </w:tcPr>
          <w:p>
            <w:pPr>
              <w:spacing w:after="0"/>
              <w:rPr>
                <w:sz w:val="2"/>
                <w:szCs w:val="2"/>
                <w:color w:val="auto"/>
              </w:rPr>
            </w:pPr>
          </w:p>
        </w:tc>
        <w:tc>
          <w:tcPr>
            <w:tcW w:w="2420" w:type="dxa"/>
            <w:vAlign w:val="bottom"/>
            <w:tcBorders>
              <w:top w:val="single" w:sz="8" w:color="auto"/>
              <w:bottom w:val="single" w:sz="8" w:color="E6E6E6"/>
            </w:tcBorders>
          </w:tcPr>
          <w:p>
            <w:pPr>
              <w:spacing w:after="0"/>
              <w:rPr>
                <w:sz w:val="2"/>
                <w:szCs w:val="2"/>
                <w:color w:val="auto"/>
              </w:rPr>
            </w:pPr>
          </w:p>
        </w:tc>
        <w:tc>
          <w:tcPr>
            <w:tcW w:w="2360" w:type="dxa"/>
            <w:vAlign w:val="bottom"/>
            <w:tcBorders>
              <w:bottom w:val="single" w:sz="8" w:color="E6E6E6"/>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E6E6E6"/>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E6E6E6"/>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E6E6E6"/>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 w:type="dxa"/>
            <w:vAlign w:val="bottom"/>
            <w:shd w:val="clear" w:color="auto" w:fill="E6E6E6"/>
          </w:tcPr>
          <w:p>
            <w:pPr>
              <w:spacing w:after="0"/>
              <w:rPr>
                <w:sz w:val="17"/>
                <w:szCs w:val="17"/>
                <w:color w:val="auto"/>
              </w:rPr>
            </w:pPr>
          </w:p>
        </w:tc>
        <w:tc>
          <w:tcPr>
            <w:tcW w:w="4780" w:type="dxa"/>
            <w:vAlign w:val="bottom"/>
            <w:gridSpan w:val="2"/>
            <w:shd w:val="clear" w:color="auto" w:fill="E6E6E6"/>
          </w:tcPr>
          <w:p>
            <w:pPr>
              <w:spacing w:after="0" w:line="196" w:lineRule="exact"/>
              <w:rPr>
                <w:sz w:val="20"/>
                <w:szCs w:val="20"/>
                <w:color w:val="auto"/>
              </w:rPr>
            </w:pPr>
            <w:r>
              <w:rPr>
                <w:rFonts w:ascii="Arial" w:cs="Arial" w:eastAsia="Arial" w:hAnsi="Arial"/>
                <w:sz w:val="20"/>
                <w:szCs w:val="20"/>
                <w:b w:val="1"/>
                <w:bCs w:val="1"/>
                <w:color w:val="auto"/>
              </w:rPr>
              <w:t>Basic and diluted income per share attributable to</w:t>
            </w:r>
          </w:p>
        </w:tc>
        <w:tc>
          <w:tcPr>
            <w:tcW w:w="160" w:type="dxa"/>
            <w:vAlign w:val="bottom"/>
            <w:shd w:val="clear" w:color="auto" w:fill="E6E6E6"/>
          </w:tcPr>
          <w:p>
            <w:pPr>
              <w:spacing w:after="0"/>
              <w:rPr>
                <w:sz w:val="17"/>
                <w:szCs w:val="17"/>
                <w:color w:val="auto"/>
              </w:rPr>
            </w:pPr>
          </w:p>
        </w:tc>
        <w:tc>
          <w:tcPr>
            <w:tcW w:w="680" w:type="dxa"/>
            <w:vAlign w:val="bottom"/>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160" w:type="dxa"/>
            <w:vAlign w:val="bottom"/>
            <w:shd w:val="clear" w:color="auto" w:fill="E6E6E6"/>
          </w:tcPr>
          <w:p>
            <w:pPr>
              <w:spacing w:after="0"/>
              <w:rPr>
                <w:sz w:val="17"/>
                <w:szCs w:val="17"/>
                <w:color w:val="auto"/>
              </w:rPr>
            </w:pPr>
          </w:p>
        </w:tc>
        <w:tc>
          <w:tcPr>
            <w:tcW w:w="68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160" w:type="dxa"/>
            <w:vAlign w:val="bottom"/>
            <w:shd w:val="clear" w:color="auto" w:fill="E6E6E6"/>
          </w:tcPr>
          <w:p>
            <w:pPr>
              <w:spacing w:after="0"/>
              <w:rPr>
                <w:sz w:val="17"/>
                <w:szCs w:val="17"/>
                <w:color w:val="auto"/>
              </w:rPr>
            </w:pPr>
          </w:p>
        </w:tc>
        <w:tc>
          <w:tcPr>
            <w:tcW w:w="680" w:type="dxa"/>
            <w:vAlign w:val="bottom"/>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160" w:type="dxa"/>
            <w:vAlign w:val="bottom"/>
            <w:shd w:val="clear" w:color="auto" w:fill="E6E6E6"/>
          </w:tcPr>
          <w:p>
            <w:pPr>
              <w:spacing w:after="0"/>
              <w:rPr>
                <w:sz w:val="17"/>
                <w:szCs w:val="17"/>
                <w:color w:val="auto"/>
              </w:rPr>
            </w:pPr>
          </w:p>
        </w:tc>
        <w:tc>
          <w:tcPr>
            <w:tcW w:w="68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160" w:type="dxa"/>
            <w:vAlign w:val="bottom"/>
            <w:shd w:val="clear" w:color="auto" w:fill="E6E6E6"/>
          </w:tcPr>
          <w:p>
            <w:pPr>
              <w:spacing w:after="0"/>
              <w:rPr>
                <w:sz w:val="17"/>
                <w:szCs w:val="17"/>
                <w:color w:val="auto"/>
              </w:rPr>
            </w:pPr>
          </w:p>
        </w:tc>
        <w:tc>
          <w:tcPr>
            <w:tcW w:w="680" w:type="dxa"/>
            <w:vAlign w:val="bottom"/>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160" w:type="dxa"/>
            <w:vAlign w:val="bottom"/>
            <w:shd w:val="clear" w:color="auto" w:fill="E6E6E6"/>
          </w:tcPr>
          <w:p>
            <w:pPr>
              <w:spacing w:after="0"/>
              <w:rPr>
                <w:sz w:val="17"/>
                <w:szCs w:val="17"/>
                <w:color w:val="auto"/>
              </w:rPr>
            </w:pPr>
          </w:p>
        </w:tc>
        <w:tc>
          <w:tcPr>
            <w:tcW w:w="68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72"/>
        </w:trPr>
        <w:tc>
          <w:tcPr>
            <w:tcW w:w="40" w:type="dxa"/>
            <w:vAlign w:val="bottom"/>
            <w:shd w:val="clear" w:color="auto" w:fill="E6E6E6"/>
          </w:tcPr>
          <w:p>
            <w:pPr>
              <w:spacing w:after="0"/>
              <w:rPr>
                <w:sz w:val="23"/>
                <w:szCs w:val="23"/>
                <w:color w:val="auto"/>
              </w:rPr>
            </w:pPr>
          </w:p>
        </w:tc>
        <w:tc>
          <w:tcPr>
            <w:tcW w:w="4780" w:type="dxa"/>
            <w:vAlign w:val="bottom"/>
            <w:gridSpan w:val="2"/>
            <w:shd w:val="clear" w:color="auto" w:fill="E6E6E6"/>
          </w:tcPr>
          <w:p>
            <w:pPr>
              <w:ind w:left="180"/>
              <w:spacing w:after="0"/>
              <w:rPr>
                <w:sz w:val="20"/>
                <w:szCs w:val="20"/>
                <w:color w:val="auto"/>
              </w:rPr>
            </w:pPr>
            <w:r>
              <w:rPr>
                <w:rFonts w:ascii="Arial" w:cs="Arial" w:eastAsia="Arial" w:hAnsi="Arial"/>
                <w:sz w:val="20"/>
                <w:szCs w:val="20"/>
                <w:b w:val="1"/>
                <w:bCs w:val="1"/>
                <w:color w:val="auto"/>
              </w:rPr>
              <w:t>Clearway Energy, Inc. common stockholders</w:t>
            </w:r>
          </w:p>
        </w:tc>
        <w:tc>
          <w:tcPr>
            <w:tcW w:w="160" w:type="dxa"/>
            <w:vAlign w:val="bottom"/>
            <w:shd w:val="clear" w:color="auto" w:fill="E6E6E6"/>
          </w:tcPr>
          <w:p>
            <w:pPr>
              <w:spacing w:after="0"/>
              <w:rPr>
                <w:sz w:val="23"/>
                <w:szCs w:val="23"/>
                <w:color w:val="auto"/>
              </w:rPr>
            </w:pPr>
          </w:p>
        </w:tc>
        <w:tc>
          <w:tcPr>
            <w:tcW w:w="68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160" w:type="dxa"/>
            <w:vAlign w:val="bottom"/>
            <w:shd w:val="clear" w:color="auto" w:fill="E6E6E6"/>
          </w:tcPr>
          <w:p>
            <w:pPr>
              <w:spacing w:after="0"/>
              <w:rPr>
                <w:sz w:val="23"/>
                <w:szCs w:val="23"/>
                <w:color w:val="auto"/>
              </w:rPr>
            </w:pPr>
          </w:p>
        </w:tc>
        <w:tc>
          <w:tcPr>
            <w:tcW w:w="68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160" w:type="dxa"/>
            <w:vAlign w:val="bottom"/>
            <w:shd w:val="clear" w:color="auto" w:fill="E6E6E6"/>
          </w:tcPr>
          <w:p>
            <w:pPr>
              <w:spacing w:after="0"/>
              <w:rPr>
                <w:sz w:val="23"/>
                <w:szCs w:val="23"/>
                <w:color w:val="auto"/>
              </w:rPr>
            </w:pPr>
          </w:p>
        </w:tc>
        <w:tc>
          <w:tcPr>
            <w:tcW w:w="68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160" w:type="dxa"/>
            <w:vAlign w:val="bottom"/>
            <w:shd w:val="clear" w:color="auto" w:fill="E6E6E6"/>
          </w:tcPr>
          <w:p>
            <w:pPr>
              <w:spacing w:after="0"/>
              <w:rPr>
                <w:sz w:val="23"/>
                <w:szCs w:val="23"/>
                <w:color w:val="auto"/>
              </w:rPr>
            </w:pPr>
          </w:p>
        </w:tc>
        <w:tc>
          <w:tcPr>
            <w:tcW w:w="68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160" w:type="dxa"/>
            <w:vAlign w:val="bottom"/>
            <w:shd w:val="clear" w:color="auto" w:fill="E6E6E6"/>
          </w:tcPr>
          <w:p>
            <w:pPr>
              <w:spacing w:after="0"/>
              <w:rPr>
                <w:sz w:val="23"/>
                <w:szCs w:val="23"/>
                <w:color w:val="auto"/>
              </w:rPr>
            </w:pPr>
          </w:p>
        </w:tc>
        <w:tc>
          <w:tcPr>
            <w:tcW w:w="68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160" w:type="dxa"/>
            <w:vAlign w:val="bottom"/>
            <w:shd w:val="clear" w:color="auto" w:fill="E6E6E6"/>
          </w:tcPr>
          <w:p>
            <w:pPr>
              <w:spacing w:after="0"/>
              <w:rPr>
                <w:sz w:val="23"/>
                <w:szCs w:val="23"/>
                <w:color w:val="auto"/>
              </w:rPr>
            </w:pPr>
          </w:p>
        </w:tc>
        <w:tc>
          <w:tcPr>
            <w:tcW w:w="680" w:type="dxa"/>
            <w:vAlign w:val="bottom"/>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40" w:type="dxa"/>
            <w:vAlign w:val="bottom"/>
          </w:tcPr>
          <w:p>
            <w:pPr>
              <w:spacing w:after="0"/>
              <w:rPr>
                <w:sz w:val="24"/>
                <w:szCs w:val="24"/>
                <w:color w:val="auto"/>
              </w:rPr>
            </w:pPr>
          </w:p>
        </w:tc>
        <w:tc>
          <w:tcPr>
            <w:tcW w:w="4940" w:type="dxa"/>
            <w:vAlign w:val="bottom"/>
            <w:gridSpan w:val="3"/>
          </w:tcPr>
          <w:p>
            <w:pPr>
              <w:ind w:left="140"/>
              <w:spacing w:after="0"/>
              <w:rPr>
                <w:sz w:val="20"/>
                <w:szCs w:val="20"/>
                <w:color w:val="auto"/>
              </w:rPr>
            </w:pPr>
            <w:r>
              <w:rPr>
                <w:rFonts w:ascii="Arial" w:cs="Arial" w:eastAsia="Arial" w:hAnsi="Arial"/>
                <w:sz w:val="20"/>
                <w:szCs w:val="20"/>
                <w:color w:val="auto"/>
                <w:w w:val="93"/>
              </w:rPr>
              <w:t xml:space="preserve">Net income attributable to Clearway Energy, Inc. </w:t>
            </w:r>
            <w:r>
              <w:rPr>
                <w:rFonts w:ascii="Arial" w:cs="Arial" w:eastAsia="Arial" w:hAnsi="Arial"/>
                <w:sz w:val="20"/>
                <w:szCs w:val="20"/>
                <w:color w:val="BDBDBD"/>
                <w:w w:val="93"/>
              </w:rPr>
              <w:t>. . . . . .</w:t>
            </w:r>
            <w:r>
              <w:rPr>
                <w:rFonts w:ascii="Arial" w:cs="Arial" w:eastAsia="Arial" w:hAnsi="Arial"/>
                <w:sz w:val="20"/>
                <w:szCs w:val="20"/>
                <w:color w:val="auto"/>
                <w:w w:val="93"/>
              </w:rPr>
              <w:t xml:space="preserve"> $</w:t>
            </w:r>
          </w:p>
        </w:tc>
        <w:tc>
          <w:tcPr>
            <w:tcW w:w="680" w:type="dxa"/>
            <w:vAlign w:val="bottom"/>
          </w:tcPr>
          <w:p>
            <w:pPr>
              <w:jc w:val="right"/>
              <w:spacing w:after="0"/>
              <w:rPr>
                <w:sz w:val="20"/>
                <w:szCs w:val="20"/>
                <w:color w:val="auto"/>
              </w:rPr>
            </w:pPr>
            <w:r>
              <w:rPr>
                <w:rFonts w:ascii="Arial" w:cs="Arial" w:eastAsia="Arial" w:hAnsi="Arial"/>
                <w:sz w:val="20"/>
                <w:szCs w:val="20"/>
                <w:color w:val="auto"/>
              </w:rPr>
              <w:t>23</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56</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172</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410</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15</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36</w:t>
            </w:r>
          </w:p>
        </w:tc>
        <w:tc>
          <w:tcPr>
            <w:tcW w:w="0" w:type="dxa"/>
            <w:vAlign w:val="bottom"/>
          </w:tcPr>
          <w:p>
            <w:pPr>
              <w:spacing w:after="0"/>
              <w:rPr>
                <w:sz w:val="1"/>
                <w:szCs w:val="1"/>
                <w:color w:val="auto"/>
              </w:rPr>
            </w:pPr>
          </w:p>
        </w:tc>
      </w:tr>
      <w:tr>
        <w:trPr>
          <w:trHeight w:val="211"/>
        </w:trPr>
        <w:tc>
          <w:tcPr>
            <w:tcW w:w="40" w:type="dxa"/>
            <w:vAlign w:val="bottom"/>
            <w:tcBorders>
              <w:top w:val="single" w:sz="8" w:color="E6E6E6"/>
            </w:tcBorders>
            <w:shd w:val="clear" w:color="auto" w:fill="E6E6E6"/>
          </w:tcPr>
          <w:p>
            <w:pPr>
              <w:spacing w:after="0"/>
              <w:rPr>
                <w:sz w:val="18"/>
                <w:szCs w:val="18"/>
                <w:color w:val="auto"/>
              </w:rPr>
            </w:pPr>
          </w:p>
        </w:tc>
        <w:tc>
          <w:tcPr>
            <w:tcW w:w="4780" w:type="dxa"/>
            <w:vAlign w:val="bottom"/>
            <w:tcBorders>
              <w:top w:val="single" w:sz="8" w:color="E6E6E6"/>
            </w:tcBorders>
            <w:gridSpan w:val="2"/>
            <w:shd w:val="clear" w:color="auto" w:fill="E6E6E6"/>
          </w:tcPr>
          <w:p>
            <w:pPr>
              <w:ind w:left="140"/>
              <w:spacing w:after="0" w:line="211" w:lineRule="exact"/>
              <w:rPr>
                <w:sz w:val="20"/>
                <w:szCs w:val="20"/>
                <w:color w:val="auto"/>
              </w:rPr>
            </w:pPr>
            <w:r>
              <w:rPr>
                <w:rFonts w:ascii="Arial" w:cs="Arial" w:eastAsia="Arial" w:hAnsi="Arial"/>
                <w:sz w:val="20"/>
                <w:szCs w:val="20"/>
                <w:color w:val="auto"/>
              </w:rPr>
              <w:t>Weighted average number of common shares</w:t>
            </w:r>
          </w:p>
        </w:tc>
        <w:tc>
          <w:tcPr>
            <w:tcW w:w="160" w:type="dxa"/>
            <w:vAlign w:val="bottom"/>
            <w:tcBorders>
              <w:top w:val="single" w:sz="8" w:color="auto"/>
            </w:tcBorders>
            <w:shd w:val="clear" w:color="auto" w:fill="E6E6E6"/>
          </w:tcPr>
          <w:p>
            <w:pPr>
              <w:spacing w:after="0"/>
              <w:rPr>
                <w:sz w:val="18"/>
                <w:szCs w:val="18"/>
                <w:color w:val="auto"/>
              </w:rPr>
            </w:pPr>
          </w:p>
        </w:tc>
        <w:tc>
          <w:tcPr>
            <w:tcW w:w="680" w:type="dxa"/>
            <w:vAlign w:val="bottom"/>
            <w:tcBorders>
              <w:top w:val="single" w:sz="8" w:color="auto"/>
            </w:tcBorders>
            <w:vMerge w:val="restart"/>
            <w:shd w:val="clear" w:color="auto" w:fill="E6E6E6"/>
          </w:tcPr>
          <w:p>
            <w:pPr>
              <w:jc w:val="right"/>
              <w:spacing w:after="0"/>
              <w:rPr>
                <w:sz w:val="20"/>
                <w:szCs w:val="20"/>
                <w:color w:val="auto"/>
              </w:rPr>
            </w:pPr>
            <w:r>
              <w:rPr>
                <w:rFonts w:ascii="Arial" w:cs="Arial" w:eastAsia="Arial" w:hAnsi="Arial"/>
                <w:sz w:val="20"/>
                <w:szCs w:val="20"/>
                <w:color w:val="auto"/>
              </w:rPr>
              <w:t>35</w:t>
            </w:r>
          </w:p>
        </w:tc>
        <w:tc>
          <w:tcPr>
            <w:tcW w:w="60" w:type="dxa"/>
            <w:vAlign w:val="bottom"/>
            <w:tcBorders>
              <w:top w:val="single" w:sz="8" w:color="auto"/>
            </w:tcBorders>
            <w:shd w:val="clear" w:color="auto" w:fill="E6E6E6"/>
          </w:tcPr>
          <w:p>
            <w:pPr>
              <w:spacing w:after="0"/>
              <w:rPr>
                <w:sz w:val="18"/>
                <w:szCs w:val="18"/>
                <w:color w:val="auto"/>
              </w:rPr>
            </w:pPr>
          </w:p>
        </w:tc>
        <w:tc>
          <w:tcPr>
            <w:tcW w:w="160" w:type="dxa"/>
            <w:vAlign w:val="bottom"/>
            <w:tcBorders>
              <w:top w:val="single" w:sz="8" w:color="auto"/>
            </w:tcBorders>
            <w:shd w:val="clear" w:color="auto" w:fill="E6E6E6"/>
          </w:tcPr>
          <w:p>
            <w:pPr>
              <w:spacing w:after="0"/>
              <w:rPr>
                <w:sz w:val="18"/>
                <w:szCs w:val="18"/>
                <w:color w:val="auto"/>
              </w:rPr>
            </w:pPr>
          </w:p>
        </w:tc>
        <w:tc>
          <w:tcPr>
            <w:tcW w:w="680" w:type="dxa"/>
            <w:vAlign w:val="bottom"/>
            <w:tcBorders>
              <w:top w:val="single" w:sz="8" w:color="auto"/>
            </w:tcBorders>
            <w:vMerge w:val="restart"/>
            <w:shd w:val="clear" w:color="auto" w:fill="E6E6E6"/>
          </w:tcPr>
          <w:p>
            <w:pPr>
              <w:jc w:val="right"/>
              <w:spacing w:after="0"/>
              <w:rPr>
                <w:sz w:val="20"/>
                <w:szCs w:val="20"/>
                <w:color w:val="auto"/>
              </w:rPr>
            </w:pPr>
            <w:r>
              <w:rPr>
                <w:rFonts w:ascii="Arial" w:cs="Arial" w:eastAsia="Arial" w:hAnsi="Arial"/>
                <w:sz w:val="20"/>
                <w:szCs w:val="20"/>
                <w:color w:val="auto"/>
              </w:rPr>
              <w:t>82</w:t>
            </w:r>
          </w:p>
        </w:tc>
        <w:tc>
          <w:tcPr>
            <w:tcW w:w="80" w:type="dxa"/>
            <w:vAlign w:val="bottom"/>
            <w:tcBorders>
              <w:top w:val="single" w:sz="8" w:color="auto"/>
            </w:tcBorders>
            <w:shd w:val="clear" w:color="auto" w:fill="E6E6E6"/>
          </w:tcPr>
          <w:p>
            <w:pPr>
              <w:spacing w:after="0"/>
              <w:rPr>
                <w:sz w:val="18"/>
                <w:szCs w:val="18"/>
                <w:color w:val="auto"/>
              </w:rPr>
            </w:pPr>
          </w:p>
        </w:tc>
        <w:tc>
          <w:tcPr>
            <w:tcW w:w="160" w:type="dxa"/>
            <w:vAlign w:val="bottom"/>
            <w:tcBorders>
              <w:top w:val="single" w:sz="8" w:color="auto"/>
            </w:tcBorders>
            <w:shd w:val="clear" w:color="auto" w:fill="E6E6E6"/>
          </w:tcPr>
          <w:p>
            <w:pPr>
              <w:spacing w:after="0"/>
              <w:rPr>
                <w:sz w:val="18"/>
                <w:szCs w:val="18"/>
                <w:color w:val="auto"/>
              </w:rPr>
            </w:pPr>
          </w:p>
        </w:tc>
        <w:tc>
          <w:tcPr>
            <w:tcW w:w="680" w:type="dxa"/>
            <w:vAlign w:val="bottom"/>
            <w:tcBorders>
              <w:top w:val="single" w:sz="8" w:color="auto"/>
            </w:tcBorders>
            <w:vMerge w:val="restart"/>
            <w:shd w:val="clear" w:color="auto" w:fill="E6E6E6"/>
          </w:tcPr>
          <w:p>
            <w:pPr>
              <w:jc w:val="right"/>
              <w:spacing w:after="0"/>
              <w:rPr>
                <w:sz w:val="20"/>
                <w:szCs w:val="20"/>
                <w:color w:val="auto"/>
              </w:rPr>
            </w:pPr>
            <w:r>
              <w:rPr>
                <w:rFonts w:ascii="Arial" w:cs="Arial" w:eastAsia="Arial" w:hAnsi="Arial"/>
                <w:sz w:val="20"/>
                <w:szCs w:val="20"/>
                <w:color w:val="auto"/>
              </w:rPr>
              <w:t>35</w:t>
            </w:r>
          </w:p>
        </w:tc>
        <w:tc>
          <w:tcPr>
            <w:tcW w:w="60" w:type="dxa"/>
            <w:vAlign w:val="bottom"/>
            <w:tcBorders>
              <w:top w:val="single" w:sz="8" w:color="auto"/>
            </w:tcBorders>
            <w:shd w:val="clear" w:color="auto" w:fill="E6E6E6"/>
          </w:tcPr>
          <w:p>
            <w:pPr>
              <w:spacing w:after="0"/>
              <w:rPr>
                <w:sz w:val="18"/>
                <w:szCs w:val="18"/>
                <w:color w:val="auto"/>
              </w:rPr>
            </w:pPr>
          </w:p>
        </w:tc>
        <w:tc>
          <w:tcPr>
            <w:tcW w:w="160" w:type="dxa"/>
            <w:vAlign w:val="bottom"/>
            <w:tcBorders>
              <w:top w:val="single" w:sz="8" w:color="auto"/>
            </w:tcBorders>
            <w:shd w:val="clear" w:color="auto" w:fill="E6E6E6"/>
          </w:tcPr>
          <w:p>
            <w:pPr>
              <w:spacing w:after="0"/>
              <w:rPr>
                <w:sz w:val="18"/>
                <w:szCs w:val="18"/>
                <w:color w:val="auto"/>
              </w:rPr>
            </w:pPr>
          </w:p>
        </w:tc>
        <w:tc>
          <w:tcPr>
            <w:tcW w:w="680" w:type="dxa"/>
            <w:vAlign w:val="bottom"/>
            <w:tcBorders>
              <w:top w:val="single" w:sz="8" w:color="auto"/>
            </w:tcBorders>
            <w:vMerge w:val="restart"/>
            <w:shd w:val="clear" w:color="auto" w:fill="E6E6E6"/>
          </w:tcPr>
          <w:p>
            <w:pPr>
              <w:jc w:val="right"/>
              <w:spacing w:after="0"/>
              <w:rPr>
                <w:sz w:val="20"/>
                <w:szCs w:val="20"/>
                <w:color w:val="auto"/>
              </w:rPr>
            </w:pPr>
            <w:r>
              <w:rPr>
                <w:rFonts w:ascii="Arial" w:cs="Arial" w:eastAsia="Arial" w:hAnsi="Arial"/>
                <w:sz w:val="20"/>
                <w:szCs w:val="20"/>
                <w:color w:val="auto"/>
              </w:rPr>
              <w:t>82</w:t>
            </w:r>
          </w:p>
        </w:tc>
        <w:tc>
          <w:tcPr>
            <w:tcW w:w="80" w:type="dxa"/>
            <w:vAlign w:val="bottom"/>
            <w:tcBorders>
              <w:top w:val="single" w:sz="8" w:color="auto"/>
            </w:tcBorders>
            <w:shd w:val="clear" w:color="auto" w:fill="E6E6E6"/>
          </w:tcPr>
          <w:p>
            <w:pPr>
              <w:spacing w:after="0"/>
              <w:rPr>
                <w:sz w:val="18"/>
                <w:szCs w:val="18"/>
                <w:color w:val="auto"/>
              </w:rPr>
            </w:pPr>
          </w:p>
        </w:tc>
        <w:tc>
          <w:tcPr>
            <w:tcW w:w="160" w:type="dxa"/>
            <w:vAlign w:val="bottom"/>
            <w:tcBorders>
              <w:top w:val="single" w:sz="8" w:color="auto"/>
            </w:tcBorders>
            <w:shd w:val="clear" w:color="auto" w:fill="E6E6E6"/>
          </w:tcPr>
          <w:p>
            <w:pPr>
              <w:spacing w:after="0"/>
              <w:rPr>
                <w:sz w:val="18"/>
                <w:szCs w:val="18"/>
                <w:color w:val="auto"/>
              </w:rPr>
            </w:pPr>
          </w:p>
        </w:tc>
        <w:tc>
          <w:tcPr>
            <w:tcW w:w="680" w:type="dxa"/>
            <w:vAlign w:val="bottom"/>
            <w:tcBorders>
              <w:top w:val="single" w:sz="8" w:color="auto"/>
            </w:tcBorders>
            <w:vMerge w:val="restart"/>
            <w:shd w:val="clear" w:color="auto" w:fill="E6E6E6"/>
          </w:tcPr>
          <w:p>
            <w:pPr>
              <w:jc w:val="right"/>
              <w:spacing w:after="0"/>
              <w:rPr>
                <w:sz w:val="20"/>
                <w:szCs w:val="20"/>
                <w:color w:val="auto"/>
              </w:rPr>
            </w:pPr>
            <w:r>
              <w:rPr>
                <w:rFonts w:ascii="Arial" w:cs="Arial" w:eastAsia="Arial" w:hAnsi="Arial"/>
                <w:sz w:val="20"/>
                <w:szCs w:val="20"/>
                <w:color w:val="auto"/>
              </w:rPr>
              <w:t>35</w:t>
            </w:r>
          </w:p>
        </w:tc>
        <w:tc>
          <w:tcPr>
            <w:tcW w:w="60" w:type="dxa"/>
            <w:vAlign w:val="bottom"/>
            <w:tcBorders>
              <w:top w:val="single" w:sz="8" w:color="auto"/>
            </w:tcBorders>
            <w:shd w:val="clear" w:color="auto" w:fill="E6E6E6"/>
          </w:tcPr>
          <w:p>
            <w:pPr>
              <w:spacing w:after="0"/>
              <w:rPr>
                <w:sz w:val="18"/>
                <w:szCs w:val="18"/>
                <w:color w:val="auto"/>
              </w:rPr>
            </w:pPr>
          </w:p>
        </w:tc>
        <w:tc>
          <w:tcPr>
            <w:tcW w:w="160" w:type="dxa"/>
            <w:vAlign w:val="bottom"/>
            <w:tcBorders>
              <w:top w:val="single" w:sz="8" w:color="auto"/>
            </w:tcBorders>
            <w:shd w:val="clear" w:color="auto" w:fill="E6E6E6"/>
          </w:tcPr>
          <w:p>
            <w:pPr>
              <w:spacing w:after="0"/>
              <w:rPr>
                <w:sz w:val="18"/>
                <w:szCs w:val="18"/>
                <w:color w:val="auto"/>
              </w:rPr>
            </w:pPr>
          </w:p>
        </w:tc>
        <w:tc>
          <w:tcPr>
            <w:tcW w:w="680" w:type="dxa"/>
            <w:vAlign w:val="bottom"/>
            <w:tcBorders>
              <w:top w:val="single" w:sz="8" w:color="auto"/>
            </w:tcBorders>
            <w:vMerge w:val="restart"/>
            <w:shd w:val="clear" w:color="auto" w:fill="E6E6E6"/>
          </w:tcPr>
          <w:p>
            <w:pPr>
              <w:jc w:val="right"/>
              <w:spacing w:after="0"/>
              <w:rPr>
                <w:sz w:val="20"/>
                <w:szCs w:val="20"/>
                <w:color w:val="auto"/>
              </w:rPr>
            </w:pPr>
            <w:r>
              <w:rPr>
                <w:rFonts w:ascii="Arial" w:cs="Arial" w:eastAsia="Arial" w:hAnsi="Arial"/>
                <w:sz w:val="20"/>
                <w:szCs w:val="20"/>
                <w:color w:val="auto"/>
              </w:rPr>
              <w:t>82</w:t>
            </w:r>
          </w:p>
        </w:tc>
        <w:tc>
          <w:tcPr>
            <w:tcW w:w="0" w:type="dxa"/>
            <w:vAlign w:val="bottom"/>
          </w:tcPr>
          <w:p>
            <w:pPr>
              <w:spacing w:after="0"/>
              <w:rPr>
                <w:sz w:val="1"/>
                <w:szCs w:val="1"/>
                <w:color w:val="auto"/>
              </w:rPr>
            </w:pPr>
          </w:p>
        </w:tc>
      </w:tr>
      <w:tr>
        <w:trPr>
          <w:trHeight w:val="281"/>
        </w:trPr>
        <w:tc>
          <w:tcPr>
            <w:tcW w:w="40" w:type="dxa"/>
            <w:vAlign w:val="bottom"/>
            <w:tcBorders>
              <w:bottom w:val="single" w:sz="8" w:color="E6E6E6"/>
            </w:tcBorders>
            <w:shd w:val="clear" w:color="auto" w:fill="E6E6E6"/>
          </w:tcPr>
          <w:p>
            <w:pPr>
              <w:spacing w:after="0"/>
              <w:rPr>
                <w:sz w:val="24"/>
                <w:szCs w:val="24"/>
                <w:color w:val="auto"/>
              </w:rPr>
            </w:pPr>
          </w:p>
        </w:tc>
        <w:tc>
          <w:tcPr>
            <w:tcW w:w="4780" w:type="dxa"/>
            <w:vAlign w:val="bottom"/>
            <w:tcBorders>
              <w:bottom w:val="single" w:sz="8" w:color="E6E6E6"/>
            </w:tcBorders>
            <w:gridSpan w:val="2"/>
            <w:shd w:val="clear" w:color="auto" w:fill="E6E6E6"/>
          </w:tcPr>
          <w:p>
            <w:pPr>
              <w:ind w:left="320"/>
              <w:spacing w:after="0"/>
              <w:rPr>
                <w:sz w:val="20"/>
                <w:szCs w:val="20"/>
                <w:color w:val="auto"/>
              </w:rPr>
            </w:pPr>
            <w:r>
              <w:rPr>
                <w:rFonts w:ascii="Arial" w:cs="Arial" w:eastAsia="Arial" w:hAnsi="Arial"/>
                <w:sz w:val="20"/>
                <w:szCs w:val="20"/>
                <w:color w:val="auto"/>
                <w:w w:val="92"/>
              </w:rPr>
              <w:t xml:space="preserve">outstanding — basic and diluted  </w:t>
            </w:r>
            <w:r>
              <w:rPr>
                <w:rFonts w:ascii="Arial" w:cs="Arial" w:eastAsia="Arial" w:hAnsi="Arial"/>
                <w:sz w:val="20"/>
                <w:szCs w:val="20"/>
                <w:color w:val="BDBDBD"/>
                <w:w w:val="92"/>
              </w:rPr>
              <w:t>. . . . . . . . . . . . . . . . .</w:t>
            </w:r>
          </w:p>
        </w:tc>
        <w:tc>
          <w:tcPr>
            <w:tcW w:w="160" w:type="dxa"/>
            <w:vAlign w:val="bottom"/>
            <w:tcBorders>
              <w:bottom w:val="single" w:sz="8" w:color="auto"/>
            </w:tcBorders>
            <w:shd w:val="clear" w:color="auto" w:fill="E6E6E6"/>
          </w:tcPr>
          <w:p>
            <w:pPr>
              <w:spacing w:after="0"/>
              <w:rPr>
                <w:sz w:val="24"/>
                <w:szCs w:val="24"/>
                <w:color w:val="auto"/>
              </w:rPr>
            </w:pPr>
          </w:p>
        </w:tc>
        <w:tc>
          <w:tcPr>
            <w:tcW w:w="680" w:type="dxa"/>
            <w:vAlign w:val="bottom"/>
            <w:tcBorders>
              <w:bottom w:val="single" w:sz="8" w:color="auto"/>
            </w:tcBorders>
            <w:vMerge w:val="continue"/>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680" w:type="dxa"/>
            <w:vAlign w:val="bottom"/>
            <w:tcBorders>
              <w:bottom w:val="single" w:sz="8" w:color="auto"/>
            </w:tcBorders>
            <w:vMerge w:val="continue"/>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680" w:type="dxa"/>
            <w:vAlign w:val="bottom"/>
            <w:tcBorders>
              <w:bottom w:val="single" w:sz="8" w:color="auto"/>
            </w:tcBorders>
            <w:vMerge w:val="continue"/>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680" w:type="dxa"/>
            <w:vAlign w:val="bottom"/>
            <w:tcBorders>
              <w:bottom w:val="single" w:sz="8" w:color="auto"/>
            </w:tcBorders>
            <w:vMerge w:val="continue"/>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680" w:type="dxa"/>
            <w:vAlign w:val="bottom"/>
            <w:tcBorders>
              <w:bottom w:val="single" w:sz="8" w:color="auto"/>
            </w:tcBorders>
            <w:vMerge w:val="continue"/>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680" w:type="dxa"/>
            <w:vAlign w:val="bottom"/>
            <w:tcBorders>
              <w:bottom w:val="single" w:sz="8" w:color="auto"/>
            </w:tcBorders>
            <w:vMerge w:val="continue"/>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4780" w:type="dxa"/>
            <w:vAlign w:val="bottom"/>
            <w:gridSpan w:val="2"/>
          </w:tcPr>
          <w:p>
            <w:pPr>
              <w:spacing w:after="0" w:line="177" w:lineRule="exact"/>
              <w:rPr>
                <w:sz w:val="20"/>
                <w:szCs w:val="20"/>
                <w:color w:val="auto"/>
              </w:rPr>
            </w:pPr>
            <w:r>
              <w:rPr>
                <w:rFonts w:ascii="Arial" w:cs="Arial" w:eastAsia="Arial" w:hAnsi="Arial"/>
                <w:sz w:val="20"/>
                <w:szCs w:val="20"/>
                <w:b w:val="1"/>
                <w:bCs w:val="1"/>
                <w:color w:val="auto"/>
                <w:w w:val="90"/>
              </w:rPr>
              <w:t>Earnings per weighted average common share — basic</w:t>
            </w:r>
          </w:p>
        </w:tc>
        <w:tc>
          <w:tcPr>
            <w:tcW w:w="1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0.67</w:t>
            </w:r>
          </w:p>
        </w:tc>
        <w:tc>
          <w:tcPr>
            <w:tcW w:w="22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0.67</w:t>
            </w:r>
          </w:p>
        </w:tc>
        <w:tc>
          <w:tcPr>
            <w:tcW w:w="24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4.99</w:t>
            </w:r>
          </w:p>
        </w:tc>
        <w:tc>
          <w:tcPr>
            <w:tcW w:w="22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4.99</w:t>
            </w:r>
          </w:p>
        </w:tc>
        <w:tc>
          <w:tcPr>
            <w:tcW w:w="8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0.44</w:t>
            </w:r>
          </w:p>
        </w:tc>
        <w:tc>
          <w:tcPr>
            <w:tcW w:w="22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0.44</w:t>
            </w:r>
          </w:p>
        </w:tc>
        <w:tc>
          <w:tcPr>
            <w:tcW w:w="0" w:type="dxa"/>
            <w:vAlign w:val="bottom"/>
          </w:tcPr>
          <w:p>
            <w:pPr>
              <w:spacing w:after="0"/>
              <w:rPr>
                <w:sz w:val="1"/>
                <w:szCs w:val="1"/>
                <w:color w:val="auto"/>
              </w:rPr>
            </w:pPr>
          </w:p>
        </w:tc>
      </w:tr>
      <w:tr>
        <w:trPr>
          <w:trHeight w:val="242"/>
        </w:trPr>
        <w:tc>
          <w:tcPr>
            <w:tcW w:w="40" w:type="dxa"/>
            <w:vAlign w:val="bottom"/>
          </w:tcPr>
          <w:p>
            <w:pPr>
              <w:spacing w:after="0"/>
              <w:rPr>
                <w:sz w:val="21"/>
                <w:szCs w:val="21"/>
                <w:color w:val="auto"/>
              </w:rPr>
            </w:pPr>
          </w:p>
        </w:tc>
        <w:tc>
          <w:tcPr>
            <w:tcW w:w="4940" w:type="dxa"/>
            <w:vAlign w:val="bottom"/>
            <w:gridSpan w:val="3"/>
          </w:tcPr>
          <w:p>
            <w:pPr>
              <w:ind w:left="180"/>
              <w:spacing w:after="0"/>
              <w:rPr>
                <w:sz w:val="20"/>
                <w:szCs w:val="20"/>
                <w:color w:val="auto"/>
              </w:rPr>
            </w:pPr>
            <w:r>
              <w:rPr>
                <w:rFonts w:ascii="Arial" w:cs="Arial" w:eastAsia="Arial" w:hAnsi="Arial"/>
                <w:sz w:val="20"/>
                <w:szCs w:val="20"/>
                <w:b w:val="1"/>
                <w:bCs w:val="1"/>
                <w:color w:val="auto"/>
                <w:w w:val="95"/>
              </w:rPr>
              <w:t xml:space="preserve">and diluted </w:t>
            </w:r>
            <w:r>
              <w:rPr>
                <w:rFonts w:ascii="Arial" w:cs="Arial" w:eastAsia="Arial" w:hAnsi="Arial"/>
                <w:sz w:val="20"/>
                <w:szCs w:val="20"/>
                <w:b w:val="1"/>
                <w:bCs w:val="1"/>
                <w:color w:val="BDBDBD"/>
                <w:w w:val="95"/>
              </w:rPr>
              <w:t>. . . . . . . . . . . . . . . . . . . . . . . . . . . . . . . . . . .</w:t>
            </w:r>
          </w:p>
        </w:tc>
        <w:tc>
          <w:tcPr>
            <w:tcW w:w="680" w:type="dxa"/>
            <w:vAlign w:val="bottom"/>
            <w:vMerge w:val="continue"/>
          </w:tcPr>
          <w:p>
            <w:pPr>
              <w:spacing w:after="0"/>
              <w:rPr>
                <w:sz w:val="21"/>
                <w:szCs w:val="21"/>
                <w:color w:val="auto"/>
              </w:rPr>
            </w:pPr>
          </w:p>
        </w:tc>
        <w:tc>
          <w:tcPr>
            <w:tcW w:w="220" w:type="dxa"/>
            <w:vAlign w:val="bottom"/>
            <w:gridSpan w:val="2"/>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240" w:type="dxa"/>
            <w:vAlign w:val="bottom"/>
            <w:gridSpan w:val="2"/>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220" w:type="dxa"/>
            <w:vAlign w:val="bottom"/>
            <w:gridSpan w:val="2"/>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220" w:type="dxa"/>
            <w:vAlign w:val="bottom"/>
            <w:gridSpan w:val="2"/>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3045460</wp:posOffset>
            </wp:positionH>
            <wp:positionV relativeFrom="paragraph">
              <wp:posOffset>-1139825</wp:posOffset>
            </wp:positionV>
            <wp:extent cx="3446780"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232">
                      <a:extLst>
                        <a:ext uri="{28A0092B-C50C-407E-A947-70E740481C1C}"/>
                      </a:extLst>
                    </a:blip>
                    <a:srcRect/>
                    <a:stretch>
                      <a:fillRect/>
                    </a:stretch>
                  </pic:blipFill>
                  <pic:spPr bwMode="auto">
                    <a:xfrm>
                      <a:off x="0" y="0"/>
                      <a:ext cx="3446780" cy="25400"/>
                    </a:xfrm>
                    <a:prstGeom prst="rect">
                      <a:avLst/>
                    </a:prstGeom>
                    <a:noFill/>
                  </pic:spPr>
                </pic:pic>
              </a:graphicData>
            </a:graphic>
          </wp:anchor>
        </w:drawing>
        <w:drawing>
          <wp:anchor simplePos="0" relativeHeight="251657728" behindDoc="1" locked="0" layoutInCell="0" allowOverlap="1">
            <wp:simplePos x="0" y="0"/>
            <wp:positionH relativeFrom="column">
              <wp:posOffset>3045460</wp:posOffset>
            </wp:positionH>
            <wp:positionV relativeFrom="paragraph">
              <wp:posOffset>-647065</wp:posOffset>
            </wp:positionV>
            <wp:extent cx="3446780"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233">
                      <a:extLst>
                        <a:ext uri="{28A0092B-C50C-407E-A947-70E740481C1C}"/>
                      </a:extLst>
                    </a:blip>
                    <a:srcRect/>
                    <a:stretch>
                      <a:fillRect/>
                    </a:stretch>
                  </pic:blipFill>
                  <pic:spPr bwMode="auto">
                    <a:xfrm>
                      <a:off x="0" y="0"/>
                      <a:ext cx="3446780" cy="25400"/>
                    </a:xfrm>
                    <a:prstGeom prst="rect">
                      <a:avLst/>
                    </a:prstGeom>
                    <a:noFill/>
                  </pic:spPr>
                </pic:pic>
              </a:graphicData>
            </a:graphic>
          </wp:anchor>
        </w:drawing>
        <w:drawing>
          <wp:anchor simplePos="0" relativeHeight="251657728" behindDoc="1" locked="0" layoutInCell="0" allowOverlap="1">
            <wp:simplePos x="0" y="0"/>
            <wp:positionH relativeFrom="column">
              <wp:posOffset>3045460</wp:posOffset>
            </wp:positionH>
            <wp:positionV relativeFrom="paragraph">
              <wp:posOffset>-334645</wp:posOffset>
            </wp:positionV>
            <wp:extent cx="3446780"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234">
                      <a:extLst>
                        <a:ext uri="{28A0092B-C50C-407E-A947-70E740481C1C}"/>
                      </a:extLst>
                    </a:blip>
                    <a:srcRect/>
                    <a:stretch>
                      <a:fillRect/>
                    </a:stretch>
                  </pic:blipFill>
                  <pic:spPr bwMode="auto">
                    <a:xfrm>
                      <a:off x="0" y="0"/>
                      <a:ext cx="3446780" cy="254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-2540</wp:posOffset>
                </wp:positionH>
                <wp:positionV relativeFrom="paragraph">
                  <wp:posOffset>91440</wp:posOffset>
                </wp:positionV>
                <wp:extent cx="1259840" cy="0"/>
                <wp:wrapNone/>
                <wp:docPr id="303" name="Shape 3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598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03" o:spid="_x0000_s13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7.2pt" to="99pt,7.2pt" o:allowincell="f" strokecolor="#000000" strokeweight="1pt"/>
            </w:pict>
          </mc:Fallback>
        </mc:AlternateContent>
      </w:r>
    </w:p>
    <w:p>
      <w:pPr>
        <w:spacing w:after="0" w:line="201" w:lineRule="exact"/>
        <w:rPr>
          <w:sz w:val="20"/>
          <w:szCs w:val="20"/>
          <w:color w:val="auto"/>
        </w:rPr>
      </w:pPr>
    </w:p>
    <w:p>
      <w:pPr>
        <w:ind w:left="80" w:firstLine="5"/>
        <w:spacing w:after="0" w:line="208" w:lineRule="auto"/>
        <w:tabs>
          <w:tab w:leader="none" w:pos="309" w:val="left"/>
        </w:tabs>
        <w:numPr>
          <w:ilvl w:val="0"/>
          <w:numId w:val="78"/>
        </w:numPr>
        <w:rPr>
          <w:rFonts w:ascii="Arial" w:cs="Arial" w:eastAsia="Arial" w:hAnsi="Arial"/>
          <w:sz w:val="26"/>
          <w:szCs w:val="26"/>
          <w:color w:val="auto"/>
          <w:vertAlign w:val="superscript"/>
        </w:rPr>
      </w:pPr>
      <w:r>
        <w:rPr>
          <w:rFonts w:ascii="Arial" w:cs="Arial" w:eastAsia="Arial" w:hAnsi="Arial"/>
          <w:sz w:val="16"/>
          <w:szCs w:val="16"/>
          <w:color w:val="auto"/>
        </w:rPr>
        <w:t>Net income attributable to Clearway Energy, Inc. and basic and diluted earnings per share might not recalculate due to presenting amounts in millions rather than whole dollars.</w:t>
      </w:r>
    </w:p>
    <w:p>
      <w:pPr>
        <w:spacing w:after="0" w:line="143" w:lineRule="exact"/>
        <w:rPr>
          <w:sz w:val="20"/>
          <w:szCs w:val="20"/>
          <w:color w:val="auto"/>
        </w:rPr>
      </w:pPr>
    </w:p>
    <w:p>
      <w:pPr>
        <w:ind w:right="5060"/>
        <w:spacing w:after="0" w:line="439" w:lineRule="auto"/>
        <w:rPr>
          <w:sz w:val="20"/>
          <w:szCs w:val="20"/>
          <w:color w:val="auto"/>
        </w:rPr>
      </w:pPr>
      <w:r>
        <w:rPr>
          <w:rFonts w:ascii="Arial" w:cs="Arial" w:eastAsia="Arial" w:hAnsi="Arial"/>
          <w:sz w:val="20"/>
          <w:szCs w:val="20"/>
          <w:b w:val="1"/>
          <w:bCs w:val="1"/>
          <w:color w:val="auto"/>
        </w:rPr>
        <w:t xml:space="preserve">Note 12 — Stockholders’ Equity </w:t>
      </w:r>
      <w:r>
        <w:rPr>
          <w:rFonts w:ascii="Arial" w:cs="Arial" w:eastAsia="Arial" w:hAnsi="Arial"/>
          <w:sz w:val="20"/>
          <w:szCs w:val="20"/>
          <w:b w:val="1"/>
          <w:bCs w:val="1"/>
          <w:i w:val="1"/>
          <w:iCs w:val="1"/>
          <w:color w:val="auto"/>
        </w:rPr>
        <w:t>At-the-Market Equity Offering Program, or the ATM Program</w:t>
      </w:r>
    </w:p>
    <w:p>
      <w:pPr>
        <w:spacing w:after="0" w:line="1" w:lineRule="exact"/>
        <w:rPr>
          <w:sz w:val="20"/>
          <w:szCs w:val="20"/>
          <w:color w:val="auto"/>
        </w:rPr>
      </w:pPr>
    </w:p>
    <w:p>
      <w:pPr>
        <w:jc w:val="both"/>
        <w:ind w:firstLine="448"/>
        <w:spacing w:after="0" w:line="257" w:lineRule="auto"/>
        <w:rPr>
          <w:sz w:val="20"/>
          <w:szCs w:val="20"/>
          <w:color w:val="auto"/>
        </w:rPr>
      </w:pPr>
      <w:r>
        <w:rPr>
          <w:rFonts w:ascii="Arial" w:cs="Arial" w:eastAsia="Arial" w:hAnsi="Arial"/>
          <w:sz w:val="20"/>
          <w:szCs w:val="20"/>
          <w:color w:val="auto"/>
        </w:rPr>
        <w:t>Under the Company’s ATM Program, the Company may offer and sell shares of its Class C common stock from time to time up to an aggregate sales price of $150 million through an at-the-market equity offering program, or the ATM Program. During the years ended December 31, 2023, 2022 and 2021, the Company did not sell any Class C common stock shares under the ATM Program. As of December 31, 2023, approximately $126 million of Class C common stock remains available for issuance under the ATM Program.</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Dividends to Class A and Class C common stockholders</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lists the dividends paid on the Company’s Class A and Class C common stock during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2023:</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8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b w:val="1"/>
                <w:bCs w:val="1"/>
                <w:color w:val="auto"/>
              </w:rPr>
              <w:t>Fourth Quarter</w:t>
            </w:r>
          </w:p>
        </w:tc>
        <w:tc>
          <w:tcPr>
            <w:tcW w:w="80" w:type="dxa"/>
            <w:vAlign w:val="bottom"/>
          </w:tcPr>
          <w:p>
            <w:pPr>
              <w:spacing w:after="0"/>
              <w:rPr>
                <w:sz w:val="16"/>
                <w:szCs w:val="16"/>
                <w:color w:val="auto"/>
              </w:rPr>
            </w:pPr>
          </w:p>
        </w:tc>
        <w:tc>
          <w:tcPr>
            <w:tcW w:w="1220" w:type="dxa"/>
            <w:vAlign w:val="bottom"/>
            <w:gridSpan w:val="2"/>
          </w:tcPr>
          <w:p>
            <w:pPr>
              <w:jc w:val="right"/>
              <w:ind w:right="7"/>
              <w:spacing w:after="0"/>
              <w:rPr>
                <w:sz w:val="20"/>
                <w:szCs w:val="20"/>
                <w:color w:val="auto"/>
              </w:rPr>
            </w:pPr>
            <w:r>
              <w:rPr>
                <w:rFonts w:ascii="Arial" w:cs="Arial" w:eastAsia="Arial" w:hAnsi="Arial"/>
                <w:sz w:val="16"/>
                <w:szCs w:val="16"/>
                <w:b w:val="1"/>
                <w:bCs w:val="1"/>
                <w:color w:val="auto"/>
              </w:rPr>
              <w:t>Third Quarter</w:t>
            </w:r>
          </w:p>
        </w:tc>
        <w:tc>
          <w:tcPr>
            <w:tcW w:w="80" w:type="dxa"/>
            <w:vAlign w:val="bottom"/>
          </w:tcPr>
          <w:p>
            <w:pPr>
              <w:spacing w:after="0"/>
              <w:rPr>
                <w:sz w:val="16"/>
                <w:szCs w:val="16"/>
                <w:color w:val="auto"/>
              </w:rPr>
            </w:pPr>
          </w:p>
        </w:tc>
        <w:tc>
          <w:tcPr>
            <w:tcW w:w="1220" w:type="dxa"/>
            <w:vAlign w:val="bottom"/>
            <w:gridSpan w:val="2"/>
          </w:tcPr>
          <w:p>
            <w:pPr>
              <w:ind w:left="80"/>
              <w:spacing w:after="0"/>
              <w:rPr>
                <w:sz w:val="20"/>
                <w:szCs w:val="20"/>
                <w:color w:val="auto"/>
              </w:rPr>
            </w:pPr>
            <w:r>
              <w:rPr>
                <w:rFonts w:ascii="Arial" w:cs="Arial" w:eastAsia="Arial" w:hAnsi="Arial"/>
                <w:sz w:val="16"/>
                <w:szCs w:val="16"/>
                <w:b w:val="1"/>
                <w:bCs w:val="1"/>
                <w:color w:val="auto"/>
                <w:w w:val="93"/>
              </w:rPr>
              <w:t>Second Quarter</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50"/>
              <w:spacing w:after="0"/>
              <w:rPr>
                <w:sz w:val="20"/>
                <w:szCs w:val="20"/>
                <w:color w:val="auto"/>
              </w:rPr>
            </w:pPr>
            <w:r>
              <w:rPr>
                <w:rFonts w:ascii="Arial" w:cs="Arial" w:eastAsia="Arial" w:hAnsi="Arial"/>
                <w:sz w:val="16"/>
                <w:szCs w:val="16"/>
                <w:b w:val="1"/>
                <w:bCs w:val="1"/>
                <w:color w:val="auto"/>
                <w:w w:val="92"/>
              </w:rPr>
              <w:t>First Quarter</w:t>
            </w:r>
          </w:p>
        </w:tc>
      </w:tr>
      <w:tr>
        <w:trPr>
          <w:trHeight w:val="213"/>
        </w:trPr>
        <w:tc>
          <w:tcPr>
            <w:tcW w:w="5080" w:type="dxa"/>
            <w:vAlign w:val="bottom"/>
            <w:tcBorders>
              <w:bottom w:val="single" w:sz="8" w:color="E6E6E6"/>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47"/>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E6E6E6"/>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47"/>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E6E6E6"/>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47"/>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E6E6E6"/>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6"/>
                <w:szCs w:val="16"/>
                <w:b w:val="1"/>
                <w:bCs w:val="1"/>
                <w:color w:val="auto"/>
              </w:rPr>
              <w:t>2023</w:t>
            </w:r>
          </w:p>
        </w:tc>
      </w:tr>
      <w:tr>
        <w:trPr>
          <w:trHeight w:val="288"/>
        </w:trPr>
        <w:tc>
          <w:tcPr>
            <w:tcW w:w="5080" w:type="dxa"/>
            <w:vAlign w:val="bottom"/>
            <w:shd w:val="clear" w:color="auto" w:fill="E6E6E6"/>
          </w:tcPr>
          <w:p>
            <w:pPr>
              <w:ind w:left="40"/>
              <w:spacing w:after="0"/>
              <w:rPr>
                <w:sz w:val="20"/>
                <w:szCs w:val="20"/>
                <w:color w:val="auto"/>
              </w:rPr>
            </w:pPr>
            <w:r>
              <w:rPr>
                <w:rFonts w:ascii="Arial" w:cs="Arial" w:eastAsia="Arial" w:hAnsi="Arial"/>
                <w:sz w:val="20"/>
                <w:szCs w:val="20"/>
                <w:b w:val="1"/>
                <w:bCs w:val="1"/>
                <w:color w:val="auto"/>
                <w:w w:val="89"/>
              </w:rPr>
              <w:t xml:space="preserve">Dividends per Class A share </w:t>
            </w:r>
            <w:r>
              <w:rPr>
                <w:rFonts w:ascii="Arial" w:cs="Arial" w:eastAsia="Arial" w:hAnsi="Arial"/>
                <w:sz w:val="20"/>
                <w:szCs w:val="20"/>
                <w:b w:val="1"/>
                <w:bCs w:val="1"/>
                <w:color w:val="BDBDBD"/>
                <w:w w:val="89"/>
              </w:rPr>
              <w:t>. . . . . . . . . . . . . . . . . . . . . . . . . .</w:t>
            </w:r>
          </w:p>
        </w:tc>
        <w:tc>
          <w:tcPr>
            <w:tcW w:w="300" w:type="dxa"/>
            <w:vAlign w:val="bottom"/>
            <w:shd w:val="clear" w:color="auto" w:fill="E6E6E6"/>
          </w:tcPr>
          <w:p>
            <w:pPr>
              <w:jc w:val="right"/>
              <w:ind w:right="50"/>
              <w:spacing w:after="0"/>
              <w:rPr>
                <w:sz w:val="20"/>
                <w:szCs w:val="20"/>
                <w:color w:val="auto"/>
              </w:rPr>
            </w:pPr>
            <w:r>
              <w:rPr>
                <w:rFonts w:ascii="Arial" w:cs="Arial" w:eastAsia="Arial" w:hAnsi="Arial"/>
                <w:sz w:val="20"/>
                <w:szCs w:val="20"/>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0.3964</w:t>
            </w:r>
          </w:p>
        </w:tc>
        <w:tc>
          <w:tcPr>
            <w:tcW w:w="380" w:type="dxa"/>
            <w:vAlign w:val="bottom"/>
            <w:gridSpan w:val="2"/>
            <w:shd w:val="clear" w:color="auto" w:fill="E6E6E6"/>
          </w:tcPr>
          <w:p>
            <w:pPr>
              <w:jc w:val="right"/>
              <w:ind w:right="60"/>
              <w:spacing w:after="0"/>
              <w:rPr>
                <w:sz w:val="20"/>
                <w:szCs w:val="20"/>
                <w:color w:val="auto"/>
              </w:rPr>
            </w:pPr>
            <w:r>
              <w:rPr>
                <w:rFonts w:ascii="Arial" w:cs="Arial" w:eastAsia="Arial" w:hAnsi="Arial"/>
                <w:sz w:val="20"/>
                <w:szCs w:val="20"/>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0.3891</w:t>
            </w:r>
          </w:p>
        </w:tc>
        <w:tc>
          <w:tcPr>
            <w:tcW w:w="380" w:type="dxa"/>
            <w:vAlign w:val="bottom"/>
            <w:gridSpan w:val="2"/>
            <w:shd w:val="clear" w:color="auto" w:fill="E6E6E6"/>
          </w:tcPr>
          <w:p>
            <w:pPr>
              <w:ind w:left="140"/>
              <w:spacing w:after="0"/>
              <w:rPr>
                <w:sz w:val="20"/>
                <w:szCs w:val="20"/>
                <w:color w:val="auto"/>
              </w:rPr>
            </w:pPr>
            <w:r>
              <w:rPr>
                <w:rFonts w:ascii="Arial" w:cs="Arial" w:eastAsia="Arial" w:hAnsi="Arial"/>
                <w:sz w:val="20"/>
                <w:szCs w:val="20"/>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0.3818</w:t>
            </w:r>
          </w:p>
        </w:tc>
        <w:tc>
          <w:tcPr>
            <w:tcW w:w="24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0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0.3745</w:t>
            </w:r>
          </w:p>
        </w:tc>
      </w:tr>
      <w:tr>
        <w:trPr>
          <w:trHeight w:val="286"/>
        </w:trPr>
        <w:tc>
          <w:tcPr>
            <w:tcW w:w="5080" w:type="dxa"/>
            <w:vAlign w:val="bottom"/>
          </w:tcPr>
          <w:p>
            <w:pPr>
              <w:ind w:left="40"/>
              <w:spacing w:after="0"/>
              <w:rPr>
                <w:sz w:val="20"/>
                <w:szCs w:val="20"/>
                <w:color w:val="auto"/>
              </w:rPr>
            </w:pPr>
            <w:r>
              <w:rPr>
                <w:rFonts w:ascii="Arial" w:cs="Arial" w:eastAsia="Arial" w:hAnsi="Arial"/>
                <w:sz w:val="20"/>
                <w:szCs w:val="20"/>
                <w:b w:val="1"/>
                <w:bCs w:val="1"/>
                <w:color w:val="auto"/>
                <w:w w:val="90"/>
              </w:rPr>
              <w:t xml:space="preserve">Dividends per Class C share  </w:t>
            </w:r>
            <w:r>
              <w:rPr>
                <w:rFonts w:ascii="Arial" w:cs="Arial" w:eastAsia="Arial" w:hAnsi="Arial"/>
                <w:sz w:val="20"/>
                <w:szCs w:val="20"/>
                <w:b w:val="1"/>
                <w:bCs w:val="1"/>
                <w:color w:val="BDBDBD"/>
                <w:w w:val="90"/>
              </w:rPr>
              <w:t>. . . . . . . . . . . . . . . . . . . . . . . . .</w:t>
            </w: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0.3964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0.3891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0.3818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0.3745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3216275</wp:posOffset>
            </wp:positionH>
            <wp:positionV relativeFrom="paragraph">
              <wp:posOffset>-382905</wp:posOffset>
            </wp:positionV>
            <wp:extent cx="327596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235">
                      <a:extLst>
                        <a:ext uri="{28A0092B-C50C-407E-A947-70E740481C1C}"/>
                      </a:extLst>
                    </a:blip>
                    <a:srcRect/>
                    <a:stretch>
                      <a:fillRect/>
                    </a:stretch>
                  </pic:blipFill>
                  <pic:spPr bwMode="auto">
                    <a:xfrm>
                      <a:off x="0" y="0"/>
                      <a:ext cx="3275965" cy="25400"/>
                    </a:xfrm>
                    <a:prstGeom prst="rect">
                      <a:avLst/>
                    </a:prstGeom>
                    <a:noFill/>
                  </pic:spPr>
                </pic:pic>
              </a:graphicData>
            </a:graphic>
          </wp:anchor>
        </w:drawing>
      </w:r>
    </w:p>
    <w:p>
      <w:pPr>
        <w:spacing w:after="0" w:line="209"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20"/>
          <w:szCs w:val="20"/>
          <w:color w:val="auto"/>
        </w:rPr>
        <w:t>Dividends on the Class A and Class C common stock are subject to available capital, market conditions, and compliance with associated laws, regulations and other contractual obligations. The Company expects that, based on current circumstances, comparable cash dividends will continue to be paid in the foreseeable future.</w:t>
      </w:r>
    </w:p>
    <w:p>
      <w:pPr>
        <w:spacing w:after="0" w:line="134" w:lineRule="exact"/>
        <w:rPr>
          <w:sz w:val="20"/>
          <w:szCs w:val="20"/>
          <w:color w:val="auto"/>
        </w:rPr>
      </w:pPr>
    </w:p>
    <w:p>
      <w:pPr>
        <w:jc w:val="both"/>
        <w:ind w:firstLine="448"/>
        <w:spacing w:after="0" w:line="280" w:lineRule="auto"/>
        <w:rPr>
          <w:sz w:val="20"/>
          <w:szCs w:val="20"/>
          <w:color w:val="auto"/>
        </w:rPr>
      </w:pPr>
      <w:r>
        <w:rPr>
          <w:rFonts w:ascii="Arial" w:cs="Arial" w:eastAsia="Arial" w:hAnsi="Arial"/>
          <w:sz w:val="20"/>
          <w:szCs w:val="20"/>
          <w:color w:val="auto"/>
        </w:rPr>
        <w:t>On February 14, 2024, the Company declared a quarterly dividend on its Class A and Class C common stock of $0.4033 per share payable on March 15, 2024 to stockholders of record as of March 1, 2024.</w:t>
      </w:r>
    </w:p>
    <w:p>
      <w:pPr>
        <w:spacing w:after="0" w:line="120" w:lineRule="exact"/>
        <w:rPr>
          <w:sz w:val="20"/>
          <w:szCs w:val="20"/>
          <w:color w:val="auto"/>
        </w:rPr>
      </w:pPr>
    </w:p>
    <w:p>
      <w:pPr>
        <w:jc w:val="both"/>
        <w:ind w:firstLine="448"/>
        <w:spacing w:after="0" w:line="280" w:lineRule="auto"/>
        <w:rPr>
          <w:sz w:val="20"/>
          <w:szCs w:val="20"/>
          <w:color w:val="auto"/>
        </w:rPr>
      </w:pPr>
      <w:r>
        <w:rPr>
          <w:rFonts w:ascii="Arial" w:cs="Arial" w:eastAsia="Arial" w:hAnsi="Arial"/>
          <w:sz w:val="20"/>
          <w:szCs w:val="20"/>
          <w:color w:val="auto"/>
        </w:rPr>
        <w:t>The Company has also authorized 10,000,000 shares of preferred stock, par value $0.01 per share. None of the shares of preferred stock have been issued.</w:t>
      </w:r>
    </w:p>
    <w:p>
      <w:pPr>
        <w:sectPr>
          <w:pgSz w:w="11880" w:h="15480" w:orient="portrait"/>
          <w:cols w:equalWidth="0" w:num="1">
            <w:col w:w="10200"/>
          </w:cols>
          <w:pgMar w:left="840" w:top="404"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115</w:t>
      </w:r>
    </w:p>
    <w:p>
      <w:pPr>
        <w:sectPr>
          <w:pgSz w:w="11880" w:h="15480" w:orient="portrait"/>
          <w:cols w:equalWidth="0" w:num="1">
            <w:col w:w="10200"/>
          </w:cols>
          <w:pgMar w:left="840" w:top="404" w:right="840" w:bottom="0" w:gutter="0" w:footer="0" w:header="0"/>
          <w:type w:val="continuous"/>
        </w:sectPr>
      </w:pPr>
    </w:p>
    <w:bookmarkStart w:id="117" w:name="page118"/>
    <w:bookmarkEnd w:id="117"/>
    <w:p>
      <w:pPr>
        <w:spacing w:after="0"/>
        <w:rPr>
          <w:sz w:val="20"/>
          <w:szCs w:val="20"/>
          <w:color w:val="auto"/>
        </w:rPr>
      </w:pPr>
      <w:r>
        <w:rPr>
          <w:rFonts w:ascii="Arial" w:cs="Arial" w:eastAsia="Arial" w:hAnsi="Arial"/>
          <w:sz w:val="20"/>
          <w:szCs w:val="20"/>
          <w:b w:val="1"/>
          <w:bCs w:val="1"/>
          <w:i w:val="1"/>
          <w:iCs w:val="1"/>
          <w:color w:val="auto"/>
        </w:rPr>
        <w:t>Distributions to CEG</w:t>
      </w:r>
    </w:p>
    <w:p>
      <w:pPr>
        <w:spacing w:after="0" w:line="196" w:lineRule="exact"/>
        <w:rPr>
          <w:sz w:val="20"/>
          <w:szCs w:val="20"/>
          <w:color w:val="auto"/>
        </w:rPr>
      </w:pPr>
    </w:p>
    <w:p>
      <w:pPr>
        <w:jc w:val="both"/>
        <w:ind w:firstLine="448"/>
        <w:spacing w:after="0" w:line="280" w:lineRule="auto"/>
        <w:rPr>
          <w:sz w:val="20"/>
          <w:szCs w:val="20"/>
          <w:color w:val="auto"/>
        </w:rPr>
      </w:pPr>
      <w:r>
        <w:rPr>
          <w:rFonts w:ascii="Arial" w:cs="Arial" w:eastAsia="Arial" w:hAnsi="Arial"/>
          <w:sz w:val="20"/>
          <w:szCs w:val="20"/>
          <w:color w:val="auto"/>
        </w:rPr>
        <w:t>The following table lists the distributions paid to CEG during the year ended December 31, 2023 on Clearway Energy LLC’s Class B and D units: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00" w:type="dxa"/>
            <w:vAlign w:val="bottom"/>
          </w:tcPr>
          <w:p>
            <w:pPr>
              <w:spacing w:after="0"/>
              <w:rPr>
                <w:sz w:val="16"/>
                <w:szCs w:val="16"/>
                <w:color w:val="auto"/>
              </w:rPr>
            </w:pPr>
          </w:p>
        </w:tc>
        <w:tc>
          <w:tcPr>
            <w:tcW w:w="1280" w:type="dxa"/>
            <w:vAlign w:val="bottom"/>
            <w:gridSpan w:val="2"/>
          </w:tcPr>
          <w:p>
            <w:pPr>
              <w:jc w:val="right"/>
              <w:ind w:right="7"/>
              <w:spacing w:after="0"/>
              <w:rPr>
                <w:sz w:val="20"/>
                <w:szCs w:val="20"/>
                <w:color w:val="auto"/>
              </w:rPr>
            </w:pPr>
            <w:r>
              <w:rPr>
                <w:rFonts w:ascii="Arial" w:cs="Arial" w:eastAsia="Arial" w:hAnsi="Arial"/>
                <w:sz w:val="16"/>
                <w:szCs w:val="16"/>
                <w:b w:val="1"/>
                <w:bCs w:val="1"/>
                <w:color w:val="auto"/>
              </w:rPr>
              <w:t>Fourth Quarter</w:t>
            </w:r>
          </w:p>
        </w:tc>
        <w:tc>
          <w:tcPr>
            <w:tcW w:w="60" w:type="dxa"/>
            <w:vAlign w:val="bottom"/>
          </w:tcPr>
          <w:p>
            <w:pPr>
              <w:spacing w:after="0"/>
              <w:rPr>
                <w:sz w:val="16"/>
                <w:szCs w:val="16"/>
                <w:color w:val="auto"/>
              </w:rPr>
            </w:pPr>
          </w:p>
        </w:tc>
        <w:tc>
          <w:tcPr>
            <w:tcW w:w="1280" w:type="dxa"/>
            <w:vAlign w:val="bottom"/>
            <w:gridSpan w:val="2"/>
          </w:tcPr>
          <w:p>
            <w:pPr>
              <w:jc w:val="right"/>
              <w:ind w:right="47"/>
              <w:spacing w:after="0"/>
              <w:rPr>
                <w:sz w:val="20"/>
                <w:szCs w:val="20"/>
                <w:color w:val="auto"/>
              </w:rPr>
            </w:pPr>
            <w:r>
              <w:rPr>
                <w:rFonts w:ascii="Arial" w:cs="Arial" w:eastAsia="Arial" w:hAnsi="Arial"/>
                <w:sz w:val="16"/>
                <w:szCs w:val="16"/>
                <w:b w:val="1"/>
                <w:bCs w:val="1"/>
                <w:color w:val="auto"/>
              </w:rPr>
              <w:t>Third Quarter</w:t>
            </w:r>
          </w:p>
        </w:tc>
        <w:tc>
          <w:tcPr>
            <w:tcW w:w="80" w:type="dxa"/>
            <w:vAlign w:val="bottom"/>
          </w:tcPr>
          <w:p>
            <w:pPr>
              <w:spacing w:after="0"/>
              <w:rPr>
                <w:sz w:val="16"/>
                <w:szCs w:val="16"/>
                <w:color w:val="auto"/>
              </w:rPr>
            </w:pPr>
          </w:p>
        </w:tc>
        <w:tc>
          <w:tcPr>
            <w:tcW w:w="1260" w:type="dxa"/>
            <w:vAlign w:val="bottom"/>
            <w:gridSpan w:val="2"/>
          </w:tcPr>
          <w:p>
            <w:pPr>
              <w:jc w:val="right"/>
              <w:ind w:right="7"/>
              <w:spacing w:after="0"/>
              <w:rPr>
                <w:sz w:val="20"/>
                <w:szCs w:val="20"/>
                <w:color w:val="auto"/>
              </w:rPr>
            </w:pPr>
            <w:r>
              <w:rPr>
                <w:rFonts w:ascii="Arial" w:cs="Arial" w:eastAsia="Arial" w:hAnsi="Arial"/>
                <w:sz w:val="16"/>
                <w:szCs w:val="16"/>
                <w:b w:val="1"/>
                <w:bCs w:val="1"/>
                <w:color w:val="auto"/>
                <w:w w:val="94"/>
              </w:rPr>
              <w:t>Second Quarter</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70"/>
              <w:spacing w:after="0"/>
              <w:rPr>
                <w:sz w:val="20"/>
                <w:szCs w:val="20"/>
                <w:color w:val="auto"/>
              </w:rPr>
            </w:pPr>
            <w:r>
              <w:rPr>
                <w:rFonts w:ascii="Arial" w:cs="Arial" w:eastAsia="Arial" w:hAnsi="Arial"/>
                <w:sz w:val="16"/>
                <w:szCs w:val="16"/>
                <w:b w:val="1"/>
                <w:bCs w:val="1"/>
                <w:color w:val="auto"/>
                <w:w w:val="94"/>
              </w:rPr>
              <w:t>First Quarter</w:t>
            </w:r>
          </w:p>
        </w:tc>
      </w:tr>
      <w:tr>
        <w:trPr>
          <w:trHeight w:val="213"/>
        </w:trPr>
        <w:tc>
          <w:tcPr>
            <w:tcW w:w="4900" w:type="dxa"/>
            <w:vAlign w:val="bottom"/>
            <w:tcBorders>
              <w:bottom w:val="single" w:sz="8" w:color="E6E6E6"/>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7"/>
              <w:spacing w:after="0"/>
              <w:rPr>
                <w:sz w:val="20"/>
                <w:szCs w:val="20"/>
                <w:color w:val="auto"/>
              </w:rPr>
            </w:pPr>
            <w:r>
              <w:rPr>
                <w:rFonts w:ascii="Arial" w:cs="Arial" w:eastAsia="Arial" w:hAnsi="Arial"/>
                <w:sz w:val="16"/>
                <w:szCs w:val="16"/>
                <w:b w:val="1"/>
                <w:bCs w:val="1"/>
                <w:color w:val="auto"/>
              </w:rPr>
              <w:t>2023</w:t>
            </w:r>
          </w:p>
        </w:tc>
        <w:tc>
          <w:tcPr>
            <w:tcW w:w="60" w:type="dxa"/>
            <w:vAlign w:val="bottom"/>
            <w:tcBorders>
              <w:bottom w:val="single" w:sz="8" w:color="E6E6E6"/>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7"/>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E6E6E6"/>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7"/>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E6E6E6"/>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6"/>
                <w:szCs w:val="16"/>
                <w:b w:val="1"/>
                <w:bCs w:val="1"/>
                <w:color w:val="auto"/>
              </w:rPr>
              <w:t>2023</w:t>
            </w:r>
          </w:p>
        </w:tc>
      </w:tr>
      <w:tr>
        <w:trPr>
          <w:trHeight w:val="289"/>
        </w:trPr>
        <w:tc>
          <w:tcPr>
            <w:tcW w:w="4900" w:type="dxa"/>
            <w:vAlign w:val="bottom"/>
            <w:shd w:val="clear" w:color="auto" w:fill="E6E6E6"/>
          </w:tcPr>
          <w:p>
            <w:pPr>
              <w:ind w:left="40"/>
              <w:spacing w:after="0"/>
              <w:rPr>
                <w:sz w:val="20"/>
                <w:szCs w:val="20"/>
                <w:color w:val="auto"/>
              </w:rPr>
            </w:pPr>
            <w:r>
              <w:rPr>
                <w:rFonts w:ascii="Arial" w:cs="Arial" w:eastAsia="Arial" w:hAnsi="Arial"/>
                <w:sz w:val="20"/>
                <w:szCs w:val="20"/>
                <w:b w:val="1"/>
                <w:bCs w:val="1"/>
                <w:color w:val="auto"/>
                <w:w w:val="91"/>
              </w:rPr>
              <w:t xml:space="preserve">Distributions per Class B unit  </w:t>
            </w:r>
            <w:r>
              <w:rPr>
                <w:rFonts w:ascii="Arial" w:cs="Arial" w:eastAsia="Arial" w:hAnsi="Arial"/>
                <w:sz w:val="20"/>
                <w:szCs w:val="20"/>
                <w:b w:val="1"/>
                <w:bCs w:val="1"/>
                <w:color w:val="BDBDBD"/>
                <w:w w:val="91"/>
              </w:rPr>
              <w:t>. . . . . . . . . . . . . . . . . . . . . .</w:t>
            </w:r>
          </w:p>
        </w:tc>
        <w:tc>
          <w:tcPr>
            <w:tcW w:w="320" w:type="dxa"/>
            <w:vAlign w:val="bottom"/>
            <w:shd w:val="clear" w:color="auto" w:fill="E6E6E6"/>
          </w:tcPr>
          <w:p>
            <w:pPr>
              <w:jc w:val="right"/>
              <w:ind w:right="70"/>
              <w:spacing w:after="0"/>
              <w:rPr>
                <w:sz w:val="20"/>
                <w:szCs w:val="20"/>
                <w:color w:val="auto"/>
              </w:rPr>
            </w:pPr>
            <w:r>
              <w:rPr>
                <w:rFonts w:ascii="Arial" w:cs="Arial" w:eastAsia="Arial" w:hAnsi="Arial"/>
                <w:sz w:val="20"/>
                <w:szCs w:val="20"/>
                <w:color w:val="auto"/>
              </w:rPr>
              <w:t>$</w:t>
            </w:r>
          </w:p>
        </w:tc>
        <w:tc>
          <w:tcPr>
            <w:tcW w:w="9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0.3964</w:t>
            </w:r>
          </w:p>
        </w:tc>
        <w:tc>
          <w:tcPr>
            <w:tcW w:w="380" w:type="dxa"/>
            <w:vAlign w:val="bottom"/>
            <w:gridSpan w:val="2"/>
            <w:shd w:val="clear" w:color="auto" w:fill="E6E6E6"/>
          </w:tcPr>
          <w:p>
            <w:pPr>
              <w:jc w:val="right"/>
              <w:ind w:right="80"/>
              <w:spacing w:after="0"/>
              <w:rPr>
                <w:sz w:val="20"/>
                <w:szCs w:val="20"/>
                <w:color w:val="auto"/>
              </w:rPr>
            </w:pPr>
            <w:r>
              <w:rPr>
                <w:rFonts w:ascii="Arial" w:cs="Arial" w:eastAsia="Arial" w:hAnsi="Arial"/>
                <w:sz w:val="20"/>
                <w:szCs w:val="20"/>
                <w:color w:val="auto"/>
              </w:rPr>
              <w:t>$</w:t>
            </w:r>
          </w:p>
        </w:tc>
        <w:tc>
          <w:tcPr>
            <w:tcW w:w="9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0.3891</w:t>
            </w:r>
          </w:p>
        </w:tc>
        <w:tc>
          <w:tcPr>
            <w:tcW w:w="380" w:type="dxa"/>
            <w:vAlign w:val="bottom"/>
            <w:gridSpan w:val="2"/>
            <w:shd w:val="clear" w:color="auto" w:fill="E6E6E6"/>
          </w:tcPr>
          <w:p>
            <w:pPr>
              <w:jc w:val="right"/>
              <w:ind w:right="80"/>
              <w:spacing w:after="0"/>
              <w:rPr>
                <w:sz w:val="20"/>
                <w:szCs w:val="20"/>
                <w:color w:val="auto"/>
              </w:rPr>
            </w:pPr>
            <w:r>
              <w:rPr>
                <w:rFonts w:ascii="Arial" w:cs="Arial" w:eastAsia="Arial" w:hAnsi="Arial"/>
                <w:sz w:val="20"/>
                <w:szCs w:val="20"/>
                <w:color w:val="auto"/>
              </w:rPr>
              <w:t>$</w:t>
            </w:r>
          </w:p>
        </w:tc>
        <w:tc>
          <w:tcPr>
            <w:tcW w:w="9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0.3818</w:t>
            </w:r>
          </w:p>
        </w:tc>
        <w:tc>
          <w:tcPr>
            <w:tcW w:w="240" w:type="dxa"/>
            <w:vAlign w:val="bottom"/>
            <w:gridSpan w:val="2"/>
            <w:shd w:val="clear" w:color="auto" w:fill="E6E6E6"/>
          </w:tcPr>
          <w:p>
            <w:pPr>
              <w:jc w:val="right"/>
              <w:ind w:right="20"/>
              <w:spacing w:after="0"/>
              <w:rPr>
                <w:sz w:val="20"/>
                <w:szCs w:val="20"/>
                <w:color w:val="auto"/>
              </w:rPr>
            </w:pPr>
            <w:r>
              <w:rPr>
                <w:rFonts w:ascii="Arial" w:cs="Arial" w:eastAsia="Arial" w:hAnsi="Arial"/>
                <w:sz w:val="20"/>
                <w:szCs w:val="20"/>
                <w:color w:val="auto"/>
              </w:rPr>
              <w:t>$</w:t>
            </w:r>
          </w:p>
        </w:tc>
        <w:tc>
          <w:tcPr>
            <w:tcW w:w="11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0.3745</w:t>
            </w:r>
          </w:p>
        </w:tc>
      </w:tr>
      <w:tr>
        <w:trPr>
          <w:trHeight w:val="286"/>
        </w:trPr>
        <w:tc>
          <w:tcPr>
            <w:tcW w:w="4900" w:type="dxa"/>
            <w:vAlign w:val="bottom"/>
          </w:tcPr>
          <w:p>
            <w:pPr>
              <w:ind w:left="40"/>
              <w:spacing w:after="0"/>
              <w:rPr>
                <w:sz w:val="20"/>
                <w:szCs w:val="20"/>
                <w:color w:val="auto"/>
              </w:rPr>
            </w:pPr>
            <w:r>
              <w:rPr>
                <w:rFonts w:ascii="Arial" w:cs="Arial" w:eastAsia="Arial" w:hAnsi="Arial"/>
                <w:sz w:val="20"/>
                <w:szCs w:val="20"/>
                <w:b w:val="1"/>
                <w:bCs w:val="1"/>
                <w:color w:val="auto"/>
                <w:w w:val="92"/>
              </w:rPr>
              <w:t xml:space="preserve">Distributions per Class D unit </w:t>
            </w:r>
            <w:r>
              <w:rPr>
                <w:rFonts w:ascii="Arial" w:cs="Arial" w:eastAsia="Arial" w:hAnsi="Arial"/>
                <w:sz w:val="20"/>
                <w:szCs w:val="20"/>
                <w:b w:val="1"/>
                <w:bCs w:val="1"/>
                <w:color w:val="BDBDBD"/>
                <w:w w:val="92"/>
              </w:rPr>
              <w:t>. . . . . . . . . . . . . . . . . . . . . .</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0.3964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0.3891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0.3818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0.3745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3102610</wp:posOffset>
            </wp:positionH>
            <wp:positionV relativeFrom="paragraph">
              <wp:posOffset>-382905</wp:posOffset>
            </wp:positionV>
            <wp:extent cx="3389630"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236">
                      <a:extLst>
                        <a:ext uri="{28A0092B-C50C-407E-A947-70E740481C1C}"/>
                      </a:extLst>
                    </a:blip>
                    <a:srcRect/>
                    <a:stretch>
                      <a:fillRect/>
                    </a:stretch>
                  </pic:blipFill>
                  <pic:spPr bwMode="auto">
                    <a:xfrm>
                      <a:off x="0" y="0"/>
                      <a:ext cx="3389630" cy="25400"/>
                    </a:xfrm>
                    <a:prstGeom prst="rect">
                      <a:avLst/>
                    </a:prstGeom>
                    <a:noFill/>
                  </pic:spPr>
                </pic:pic>
              </a:graphicData>
            </a:graphic>
          </wp:anchor>
        </w:drawing>
      </w:r>
    </w:p>
    <w:p>
      <w:pPr>
        <w:spacing w:after="0" w:line="209" w:lineRule="exact"/>
        <w:rPr>
          <w:sz w:val="20"/>
          <w:szCs w:val="20"/>
          <w:color w:val="auto"/>
        </w:rPr>
      </w:pPr>
    </w:p>
    <w:p>
      <w:pPr>
        <w:jc w:val="both"/>
        <w:ind w:firstLine="448"/>
        <w:spacing w:after="0" w:line="259" w:lineRule="auto"/>
        <w:rPr>
          <w:sz w:val="20"/>
          <w:szCs w:val="20"/>
          <w:color w:val="auto"/>
        </w:rPr>
      </w:pPr>
      <w:r>
        <w:rPr>
          <w:rFonts w:ascii="Arial" w:cs="Arial" w:eastAsia="Arial" w:hAnsi="Arial"/>
          <w:sz w:val="20"/>
          <w:szCs w:val="20"/>
          <w:color w:val="auto"/>
        </w:rPr>
        <w:t>In addition to the quarterly distributions paid to CEG, Clearway Energy LLC distributed an additional $21 million to CEG during the year ended December 31, 2023, which represents CEG’s pro-rata share of distributions that were paid in order for the Company to make certain additional tax payments primarily associated with the sale of the Thermal Business. The Company’s share of the distribution was $30 million.</w:t>
      </w:r>
    </w:p>
    <w:p>
      <w:pPr>
        <w:spacing w:after="0" w:line="142"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20"/>
          <w:szCs w:val="20"/>
          <w:color w:val="auto"/>
        </w:rPr>
        <w:t>The portion of the distributions paid by Clearway Energy LLC to CEG is recorded as a reduction to the Company’s noncontrolling interest balance. The portion of the distributions paid by Clearway Energy LLC to the Company was utilized to fund the dividends to the Class A and Class C common stockholders described above.</w:t>
      </w:r>
    </w:p>
    <w:p>
      <w:pPr>
        <w:spacing w:after="0" w:line="134" w:lineRule="exact"/>
        <w:rPr>
          <w:sz w:val="20"/>
          <w:szCs w:val="20"/>
          <w:color w:val="auto"/>
        </w:rPr>
      </w:pPr>
    </w:p>
    <w:p>
      <w:pPr>
        <w:jc w:val="both"/>
        <w:ind w:firstLine="448"/>
        <w:spacing w:after="0" w:line="280" w:lineRule="auto"/>
        <w:rPr>
          <w:sz w:val="20"/>
          <w:szCs w:val="20"/>
          <w:color w:val="auto"/>
        </w:rPr>
      </w:pPr>
      <w:r>
        <w:rPr>
          <w:rFonts w:ascii="Arial" w:cs="Arial" w:eastAsia="Arial" w:hAnsi="Arial"/>
          <w:sz w:val="20"/>
          <w:szCs w:val="20"/>
          <w:color w:val="auto"/>
        </w:rPr>
        <w:t>On February 14, 2024, Clearway Energy LLC declared a quarterly distribution on its Class B and Class D units of $0.4033 per unit payable to CEG on March 15, 2024.</w:t>
      </w:r>
    </w:p>
    <w:p>
      <w:pPr>
        <w:sectPr>
          <w:pgSz w:w="11880" w:h="15480" w:orient="portrait"/>
          <w:cols w:equalWidth="0" w:num="1">
            <w:col w:w="10200"/>
          </w:cols>
          <w:pgMar w:left="840" w:top="403"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116</w:t>
      </w:r>
    </w:p>
    <w:p>
      <w:pPr>
        <w:sectPr>
          <w:pgSz w:w="11880" w:h="15480" w:orient="portrait"/>
          <w:cols w:equalWidth="0" w:num="1">
            <w:col w:w="10200"/>
          </w:cols>
          <w:pgMar w:left="840" w:top="403" w:right="840" w:bottom="0" w:gutter="0" w:footer="0" w:header="0"/>
          <w:type w:val="continuous"/>
        </w:sectPr>
      </w:pPr>
    </w:p>
    <w:bookmarkStart w:id="118" w:name="page119"/>
    <w:bookmarkEnd w:id="118"/>
    <w:p>
      <w:pPr>
        <w:spacing w:after="0"/>
        <w:rPr>
          <w:sz w:val="20"/>
          <w:szCs w:val="20"/>
          <w:color w:val="auto"/>
        </w:rPr>
      </w:pPr>
      <w:r>
        <w:rPr>
          <w:rFonts w:ascii="Arial" w:cs="Arial" w:eastAsia="Arial" w:hAnsi="Arial"/>
          <w:sz w:val="20"/>
          <w:szCs w:val="20"/>
          <w:b w:val="1"/>
          <w:bCs w:val="1"/>
          <w:color w:val="auto"/>
        </w:rPr>
        <w:t>Note 13 — Segment Reporting</w:t>
      </w:r>
    </w:p>
    <w:p>
      <w:pPr>
        <w:spacing w:after="0" w:line="195" w:lineRule="exact"/>
        <w:rPr>
          <w:sz w:val="20"/>
          <w:szCs w:val="20"/>
          <w:color w:val="auto"/>
        </w:rPr>
      </w:pPr>
    </w:p>
    <w:p>
      <w:pPr>
        <w:jc w:val="both"/>
        <w:ind w:firstLine="448"/>
        <w:spacing w:after="0" w:line="255" w:lineRule="auto"/>
        <w:rPr>
          <w:sz w:val="20"/>
          <w:szCs w:val="20"/>
          <w:color w:val="auto"/>
        </w:rPr>
      </w:pPr>
      <w:r>
        <w:rPr>
          <w:rFonts w:ascii="Arial" w:cs="Arial" w:eastAsia="Arial" w:hAnsi="Arial"/>
          <w:sz w:val="20"/>
          <w:szCs w:val="20"/>
          <w:color w:val="auto"/>
        </w:rPr>
        <w:t>The Company’s segment structure reflects how management currently operates and allocates resources. The Company’s businesses are segregated based on conventional power generation and renewable businesses, which consist of solar, wind and energy storage. The Corporate segment reflects the Company’s corporate costs and includes eliminating entries. The Company’s chief operating decision maker, its Chief Executive Officer, evaluates the performance of its segments based on operational measures including adjusted earnings before interest, taxes, depreciation and amortization, or Adjusted EBITDA and CAFD, as well as net income (loss).</w:t>
      </w:r>
    </w:p>
    <w:p>
      <w:pPr>
        <w:spacing w:after="0" w:line="146"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20"/>
          <w:szCs w:val="20"/>
          <w:color w:val="auto"/>
        </w:rPr>
        <w:t>Approximately 50% of the Company’s operating revenues and assets relate to operations located in California. Also, the Company generated more than 10% of its revenues from the following customers for the years ended December 31, 2023, 2022 and 2021:</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2023</w:t>
            </w:r>
          </w:p>
        </w:tc>
        <w:tc>
          <w:tcPr>
            <w:tcW w:w="8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5"/>
          </w:tcPr>
          <w:p>
            <w:pPr>
              <w:jc w:val="right"/>
              <w:ind w:right="794"/>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6"/>
                <w:szCs w:val="16"/>
                <w:b w:val="1"/>
                <w:bCs w:val="1"/>
                <w:color w:val="auto"/>
              </w:rPr>
              <w:t>2021</w:t>
            </w:r>
          </w:p>
        </w:tc>
        <w:tc>
          <w:tcPr>
            <w:tcW w:w="9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3040" w:type="dxa"/>
            <w:vAlign w:val="bottom"/>
            <w:gridSpan w:val="2"/>
          </w:tcPr>
          <w:p>
            <w:pPr>
              <w:ind w:left="60"/>
              <w:spacing w:after="0"/>
              <w:rPr>
                <w:sz w:val="20"/>
                <w:szCs w:val="20"/>
                <w:color w:val="auto"/>
              </w:rPr>
            </w:pPr>
            <w:r>
              <w:rPr>
                <w:rFonts w:ascii="Arial" w:cs="Arial" w:eastAsia="Arial" w:hAnsi="Arial"/>
                <w:sz w:val="18"/>
                <w:szCs w:val="18"/>
                <w:b w:val="1"/>
                <w:bCs w:val="1"/>
                <w:color w:val="auto"/>
              </w:rPr>
              <w:t>Customer</w:t>
            </w:r>
          </w:p>
        </w:tc>
        <w:tc>
          <w:tcPr>
            <w:tcW w:w="1240" w:type="dxa"/>
            <w:vAlign w:val="bottom"/>
            <w:gridSpan w:val="3"/>
          </w:tcPr>
          <w:p>
            <w:pPr>
              <w:jc w:val="right"/>
              <w:ind w:right="320"/>
              <w:spacing w:after="0"/>
              <w:rPr>
                <w:sz w:val="20"/>
                <w:szCs w:val="20"/>
                <w:color w:val="auto"/>
              </w:rPr>
            </w:pPr>
            <w:r>
              <w:rPr>
                <w:rFonts w:ascii="Arial" w:cs="Arial" w:eastAsia="Arial" w:hAnsi="Arial"/>
                <w:sz w:val="16"/>
                <w:szCs w:val="16"/>
                <w:b w:val="1"/>
                <w:bCs w:val="1"/>
                <w:color w:val="auto"/>
                <w:w w:val="88"/>
              </w:rPr>
              <w:t>Conventional</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w w:val="88"/>
              </w:rPr>
              <w:t>Renewables</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gridSpan w:val="4"/>
          </w:tcPr>
          <w:p>
            <w:pPr>
              <w:jc w:val="right"/>
              <w:ind w:right="160"/>
              <w:spacing w:after="0"/>
              <w:rPr>
                <w:sz w:val="20"/>
                <w:szCs w:val="20"/>
                <w:color w:val="auto"/>
              </w:rPr>
            </w:pPr>
            <w:r>
              <w:rPr>
                <w:rFonts w:ascii="Arial" w:cs="Arial" w:eastAsia="Arial" w:hAnsi="Arial"/>
                <w:sz w:val="16"/>
                <w:szCs w:val="16"/>
                <w:b w:val="1"/>
                <w:bCs w:val="1"/>
                <w:color w:val="auto"/>
              </w:rPr>
              <w:t>Conventional</w:t>
            </w:r>
          </w:p>
        </w:tc>
        <w:tc>
          <w:tcPr>
            <w:tcW w:w="20" w:type="dxa"/>
            <w:vAlign w:val="bottom"/>
          </w:tcPr>
          <w:p>
            <w:pPr>
              <w:spacing w:after="0"/>
              <w:rPr>
                <w:sz w:val="22"/>
                <w:szCs w:val="22"/>
                <w:color w:val="auto"/>
              </w:rPr>
            </w:pPr>
          </w:p>
        </w:tc>
        <w:tc>
          <w:tcPr>
            <w:tcW w:w="1120" w:type="dxa"/>
            <w:vAlign w:val="bottom"/>
            <w:gridSpan w:val="3"/>
          </w:tcPr>
          <w:p>
            <w:pPr>
              <w:ind w:left="160"/>
              <w:spacing w:after="0"/>
              <w:rPr>
                <w:sz w:val="20"/>
                <w:szCs w:val="20"/>
                <w:color w:val="auto"/>
              </w:rPr>
            </w:pPr>
            <w:r>
              <w:rPr>
                <w:rFonts w:ascii="Arial" w:cs="Arial" w:eastAsia="Arial" w:hAnsi="Arial"/>
                <w:sz w:val="16"/>
                <w:szCs w:val="16"/>
                <w:b w:val="1"/>
                <w:bCs w:val="1"/>
                <w:color w:val="auto"/>
              </w:rPr>
              <w:t>Renewables</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b w:val="1"/>
                <w:bCs w:val="1"/>
                <w:color w:val="auto"/>
                <w:w w:val="96"/>
              </w:rPr>
              <w:t>Conventional</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Renewables</w:t>
            </w:r>
          </w:p>
        </w:tc>
        <w:tc>
          <w:tcPr>
            <w:tcW w:w="0" w:type="dxa"/>
            <w:vAlign w:val="bottom"/>
          </w:tcPr>
          <w:p>
            <w:pPr>
              <w:spacing w:after="0"/>
              <w:rPr>
                <w:sz w:val="1"/>
                <w:szCs w:val="1"/>
                <w:color w:val="auto"/>
              </w:rPr>
            </w:pPr>
          </w:p>
        </w:tc>
      </w:tr>
      <w:tr>
        <w:trPr>
          <w:trHeight w:val="244"/>
        </w:trPr>
        <w:tc>
          <w:tcPr>
            <w:tcW w:w="80" w:type="dxa"/>
            <w:vAlign w:val="bottom"/>
          </w:tcPr>
          <w:p>
            <w:pPr>
              <w:spacing w:after="0"/>
              <w:rPr>
                <w:sz w:val="21"/>
                <w:szCs w:val="21"/>
                <w:color w:val="auto"/>
              </w:rPr>
            </w:pPr>
          </w:p>
        </w:tc>
        <w:tc>
          <w:tcPr>
            <w:tcW w:w="2900" w:type="dxa"/>
            <w:vAlign w:val="bottom"/>
            <w:tcBorders>
              <w:top w:val="single" w:sz="8" w:color="E6E6E6"/>
            </w:tcBorders>
            <w:shd w:val="clear" w:color="auto" w:fill="E6E6E6"/>
          </w:tcPr>
          <w:p>
            <w:pPr>
              <w:jc w:val="right"/>
              <w:spacing w:after="0"/>
              <w:rPr>
                <w:sz w:val="20"/>
                <w:szCs w:val="20"/>
                <w:color w:val="auto"/>
              </w:rPr>
            </w:pPr>
            <w:r>
              <w:rPr>
                <w:rFonts w:ascii="Arial" w:cs="Arial" w:eastAsia="Arial" w:hAnsi="Arial"/>
                <w:sz w:val="18"/>
                <w:szCs w:val="18"/>
                <w:color w:val="BDBDBD"/>
                <w:w w:val="93"/>
              </w:rPr>
              <w:t>. . . . . . . . . . . . . . . . . . . . . . . . . . .</w:t>
            </w:r>
            <w:r>
              <w:rPr>
                <w:rFonts w:ascii="Arial" w:cs="Arial" w:eastAsia="Arial" w:hAnsi="Arial"/>
                <w:sz w:val="18"/>
                <w:szCs w:val="18"/>
                <w:color w:val="000000"/>
                <w:w w:val="93"/>
              </w:rPr>
              <w:t>SCE</w:t>
            </w:r>
          </w:p>
        </w:tc>
        <w:tc>
          <w:tcPr>
            <w:tcW w:w="140" w:type="dxa"/>
            <w:vAlign w:val="bottom"/>
            <w:tcBorders>
              <w:top w:val="single" w:sz="8" w:color="auto"/>
            </w:tcBorders>
            <w:shd w:val="clear" w:color="auto" w:fill="E6E6E6"/>
          </w:tcPr>
          <w:p>
            <w:pPr>
              <w:spacing w:after="0"/>
              <w:rPr>
                <w:sz w:val="21"/>
                <w:szCs w:val="21"/>
                <w:color w:val="auto"/>
              </w:rPr>
            </w:pPr>
          </w:p>
        </w:tc>
        <w:tc>
          <w:tcPr>
            <w:tcW w:w="1040" w:type="dxa"/>
            <w:vAlign w:val="bottom"/>
            <w:tcBorders>
              <w:top w:val="single" w:sz="8" w:color="auto"/>
            </w:tcBorders>
            <w:shd w:val="clear" w:color="auto" w:fill="E6E6E6"/>
          </w:tcPr>
          <w:p>
            <w:pPr>
              <w:jc w:val="right"/>
              <w:ind w:right="314"/>
              <w:spacing w:after="0"/>
              <w:rPr>
                <w:sz w:val="20"/>
                <w:szCs w:val="20"/>
                <w:color w:val="auto"/>
              </w:rPr>
            </w:pPr>
            <w:r>
              <w:rPr>
                <w:rFonts w:ascii="Arial" w:cs="Arial" w:eastAsia="Arial" w:hAnsi="Arial"/>
                <w:sz w:val="18"/>
                <w:szCs w:val="18"/>
                <w:color w:val="auto"/>
              </w:rPr>
              <w:t>11%</w:t>
            </w:r>
          </w:p>
        </w:tc>
        <w:tc>
          <w:tcPr>
            <w:tcW w:w="80" w:type="dxa"/>
            <w:vAlign w:val="bottom"/>
            <w:tcBorders>
              <w:top w:val="single" w:sz="8" w:color="E6E6E6"/>
            </w:tcBorders>
            <w:shd w:val="clear" w:color="auto" w:fill="E6E6E6"/>
          </w:tcPr>
          <w:p>
            <w:pPr>
              <w:spacing w:after="0"/>
              <w:rPr>
                <w:sz w:val="21"/>
                <w:szCs w:val="21"/>
                <w:color w:val="auto"/>
              </w:rPr>
            </w:pPr>
          </w:p>
        </w:tc>
        <w:tc>
          <w:tcPr>
            <w:tcW w:w="120" w:type="dxa"/>
            <w:vAlign w:val="bottom"/>
            <w:tcBorders>
              <w:top w:val="single" w:sz="8" w:color="auto"/>
            </w:tcBorders>
            <w:shd w:val="clear" w:color="auto" w:fill="E6E6E6"/>
          </w:tcPr>
          <w:p>
            <w:pPr>
              <w:spacing w:after="0"/>
              <w:rPr>
                <w:sz w:val="21"/>
                <w:szCs w:val="21"/>
                <w:color w:val="auto"/>
              </w:rPr>
            </w:pPr>
          </w:p>
        </w:tc>
        <w:tc>
          <w:tcPr>
            <w:tcW w:w="840" w:type="dxa"/>
            <w:vAlign w:val="bottom"/>
            <w:tcBorders>
              <w:top w:val="single" w:sz="8" w:color="auto"/>
            </w:tcBorders>
            <w:shd w:val="clear" w:color="auto" w:fill="E6E6E6"/>
          </w:tcPr>
          <w:p>
            <w:pPr>
              <w:jc w:val="right"/>
              <w:ind w:right="131"/>
              <w:spacing w:after="0"/>
              <w:rPr>
                <w:sz w:val="20"/>
                <w:szCs w:val="20"/>
                <w:color w:val="auto"/>
              </w:rPr>
            </w:pPr>
            <w:r>
              <w:rPr>
                <w:rFonts w:ascii="Arial" w:cs="Arial" w:eastAsia="Arial" w:hAnsi="Arial"/>
                <w:sz w:val="18"/>
                <w:szCs w:val="18"/>
                <w:color w:val="auto"/>
              </w:rPr>
              <w:t>13%</w:t>
            </w:r>
          </w:p>
        </w:tc>
        <w:tc>
          <w:tcPr>
            <w:tcW w:w="140" w:type="dxa"/>
            <w:vAlign w:val="bottom"/>
            <w:tcBorders>
              <w:top w:val="single" w:sz="8" w:color="auto"/>
            </w:tcBorders>
            <w:shd w:val="clear" w:color="auto" w:fill="E6E6E6"/>
          </w:tcPr>
          <w:p>
            <w:pPr>
              <w:spacing w:after="0"/>
              <w:rPr>
                <w:sz w:val="21"/>
                <w:szCs w:val="21"/>
                <w:color w:val="auto"/>
              </w:rPr>
            </w:pPr>
          </w:p>
        </w:tc>
        <w:tc>
          <w:tcPr>
            <w:tcW w:w="20" w:type="dxa"/>
            <w:vAlign w:val="bottom"/>
            <w:tcBorders>
              <w:top w:val="single" w:sz="8" w:color="auto"/>
            </w:tcBorders>
            <w:shd w:val="clear" w:color="auto" w:fill="E6E6E6"/>
          </w:tcPr>
          <w:p>
            <w:pPr>
              <w:spacing w:after="0"/>
              <w:rPr>
                <w:sz w:val="21"/>
                <w:szCs w:val="21"/>
                <w:color w:val="auto"/>
              </w:rPr>
            </w:pPr>
          </w:p>
        </w:tc>
        <w:tc>
          <w:tcPr>
            <w:tcW w:w="80" w:type="dxa"/>
            <w:vAlign w:val="bottom"/>
            <w:tcBorders>
              <w:top w:val="single" w:sz="8" w:color="E6E6E6"/>
            </w:tcBorders>
            <w:shd w:val="clear" w:color="auto" w:fill="E6E6E6"/>
          </w:tcPr>
          <w:p>
            <w:pPr>
              <w:spacing w:after="0"/>
              <w:rPr>
                <w:sz w:val="21"/>
                <w:szCs w:val="21"/>
                <w:color w:val="auto"/>
              </w:rPr>
            </w:pPr>
          </w:p>
        </w:tc>
        <w:tc>
          <w:tcPr>
            <w:tcW w:w="960" w:type="dxa"/>
            <w:vAlign w:val="bottom"/>
            <w:tcBorders>
              <w:top w:val="single" w:sz="8" w:color="auto"/>
            </w:tcBorders>
            <w:shd w:val="clear" w:color="auto" w:fill="E6E6E6"/>
          </w:tcPr>
          <w:p>
            <w:pPr>
              <w:jc w:val="right"/>
              <w:ind w:right="112"/>
              <w:spacing w:after="0"/>
              <w:rPr>
                <w:sz w:val="20"/>
                <w:szCs w:val="20"/>
                <w:color w:val="auto"/>
              </w:rPr>
            </w:pPr>
            <w:r>
              <w:rPr>
                <w:rFonts w:ascii="Arial" w:cs="Arial" w:eastAsia="Arial" w:hAnsi="Arial"/>
                <w:sz w:val="18"/>
                <w:szCs w:val="18"/>
                <w:color w:val="auto"/>
              </w:rPr>
              <w:t>17%</w:t>
            </w:r>
          </w:p>
        </w:tc>
        <w:tc>
          <w:tcPr>
            <w:tcW w:w="80" w:type="dxa"/>
            <w:vAlign w:val="bottom"/>
            <w:tcBorders>
              <w:top w:val="single" w:sz="8" w:color="auto"/>
            </w:tcBorders>
            <w:shd w:val="clear" w:color="auto" w:fill="E6E6E6"/>
          </w:tcPr>
          <w:p>
            <w:pPr>
              <w:spacing w:after="0"/>
              <w:rPr>
                <w:sz w:val="21"/>
                <w:szCs w:val="21"/>
                <w:color w:val="auto"/>
              </w:rPr>
            </w:pPr>
          </w:p>
        </w:tc>
        <w:tc>
          <w:tcPr>
            <w:tcW w:w="100" w:type="dxa"/>
            <w:vAlign w:val="bottom"/>
            <w:tcBorders>
              <w:top w:val="single" w:sz="8" w:color="auto"/>
            </w:tcBorders>
            <w:shd w:val="clear" w:color="auto" w:fill="E6E6E6"/>
          </w:tcPr>
          <w:p>
            <w:pPr>
              <w:spacing w:after="0"/>
              <w:rPr>
                <w:sz w:val="21"/>
                <w:szCs w:val="21"/>
                <w:color w:val="auto"/>
              </w:rPr>
            </w:pPr>
          </w:p>
        </w:tc>
        <w:tc>
          <w:tcPr>
            <w:tcW w:w="60" w:type="dxa"/>
            <w:vAlign w:val="bottom"/>
            <w:tcBorders>
              <w:top w:val="single" w:sz="8" w:color="E6E6E6"/>
            </w:tcBorders>
            <w:shd w:val="clear" w:color="auto" w:fill="E6E6E6"/>
          </w:tcPr>
          <w:p>
            <w:pPr>
              <w:spacing w:after="0"/>
              <w:rPr>
                <w:sz w:val="21"/>
                <w:szCs w:val="21"/>
                <w:color w:val="auto"/>
              </w:rPr>
            </w:pPr>
          </w:p>
        </w:tc>
        <w:tc>
          <w:tcPr>
            <w:tcW w:w="20" w:type="dxa"/>
            <w:vAlign w:val="bottom"/>
            <w:tcBorders>
              <w:top w:val="single" w:sz="8" w:color="E6E6E6"/>
            </w:tcBorders>
            <w:shd w:val="clear" w:color="auto" w:fill="E6E6E6"/>
          </w:tcPr>
          <w:p>
            <w:pPr>
              <w:spacing w:after="0"/>
              <w:rPr>
                <w:sz w:val="21"/>
                <w:szCs w:val="21"/>
                <w:color w:val="auto"/>
              </w:rPr>
            </w:pPr>
          </w:p>
        </w:tc>
        <w:tc>
          <w:tcPr>
            <w:tcW w:w="1000" w:type="dxa"/>
            <w:vAlign w:val="bottom"/>
            <w:tcBorders>
              <w:top w:val="single" w:sz="8" w:color="auto"/>
            </w:tcBorders>
            <w:shd w:val="clear" w:color="auto" w:fill="E6E6E6"/>
          </w:tcPr>
          <w:p>
            <w:pPr>
              <w:jc w:val="right"/>
              <w:ind w:right="174"/>
              <w:spacing w:after="0"/>
              <w:rPr>
                <w:sz w:val="20"/>
                <w:szCs w:val="20"/>
                <w:color w:val="auto"/>
              </w:rPr>
            </w:pPr>
            <w:r>
              <w:rPr>
                <w:rFonts w:ascii="Arial" w:cs="Arial" w:eastAsia="Arial" w:hAnsi="Arial"/>
                <w:sz w:val="18"/>
                <w:szCs w:val="18"/>
                <w:color w:val="auto"/>
              </w:rPr>
              <w:t>17%</w:t>
            </w:r>
          </w:p>
        </w:tc>
        <w:tc>
          <w:tcPr>
            <w:tcW w:w="80" w:type="dxa"/>
            <w:vAlign w:val="bottom"/>
            <w:tcBorders>
              <w:top w:val="single" w:sz="8" w:color="auto"/>
            </w:tcBorders>
            <w:shd w:val="clear" w:color="auto" w:fill="E6E6E6"/>
          </w:tcPr>
          <w:p>
            <w:pPr>
              <w:spacing w:after="0"/>
              <w:rPr>
                <w:sz w:val="21"/>
                <w:szCs w:val="21"/>
                <w:color w:val="auto"/>
              </w:rPr>
            </w:pPr>
          </w:p>
        </w:tc>
        <w:tc>
          <w:tcPr>
            <w:tcW w:w="40" w:type="dxa"/>
            <w:vAlign w:val="bottom"/>
            <w:tcBorders>
              <w:top w:val="single" w:sz="8" w:color="auto"/>
            </w:tcBorders>
            <w:shd w:val="clear" w:color="auto" w:fill="E6E6E6"/>
          </w:tcPr>
          <w:p>
            <w:pPr>
              <w:spacing w:after="0"/>
              <w:rPr>
                <w:sz w:val="21"/>
                <w:szCs w:val="21"/>
                <w:color w:val="auto"/>
              </w:rPr>
            </w:pPr>
          </w:p>
        </w:tc>
        <w:tc>
          <w:tcPr>
            <w:tcW w:w="80" w:type="dxa"/>
            <w:vAlign w:val="bottom"/>
            <w:tcBorders>
              <w:top w:val="single" w:sz="8" w:color="E6E6E6"/>
            </w:tcBorders>
            <w:shd w:val="clear" w:color="auto" w:fill="E6E6E6"/>
          </w:tcPr>
          <w:p>
            <w:pPr>
              <w:spacing w:after="0"/>
              <w:rPr>
                <w:sz w:val="21"/>
                <w:szCs w:val="21"/>
                <w:color w:val="auto"/>
              </w:rPr>
            </w:pPr>
          </w:p>
        </w:tc>
        <w:tc>
          <w:tcPr>
            <w:tcW w:w="40" w:type="dxa"/>
            <w:vAlign w:val="bottom"/>
            <w:tcBorders>
              <w:top w:val="single" w:sz="8" w:color="auto"/>
            </w:tcBorders>
            <w:shd w:val="clear" w:color="auto" w:fill="E6E6E6"/>
          </w:tcPr>
          <w:p>
            <w:pPr>
              <w:spacing w:after="0"/>
              <w:rPr>
                <w:sz w:val="21"/>
                <w:szCs w:val="21"/>
                <w:color w:val="auto"/>
              </w:rPr>
            </w:pPr>
          </w:p>
        </w:tc>
        <w:tc>
          <w:tcPr>
            <w:tcW w:w="1040" w:type="dxa"/>
            <w:vAlign w:val="bottom"/>
            <w:tcBorders>
              <w:top w:val="single" w:sz="8" w:color="auto"/>
            </w:tcBorders>
            <w:shd w:val="clear" w:color="auto" w:fill="E6E6E6"/>
          </w:tcPr>
          <w:p>
            <w:pPr>
              <w:jc w:val="right"/>
              <w:ind w:right="232"/>
              <w:spacing w:after="0"/>
              <w:rPr>
                <w:sz w:val="20"/>
                <w:szCs w:val="20"/>
                <w:color w:val="auto"/>
              </w:rPr>
            </w:pPr>
            <w:r>
              <w:rPr>
                <w:rFonts w:ascii="Arial" w:cs="Arial" w:eastAsia="Arial" w:hAnsi="Arial"/>
                <w:sz w:val="18"/>
                <w:szCs w:val="18"/>
                <w:color w:val="auto"/>
              </w:rPr>
              <w:t>17%</w:t>
            </w:r>
          </w:p>
        </w:tc>
        <w:tc>
          <w:tcPr>
            <w:tcW w:w="60" w:type="dxa"/>
            <w:vAlign w:val="bottom"/>
            <w:tcBorders>
              <w:top w:val="single" w:sz="8" w:color="auto"/>
            </w:tcBorders>
            <w:shd w:val="clear" w:color="auto" w:fill="E6E6E6"/>
          </w:tcPr>
          <w:p>
            <w:pPr>
              <w:spacing w:after="0"/>
              <w:rPr>
                <w:sz w:val="21"/>
                <w:szCs w:val="21"/>
                <w:color w:val="auto"/>
              </w:rPr>
            </w:pPr>
          </w:p>
        </w:tc>
        <w:tc>
          <w:tcPr>
            <w:tcW w:w="20" w:type="dxa"/>
            <w:vAlign w:val="bottom"/>
            <w:tcBorders>
              <w:top w:val="single" w:sz="8" w:color="E6E6E6"/>
            </w:tcBorders>
            <w:shd w:val="clear" w:color="auto" w:fill="E6E6E6"/>
          </w:tcPr>
          <w:p>
            <w:pPr>
              <w:spacing w:after="0"/>
              <w:rPr>
                <w:sz w:val="21"/>
                <w:szCs w:val="21"/>
                <w:color w:val="auto"/>
              </w:rPr>
            </w:pPr>
          </w:p>
        </w:tc>
        <w:tc>
          <w:tcPr>
            <w:tcW w:w="60" w:type="dxa"/>
            <w:vAlign w:val="bottom"/>
            <w:tcBorders>
              <w:top w:val="single" w:sz="8" w:color="E6E6E6"/>
            </w:tcBorders>
            <w:shd w:val="clear" w:color="auto" w:fill="E6E6E6"/>
          </w:tcPr>
          <w:p>
            <w:pPr>
              <w:spacing w:after="0"/>
              <w:rPr>
                <w:sz w:val="21"/>
                <w:szCs w:val="21"/>
                <w:color w:val="auto"/>
              </w:rPr>
            </w:pPr>
          </w:p>
        </w:tc>
        <w:tc>
          <w:tcPr>
            <w:tcW w:w="140" w:type="dxa"/>
            <w:vAlign w:val="bottom"/>
            <w:tcBorders>
              <w:top w:val="single" w:sz="8" w:color="auto"/>
            </w:tcBorders>
            <w:shd w:val="clear" w:color="auto" w:fill="E6E6E6"/>
          </w:tcPr>
          <w:p>
            <w:pPr>
              <w:spacing w:after="0"/>
              <w:rPr>
                <w:sz w:val="21"/>
                <w:szCs w:val="21"/>
                <w:color w:val="auto"/>
              </w:rPr>
            </w:pPr>
          </w:p>
        </w:tc>
        <w:tc>
          <w:tcPr>
            <w:tcW w:w="980" w:type="dxa"/>
            <w:vAlign w:val="bottom"/>
            <w:tcBorders>
              <w:top w:val="single" w:sz="8" w:color="auto"/>
            </w:tcBorders>
            <w:shd w:val="clear" w:color="auto" w:fill="E6E6E6"/>
          </w:tcPr>
          <w:p>
            <w:pPr>
              <w:jc w:val="right"/>
              <w:ind w:right="291"/>
              <w:spacing w:after="0"/>
              <w:rPr>
                <w:sz w:val="20"/>
                <w:szCs w:val="20"/>
                <w:color w:val="auto"/>
              </w:rPr>
            </w:pPr>
            <w:r>
              <w:rPr>
                <w:rFonts w:ascii="Arial" w:cs="Arial" w:eastAsia="Arial" w:hAnsi="Arial"/>
                <w:sz w:val="18"/>
                <w:szCs w:val="18"/>
                <w:color w:val="auto"/>
              </w:rPr>
              <w:t>16%</w:t>
            </w:r>
          </w:p>
        </w:tc>
        <w:tc>
          <w:tcPr>
            <w:tcW w:w="20" w:type="dxa"/>
            <w:vAlign w:val="bottom"/>
            <w:tcBorders>
              <w:top w:val="single" w:sz="8" w:color="auto"/>
            </w:tcBorders>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0" w:type="dxa"/>
            <w:vAlign w:val="bottom"/>
          </w:tcPr>
          <w:p>
            <w:pPr>
              <w:spacing w:after="0"/>
              <w:rPr>
                <w:sz w:val="20"/>
                <w:szCs w:val="20"/>
                <w:color w:val="auto"/>
              </w:rPr>
            </w:pPr>
          </w:p>
        </w:tc>
        <w:tc>
          <w:tcPr>
            <w:tcW w:w="30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 xml:space="preserve">PG&amp;E </w:t>
            </w:r>
            <w:r>
              <w:rPr>
                <w:rFonts w:ascii="Arial" w:cs="Arial" w:eastAsia="Arial" w:hAnsi="Arial"/>
                <w:sz w:val="18"/>
                <w:szCs w:val="18"/>
                <w:color w:val="BDBDBD"/>
                <w:w w:val="93"/>
              </w:rPr>
              <w:t>. . . . . . . . . . . . . . . . . . . . . . . . .</w:t>
            </w:r>
          </w:p>
        </w:tc>
        <w:tc>
          <w:tcPr>
            <w:tcW w:w="1040" w:type="dxa"/>
            <w:vAlign w:val="bottom"/>
          </w:tcPr>
          <w:p>
            <w:pPr>
              <w:jc w:val="right"/>
              <w:ind w:right="374"/>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0"/>
                <w:szCs w:val="20"/>
                <w:color w:val="auto"/>
              </w:rPr>
            </w:pPr>
          </w:p>
        </w:tc>
        <w:tc>
          <w:tcPr>
            <w:tcW w:w="1060" w:type="dxa"/>
            <w:vAlign w:val="bottom"/>
            <w:gridSpan w:val="3"/>
          </w:tcPr>
          <w:p>
            <w:pPr>
              <w:jc w:val="right"/>
              <w:ind w:right="112"/>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gridSpan w:val="2"/>
          </w:tcPr>
          <w:p>
            <w:pPr>
              <w:jc w:val="right"/>
              <w:ind w:right="174"/>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jc w:val="right"/>
              <w:ind w:right="232"/>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91"/>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7"/>
        </w:trPr>
        <w:tc>
          <w:tcPr>
            <w:tcW w:w="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8"/>
          </w:tcPr>
          <w:p>
            <w:pPr>
              <w:ind w:left="20"/>
              <w:spacing w:after="0"/>
              <w:rPr>
                <w:sz w:val="20"/>
                <w:szCs w:val="20"/>
                <w:color w:val="auto"/>
              </w:rPr>
            </w:pPr>
            <w:r>
              <w:rPr>
                <w:rFonts w:ascii="Arial" w:cs="Arial" w:eastAsia="Arial" w:hAnsi="Arial"/>
                <w:sz w:val="16"/>
                <w:szCs w:val="16"/>
                <w:b w:val="1"/>
                <w:bCs w:val="1"/>
                <w:color w:val="auto"/>
                <w:w w:val="98"/>
              </w:rPr>
              <w:t>Year ended December 31, 2023</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31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(In millions)</w:t>
            </w: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tcPr>
          <w:p>
            <w:pPr>
              <w:jc w:val="right"/>
              <w:ind w:right="52"/>
              <w:spacing w:after="0" w:line="170" w:lineRule="exact"/>
              <w:rPr>
                <w:sz w:val="20"/>
                <w:szCs w:val="20"/>
                <w:color w:val="auto"/>
              </w:rPr>
            </w:pPr>
            <w:r>
              <w:rPr>
                <w:rFonts w:ascii="Arial" w:cs="Arial" w:eastAsia="Arial" w:hAnsi="Arial"/>
                <w:sz w:val="16"/>
                <w:szCs w:val="16"/>
                <w:b w:val="1"/>
                <w:bCs w:val="1"/>
                <w:color w:val="auto"/>
                <w:w w:val="88"/>
              </w:rPr>
              <w:t>Conventional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vMerge w:val="restart"/>
          </w:tcPr>
          <w:p>
            <w:pPr>
              <w:jc w:val="right"/>
              <w:ind w:right="94"/>
              <w:spacing w:after="0"/>
              <w:rPr>
                <w:sz w:val="20"/>
                <w:szCs w:val="20"/>
                <w:color w:val="auto"/>
              </w:rPr>
            </w:pPr>
            <w:r>
              <w:rPr>
                <w:rFonts w:ascii="Arial" w:cs="Arial" w:eastAsia="Arial" w:hAnsi="Arial"/>
                <w:sz w:val="16"/>
                <w:szCs w:val="16"/>
                <w:b w:val="1"/>
                <w:bCs w:val="1"/>
                <w:color w:val="auto"/>
                <w:w w:val="86"/>
              </w:rPr>
              <w:t>Renewables</w:t>
            </w:r>
          </w:p>
        </w:tc>
        <w:tc>
          <w:tcPr>
            <w:tcW w:w="8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vMerge w:val="restart"/>
          </w:tcPr>
          <w:p>
            <w:pPr>
              <w:jc w:val="right"/>
              <w:ind w:right="72"/>
              <w:spacing w:after="0"/>
              <w:rPr>
                <w:sz w:val="20"/>
                <w:szCs w:val="20"/>
                <w:color w:val="auto"/>
              </w:rPr>
            </w:pPr>
            <w:r>
              <w:rPr>
                <w:rFonts w:ascii="Arial" w:cs="Arial" w:eastAsia="Arial" w:hAnsi="Arial"/>
                <w:sz w:val="16"/>
                <w:szCs w:val="16"/>
                <w:b w:val="1"/>
                <w:bCs w:val="1"/>
                <w:color w:val="auto"/>
                <w:w w:val="88"/>
              </w:rPr>
              <w:t xml:space="preserve">Corporate </w:t>
            </w:r>
            <w:r>
              <w:rPr>
                <w:rFonts w:ascii="Arial" w:cs="Arial" w:eastAsia="Arial" w:hAnsi="Arial"/>
                <w:sz w:val="20"/>
                <w:szCs w:val="20"/>
                <w:b w:val="1"/>
                <w:bCs w:val="1"/>
                <w:color w:val="auto"/>
                <w:w w:val="88"/>
                <w:vertAlign w:val="superscript"/>
              </w:rPr>
              <w:t>(a)</w:t>
            </w:r>
          </w:p>
        </w:tc>
        <w:tc>
          <w:tcPr>
            <w:tcW w:w="6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3120" w:type="dxa"/>
            <w:vAlign w:val="bottom"/>
            <w:tcBorders>
              <w:bottom w:val="single" w:sz="8" w:color="E6E6E6"/>
            </w:tcBorders>
            <w:gridSpan w:val="3"/>
            <w:vMerge w:val="continue"/>
          </w:tcPr>
          <w:p>
            <w:pPr>
              <w:spacing w:after="0"/>
              <w:rPr>
                <w:sz w:val="18"/>
                <w:szCs w:val="18"/>
                <w:color w:val="auto"/>
              </w:rPr>
            </w:pPr>
          </w:p>
        </w:tc>
        <w:tc>
          <w:tcPr>
            <w:tcW w:w="1040" w:type="dxa"/>
            <w:vAlign w:val="bottom"/>
            <w:tcBorders>
              <w:bottom w:val="single" w:sz="8" w:color="E6E6E6"/>
            </w:tcBorders>
          </w:tcPr>
          <w:p>
            <w:pPr>
              <w:spacing w:after="0"/>
              <w:rPr>
                <w:sz w:val="18"/>
                <w:szCs w:val="18"/>
                <w:color w:val="auto"/>
              </w:rPr>
            </w:pPr>
          </w:p>
        </w:tc>
        <w:tc>
          <w:tcPr>
            <w:tcW w:w="80" w:type="dxa"/>
            <w:vAlign w:val="bottom"/>
            <w:tcBorders>
              <w:bottom w:val="single" w:sz="8" w:color="E6E6E6"/>
            </w:tcBorders>
          </w:tcPr>
          <w:p>
            <w:pPr>
              <w:spacing w:after="0"/>
              <w:rPr>
                <w:sz w:val="18"/>
                <w:szCs w:val="18"/>
                <w:color w:val="auto"/>
              </w:rPr>
            </w:pPr>
          </w:p>
        </w:tc>
        <w:tc>
          <w:tcPr>
            <w:tcW w:w="120" w:type="dxa"/>
            <w:vAlign w:val="bottom"/>
            <w:tcBorders>
              <w:bottom w:val="single" w:sz="8" w:color="E6E6E6"/>
            </w:tcBorders>
          </w:tcPr>
          <w:p>
            <w:pPr>
              <w:spacing w:after="0"/>
              <w:rPr>
                <w:sz w:val="18"/>
                <w:szCs w:val="18"/>
                <w:color w:val="auto"/>
              </w:rPr>
            </w:pPr>
          </w:p>
        </w:tc>
        <w:tc>
          <w:tcPr>
            <w:tcW w:w="840" w:type="dxa"/>
            <w:vAlign w:val="bottom"/>
            <w:tcBorders>
              <w:bottom w:val="single" w:sz="8" w:color="E6E6E6"/>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6"/>
                <w:szCs w:val="16"/>
                <w:b w:val="1"/>
                <w:bCs w:val="1"/>
                <w:color w:val="auto"/>
                <w:w w:val="94"/>
              </w:rPr>
              <w:t>Generation</w:t>
            </w:r>
          </w:p>
        </w:tc>
        <w:tc>
          <w:tcPr>
            <w:tcW w:w="80" w:type="dxa"/>
            <w:vAlign w:val="bottom"/>
            <w:tcBorders>
              <w:bottom w:val="single" w:sz="8" w:color="E6E6E6"/>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E6E6E6"/>
            </w:tcBorders>
            <w:vMerge w:val="continue"/>
          </w:tcPr>
          <w:p>
            <w:pPr>
              <w:spacing w:after="0"/>
              <w:rPr>
                <w:sz w:val="18"/>
                <w:szCs w:val="18"/>
                <w:color w:val="auto"/>
              </w:rPr>
            </w:pPr>
          </w:p>
        </w:tc>
        <w:tc>
          <w:tcPr>
            <w:tcW w:w="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E6E6E6"/>
            </w:tcBorders>
            <w:vMerge w:val="continue"/>
          </w:tcPr>
          <w:p>
            <w:pPr>
              <w:spacing w:after="0"/>
              <w:rPr>
                <w:sz w:val="18"/>
                <w:szCs w:val="18"/>
                <w:color w:val="auto"/>
              </w:rPr>
            </w:pPr>
          </w:p>
        </w:tc>
        <w:tc>
          <w:tcPr>
            <w:tcW w:w="20" w:type="dxa"/>
            <w:vAlign w:val="bottom"/>
            <w:tcBorders>
              <w:bottom w:val="single" w:sz="8" w:color="E6E6E6"/>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160" w:type="dxa"/>
            <w:vAlign w:val="bottom"/>
            <w:gridSpan w:val="4"/>
            <w:shd w:val="clear" w:color="auto" w:fill="E6E6E6"/>
          </w:tcPr>
          <w:p>
            <w:pPr>
              <w:ind w:left="40"/>
              <w:spacing w:after="0"/>
              <w:rPr>
                <w:sz w:val="20"/>
                <w:szCs w:val="20"/>
                <w:color w:val="auto"/>
              </w:rPr>
            </w:pPr>
            <w:r>
              <w:rPr>
                <w:rFonts w:ascii="Arial" w:cs="Arial" w:eastAsia="Arial" w:hAnsi="Arial"/>
                <w:sz w:val="18"/>
                <w:szCs w:val="18"/>
                <w:color w:val="BDBDBD"/>
                <w:w w:val="93"/>
              </w:rPr>
              <w:t>. . . . . . . . . . . . . . . . . . . . . . . . . . . . .</w:t>
            </w:r>
            <w:r>
              <w:rPr>
                <w:rFonts w:ascii="Arial" w:cs="Arial" w:eastAsia="Arial" w:hAnsi="Arial"/>
                <w:sz w:val="18"/>
                <w:szCs w:val="18"/>
                <w:color w:val="000000"/>
                <w:w w:val="93"/>
              </w:rPr>
              <w:t>Operatingrevenues</w:t>
            </w:r>
          </w:p>
        </w:tc>
        <w:tc>
          <w:tcPr>
            <w:tcW w:w="200" w:type="dxa"/>
            <w:vAlign w:val="bottom"/>
            <w:gridSpan w:val="2"/>
            <w:shd w:val="clear" w:color="auto" w:fill="E6E6E6"/>
          </w:tcPr>
          <w:p>
            <w:pPr>
              <w:jc w:val="right"/>
              <w:ind w:right="20"/>
              <w:spacing w:after="0"/>
              <w:rPr>
                <w:sz w:val="20"/>
                <w:szCs w:val="20"/>
                <w:color w:val="auto"/>
              </w:rPr>
            </w:pPr>
            <w:r>
              <w:rPr>
                <w:rFonts w:ascii="Arial" w:cs="Arial" w:eastAsia="Arial" w:hAnsi="Arial"/>
                <w:sz w:val="18"/>
                <w:szCs w:val="18"/>
                <w:color w:val="BDBDBD"/>
              </w:rPr>
              <w:t>. .</w:t>
            </w: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BDBDBD"/>
                <w:w w:val="89"/>
              </w:rPr>
              <w:t>. . . . . . . . .</w:t>
            </w:r>
          </w:p>
        </w:tc>
        <w:tc>
          <w:tcPr>
            <w:tcW w:w="1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E6E6E6"/>
          </w:tcPr>
          <w:p>
            <w:pPr>
              <w:jc w:val="right"/>
              <w:spacing w:after="0"/>
              <w:rPr>
                <w:sz w:val="20"/>
                <w:szCs w:val="20"/>
                <w:color w:val="auto"/>
              </w:rPr>
            </w:pPr>
            <w:r>
              <w:rPr>
                <w:rFonts w:ascii="Arial" w:cs="Arial" w:eastAsia="Arial" w:hAnsi="Arial"/>
                <w:sz w:val="18"/>
                <w:szCs w:val="18"/>
                <w:color w:val="auto"/>
              </w:rPr>
              <w:t>420</w:t>
            </w:r>
          </w:p>
        </w:tc>
        <w:tc>
          <w:tcPr>
            <w:tcW w:w="240" w:type="dxa"/>
            <w:vAlign w:val="bottom"/>
            <w:gridSpan w:val="3"/>
            <w:shd w:val="clear" w:color="auto" w:fill="E6E6E6"/>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894</w:t>
            </w:r>
          </w:p>
        </w:tc>
        <w:tc>
          <w:tcPr>
            <w:tcW w:w="8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120" w:type="dxa"/>
            <w:vAlign w:val="bottom"/>
            <w:gridSpan w:val="2"/>
            <w:shd w:val="clear" w:color="auto" w:fill="E6E6E6"/>
          </w:tcPr>
          <w:p>
            <w:pPr>
              <w:jc w:val="right"/>
              <w:ind w:right="2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0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1,314</w:t>
            </w:r>
          </w:p>
        </w:tc>
        <w:tc>
          <w:tcPr>
            <w:tcW w:w="2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5120" w:type="dxa"/>
            <w:vAlign w:val="bottom"/>
            <w:gridSpan w:val="6"/>
          </w:tcPr>
          <w:p>
            <w:pPr>
              <w:ind w:left="100"/>
              <w:spacing w:after="0"/>
              <w:rPr>
                <w:sz w:val="20"/>
                <w:szCs w:val="20"/>
                <w:color w:val="auto"/>
              </w:rPr>
            </w:pPr>
            <w:r>
              <w:rPr>
                <w:rFonts w:ascii="Arial" w:cs="Arial" w:eastAsia="Arial" w:hAnsi="Arial"/>
                <w:sz w:val="18"/>
                <w:szCs w:val="18"/>
                <w:color w:val="auto"/>
              </w:rPr>
              <w:t>Cost of operations, exclusive of depreciation, amortization and</w:t>
            </w:r>
          </w:p>
        </w:tc>
        <w:tc>
          <w:tcPr>
            <w:tcW w:w="140" w:type="dxa"/>
            <w:vAlign w:val="bottom"/>
          </w:tcPr>
          <w:p>
            <w:pPr>
              <w:spacing w:after="0"/>
              <w:rPr>
                <w:sz w:val="20"/>
                <w:szCs w:val="20"/>
                <w:color w:val="auto"/>
              </w:rPr>
            </w:pPr>
          </w:p>
        </w:tc>
        <w:tc>
          <w:tcPr>
            <w:tcW w:w="1060" w:type="dxa"/>
            <w:vAlign w:val="bottom"/>
            <w:gridSpan w:val="3"/>
            <w:vMerge w:val="restart"/>
          </w:tcPr>
          <w:p>
            <w:pPr>
              <w:jc w:val="right"/>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473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80" w:type="dxa"/>
            <w:vAlign w:val="bottom"/>
          </w:tcPr>
          <w:p>
            <w:pPr>
              <w:spacing w:after="0"/>
              <w:rPr>
                <w:sz w:val="20"/>
                <w:szCs w:val="20"/>
                <w:color w:val="auto"/>
              </w:rPr>
            </w:pPr>
          </w:p>
        </w:tc>
        <w:tc>
          <w:tcPr>
            <w:tcW w:w="4280" w:type="dxa"/>
            <w:vAlign w:val="bottom"/>
            <w:gridSpan w:val="5"/>
          </w:tcPr>
          <w:p>
            <w:pPr>
              <w:jc w:val="right"/>
              <w:ind w:right="20"/>
              <w:spacing w:after="0"/>
              <w:rPr>
                <w:sz w:val="20"/>
                <w:szCs w:val="20"/>
                <w:color w:val="auto"/>
              </w:rPr>
            </w:pPr>
            <w:r>
              <w:rPr>
                <w:rFonts w:ascii="Arial" w:cs="Arial" w:eastAsia="Arial" w:hAnsi="Arial"/>
                <w:sz w:val="18"/>
                <w:szCs w:val="18"/>
                <w:color w:val="auto"/>
                <w:w w:val="96"/>
              </w:rPr>
              <w:t xml:space="preserve">accretion shown separately below </w:t>
            </w:r>
            <w:r>
              <w:rPr>
                <w:rFonts w:ascii="Arial" w:cs="Arial" w:eastAsia="Arial" w:hAnsi="Arial"/>
                <w:sz w:val="18"/>
                <w:szCs w:val="18"/>
                <w:color w:val="BDBDBD"/>
                <w:w w:val="96"/>
              </w:rPr>
              <w:t>. . . . . . . . . . . . . . . . .</w:t>
            </w:r>
          </w:p>
        </w:tc>
        <w:tc>
          <w:tcPr>
            <w:tcW w:w="840" w:type="dxa"/>
            <w:vAlign w:val="bottom"/>
          </w:tcPr>
          <w:p>
            <w:pPr>
              <w:jc w:val="right"/>
              <w:spacing w:after="0"/>
              <w:rPr>
                <w:sz w:val="20"/>
                <w:szCs w:val="20"/>
                <w:color w:val="auto"/>
              </w:rPr>
            </w:pPr>
            <w:r>
              <w:rPr>
                <w:rFonts w:ascii="Arial" w:cs="Arial" w:eastAsia="Arial" w:hAnsi="Arial"/>
                <w:sz w:val="18"/>
                <w:szCs w:val="18"/>
                <w:color w:val="BDBDBD"/>
                <w:w w:val="89"/>
              </w:rPr>
              <w:t>. . . . . . . . .</w:t>
            </w:r>
          </w:p>
        </w:tc>
        <w:tc>
          <w:tcPr>
            <w:tcW w:w="140" w:type="dxa"/>
            <w:vAlign w:val="bottom"/>
          </w:tcPr>
          <w:p>
            <w:pPr>
              <w:spacing w:after="0"/>
              <w:rPr>
                <w:sz w:val="20"/>
                <w:szCs w:val="20"/>
                <w:color w:val="auto"/>
              </w:rPr>
            </w:pPr>
          </w:p>
        </w:tc>
        <w:tc>
          <w:tcPr>
            <w:tcW w:w="1060" w:type="dxa"/>
            <w:vAlign w:val="bottom"/>
            <w:gridSpan w:val="3"/>
            <w:vMerge w:val="continue"/>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80" w:type="dxa"/>
            <w:vAlign w:val="bottom"/>
            <w:shd w:val="clear" w:color="auto" w:fill="E6E6E6"/>
          </w:tcPr>
          <w:p>
            <w:pPr>
              <w:spacing w:after="0"/>
              <w:rPr>
                <w:sz w:val="22"/>
                <w:szCs w:val="22"/>
                <w:color w:val="auto"/>
              </w:rPr>
            </w:pPr>
          </w:p>
        </w:tc>
        <w:tc>
          <w:tcPr>
            <w:tcW w:w="3040" w:type="dxa"/>
            <w:vAlign w:val="bottom"/>
            <w:gridSpan w:val="2"/>
            <w:shd w:val="clear" w:color="auto" w:fill="E6E6E6"/>
          </w:tcPr>
          <w:p>
            <w:pPr>
              <w:ind w:left="100"/>
              <w:spacing w:after="0"/>
              <w:rPr>
                <w:sz w:val="20"/>
                <w:szCs w:val="20"/>
                <w:color w:val="auto"/>
              </w:rPr>
            </w:pPr>
            <w:r>
              <w:rPr>
                <w:rFonts w:ascii="Arial" w:cs="Arial" w:eastAsia="Arial" w:hAnsi="Arial"/>
                <w:sz w:val="18"/>
                <w:szCs w:val="18"/>
                <w:color w:val="auto"/>
                <w:w w:val="90"/>
              </w:rPr>
              <w:t>Depreciation, amortization and accretion</w:t>
            </w:r>
          </w:p>
        </w:tc>
        <w:tc>
          <w:tcPr>
            <w:tcW w:w="1240" w:type="dxa"/>
            <w:vAlign w:val="bottom"/>
            <w:gridSpan w:val="3"/>
            <w:shd w:val="clear" w:color="auto" w:fill="E6E6E6"/>
          </w:tcPr>
          <w:p>
            <w:pPr>
              <w:jc w:val="right"/>
              <w:ind w:right="20"/>
              <w:spacing w:after="0"/>
              <w:rPr>
                <w:sz w:val="20"/>
                <w:szCs w:val="20"/>
                <w:color w:val="auto"/>
              </w:rPr>
            </w:pPr>
            <w:r>
              <w:rPr>
                <w:rFonts w:ascii="Arial" w:cs="Arial" w:eastAsia="Arial" w:hAnsi="Arial"/>
                <w:sz w:val="18"/>
                <w:szCs w:val="18"/>
                <w:color w:val="BDBDBD"/>
                <w:w w:val="95"/>
              </w:rPr>
              <w:t>. . . . . . . . . . . . .</w:t>
            </w: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BDBDBD"/>
                <w:w w:val="89"/>
              </w:rPr>
              <w:t>. . . . . . . . .</w:t>
            </w:r>
          </w:p>
        </w:tc>
        <w:tc>
          <w:tcPr>
            <w:tcW w:w="140" w:type="dxa"/>
            <w:vAlign w:val="bottom"/>
            <w:shd w:val="clear" w:color="auto" w:fill="E6E6E6"/>
          </w:tcPr>
          <w:p>
            <w:pPr>
              <w:spacing w:after="0"/>
              <w:rPr>
                <w:sz w:val="22"/>
                <w:szCs w:val="22"/>
                <w:color w:val="auto"/>
              </w:rPr>
            </w:pPr>
          </w:p>
        </w:tc>
        <w:tc>
          <w:tcPr>
            <w:tcW w:w="1060" w:type="dxa"/>
            <w:vAlign w:val="bottom"/>
            <w:gridSpan w:val="3"/>
            <w:shd w:val="clear" w:color="auto" w:fill="E6E6E6"/>
          </w:tcPr>
          <w:p>
            <w:pPr>
              <w:jc w:val="right"/>
              <w:spacing w:after="0"/>
              <w:rPr>
                <w:sz w:val="20"/>
                <w:szCs w:val="20"/>
                <w:color w:val="auto"/>
              </w:rPr>
            </w:pPr>
            <w:r>
              <w:rPr>
                <w:rFonts w:ascii="Arial" w:cs="Arial" w:eastAsia="Arial" w:hAnsi="Arial"/>
                <w:sz w:val="18"/>
                <w:szCs w:val="18"/>
                <w:color w:val="auto"/>
              </w:rPr>
              <w:t>129</w:t>
            </w:r>
          </w:p>
        </w:tc>
        <w:tc>
          <w:tcPr>
            <w:tcW w:w="80" w:type="dxa"/>
            <w:vAlign w:val="bottom"/>
            <w:shd w:val="clear" w:color="auto" w:fill="E6E6E6"/>
          </w:tcPr>
          <w:p>
            <w:pPr>
              <w:spacing w:after="0"/>
              <w:rPr>
                <w:sz w:val="22"/>
                <w:szCs w:val="22"/>
                <w:color w:val="auto"/>
              </w:rPr>
            </w:pPr>
          </w:p>
        </w:tc>
        <w:tc>
          <w:tcPr>
            <w:tcW w:w="10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102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397</w:t>
            </w:r>
          </w:p>
        </w:tc>
        <w:tc>
          <w:tcPr>
            <w:tcW w:w="80" w:type="dxa"/>
            <w:vAlign w:val="bottom"/>
            <w:shd w:val="clear" w:color="auto" w:fill="E6E6E6"/>
          </w:tcPr>
          <w:p>
            <w:pPr>
              <w:spacing w:after="0"/>
              <w:rPr>
                <w:sz w:val="22"/>
                <w:szCs w:val="22"/>
                <w:color w:val="auto"/>
              </w:rPr>
            </w:pPr>
          </w:p>
        </w:tc>
        <w:tc>
          <w:tcPr>
            <w:tcW w:w="4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40" w:type="dxa"/>
            <w:vAlign w:val="bottom"/>
            <w:shd w:val="clear" w:color="auto" w:fill="E6E6E6"/>
          </w:tcPr>
          <w:p>
            <w:pPr>
              <w:spacing w:after="0"/>
              <w:rPr>
                <w:sz w:val="22"/>
                <w:szCs w:val="22"/>
                <w:color w:val="auto"/>
              </w:rPr>
            </w:pPr>
          </w:p>
        </w:tc>
        <w:tc>
          <w:tcPr>
            <w:tcW w:w="1100" w:type="dxa"/>
            <w:vAlign w:val="bottom"/>
            <w:gridSpan w:val="2"/>
            <w:shd w:val="clear" w:color="auto" w:fill="E6E6E6"/>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526</w:t>
            </w:r>
          </w:p>
        </w:tc>
        <w:tc>
          <w:tcPr>
            <w:tcW w:w="2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0" w:type="dxa"/>
            <w:vAlign w:val="bottom"/>
          </w:tcPr>
          <w:p>
            <w:pPr>
              <w:spacing w:after="0"/>
              <w:rPr>
                <w:sz w:val="24"/>
                <w:szCs w:val="24"/>
                <w:color w:val="auto"/>
              </w:rPr>
            </w:pPr>
          </w:p>
        </w:tc>
        <w:tc>
          <w:tcPr>
            <w:tcW w:w="4080" w:type="dxa"/>
            <w:vAlign w:val="bottom"/>
            <w:gridSpan w:val="3"/>
          </w:tcPr>
          <w:p>
            <w:pPr>
              <w:ind w:left="100"/>
              <w:spacing w:after="0"/>
              <w:rPr>
                <w:sz w:val="20"/>
                <w:szCs w:val="20"/>
                <w:color w:val="auto"/>
              </w:rPr>
            </w:pPr>
            <w:r>
              <w:rPr>
                <w:rFonts w:ascii="Arial" w:cs="Arial" w:eastAsia="Arial" w:hAnsi="Arial"/>
                <w:sz w:val="18"/>
                <w:szCs w:val="18"/>
                <w:color w:val="auto"/>
                <w:w w:val="89"/>
              </w:rPr>
              <w:t xml:space="preserve">Impairment losses  </w:t>
            </w:r>
            <w:r>
              <w:rPr>
                <w:rFonts w:ascii="Arial" w:cs="Arial" w:eastAsia="Arial" w:hAnsi="Arial"/>
                <w:sz w:val="18"/>
                <w:szCs w:val="18"/>
                <w:color w:val="BDBDBD"/>
                <w:w w:val="89"/>
              </w:rPr>
              <w:t>. . . . . . . . . . . . . . . . . . . . . . . . . . . . .</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BDBDBD"/>
              </w:rPr>
              <w:t>. .</w:t>
            </w:r>
          </w:p>
        </w:tc>
        <w:tc>
          <w:tcPr>
            <w:tcW w:w="840" w:type="dxa"/>
            <w:vAlign w:val="bottom"/>
          </w:tcPr>
          <w:p>
            <w:pPr>
              <w:jc w:val="right"/>
              <w:spacing w:after="0"/>
              <w:rPr>
                <w:sz w:val="20"/>
                <w:szCs w:val="20"/>
                <w:color w:val="auto"/>
              </w:rPr>
            </w:pPr>
            <w:r>
              <w:rPr>
                <w:rFonts w:ascii="Arial" w:cs="Arial" w:eastAsia="Arial" w:hAnsi="Arial"/>
                <w:sz w:val="18"/>
                <w:szCs w:val="18"/>
                <w:color w:val="BDBDBD"/>
                <w:w w:val="89"/>
              </w:rPr>
              <w:t>. . . . . . . . .</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0" w:type="dxa"/>
            <w:vAlign w:val="bottom"/>
            <w:shd w:val="clear" w:color="auto" w:fill="E6E6E6"/>
          </w:tcPr>
          <w:p>
            <w:pPr>
              <w:spacing w:after="0"/>
              <w:rPr>
                <w:sz w:val="22"/>
                <w:szCs w:val="22"/>
                <w:color w:val="auto"/>
              </w:rPr>
            </w:pPr>
          </w:p>
        </w:tc>
        <w:tc>
          <w:tcPr>
            <w:tcW w:w="4280" w:type="dxa"/>
            <w:vAlign w:val="bottom"/>
            <w:gridSpan w:val="5"/>
            <w:shd w:val="clear" w:color="auto" w:fill="E6E6E6"/>
          </w:tcPr>
          <w:p>
            <w:pPr>
              <w:jc w:val="right"/>
              <w:ind w:right="20"/>
              <w:spacing w:after="0"/>
              <w:rPr>
                <w:sz w:val="20"/>
                <w:szCs w:val="20"/>
                <w:color w:val="auto"/>
              </w:rPr>
            </w:pPr>
            <w:r>
              <w:rPr>
                <w:rFonts w:ascii="Arial" w:cs="Arial" w:eastAsia="Arial" w:hAnsi="Arial"/>
                <w:sz w:val="18"/>
                <w:szCs w:val="18"/>
                <w:color w:val="auto"/>
                <w:w w:val="93"/>
              </w:rPr>
              <w:t xml:space="preserve">General and administrative </w:t>
            </w:r>
            <w:r>
              <w:rPr>
                <w:rFonts w:ascii="Arial" w:cs="Arial" w:eastAsia="Arial" w:hAnsi="Arial"/>
                <w:sz w:val="18"/>
                <w:szCs w:val="18"/>
                <w:color w:val="BDBDBD"/>
                <w:w w:val="93"/>
              </w:rPr>
              <w:t>. . . . . . . . . . . . . . . . . . . . . . . .</w:t>
            </w: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BDBDBD"/>
                <w:w w:val="89"/>
              </w:rPr>
              <w:t>. . . . . . . . .</w:t>
            </w:r>
          </w:p>
        </w:tc>
        <w:tc>
          <w:tcPr>
            <w:tcW w:w="14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2"/>
                <w:szCs w:val="22"/>
                <w:color w:val="auto"/>
              </w:rPr>
            </w:pPr>
          </w:p>
        </w:tc>
        <w:tc>
          <w:tcPr>
            <w:tcW w:w="10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1120" w:type="dxa"/>
            <w:vAlign w:val="bottom"/>
            <w:gridSpan w:val="3"/>
            <w:shd w:val="clear" w:color="auto" w:fill="E6E6E6"/>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2"/>
                <w:szCs w:val="22"/>
                <w:color w:val="auto"/>
              </w:rPr>
            </w:pPr>
          </w:p>
        </w:tc>
        <w:tc>
          <w:tcPr>
            <w:tcW w:w="40" w:type="dxa"/>
            <w:vAlign w:val="bottom"/>
            <w:shd w:val="clear" w:color="auto" w:fill="E6E6E6"/>
          </w:tcPr>
          <w:p>
            <w:pPr>
              <w:spacing w:after="0"/>
              <w:rPr>
                <w:sz w:val="22"/>
                <w:szCs w:val="22"/>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36</w:t>
            </w: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36</w:t>
            </w:r>
          </w:p>
        </w:tc>
        <w:tc>
          <w:tcPr>
            <w:tcW w:w="2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80" w:type="dxa"/>
            <w:vAlign w:val="bottom"/>
          </w:tcPr>
          <w:p>
            <w:pPr>
              <w:spacing w:after="0"/>
              <w:rPr>
                <w:sz w:val="21"/>
                <w:szCs w:val="21"/>
                <w:color w:val="auto"/>
              </w:rPr>
            </w:pPr>
          </w:p>
        </w:tc>
        <w:tc>
          <w:tcPr>
            <w:tcW w:w="4280" w:type="dxa"/>
            <w:vAlign w:val="bottom"/>
            <w:gridSpan w:val="5"/>
          </w:tcPr>
          <w:p>
            <w:pPr>
              <w:jc w:val="right"/>
              <w:ind w:right="20"/>
              <w:spacing w:after="0"/>
              <w:rPr>
                <w:sz w:val="20"/>
                <w:szCs w:val="20"/>
                <w:color w:val="auto"/>
              </w:rPr>
            </w:pPr>
            <w:r>
              <w:rPr>
                <w:rFonts w:ascii="Arial" w:cs="Arial" w:eastAsia="Arial" w:hAnsi="Arial"/>
                <w:sz w:val="18"/>
                <w:szCs w:val="18"/>
                <w:color w:val="auto"/>
                <w:w w:val="91"/>
              </w:rPr>
              <w:t xml:space="preserve">Transaction and integration costs </w:t>
            </w:r>
            <w:r>
              <w:rPr>
                <w:rFonts w:ascii="Arial" w:cs="Arial" w:eastAsia="Arial" w:hAnsi="Arial"/>
                <w:sz w:val="18"/>
                <w:szCs w:val="18"/>
                <w:color w:val="BDBDBD"/>
                <w:w w:val="91"/>
              </w:rPr>
              <w:t>. . . . . . . . . . . . . . . . . . . .</w:t>
            </w:r>
          </w:p>
        </w:tc>
        <w:tc>
          <w:tcPr>
            <w:tcW w:w="840" w:type="dxa"/>
            <w:vAlign w:val="bottom"/>
          </w:tcPr>
          <w:p>
            <w:pPr>
              <w:jc w:val="right"/>
              <w:spacing w:after="0"/>
              <w:rPr>
                <w:sz w:val="20"/>
                <w:szCs w:val="20"/>
                <w:color w:val="auto"/>
              </w:rPr>
            </w:pPr>
            <w:r>
              <w:rPr>
                <w:rFonts w:ascii="Arial" w:cs="Arial" w:eastAsia="Arial" w:hAnsi="Arial"/>
                <w:sz w:val="18"/>
                <w:szCs w:val="18"/>
                <w:color w:val="BDBDBD"/>
                <w:w w:val="91"/>
              </w:rPr>
              <w:t>. . . . . . . . .</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360" w:type="dxa"/>
            <w:vAlign w:val="bottom"/>
            <w:tcBorders>
              <w:top w:val="single" w:sz="8" w:color="E6E6E6"/>
            </w:tcBorders>
            <w:gridSpan w:val="6"/>
            <w:shd w:val="clear" w:color="auto" w:fill="E6E6E6"/>
          </w:tcPr>
          <w:p>
            <w:pPr>
              <w:jc w:val="right"/>
              <w:ind w:right="20"/>
              <w:spacing w:after="0"/>
              <w:rPr>
                <w:sz w:val="20"/>
                <w:szCs w:val="20"/>
                <w:color w:val="auto"/>
              </w:rPr>
            </w:pPr>
            <w:r>
              <w:rPr>
                <w:rFonts w:ascii="Arial" w:cs="Arial" w:eastAsia="Arial" w:hAnsi="Arial"/>
                <w:sz w:val="18"/>
                <w:szCs w:val="18"/>
                <w:color w:val="BDBDBD"/>
                <w:w w:val="94"/>
              </w:rPr>
              <w:t>. . . . . . . . . . . . . . . . . . . . . . . . . . . .</w:t>
            </w:r>
            <w:r>
              <w:rPr>
                <w:rFonts w:ascii="Arial" w:cs="Arial" w:eastAsia="Arial" w:hAnsi="Arial"/>
                <w:sz w:val="18"/>
                <w:szCs w:val="18"/>
                <w:color w:val="000000"/>
                <w:w w:val="94"/>
              </w:rPr>
              <w:t>Operatingincome(loss)</w:t>
            </w:r>
          </w:p>
        </w:tc>
        <w:tc>
          <w:tcPr>
            <w:tcW w:w="840" w:type="dxa"/>
            <w:vAlign w:val="bottom"/>
            <w:tcBorders>
              <w:top w:val="single" w:sz="8" w:color="E6E6E6"/>
            </w:tcBorders>
            <w:shd w:val="clear" w:color="auto" w:fill="E6E6E6"/>
          </w:tcPr>
          <w:p>
            <w:pPr>
              <w:jc w:val="right"/>
              <w:spacing w:after="0"/>
              <w:rPr>
                <w:sz w:val="20"/>
                <w:szCs w:val="20"/>
                <w:color w:val="auto"/>
              </w:rPr>
            </w:pPr>
            <w:r>
              <w:rPr>
                <w:rFonts w:ascii="Arial" w:cs="Arial" w:eastAsia="Arial" w:hAnsi="Arial"/>
                <w:sz w:val="18"/>
                <w:szCs w:val="18"/>
                <w:color w:val="BDBDBD"/>
                <w:w w:val="89"/>
              </w:rPr>
              <w:t>. . . . . . . . .</w:t>
            </w:r>
          </w:p>
        </w:tc>
        <w:tc>
          <w:tcPr>
            <w:tcW w:w="140" w:type="dxa"/>
            <w:vAlign w:val="bottom"/>
            <w:tcBorders>
              <w:top w:val="single" w:sz="8" w:color="auto"/>
            </w:tcBorders>
            <w:shd w:val="clear" w:color="auto" w:fill="E6E6E6"/>
          </w:tcPr>
          <w:p>
            <w:pPr>
              <w:spacing w:after="0"/>
              <w:rPr>
                <w:sz w:val="21"/>
                <w:szCs w:val="21"/>
                <w:color w:val="auto"/>
              </w:rPr>
            </w:pPr>
          </w:p>
        </w:tc>
        <w:tc>
          <w:tcPr>
            <w:tcW w:w="1060" w:type="dxa"/>
            <w:vAlign w:val="bottom"/>
            <w:tcBorders>
              <w:top w:val="single" w:sz="8" w:color="auto"/>
            </w:tcBorders>
            <w:gridSpan w:val="3"/>
            <w:shd w:val="clear" w:color="auto" w:fill="E6E6E6"/>
          </w:tcPr>
          <w:p>
            <w:pPr>
              <w:jc w:val="right"/>
              <w:spacing w:after="0"/>
              <w:rPr>
                <w:sz w:val="20"/>
                <w:szCs w:val="20"/>
                <w:color w:val="auto"/>
              </w:rPr>
            </w:pPr>
            <w:r>
              <w:rPr>
                <w:rFonts w:ascii="Arial" w:cs="Arial" w:eastAsia="Arial" w:hAnsi="Arial"/>
                <w:sz w:val="18"/>
                <w:szCs w:val="18"/>
                <w:color w:val="auto"/>
              </w:rPr>
              <w:t>137</w:t>
            </w:r>
          </w:p>
        </w:tc>
        <w:tc>
          <w:tcPr>
            <w:tcW w:w="80" w:type="dxa"/>
            <w:vAlign w:val="bottom"/>
            <w:tcBorders>
              <w:top w:val="single" w:sz="8" w:color="E6E6E6"/>
            </w:tcBorders>
            <w:shd w:val="clear" w:color="auto" w:fill="E6E6E6"/>
          </w:tcPr>
          <w:p>
            <w:pPr>
              <w:spacing w:after="0"/>
              <w:rPr>
                <w:sz w:val="21"/>
                <w:szCs w:val="21"/>
                <w:color w:val="auto"/>
              </w:rPr>
            </w:pPr>
          </w:p>
        </w:tc>
        <w:tc>
          <w:tcPr>
            <w:tcW w:w="100" w:type="dxa"/>
            <w:vAlign w:val="bottom"/>
            <w:tcBorders>
              <w:top w:val="single" w:sz="8" w:color="auto"/>
            </w:tcBorders>
            <w:shd w:val="clear" w:color="auto" w:fill="E6E6E6"/>
          </w:tcPr>
          <w:p>
            <w:pPr>
              <w:spacing w:after="0"/>
              <w:rPr>
                <w:sz w:val="21"/>
                <w:szCs w:val="21"/>
                <w:color w:val="auto"/>
              </w:rPr>
            </w:pPr>
          </w:p>
        </w:tc>
        <w:tc>
          <w:tcPr>
            <w:tcW w:w="60" w:type="dxa"/>
            <w:vAlign w:val="bottom"/>
            <w:tcBorders>
              <w:top w:val="single" w:sz="8" w:color="auto"/>
            </w:tcBorders>
            <w:shd w:val="clear" w:color="auto" w:fill="E6E6E6"/>
          </w:tcPr>
          <w:p>
            <w:pPr>
              <w:spacing w:after="0"/>
              <w:rPr>
                <w:sz w:val="21"/>
                <w:szCs w:val="21"/>
                <w:color w:val="auto"/>
              </w:rPr>
            </w:pPr>
          </w:p>
        </w:tc>
        <w:tc>
          <w:tcPr>
            <w:tcW w:w="1020" w:type="dxa"/>
            <w:vAlign w:val="bottom"/>
            <w:tcBorders>
              <w:top w:val="single" w:sz="8" w:color="auto"/>
            </w:tcBorders>
            <w:gridSpan w:val="2"/>
            <w:shd w:val="clear" w:color="auto" w:fill="E6E6E6"/>
          </w:tcPr>
          <w:p>
            <w:pPr>
              <w:jc w:val="right"/>
              <w:spacing w:after="0"/>
              <w:rPr>
                <w:sz w:val="20"/>
                <w:szCs w:val="20"/>
                <w:color w:val="auto"/>
              </w:rPr>
            </w:pPr>
            <w:r>
              <w:rPr>
                <w:rFonts w:ascii="Arial" w:cs="Arial" w:eastAsia="Arial" w:hAnsi="Arial"/>
                <w:sz w:val="18"/>
                <w:szCs w:val="18"/>
                <w:color w:val="auto"/>
              </w:rPr>
              <w:t>164</w:t>
            </w:r>
          </w:p>
        </w:tc>
        <w:tc>
          <w:tcPr>
            <w:tcW w:w="80" w:type="dxa"/>
            <w:vAlign w:val="bottom"/>
            <w:tcBorders>
              <w:top w:val="single" w:sz="8" w:color="E6E6E6"/>
            </w:tcBorders>
            <w:shd w:val="clear" w:color="auto" w:fill="E6E6E6"/>
          </w:tcPr>
          <w:p>
            <w:pPr>
              <w:spacing w:after="0"/>
              <w:rPr>
                <w:sz w:val="21"/>
                <w:szCs w:val="21"/>
                <w:color w:val="auto"/>
              </w:rPr>
            </w:pPr>
          </w:p>
        </w:tc>
        <w:tc>
          <w:tcPr>
            <w:tcW w:w="40" w:type="dxa"/>
            <w:vAlign w:val="bottom"/>
            <w:tcBorders>
              <w:top w:val="single" w:sz="8" w:color="auto"/>
            </w:tcBorders>
            <w:shd w:val="clear" w:color="auto" w:fill="E6E6E6"/>
          </w:tcPr>
          <w:p>
            <w:pPr>
              <w:spacing w:after="0"/>
              <w:rPr>
                <w:sz w:val="21"/>
                <w:szCs w:val="21"/>
                <w:color w:val="auto"/>
              </w:rPr>
            </w:pPr>
          </w:p>
        </w:tc>
        <w:tc>
          <w:tcPr>
            <w:tcW w:w="80" w:type="dxa"/>
            <w:vAlign w:val="bottom"/>
            <w:tcBorders>
              <w:top w:val="single" w:sz="8" w:color="auto"/>
            </w:tcBorders>
            <w:shd w:val="clear" w:color="auto" w:fill="E6E6E6"/>
          </w:tcPr>
          <w:p>
            <w:pPr>
              <w:spacing w:after="0"/>
              <w:rPr>
                <w:sz w:val="21"/>
                <w:szCs w:val="21"/>
                <w:color w:val="auto"/>
              </w:rPr>
            </w:pPr>
          </w:p>
        </w:tc>
        <w:tc>
          <w:tcPr>
            <w:tcW w:w="40" w:type="dxa"/>
            <w:vAlign w:val="bottom"/>
            <w:tcBorders>
              <w:top w:val="single" w:sz="8" w:color="auto"/>
            </w:tcBorders>
            <w:shd w:val="clear" w:color="auto" w:fill="E6E6E6"/>
          </w:tcPr>
          <w:p>
            <w:pPr>
              <w:spacing w:after="0"/>
              <w:rPr>
                <w:sz w:val="21"/>
                <w:szCs w:val="21"/>
                <w:color w:val="auto"/>
              </w:rPr>
            </w:pPr>
          </w:p>
        </w:tc>
        <w:tc>
          <w:tcPr>
            <w:tcW w:w="104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(38)</w:t>
            </w:r>
          </w:p>
        </w:tc>
        <w:tc>
          <w:tcPr>
            <w:tcW w:w="60" w:type="dxa"/>
            <w:vAlign w:val="bottom"/>
            <w:tcBorders>
              <w:top w:val="single" w:sz="8" w:color="E6E6E6"/>
            </w:tcBorders>
            <w:shd w:val="clear" w:color="auto" w:fill="E6E6E6"/>
          </w:tcPr>
          <w:p>
            <w:pPr>
              <w:spacing w:after="0"/>
              <w:rPr>
                <w:sz w:val="21"/>
                <w:szCs w:val="21"/>
                <w:color w:val="auto"/>
              </w:rPr>
            </w:pPr>
          </w:p>
        </w:tc>
        <w:tc>
          <w:tcPr>
            <w:tcW w:w="20" w:type="dxa"/>
            <w:vAlign w:val="bottom"/>
            <w:tcBorders>
              <w:top w:val="single" w:sz="8" w:color="auto"/>
            </w:tcBorders>
            <w:shd w:val="clear" w:color="auto" w:fill="E6E6E6"/>
          </w:tcPr>
          <w:p>
            <w:pPr>
              <w:spacing w:after="0"/>
              <w:rPr>
                <w:sz w:val="21"/>
                <w:szCs w:val="21"/>
                <w:color w:val="auto"/>
              </w:rPr>
            </w:pPr>
          </w:p>
        </w:tc>
        <w:tc>
          <w:tcPr>
            <w:tcW w:w="60" w:type="dxa"/>
            <w:vAlign w:val="bottom"/>
            <w:tcBorders>
              <w:top w:val="single" w:sz="8" w:color="auto"/>
            </w:tcBorders>
            <w:shd w:val="clear" w:color="auto" w:fill="E6E6E6"/>
          </w:tcPr>
          <w:p>
            <w:pPr>
              <w:spacing w:after="0"/>
              <w:rPr>
                <w:sz w:val="21"/>
                <w:szCs w:val="21"/>
                <w:color w:val="auto"/>
              </w:rPr>
            </w:pPr>
          </w:p>
        </w:tc>
        <w:tc>
          <w:tcPr>
            <w:tcW w:w="140" w:type="dxa"/>
            <w:vAlign w:val="bottom"/>
            <w:tcBorders>
              <w:top w:val="single" w:sz="8" w:color="auto"/>
            </w:tcBorders>
            <w:shd w:val="clear" w:color="auto" w:fill="E6E6E6"/>
          </w:tcPr>
          <w:p>
            <w:pPr>
              <w:spacing w:after="0"/>
              <w:rPr>
                <w:sz w:val="21"/>
                <w:szCs w:val="21"/>
                <w:color w:val="auto"/>
              </w:rPr>
            </w:pPr>
          </w:p>
        </w:tc>
        <w:tc>
          <w:tcPr>
            <w:tcW w:w="98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263</w:t>
            </w:r>
          </w:p>
        </w:tc>
        <w:tc>
          <w:tcPr>
            <w:tcW w:w="20" w:type="dxa"/>
            <w:vAlign w:val="bottom"/>
            <w:tcBorders>
              <w:top w:val="single" w:sz="8" w:color="auto"/>
            </w:tcBorders>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80" w:type="dxa"/>
            <w:vAlign w:val="bottom"/>
          </w:tcPr>
          <w:p>
            <w:pPr>
              <w:spacing w:after="0"/>
              <w:rPr>
                <w:sz w:val="22"/>
                <w:szCs w:val="22"/>
                <w:color w:val="auto"/>
              </w:rPr>
            </w:pPr>
          </w:p>
        </w:tc>
        <w:tc>
          <w:tcPr>
            <w:tcW w:w="5120" w:type="dxa"/>
            <w:vAlign w:val="bottom"/>
            <w:gridSpan w:val="6"/>
          </w:tcPr>
          <w:p>
            <w:pPr>
              <w:ind w:left="100"/>
              <w:spacing w:after="0"/>
              <w:rPr>
                <w:sz w:val="20"/>
                <w:szCs w:val="20"/>
                <w:color w:val="auto"/>
              </w:rPr>
            </w:pPr>
            <w:r>
              <w:rPr>
                <w:rFonts w:ascii="Arial" w:cs="Arial" w:eastAsia="Arial" w:hAnsi="Arial"/>
                <w:sz w:val="18"/>
                <w:szCs w:val="18"/>
                <w:color w:val="auto"/>
                <w:w w:val="92"/>
              </w:rPr>
              <w:t xml:space="preserve">Equity in earnings of unconsolidated affiliates </w:t>
            </w:r>
            <w:r>
              <w:rPr>
                <w:rFonts w:ascii="Arial" w:cs="Arial" w:eastAsia="Arial" w:hAnsi="Arial"/>
                <w:sz w:val="18"/>
                <w:szCs w:val="18"/>
                <w:color w:val="BDBDBD"/>
                <w:w w:val="92"/>
              </w:rPr>
              <w:t>. . . . . . . . . . . . . . . . . .</w:t>
            </w:r>
          </w:p>
        </w:tc>
        <w:tc>
          <w:tcPr>
            <w:tcW w:w="140" w:type="dxa"/>
            <w:vAlign w:val="bottom"/>
          </w:tcPr>
          <w:p>
            <w:pPr>
              <w:spacing w:after="0"/>
              <w:rPr>
                <w:sz w:val="22"/>
                <w:szCs w:val="22"/>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80" w:type="dxa"/>
            <w:vAlign w:val="bottom"/>
            <w:shd w:val="clear" w:color="auto" w:fill="E6E6E6"/>
          </w:tcPr>
          <w:p>
            <w:pPr>
              <w:spacing w:after="0"/>
              <w:rPr>
                <w:sz w:val="22"/>
                <w:szCs w:val="22"/>
                <w:color w:val="auto"/>
              </w:rPr>
            </w:pPr>
          </w:p>
        </w:tc>
        <w:tc>
          <w:tcPr>
            <w:tcW w:w="4280" w:type="dxa"/>
            <w:vAlign w:val="bottom"/>
            <w:gridSpan w:val="5"/>
            <w:shd w:val="clear" w:color="auto" w:fill="E6E6E6"/>
          </w:tcPr>
          <w:p>
            <w:pPr>
              <w:jc w:val="right"/>
              <w:ind w:right="20"/>
              <w:spacing w:after="0"/>
              <w:rPr>
                <w:sz w:val="20"/>
                <w:szCs w:val="20"/>
                <w:color w:val="auto"/>
              </w:rPr>
            </w:pPr>
            <w:r>
              <w:rPr>
                <w:rFonts w:ascii="Arial" w:cs="Arial" w:eastAsia="Arial" w:hAnsi="Arial"/>
                <w:sz w:val="18"/>
                <w:szCs w:val="18"/>
                <w:color w:val="auto"/>
                <w:w w:val="91"/>
              </w:rPr>
              <w:t xml:space="preserve">Other income, net </w:t>
            </w:r>
            <w:r>
              <w:rPr>
                <w:rFonts w:ascii="Arial" w:cs="Arial" w:eastAsia="Arial" w:hAnsi="Arial"/>
                <w:sz w:val="18"/>
                <w:szCs w:val="18"/>
                <w:color w:val="BDBDBD"/>
                <w:w w:val="91"/>
              </w:rPr>
              <w:t>. . . . . . . . . . . . . . . . . . . . . . . . . . . . . . . .</w:t>
            </w: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BDBDBD"/>
                <w:w w:val="91"/>
              </w:rPr>
              <w:t>. . . . . . . . .</w:t>
            </w:r>
          </w:p>
        </w:tc>
        <w:tc>
          <w:tcPr>
            <w:tcW w:w="140" w:type="dxa"/>
            <w:vAlign w:val="bottom"/>
            <w:shd w:val="clear" w:color="auto" w:fill="E6E6E6"/>
          </w:tcPr>
          <w:p>
            <w:pPr>
              <w:spacing w:after="0"/>
              <w:rPr>
                <w:sz w:val="22"/>
                <w:szCs w:val="22"/>
                <w:color w:val="auto"/>
              </w:rPr>
            </w:pPr>
          </w:p>
        </w:tc>
        <w:tc>
          <w:tcPr>
            <w:tcW w:w="1060" w:type="dxa"/>
            <w:vAlign w:val="bottom"/>
            <w:gridSpan w:val="3"/>
            <w:shd w:val="clear" w:color="auto" w:fill="E6E6E6"/>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E6E6E6"/>
          </w:tcPr>
          <w:p>
            <w:pPr>
              <w:spacing w:after="0"/>
              <w:rPr>
                <w:sz w:val="22"/>
                <w:szCs w:val="22"/>
                <w:color w:val="auto"/>
              </w:rPr>
            </w:pPr>
          </w:p>
        </w:tc>
        <w:tc>
          <w:tcPr>
            <w:tcW w:w="10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102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E6E6E6"/>
          </w:tcPr>
          <w:p>
            <w:pPr>
              <w:spacing w:after="0"/>
              <w:rPr>
                <w:sz w:val="22"/>
                <w:szCs w:val="22"/>
                <w:color w:val="auto"/>
              </w:rPr>
            </w:pPr>
          </w:p>
        </w:tc>
        <w:tc>
          <w:tcPr>
            <w:tcW w:w="4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40" w:type="dxa"/>
            <w:vAlign w:val="bottom"/>
            <w:shd w:val="clear" w:color="auto" w:fill="E6E6E6"/>
          </w:tcPr>
          <w:p>
            <w:pPr>
              <w:spacing w:after="0"/>
              <w:rPr>
                <w:sz w:val="22"/>
                <w:szCs w:val="22"/>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52</w:t>
            </w:r>
          </w:p>
        </w:tc>
        <w:tc>
          <w:tcPr>
            <w:tcW w:w="2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80" w:type="dxa"/>
            <w:vAlign w:val="bottom"/>
          </w:tcPr>
          <w:p>
            <w:pPr>
              <w:spacing w:after="0"/>
              <w:rPr>
                <w:sz w:val="22"/>
                <w:szCs w:val="22"/>
                <w:color w:val="auto"/>
              </w:rPr>
            </w:pPr>
          </w:p>
        </w:tc>
        <w:tc>
          <w:tcPr>
            <w:tcW w:w="4280" w:type="dxa"/>
            <w:vAlign w:val="bottom"/>
            <w:gridSpan w:val="5"/>
          </w:tcPr>
          <w:p>
            <w:pPr>
              <w:jc w:val="right"/>
              <w:ind w:right="20"/>
              <w:spacing w:after="0"/>
              <w:rPr>
                <w:sz w:val="20"/>
                <w:szCs w:val="20"/>
                <w:color w:val="auto"/>
              </w:rPr>
            </w:pPr>
            <w:r>
              <w:rPr>
                <w:rFonts w:ascii="Arial" w:cs="Arial" w:eastAsia="Arial" w:hAnsi="Arial"/>
                <w:sz w:val="18"/>
                <w:szCs w:val="18"/>
                <w:color w:val="auto"/>
                <w:w w:val="92"/>
              </w:rPr>
              <w:t xml:space="preserve">Loss on debt extinguishment </w:t>
            </w:r>
            <w:r>
              <w:rPr>
                <w:rFonts w:ascii="Arial" w:cs="Arial" w:eastAsia="Arial" w:hAnsi="Arial"/>
                <w:sz w:val="18"/>
                <w:szCs w:val="18"/>
                <w:color w:val="BDBDBD"/>
                <w:w w:val="92"/>
              </w:rPr>
              <w:t>. . . . . . . . . . . . . . . . . . . . . . .</w:t>
            </w:r>
          </w:p>
        </w:tc>
        <w:tc>
          <w:tcPr>
            <w:tcW w:w="840" w:type="dxa"/>
            <w:vAlign w:val="bottom"/>
          </w:tcPr>
          <w:p>
            <w:pPr>
              <w:jc w:val="right"/>
              <w:spacing w:after="0"/>
              <w:rPr>
                <w:sz w:val="20"/>
                <w:szCs w:val="20"/>
                <w:color w:val="auto"/>
              </w:rPr>
            </w:pPr>
            <w:r>
              <w:rPr>
                <w:rFonts w:ascii="Arial" w:cs="Arial" w:eastAsia="Arial" w:hAnsi="Arial"/>
                <w:sz w:val="18"/>
                <w:szCs w:val="18"/>
                <w:color w:val="BDBDBD"/>
                <w:w w:val="89"/>
              </w:rPr>
              <w:t>. . . . . . . . .</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0" w:type="dxa"/>
            <w:vAlign w:val="bottom"/>
            <w:tcBorders>
              <w:bottom w:val="single" w:sz="8" w:color="E6E6E6"/>
            </w:tcBorders>
            <w:shd w:val="clear" w:color="auto" w:fill="E6E6E6"/>
          </w:tcPr>
          <w:p>
            <w:pPr>
              <w:spacing w:after="0"/>
              <w:rPr>
                <w:sz w:val="22"/>
                <w:szCs w:val="22"/>
                <w:color w:val="auto"/>
              </w:rPr>
            </w:pPr>
          </w:p>
        </w:tc>
        <w:tc>
          <w:tcPr>
            <w:tcW w:w="4280" w:type="dxa"/>
            <w:vAlign w:val="bottom"/>
            <w:tcBorders>
              <w:bottom w:val="single" w:sz="8" w:color="E6E6E6"/>
            </w:tcBorders>
            <w:gridSpan w:val="5"/>
            <w:shd w:val="clear" w:color="auto" w:fill="E6E6E6"/>
          </w:tcPr>
          <w:p>
            <w:pPr>
              <w:jc w:val="right"/>
              <w:ind w:right="20"/>
              <w:spacing w:after="0"/>
              <w:rPr>
                <w:sz w:val="20"/>
                <w:szCs w:val="20"/>
                <w:color w:val="auto"/>
              </w:rPr>
            </w:pPr>
            <w:r>
              <w:rPr>
                <w:rFonts w:ascii="Arial" w:cs="Arial" w:eastAsia="Arial" w:hAnsi="Arial"/>
                <w:sz w:val="18"/>
                <w:szCs w:val="18"/>
                <w:color w:val="auto"/>
                <w:w w:val="91"/>
              </w:rPr>
              <w:t xml:space="preserve">Interest expense </w:t>
            </w:r>
            <w:r>
              <w:rPr>
                <w:rFonts w:ascii="Arial" w:cs="Arial" w:eastAsia="Arial" w:hAnsi="Arial"/>
                <w:sz w:val="18"/>
                <w:szCs w:val="18"/>
                <w:color w:val="BDBDBD"/>
                <w:w w:val="91"/>
              </w:rPr>
              <w:t>. . . . . . . . . . . . . . . . . . . . . . . . . . . . . . . . .</w:t>
            </w:r>
          </w:p>
        </w:tc>
        <w:tc>
          <w:tcPr>
            <w:tcW w:w="8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BDBDBD"/>
                <w:w w:val="91"/>
              </w:rPr>
              <w:t>. . . . . . . . .</w:t>
            </w:r>
          </w:p>
        </w:tc>
        <w:tc>
          <w:tcPr>
            <w:tcW w:w="140" w:type="dxa"/>
            <w:vAlign w:val="bottom"/>
            <w:tcBorders>
              <w:bottom w:val="single" w:sz="8" w:color="auto"/>
            </w:tcBorders>
            <w:shd w:val="clear" w:color="auto" w:fill="E6E6E6"/>
          </w:tcPr>
          <w:p>
            <w:pPr>
              <w:spacing w:after="0"/>
              <w:rPr>
                <w:sz w:val="22"/>
                <w:szCs w:val="22"/>
                <w:color w:val="auto"/>
              </w:rPr>
            </w:pPr>
          </w:p>
        </w:tc>
        <w:tc>
          <w:tcPr>
            <w:tcW w:w="1060" w:type="dxa"/>
            <w:vAlign w:val="bottom"/>
            <w:tcBorders>
              <w:bottom w:val="single" w:sz="8" w:color="auto"/>
            </w:tcBorders>
            <w:gridSpan w:val="3"/>
            <w:shd w:val="clear" w:color="auto" w:fill="E6E6E6"/>
          </w:tcPr>
          <w:p>
            <w:pPr>
              <w:jc w:val="right"/>
              <w:spacing w:after="0"/>
              <w:rPr>
                <w:sz w:val="20"/>
                <w:szCs w:val="20"/>
                <w:color w:val="auto"/>
              </w:rPr>
            </w:pPr>
            <w:r>
              <w:rPr>
                <w:rFonts w:ascii="Arial" w:cs="Arial" w:eastAsia="Arial" w:hAnsi="Arial"/>
                <w:sz w:val="18"/>
                <w:szCs w:val="18"/>
                <w:color w:val="auto"/>
              </w:rPr>
              <w:t>(35)</w:t>
            </w:r>
          </w:p>
        </w:tc>
        <w:tc>
          <w:tcPr>
            <w:tcW w:w="80" w:type="dxa"/>
            <w:vAlign w:val="bottom"/>
            <w:tcBorders>
              <w:bottom w:val="single" w:sz="8" w:color="E6E6E6"/>
            </w:tcBorders>
            <w:shd w:val="clear" w:color="auto" w:fill="E6E6E6"/>
          </w:tcPr>
          <w:p>
            <w:pPr>
              <w:spacing w:after="0"/>
              <w:rPr>
                <w:sz w:val="22"/>
                <w:szCs w:val="22"/>
                <w:color w:val="auto"/>
              </w:rPr>
            </w:pPr>
          </w:p>
        </w:tc>
        <w:tc>
          <w:tcPr>
            <w:tcW w:w="100" w:type="dxa"/>
            <w:vAlign w:val="bottom"/>
            <w:tcBorders>
              <w:bottom w:val="single" w:sz="8" w:color="auto"/>
            </w:tcBorders>
            <w:shd w:val="clear" w:color="auto" w:fill="E6E6E6"/>
          </w:tcPr>
          <w:p>
            <w:pPr>
              <w:spacing w:after="0"/>
              <w:rPr>
                <w:sz w:val="22"/>
                <w:szCs w:val="22"/>
                <w:color w:val="auto"/>
              </w:rPr>
            </w:pPr>
          </w:p>
        </w:tc>
        <w:tc>
          <w:tcPr>
            <w:tcW w:w="60" w:type="dxa"/>
            <w:vAlign w:val="bottom"/>
            <w:tcBorders>
              <w:bottom w:val="single" w:sz="8" w:color="auto"/>
            </w:tcBorders>
            <w:shd w:val="clear" w:color="auto" w:fill="E6E6E6"/>
          </w:tcPr>
          <w:p>
            <w:pPr>
              <w:spacing w:after="0"/>
              <w:rPr>
                <w:sz w:val="22"/>
                <w:szCs w:val="22"/>
                <w:color w:val="auto"/>
              </w:rPr>
            </w:pPr>
          </w:p>
        </w:tc>
        <w:tc>
          <w:tcPr>
            <w:tcW w:w="1020" w:type="dxa"/>
            <w:vAlign w:val="bottom"/>
            <w:tcBorders>
              <w:bottom w:val="single" w:sz="8" w:color="auto"/>
            </w:tcBorders>
            <w:gridSpan w:val="2"/>
            <w:shd w:val="clear" w:color="auto" w:fill="E6E6E6"/>
          </w:tcPr>
          <w:p>
            <w:pPr>
              <w:jc w:val="right"/>
              <w:spacing w:after="0"/>
              <w:rPr>
                <w:sz w:val="20"/>
                <w:szCs w:val="20"/>
                <w:color w:val="auto"/>
              </w:rPr>
            </w:pPr>
            <w:r>
              <w:rPr>
                <w:rFonts w:ascii="Arial" w:cs="Arial" w:eastAsia="Arial" w:hAnsi="Arial"/>
                <w:sz w:val="18"/>
                <w:szCs w:val="18"/>
                <w:color w:val="auto"/>
              </w:rPr>
              <w:t>(205)</w:t>
            </w:r>
          </w:p>
        </w:tc>
        <w:tc>
          <w:tcPr>
            <w:tcW w:w="80" w:type="dxa"/>
            <w:vAlign w:val="bottom"/>
            <w:tcBorders>
              <w:bottom w:val="single" w:sz="8" w:color="E6E6E6"/>
            </w:tcBorders>
            <w:shd w:val="clear" w:color="auto" w:fill="E6E6E6"/>
          </w:tcPr>
          <w:p>
            <w:pPr>
              <w:spacing w:after="0"/>
              <w:rPr>
                <w:sz w:val="22"/>
                <w:szCs w:val="22"/>
                <w:color w:val="auto"/>
              </w:rPr>
            </w:pPr>
          </w:p>
        </w:tc>
        <w:tc>
          <w:tcPr>
            <w:tcW w:w="40" w:type="dxa"/>
            <w:vAlign w:val="bottom"/>
            <w:tcBorders>
              <w:bottom w:val="single" w:sz="8" w:color="auto"/>
            </w:tcBorders>
            <w:shd w:val="clear" w:color="auto" w:fill="E6E6E6"/>
          </w:tcPr>
          <w:p>
            <w:pPr>
              <w:spacing w:after="0"/>
              <w:rPr>
                <w:sz w:val="22"/>
                <w:szCs w:val="22"/>
                <w:color w:val="auto"/>
              </w:rPr>
            </w:pPr>
          </w:p>
        </w:tc>
        <w:tc>
          <w:tcPr>
            <w:tcW w:w="80" w:type="dxa"/>
            <w:vAlign w:val="bottom"/>
            <w:tcBorders>
              <w:bottom w:val="single" w:sz="8" w:color="auto"/>
            </w:tcBorders>
            <w:shd w:val="clear" w:color="auto" w:fill="E6E6E6"/>
          </w:tcPr>
          <w:p>
            <w:pPr>
              <w:spacing w:after="0"/>
              <w:rPr>
                <w:sz w:val="22"/>
                <w:szCs w:val="22"/>
                <w:color w:val="auto"/>
              </w:rPr>
            </w:pPr>
          </w:p>
        </w:tc>
        <w:tc>
          <w:tcPr>
            <w:tcW w:w="40" w:type="dxa"/>
            <w:vAlign w:val="bottom"/>
            <w:tcBorders>
              <w:bottom w:val="single" w:sz="8" w:color="auto"/>
            </w:tcBorders>
            <w:shd w:val="clear" w:color="auto" w:fill="E6E6E6"/>
          </w:tcPr>
          <w:p>
            <w:pPr>
              <w:spacing w:after="0"/>
              <w:rPr>
                <w:sz w:val="22"/>
                <w:szCs w:val="22"/>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(97)</w:t>
            </w:r>
          </w:p>
        </w:tc>
        <w:tc>
          <w:tcPr>
            <w:tcW w:w="6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auto"/>
            </w:tcBorders>
            <w:shd w:val="clear" w:color="auto" w:fill="E6E6E6"/>
          </w:tcPr>
          <w:p>
            <w:pPr>
              <w:spacing w:after="0"/>
              <w:rPr>
                <w:sz w:val="22"/>
                <w:szCs w:val="22"/>
                <w:color w:val="auto"/>
              </w:rPr>
            </w:pPr>
          </w:p>
        </w:tc>
        <w:tc>
          <w:tcPr>
            <w:tcW w:w="60" w:type="dxa"/>
            <w:vAlign w:val="bottom"/>
            <w:tcBorders>
              <w:bottom w:val="single" w:sz="8" w:color="auto"/>
            </w:tcBorders>
            <w:shd w:val="clear" w:color="auto" w:fill="E6E6E6"/>
          </w:tcPr>
          <w:p>
            <w:pPr>
              <w:spacing w:after="0"/>
              <w:rPr>
                <w:sz w:val="22"/>
                <w:szCs w:val="22"/>
                <w:color w:val="auto"/>
              </w:rPr>
            </w:pPr>
          </w:p>
        </w:tc>
        <w:tc>
          <w:tcPr>
            <w:tcW w:w="140" w:type="dxa"/>
            <w:vAlign w:val="bottom"/>
            <w:tcBorders>
              <w:bottom w:val="single" w:sz="8" w:color="auto"/>
            </w:tcBorders>
            <w:shd w:val="clear" w:color="auto" w:fill="E6E6E6"/>
          </w:tcPr>
          <w:p>
            <w:pPr>
              <w:spacing w:after="0"/>
              <w:rPr>
                <w:sz w:val="22"/>
                <w:szCs w:val="22"/>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(337)</w:t>
            </w:r>
          </w:p>
        </w:tc>
        <w:tc>
          <w:tcPr>
            <w:tcW w:w="20" w:type="dxa"/>
            <w:vAlign w:val="bottom"/>
            <w:tcBorders>
              <w:bottom w:val="single" w:sz="8" w:color="E6E6E6"/>
            </w:tcBorders>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4360" w:type="dxa"/>
            <w:vAlign w:val="bottom"/>
            <w:gridSpan w:val="6"/>
          </w:tcPr>
          <w:p>
            <w:pPr>
              <w:jc w:val="right"/>
              <w:ind w:right="20"/>
              <w:spacing w:after="0"/>
              <w:rPr>
                <w:sz w:val="20"/>
                <w:szCs w:val="20"/>
                <w:color w:val="auto"/>
              </w:rPr>
            </w:pPr>
            <w:r>
              <w:rPr>
                <w:rFonts w:ascii="Arial" w:cs="Arial" w:eastAsia="Arial" w:hAnsi="Arial"/>
                <w:sz w:val="18"/>
                <w:szCs w:val="18"/>
                <w:color w:val="BDBDBD"/>
                <w:w w:val="95"/>
              </w:rPr>
              <w:t>. . . . . . . . . . . . . . . . . . . .</w:t>
            </w:r>
            <w:r>
              <w:rPr>
                <w:rFonts w:ascii="Arial" w:cs="Arial" w:eastAsia="Arial" w:hAnsi="Arial"/>
                <w:sz w:val="18"/>
                <w:szCs w:val="18"/>
                <w:color w:val="000000"/>
                <w:w w:val="95"/>
              </w:rPr>
              <w:t>Income(loss)beforeincometaxes</w:t>
            </w:r>
          </w:p>
        </w:tc>
        <w:tc>
          <w:tcPr>
            <w:tcW w:w="840" w:type="dxa"/>
            <w:vAlign w:val="bottom"/>
          </w:tcPr>
          <w:p>
            <w:pPr>
              <w:jc w:val="right"/>
              <w:spacing w:after="0"/>
              <w:rPr>
                <w:sz w:val="20"/>
                <w:szCs w:val="20"/>
                <w:color w:val="auto"/>
              </w:rPr>
            </w:pPr>
            <w:r>
              <w:rPr>
                <w:rFonts w:ascii="Arial" w:cs="Arial" w:eastAsia="Arial" w:hAnsi="Arial"/>
                <w:sz w:val="18"/>
                <w:szCs w:val="18"/>
                <w:color w:val="BDBDBD"/>
                <w:w w:val="89"/>
              </w:rPr>
              <w:t>. . . . . . . . .</w:t>
            </w:r>
          </w:p>
        </w:tc>
        <w:tc>
          <w:tcPr>
            <w:tcW w:w="14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80" w:type="dxa"/>
            <w:vAlign w:val="bottom"/>
            <w:shd w:val="clear" w:color="auto" w:fill="E6E6E6"/>
          </w:tcPr>
          <w:p>
            <w:pPr>
              <w:spacing w:after="0"/>
              <w:rPr>
                <w:sz w:val="23"/>
                <w:szCs w:val="23"/>
                <w:color w:val="auto"/>
              </w:rPr>
            </w:pPr>
          </w:p>
        </w:tc>
        <w:tc>
          <w:tcPr>
            <w:tcW w:w="4280" w:type="dxa"/>
            <w:vAlign w:val="bottom"/>
            <w:gridSpan w:val="5"/>
            <w:shd w:val="clear" w:color="auto" w:fill="E6E6E6"/>
          </w:tcPr>
          <w:p>
            <w:pPr>
              <w:jc w:val="right"/>
              <w:ind w:right="20"/>
              <w:spacing w:after="0"/>
              <w:rPr>
                <w:sz w:val="20"/>
                <w:szCs w:val="20"/>
                <w:color w:val="auto"/>
              </w:rPr>
            </w:pPr>
            <w:r>
              <w:rPr>
                <w:rFonts w:ascii="Arial" w:cs="Arial" w:eastAsia="Arial" w:hAnsi="Arial"/>
                <w:sz w:val="18"/>
                <w:szCs w:val="18"/>
                <w:color w:val="auto"/>
                <w:w w:val="91"/>
              </w:rPr>
              <w:t xml:space="preserve">Income tax (benefit) expense </w:t>
            </w:r>
            <w:r>
              <w:rPr>
                <w:rFonts w:ascii="Arial" w:cs="Arial" w:eastAsia="Arial" w:hAnsi="Arial"/>
                <w:sz w:val="18"/>
                <w:szCs w:val="18"/>
                <w:color w:val="BDBDBD"/>
                <w:w w:val="91"/>
              </w:rPr>
              <w:t>. . . . . . . . . . . . . . . . . . . . . . .</w:t>
            </w: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BDBDBD"/>
                <w:w w:val="89"/>
              </w:rPr>
              <w:t>. . . . . . . . .</w:t>
            </w:r>
          </w:p>
        </w:tc>
        <w:tc>
          <w:tcPr>
            <w:tcW w:w="14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3"/>
                <w:szCs w:val="23"/>
                <w:color w:val="auto"/>
              </w:rPr>
            </w:pPr>
          </w:p>
        </w:tc>
        <w:tc>
          <w:tcPr>
            <w:tcW w:w="10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102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E6E6E6"/>
          </w:tcPr>
          <w:p>
            <w:pPr>
              <w:spacing w:after="0"/>
              <w:rPr>
                <w:sz w:val="23"/>
                <w:szCs w:val="23"/>
                <w:color w:val="auto"/>
              </w:rPr>
            </w:pPr>
          </w:p>
        </w:tc>
        <w:tc>
          <w:tcPr>
            <w:tcW w:w="4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40" w:type="dxa"/>
            <w:vAlign w:val="bottom"/>
            <w:shd w:val="clear" w:color="auto" w:fill="E6E6E6"/>
          </w:tcPr>
          <w:p>
            <w:pPr>
              <w:spacing w:after="0"/>
              <w:rPr>
                <w:sz w:val="23"/>
                <w:szCs w:val="23"/>
                <w:color w:val="auto"/>
              </w:rPr>
            </w:pPr>
          </w:p>
        </w:tc>
        <w:tc>
          <w:tcPr>
            <w:tcW w:w="1100" w:type="dxa"/>
            <w:vAlign w:val="bottom"/>
            <w:gridSpan w:val="2"/>
            <w:shd w:val="clear" w:color="auto" w:fill="E6E6E6"/>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140" w:type="dxa"/>
            <w:vAlign w:val="bottom"/>
            <w:shd w:val="clear" w:color="auto" w:fill="E6E6E6"/>
          </w:tcPr>
          <w:p>
            <w:pPr>
              <w:spacing w:after="0"/>
              <w:rPr>
                <w:sz w:val="23"/>
                <w:szCs w:val="23"/>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4360" w:type="dxa"/>
            <w:vAlign w:val="bottom"/>
            <w:tcBorders>
              <w:top w:val="single" w:sz="8" w:color="E6E6E6"/>
              <w:bottom w:val="single" w:sz="8" w:color="E6E6E6"/>
            </w:tcBorders>
            <w:gridSpan w:val="6"/>
          </w:tcPr>
          <w:p>
            <w:pPr>
              <w:jc w:val="right"/>
              <w:ind w:right="20"/>
              <w:spacing w:after="0"/>
              <w:rPr>
                <w:sz w:val="20"/>
                <w:szCs w:val="20"/>
                <w:color w:val="auto"/>
              </w:rPr>
            </w:pPr>
            <w:r>
              <w:rPr>
                <w:rFonts w:ascii="Arial" w:cs="Arial" w:eastAsia="Arial" w:hAnsi="Arial"/>
                <w:sz w:val="18"/>
                <w:szCs w:val="18"/>
                <w:b w:val="1"/>
                <w:bCs w:val="1"/>
                <w:color w:val="BDBDBD"/>
                <w:w w:val="93"/>
              </w:rPr>
              <w:t>. . . . . . . . . . . . . . . . . . . . . . . . . . . . . . . .</w:t>
            </w:r>
            <w:r>
              <w:rPr>
                <w:rFonts w:ascii="Arial" w:cs="Arial" w:eastAsia="Arial" w:hAnsi="Arial"/>
                <w:sz w:val="18"/>
                <w:szCs w:val="18"/>
                <w:b w:val="1"/>
                <w:bCs w:val="1"/>
                <w:color w:val="000000"/>
                <w:w w:val="93"/>
              </w:rPr>
              <w:t>NetIncome(Loss)</w:t>
            </w:r>
          </w:p>
        </w:tc>
        <w:tc>
          <w:tcPr>
            <w:tcW w:w="840" w:type="dxa"/>
            <w:vAlign w:val="bottom"/>
            <w:tcBorders>
              <w:top w:val="single" w:sz="8" w:color="E6E6E6"/>
              <w:bottom w:val="single" w:sz="8" w:color="E6E6E6"/>
            </w:tcBorders>
          </w:tcPr>
          <w:p>
            <w:pPr>
              <w:jc w:val="right"/>
              <w:spacing w:after="0"/>
              <w:rPr>
                <w:sz w:val="20"/>
                <w:szCs w:val="20"/>
                <w:color w:val="auto"/>
              </w:rPr>
            </w:pPr>
            <w:r>
              <w:rPr>
                <w:rFonts w:ascii="Arial" w:cs="Arial" w:eastAsia="Arial" w:hAnsi="Arial"/>
                <w:sz w:val="18"/>
                <w:szCs w:val="18"/>
                <w:b w:val="1"/>
                <w:bCs w:val="1"/>
                <w:color w:val="BDBDBD"/>
                <w:w w:val="89"/>
              </w:rPr>
              <w:t>. . . . . . . . .</w:t>
            </w:r>
          </w:p>
        </w:tc>
        <w:tc>
          <w:tcPr>
            <w:tcW w:w="14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109</w:t>
            </w:r>
          </w:p>
        </w:tc>
        <w:tc>
          <w:tcPr>
            <w:tcW w:w="80" w:type="dxa"/>
            <w:vAlign w:val="bottom"/>
            <w:tcBorders>
              <w:top w:val="single" w:sz="8" w:color="E6E6E6"/>
              <w:bottom w:val="single" w:sz="8" w:color="E6E6E6"/>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top w:val="single" w:sz="8" w:color="E6E6E6"/>
              <w:bottom w:val="single" w:sz="8" w:color="E6E6E6"/>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60" w:type="dxa"/>
            <w:vAlign w:val="bottom"/>
            <w:tcBorders>
              <w:top w:val="single" w:sz="8" w:color="E6E6E6"/>
              <w:bottom w:val="single" w:sz="8" w:color="E6E6E6"/>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 w:type="dxa"/>
            <w:vAlign w:val="bottom"/>
            <w:tcBorders>
              <w:top w:val="single" w:sz="8" w:color="E6E6E6"/>
              <w:bottom w:val="single" w:sz="8" w:color="E6E6E6"/>
            </w:tcBorders>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4360" w:type="dxa"/>
            <w:vAlign w:val="bottom"/>
            <w:gridSpan w:val="6"/>
            <w:shd w:val="clear" w:color="auto" w:fill="E6E6E6"/>
          </w:tcPr>
          <w:p>
            <w:pPr>
              <w:jc w:val="right"/>
              <w:spacing w:after="0"/>
              <w:rPr>
                <w:sz w:val="20"/>
                <w:szCs w:val="20"/>
                <w:color w:val="auto"/>
              </w:rPr>
            </w:pPr>
            <w:r>
              <w:rPr>
                <w:rFonts w:ascii="Arial" w:cs="Arial" w:eastAsia="Arial" w:hAnsi="Arial"/>
                <w:sz w:val="18"/>
                <w:szCs w:val="18"/>
                <w:b w:val="1"/>
                <w:bCs w:val="1"/>
                <w:color w:val="auto"/>
                <w:w w:val="92"/>
              </w:rPr>
              <w:t>Net Income (Loss) Attributable to Clearway Energy, Inc</w:t>
            </w: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w w:val="89"/>
              </w:rPr>
              <w:t xml:space="preserve">. </w:t>
            </w:r>
            <w:r>
              <w:rPr>
                <w:rFonts w:ascii="Arial" w:cs="Arial" w:eastAsia="Arial" w:hAnsi="Arial"/>
                <w:sz w:val="18"/>
                <w:szCs w:val="18"/>
                <w:b w:val="1"/>
                <w:bCs w:val="1"/>
                <w:color w:val="BDBDBD"/>
                <w:w w:val="89"/>
              </w:rPr>
              <w:t>. . . . . . . .</w:t>
            </w:r>
          </w:p>
        </w:tc>
        <w:tc>
          <w:tcPr>
            <w:tcW w:w="1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E6E6E6"/>
          </w:tcPr>
          <w:p>
            <w:pPr>
              <w:jc w:val="right"/>
              <w:spacing w:after="0"/>
              <w:rPr>
                <w:sz w:val="20"/>
                <w:szCs w:val="20"/>
                <w:color w:val="auto"/>
              </w:rPr>
            </w:pPr>
            <w:r>
              <w:rPr>
                <w:rFonts w:ascii="Arial" w:cs="Arial" w:eastAsia="Arial" w:hAnsi="Arial"/>
                <w:sz w:val="18"/>
                <w:szCs w:val="18"/>
                <w:color w:val="auto"/>
              </w:rPr>
              <w:t>109</w:t>
            </w:r>
          </w:p>
        </w:tc>
        <w:tc>
          <w:tcPr>
            <w:tcW w:w="240" w:type="dxa"/>
            <w:vAlign w:val="bottom"/>
            <w:gridSpan w:val="3"/>
            <w:shd w:val="clear" w:color="auto" w:fill="E6E6E6"/>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120" w:type="dxa"/>
            <w:vAlign w:val="bottom"/>
            <w:gridSpan w:val="2"/>
            <w:shd w:val="clear" w:color="auto" w:fill="E6E6E6"/>
          </w:tcPr>
          <w:p>
            <w:pPr>
              <w:jc w:val="right"/>
              <w:ind w:right="2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(180)</w:t>
            </w:r>
          </w:p>
        </w:tc>
        <w:tc>
          <w:tcPr>
            <w:tcW w:w="60" w:type="dxa"/>
            <w:vAlign w:val="bottom"/>
            <w:shd w:val="clear" w:color="auto" w:fill="E6E6E6"/>
          </w:tcPr>
          <w:p>
            <w:pPr>
              <w:spacing w:after="0"/>
              <w:rPr>
                <w:sz w:val="24"/>
                <w:szCs w:val="24"/>
                <w:color w:val="auto"/>
              </w:rPr>
            </w:pPr>
          </w:p>
        </w:tc>
        <w:tc>
          <w:tcPr>
            <w:tcW w:w="220" w:type="dxa"/>
            <w:vAlign w:val="bottom"/>
            <w:gridSpan w:val="3"/>
            <w:shd w:val="clear" w:color="auto" w:fill="E6E6E6"/>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79</w:t>
            </w:r>
          </w:p>
        </w:tc>
        <w:tc>
          <w:tcPr>
            <w:tcW w:w="2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120" w:type="dxa"/>
            <w:vAlign w:val="bottom"/>
            <w:tcBorders>
              <w:top w:val="single" w:sz="8" w:color="E6E6E6"/>
            </w:tcBorders>
            <w:gridSpan w:val="3"/>
          </w:tcPr>
          <w:p>
            <w:pPr>
              <w:ind w:left="40"/>
              <w:spacing w:after="0"/>
              <w:rPr>
                <w:sz w:val="20"/>
                <w:szCs w:val="20"/>
                <w:color w:val="auto"/>
              </w:rPr>
            </w:pPr>
            <w:r>
              <w:rPr>
                <w:rFonts w:ascii="Arial" w:cs="Arial" w:eastAsia="Arial" w:hAnsi="Arial"/>
                <w:sz w:val="18"/>
                <w:szCs w:val="18"/>
                <w:b w:val="1"/>
                <w:bCs w:val="1"/>
                <w:color w:val="auto"/>
              </w:rPr>
              <w:t>Balance Sheet</w:t>
            </w:r>
          </w:p>
        </w:tc>
        <w:tc>
          <w:tcPr>
            <w:tcW w:w="1040" w:type="dxa"/>
            <w:vAlign w:val="bottom"/>
            <w:tcBorders>
              <w:top w:val="single" w:sz="8" w:color="E6E6E6"/>
            </w:tcBorders>
          </w:tcPr>
          <w:p>
            <w:pPr>
              <w:spacing w:after="0"/>
              <w:rPr>
                <w:sz w:val="18"/>
                <w:szCs w:val="18"/>
                <w:color w:val="auto"/>
              </w:rPr>
            </w:pPr>
          </w:p>
        </w:tc>
        <w:tc>
          <w:tcPr>
            <w:tcW w:w="80" w:type="dxa"/>
            <w:vAlign w:val="bottom"/>
            <w:tcBorders>
              <w:top w:val="single" w:sz="8" w:color="E6E6E6"/>
            </w:tcBorders>
          </w:tcPr>
          <w:p>
            <w:pPr>
              <w:spacing w:after="0"/>
              <w:rPr>
                <w:sz w:val="18"/>
                <w:szCs w:val="18"/>
                <w:color w:val="auto"/>
              </w:rPr>
            </w:pPr>
          </w:p>
        </w:tc>
        <w:tc>
          <w:tcPr>
            <w:tcW w:w="120" w:type="dxa"/>
            <w:vAlign w:val="bottom"/>
            <w:tcBorders>
              <w:top w:val="single" w:sz="8" w:color="E6E6E6"/>
            </w:tcBorders>
          </w:tcPr>
          <w:p>
            <w:pPr>
              <w:spacing w:after="0"/>
              <w:rPr>
                <w:sz w:val="18"/>
                <w:szCs w:val="18"/>
                <w:color w:val="auto"/>
              </w:rPr>
            </w:pPr>
          </w:p>
        </w:tc>
        <w:tc>
          <w:tcPr>
            <w:tcW w:w="840" w:type="dxa"/>
            <w:vAlign w:val="bottom"/>
            <w:tcBorders>
              <w:top w:val="single" w:sz="8" w:color="E6E6E6"/>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Borders>
              <w:top w:val="single" w:sz="8" w:color="E6E6E6"/>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Borders>
              <w:top w:val="single" w:sz="8" w:color="E6E6E6"/>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0" w:type="dxa"/>
            <w:vAlign w:val="bottom"/>
            <w:tcBorders>
              <w:top w:val="single" w:sz="8" w:color="E6E6E6"/>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Borders>
              <w:top w:val="single" w:sz="8" w:color="E6E6E6"/>
            </w:tcBorders>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4360" w:type="dxa"/>
            <w:vAlign w:val="bottom"/>
            <w:gridSpan w:val="6"/>
            <w:shd w:val="clear" w:color="auto" w:fill="E6E6E6"/>
          </w:tcPr>
          <w:p>
            <w:pPr>
              <w:jc w:val="right"/>
              <w:ind w:right="20"/>
              <w:spacing w:after="0"/>
              <w:rPr>
                <w:sz w:val="20"/>
                <w:szCs w:val="20"/>
                <w:color w:val="auto"/>
              </w:rPr>
            </w:pPr>
            <w:r>
              <w:rPr>
                <w:rFonts w:ascii="Arial" w:cs="Arial" w:eastAsia="Arial" w:hAnsi="Arial"/>
                <w:sz w:val="18"/>
                <w:szCs w:val="18"/>
                <w:color w:val="auto"/>
                <w:w w:val="91"/>
              </w:rPr>
              <w:t xml:space="preserve">Equity investments in affiliates </w:t>
            </w:r>
            <w:r>
              <w:rPr>
                <w:rFonts w:ascii="Arial" w:cs="Arial" w:eastAsia="Arial" w:hAnsi="Arial"/>
                <w:sz w:val="18"/>
                <w:szCs w:val="18"/>
                <w:color w:val="BDBDBD"/>
                <w:w w:val="91"/>
              </w:rPr>
              <w:t>. . . . . . . . . . . . . . . . . . . . . . .</w:t>
            </w: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BDBDBD"/>
                <w:w w:val="91"/>
              </w:rPr>
              <w:t>. . . . . . . . .</w:t>
            </w:r>
          </w:p>
        </w:tc>
        <w:tc>
          <w:tcPr>
            <w:tcW w:w="1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E6E6E6"/>
          </w:tcPr>
          <w:p>
            <w:pPr>
              <w:jc w:val="right"/>
              <w:spacing w:after="0"/>
              <w:rPr>
                <w:sz w:val="20"/>
                <w:szCs w:val="20"/>
                <w:color w:val="auto"/>
              </w:rPr>
            </w:pPr>
            <w:r>
              <w:rPr>
                <w:rFonts w:ascii="Arial" w:cs="Arial" w:eastAsia="Arial" w:hAnsi="Arial"/>
                <w:sz w:val="18"/>
                <w:szCs w:val="18"/>
                <w:color w:val="auto"/>
              </w:rPr>
              <w:t>79</w:t>
            </w:r>
          </w:p>
        </w:tc>
        <w:tc>
          <w:tcPr>
            <w:tcW w:w="240" w:type="dxa"/>
            <w:vAlign w:val="bottom"/>
            <w:gridSpan w:val="3"/>
            <w:shd w:val="clear" w:color="auto" w:fill="E6E6E6"/>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281</w:t>
            </w:r>
          </w:p>
        </w:tc>
        <w:tc>
          <w:tcPr>
            <w:tcW w:w="80" w:type="dxa"/>
            <w:vAlign w:val="bottom"/>
            <w:shd w:val="clear" w:color="auto" w:fill="E6E6E6"/>
          </w:tcPr>
          <w:p>
            <w:pPr>
              <w:spacing w:after="0"/>
              <w:rPr>
                <w:sz w:val="22"/>
                <w:szCs w:val="22"/>
                <w:color w:val="auto"/>
              </w:rPr>
            </w:pPr>
          </w:p>
        </w:tc>
        <w:tc>
          <w:tcPr>
            <w:tcW w:w="40" w:type="dxa"/>
            <w:vAlign w:val="bottom"/>
            <w:shd w:val="clear" w:color="auto" w:fill="E6E6E6"/>
          </w:tcPr>
          <w:p>
            <w:pPr>
              <w:spacing w:after="0"/>
              <w:rPr>
                <w:sz w:val="22"/>
                <w:szCs w:val="22"/>
                <w:color w:val="auto"/>
              </w:rPr>
            </w:pPr>
          </w:p>
        </w:tc>
        <w:tc>
          <w:tcPr>
            <w:tcW w:w="120" w:type="dxa"/>
            <w:vAlign w:val="bottom"/>
            <w:gridSpan w:val="2"/>
            <w:shd w:val="clear" w:color="auto" w:fill="E6E6E6"/>
          </w:tcPr>
          <w:p>
            <w:pPr>
              <w:jc w:val="right"/>
              <w:ind w:right="2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E6E6E6"/>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3"/>
            <w:shd w:val="clear" w:color="auto" w:fill="E6E6E6"/>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360</w:t>
            </w:r>
          </w:p>
        </w:tc>
        <w:tc>
          <w:tcPr>
            <w:tcW w:w="2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4360" w:type="dxa"/>
            <w:vAlign w:val="bottom"/>
            <w:gridSpan w:val="6"/>
          </w:tcPr>
          <w:p>
            <w:pPr>
              <w:jc w:val="right"/>
              <w:ind w:right="20"/>
              <w:spacing w:after="0"/>
              <w:rPr>
                <w:sz w:val="20"/>
                <w:szCs w:val="20"/>
                <w:color w:val="auto"/>
              </w:rPr>
            </w:pPr>
            <w:r>
              <w:rPr>
                <w:rFonts w:ascii="Arial" w:cs="Arial" w:eastAsia="Arial" w:hAnsi="Arial"/>
                <w:sz w:val="18"/>
                <w:szCs w:val="18"/>
                <w:color w:val="auto"/>
                <w:w w:val="89"/>
              </w:rPr>
              <w:t xml:space="preserve">Capital expenditures </w:t>
            </w:r>
            <w:r>
              <w:rPr>
                <w:rFonts w:ascii="Arial" w:cs="Arial" w:eastAsia="Arial" w:hAnsi="Arial"/>
                <w:sz w:val="23"/>
                <w:szCs w:val="23"/>
                <w:color w:val="auto"/>
                <w:w w:val="89"/>
                <w:vertAlign w:val="superscript"/>
              </w:rPr>
              <w:t>(b)</w:t>
            </w:r>
            <w:r>
              <w:rPr>
                <w:rFonts w:ascii="Arial" w:cs="Arial" w:eastAsia="Arial" w:hAnsi="Arial"/>
                <w:sz w:val="18"/>
                <w:szCs w:val="18"/>
                <w:color w:val="auto"/>
                <w:w w:val="89"/>
              </w:rPr>
              <w:t xml:space="preserve">  </w:t>
            </w:r>
            <w:r>
              <w:rPr>
                <w:rFonts w:ascii="Arial" w:cs="Arial" w:eastAsia="Arial" w:hAnsi="Arial"/>
                <w:sz w:val="18"/>
                <w:szCs w:val="18"/>
                <w:color w:val="BDBDBD"/>
                <w:w w:val="89"/>
              </w:rPr>
              <w:t>. . . . . . . . . . . . . . . . . . . . . . . . . . . . .</w:t>
            </w:r>
          </w:p>
        </w:tc>
        <w:tc>
          <w:tcPr>
            <w:tcW w:w="840" w:type="dxa"/>
            <w:vAlign w:val="bottom"/>
          </w:tcPr>
          <w:p>
            <w:pPr>
              <w:jc w:val="right"/>
              <w:spacing w:after="0"/>
              <w:rPr>
                <w:sz w:val="20"/>
                <w:szCs w:val="20"/>
                <w:color w:val="auto"/>
              </w:rPr>
            </w:pPr>
            <w:r>
              <w:rPr>
                <w:rFonts w:ascii="Arial" w:cs="Arial" w:eastAsia="Arial" w:hAnsi="Arial"/>
                <w:sz w:val="18"/>
                <w:szCs w:val="18"/>
                <w:color w:val="BDBDBD"/>
                <w:w w:val="91"/>
              </w:rPr>
              <w:t>. . . . . . . . .</w:t>
            </w:r>
          </w:p>
        </w:tc>
        <w:tc>
          <w:tcPr>
            <w:tcW w:w="14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146</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360" w:type="dxa"/>
            <w:vAlign w:val="bottom"/>
            <w:gridSpan w:val="6"/>
            <w:shd w:val="clear" w:color="auto" w:fill="E6E6E6"/>
          </w:tcPr>
          <w:p>
            <w:pPr>
              <w:jc w:val="right"/>
              <w:ind w:right="20"/>
              <w:spacing w:after="0"/>
              <w:rPr>
                <w:sz w:val="20"/>
                <w:szCs w:val="20"/>
                <w:color w:val="auto"/>
              </w:rPr>
            </w:pPr>
            <w:r>
              <w:rPr>
                <w:rFonts w:ascii="Arial" w:cs="Arial" w:eastAsia="Arial" w:hAnsi="Arial"/>
                <w:sz w:val="18"/>
                <w:szCs w:val="18"/>
                <w:b w:val="1"/>
                <w:bCs w:val="1"/>
                <w:color w:val="auto"/>
                <w:w w:val="90"/>
              </w:rPr>
              <w:t xml:space="preserve">Total Assets </w:t>
            </w:r>
            <w:r>
              <w:rPr>
                <w:rFonts w:ascii="Arial" w:cs="Arial" w:eastAsia="Arial" w:hAnsi="Arial"/>
                <w:sz w:val="18"/>
                <w:szCs w:val="18"/>
                <w:b w:val="1"/>
                <w:bCs w:val="1"/>
                <w:color w:val="BDBDBD"/>
                <w:w w:val="90"/>
              </w:rPr>
              <w:t>. . . . . . . . . . . . . . . . . . . . . . . . . . . . . . . . . . . . .</w:t>
            </w: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BDBDBD"/>
                <w:w w:val="89"/>
              </w:rPr>
              <w:t>. . . . . . . . .</w:t>
            </w:r>
          </w:p>
        </w:tc>
        <w:tc>
          <w:tcPr>
            <w:tcW w:w="1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E6E6E6"/>
          </w:tcPr>
          <w:p>
            <w:pPr>
              <w:jc w:val="right"/>
              <w:spacing w:after="0"/>
              <w:rPr>
                <w:sz w:val="20"/>
                <w:szCs w:val="20"/>
                <w:color w:val="auto"/>
              </w:rPr>
            </w:pPr>
            <w:r>
              <w:rPr>
                <w:rFonts w:ascii="Arial" w:cs="Arial" w:eastAsia="Arial" w:hAnsi="Arial"/>
                <w:sz w:val="18"/>
                <w:szCs w:val="18"/>
                <w:color w:val="auto"/>
              </w:rPr>
              <w:t>2,058</w:t>
            </w:r>
          </w:p>
        </w:tc>
        <w:tc>
          <w:tcPr>
            <w:tcW w:w="240" w:type="dxa"/>
            <w:vAlign w:val="bottom"/>
            <w:gridSpan w:val="3"/>
            <w:shd w:val="clear" w:color="auto" w:fill="E6E6E6"/>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12,205</w:t>
            </w:r>
          </w:p>
        </w:tc>
        <w:tc>
          <w:tcPr>
            <w:tcW w:w="80" w:type="dxa"/>
            <w:vAlign w:val="bottom"/>
            <w:shd w:val="clear" w:color="auto" w:fill="E6E6E6"/>
          </w:tcPr>
          <w:p>
            <w:pPr>
              <w:spacing w:after="0"/>
              <w:rPr>
                <w:sz w:val="22"/>
                <w:szCs w:val="22"/>
                <w:color w:val="auto"/>
              </w:rPr>
            </w:pPr>
          </w:p>
        </w:tc>
        <w:tc>
          <w:tcPr>
            <w:tcW w:w="40" w:type="dxa"/>
            <w:vAlign w:val="bottom"/>
            <w:shd w:val="clear" w:color="auto" w:fill="E6E6E6"/>
          </w:tcPr>
          <w:p>
            <w:pPr>
              <w:spacing w:after="0"/>
              <w:rPr>
                <w:sz w:val="22"/>
                <w:szCs w:val="22"/>
                <w:color w:val="auto"/>
              </w:rPr>
            </w:pPr>
          </w:p>
        </w:tc>
        <w:tc>
          <w:tcPr>
            <w:tcW w:w="120" w:type="dxa"/>
            <w:vAlign w:val="bottom"/>
            <w:gridSpan w:val="2"/>
            <w:shd w:val="clear" w:color="auto" w:fill="E6E6E6"/>
          </w:tcPr>
          <w:p>
            <w:pPr>
              <w:jc w:val="right"/>
              <w:ind w:right="2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438</w:t>
            </w:r>
          </w:p>
        </w:tc>
        <w:tc>
          <w:tcPr>
            <w:tcW w:w="60" w:type="dxa"/>
            <w:vAlign w:val="bottom"/>
            <w:shd w:val="clear" w:color="auto" w:fill="E6E6E6"/>
          </w:tcPr>
          <w:p>
            <w:pPr>
              <w:spacing w:after="0"/>
              <w:rPr>
                <w:sz w:val="22"/>
                <w:szCs w:val="22"/>
                <w:color w:val="auto"/>
              </w:rPr>
            </w:pPr>
          </w:p>
        </w:tc>
        <w:tc>
          <w:tcPr>
            <w:tcW w:w="220" w:type="dxa"/>
            <w:vAlign w:val="bottom"/>
            <w:gridSpan w:val="3"/>
            <w:shd w:val="clear" w:color="auto" w:fill="E6E6E6"/>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14,701</w:t>
            </w:r>
          </w:p>
        </w:tc>
        <w:tc>
          <w:tcPr>
            <w:tcW w:w="2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1880235</wp:posOffset>
            </wp:positionH>
            <wp:positionV relativeFrom="paragraph">
              <wp:posOffset>-4207510</wp:posOffset>
            </wp:positionV>
            <wp:extent cx="4612640"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237">
                      <a:extLst>
                        <a:ext uri="{28A0092B-C50C-407E-A947-70E740481C1C}"/>
                      </a:extLst>
                    </a:blip>
                    <a:srcRect/>
                    <a:stretch>
                      <a:fillRect/>
                    </a:stretch>
                  </pic:blipFill>
                  <pic:spPr bwMode="auto">
                    <a:xfrm>
                      <a:off x="0" y="0"/>
                      <a:ext cx="4612640" cy="25400"/>
                    </a:xfrm>
                    <a:prstGeom prst="rect">
                      <a:avLst/>
                    </a:prstGeom>
                    <a:noFill/>
                  </pic:spPr>
                </pic:pic>
              </a:graphicData>
            </a:graphic>
          </wp:anchor>
        </w:drawing>
        <w:drawing>
          <wp:anchor simplePos="0" relativeHeight="251657728" behindDoc="1" locked="0" layoutInCell="0" allowOverlap="1">
            <wp:simplePos x="0" y="0"/>
            <wp:positionH relativeFrom="column">
              <wp:posOffset>3291840</wp:posOffset>
            </wp:positionH>
            <wp:positionV relativeFrom="paragraph">
              <wp:posOffset>-3291205</wp:posOffset>
            </wp:positionV>
            <wp:extent cx="3200400"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238">
                      <a:extLst>
                        <a:ext uri="{28A0092B-C50C-407E-A947-70E740481C1C}"/>
                      </a:extLst>
                    </a:blip>
                    <a:srcRect/>
                    <a:stretch>
                      <a:fillRect/>
                    </a:stretch>
                  </pic:blipFill>
                  <pic:spPr bwMode="auto">
                    <a:xfrm>
                      <a:off x="0" y="0"/>
                      <a:ext cx="3200400" cy="25400"/>
                    </a:xfrm>
                    <a:prstGeom prst="rect">
                      <a:avLst/>
                    </a:prstGeom>
                    <a:noFill/>
                  </pic:spPr>
                </pic:pic>
              </a:graphicData>
            </a:graphic>
          </wp:anchor>
        </w:drawing>
        <w:drawing>
          <wp:anchor simplePos="0" relativeHeight="251657728" behindDoc="1" locked="0" layoutInCell="0" allowOverlap="1">
            <wp:simplePos x="0" y="0"/>
            <wp:positionH relativeFrom="column">
              <wp:posOffset>3291840</wp:posOffset>
            </wp:positionH>
            <wp:positionV relativeFrom="paragraph">
              <wp:posOffset>-2163445</wp:posOffset>
            </wp:positionV>
            <wp:extent cx="3200400"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239">
                      <a:extLst>
                        <a:ext uri="{28A0092B-C50C-407E-A947-70E740481C1C}"/>
                      </a:extLst>
                    </a:blip>
                    <a:srcRect/>
                    <a:stretch>
                      <a:fillRect/>
                    </a:stretch>
                  </pic:blipFill>
                  <pic:spPr bwMode="auto">
                    <a:xfrm>
                      <a:off x="0" y="0"/>
                      <a:ext cx="3200400" cy="25400"/>
                    </a:xfrm>
                    <a:prstGeom prst="rect">
                      <a:avLst/>
                    </a:prstGeom>
                    <a:noFill/>
                  </pic:spPr>
                </pic:pic>
              </a:graphicData>
            </a:graphic>
          </wp:anchor>
        </w:drawing>
        <w:drawing>
          <wp:anchor simplePos="0" relativeHeight="251657728" behindDoc="1" locked="0" layoutInCell="0" allowOverlap="1">
            <wp:simplePos x="0" y="0"/>
            <wp:positionH relativeFrom="column">
              <wp:posOffset>3291840</wp:posOffset>
            </wp:positionH>
            <wp:positionV relativeFrom="paragraph">
              <wp:posOffset>-1357630</wp:posOffset>
            </wp:positionV>
            <wp:extent cx="3200400"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240">
                      <a:extLst>
                        <a:ext uri="{28A0092B-C50C-407E-A947-70E740481C1C}"/>
                      </a:extLst>
                    </a:blip>
                    <a:srcRect/>
                    <a:stretch>
                      <a:fillRect/>
                    </a:stretch>
                  </pic:blipFill>
                  <pic:spPr bwMode="auto">
                    <a:xfrm>
                      <a:off x="0" y="0"/>
                      <a:ext cx="3200400" cy="25400"/>
                    </a:xfrm>
                    <a:prstGeom prst="rect">
                      <a:avLst/>
                    </a:prstGeom>
                    <a:noFill/>
                  </pic:spPr>
                </pic:pic>
              </a:graphicData>
            </a:graphic>
          </wp:anchor>
        </w:drawing>
        <w:drawing>
          <wp:anchor simplePos="0" relativeHeight="251657728" behindDoc="1" locked="0" layoutInCell="0" allowOverlap="1">
            <wp:simplePos x="0" y="0"/>
            <wp:positionH relativeFrom="column">
              <wp:posOffset>3291840</wp:posOffset>
            </wp:positionH>
            <wp:positionV relativeFrom="paragraph">
              <wp:posOffset>-1035685</wp:posOffset>
            </wp:positionV>
            <wp:extent cx="3200400"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241">
                      <a:extLst>
                        <a:ext uri="{28A0092B-C50C-407E-A947-70E740481C1C}"/>
                      </a:extLst>
                    </a:blip>
                    <a:srcRect/>
                    <a:stretch>
                      <a:fillRect/>
                    </a:stretch>
                  </pic:blipFill>
                  <pic:spPr bwMode="auto">
                    <a:xfrm>
                      <a:off x="0" y="0"/>
                      <a:ext cx="3200400" cy="25400"/>
                    </a:xfrm>
                    <a:prstGeom prst="rect">
                      <a:avLst/>
                    </a:prstGeom>
                    <a:noFill/>
                  </pic:spPr>
                </pic:pic>
              </a:graphicData>
            </a:graphic>
          </wp:anchor>
        </w:drawing>
        <w:drawing>
          <wp:anchor simplePos="0" relativeHeight="251657728" behindDoc="1" locked="0" layoutInCell="0" allowOverlap="1">
            <wp:simplePos x="0" y="0"/>
            <wp:positionH relativeFrom="column">
              <wp:posOffset>3291840</wp:posOffset>
            </wp:positionH>
            <wp:positionV relativeFrom="paragraph">
              <wp:posOffset>-855345</wp:posOffset>
            </wp:positionV>
            <wp:extent cx="3200400"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242">
                      <a:extLst>
                        <a:ext uri="{28A0092B-C50C-407E-A947-70E740481C1C}"/>
                      </a:extLst>
                    </a:blip>
                    <a:srcRect/>
                    <a:stretch>
                      <a:fillRect/>
                    </a:stretch>
                  </pic:blipFill>
                  <pic:spPr bwMode="auto">
                    <a:xfrm>
                      <a:off x="0" y="0"/>
                      <a:ext cx="3200400" cy="25400"/>
                    </a:xfrm>
                    <a:prstGeom prst="rect">
                      <a:avLst/>
                    </a:prstGeom>
                    <a:noFill/>
                  </pic:spPr>
                </pic:pic>
              </a:graphicData>
            </a:graphic>
          </wp:anchor>
        </w:drawing>
        <w:drawing>
          <wp:anchor simplePos="0" relativeHeight="251657728" behindDoc="1" locked="0" layoutInCell="0" allowOverlap="1">
            <wp:simplePos x="0" y="0"/>
            <wp:positionH relativeFrom="column">
              <wp:posOffset>3291840</wp:posOffset>
            </wp:positionH>
            <wp:positionV relativeFrom="paragraph">
              <wp:posOffset>-688340</wp:posOffset>
            </wp:positionV>
            <wp:extent cx="3200400" cy="508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243">
                      <a:extLst>
                        <a:ext uri="{28A0092B-C50C-407E-A947-70E740481C1C}"/>
                      </a:extLst>
                    </a:blip>
                    <a:srcRect/>
                    <a:stretch>
                      <a:fillRect/>
                    </a:stretch>
                  </pic:blipFill>
                  <pic:spPr bwMode="auto">
                    <a:xfrm>
                      <a:off x="0" y="0"/>
                      <a:ext cx="3200400" cy="508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-2540</wp:posOffset>
                </wp:positionH>
                <wp:positionV relativeFrom="paragraph">
                  <wp:posOffset>100965</wp:posOffset>
                </wp:positionV>
                <wp:extent cx="1259840" cy="0"/>
                <wp:wrapNone/>
                <wp:docPr id="313" name="Shape 3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598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13" o:spid="_x0000_s13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7.95pt" to="99pt,7.95pt" o:allowincell="f" strokecolor="#000000" strokeweight="1pt"/>
            </w:pict>
          </mc:Fallback>
        </mc:AlternateContent>
      </w:r>
    </w:p>
    <w:p>
      <w:pPr>
        <w:spacing w:after="0" w:line="126" w:lineRule="exact"/>
        <w:rPr>
          <w:sz w:val="20"/>
          <w:szCs w:val="20"/>
          <w:color w:val="auto"/>
        </w:rPr>
      </w:pPr>
    </w:p>
    <w:p>
      <w:pPr>
        <w:ind w:left="300" w:hanging="215"/>
        <w:spacing w:after="0"/>
        <w:tabs>
          <w:tab w:leader="none" w:pos="300" w:val="left"/>
        </w:tabs>
        <w:numPr>
          <w:ilvl w:val="0"/>
          <w:numId w:val="79"/>
        </w:numPr>
        <w:rPr>
          <w:rFonts w:ascii="Arial" w:cs="Arial" w:eastAsia="Arial" w:hAnsi="Arial"/>
          <w:sz w:val="26"/>
          <w:szCs w:val="26"/>
          <w:color w:val="auto"/>
          <w:vertAlign w:val="superscript"/>
        </w:rPr>
      </w:pPr>
      <w:r>
        <w:rPr>
          <w:rFonts w:ascii="Arial" w:cs="Arial" w:eastAsia="Arial" w:hAnsi="Arial"/>
          <w:sz w:val="16"/>
          <w:szCs w:val="16"/>
          <w:color w:val="auto"/>
        </w:rPr>
        <w:t>Includes eliminations.</w:t>
      </w:r>
    </w:p>
    <w:p>
      <w:pPr>
        <w:spacing w:after="0" w:line="70" w:lineRule="exact"/>
        <w:rPr>
          <w:rFonts w:ascii="Arial" w:cs="Arial" w:eastAsia="Arial" w:hAnsi="Arial"/>
          <w:sz w:val="26"/>
          <w:szCs w:val="26"/>
          <w:color w:val="auto"/>
          <w:vertAlign w:val="superscript"/>
        </w:rPr>
      </w:pPr>
    </w:p>
    <w:p>
      <w:pPr>
        <w:ind w:left="320" w:hanging="235"/>
        <w:spacing w:after="0" w:line="181" w:lineRule="auto"/>
        <w:tabs>
          <w:tab w:leader="none" w:pos="320" w:val="left"/>
        </w:tabs>
        <w:numPr>
          <w:ilvl w:val="0"/>
          <w:numId w:val="79"/>
        </w:numPr>
        <w:rPr>
          <w:rFonts w:ascii="Arial" w:cs="Arial" w:eastAsia="Arial" w:hAnsi="Arial"/>
          <w:sz w:val="24"/>
          <w:szCs w:val="24"/>
          <w:color w:val="auto"/>
          <w:vertAlign w:val="superscript"/>
        </w:rPr>
      </w:pPr>
      <w:r>
        <w:rPr>
          <w:rFonts w:ascii="Arial" w:cs="Arial" w:eastAsia="Arial" w:hAnsi="Arial"/>
          <w:sz w:val="15"/>
          <w:szCs w:val="15"/>
          <w:color w:val="auto"/>
        </w:rPr>
        <w:t>Includes accruals.</w:t>
      </w:r>
    </w:p>
    <w:p>
      <w:pPr>
        <w:sectPr>
          <w:pgSz w:w="11880" w:h="15480" w:orient="portrait"/>
          <w:cols w:equalWidth="0" w:num="1">
            <w:col w:w="10200"/>
          </w:cols>
          <w:pgMar w:left="840" w:top="404"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117</w:t>
      </w:r>
    </w:p>
    <w:p>
      <w:pPr>
        <w:sectPr>
          <w:pgSz w:w="11880" w:h="15480" w:orient="portrait"/>
          <w:cols w:equalWidth="0" w:num="1">
            <w:col w:w="10200"/>
          </w:cols>
          <w:pgMar w:left="840" w:top="404" w:right="840" w:bottom="0" w:gutter="0" w:footer="0" w:header="0"/>
          <w:type w:val="continuous"/>
        </w:sectPr>
      </w:pPr>
    </w:p>
    <w:bookmarkStart w:id="119" w:name="page120"/>
    <w:bookmarkEnd w:id="119"/>
    <w:tbl>
      <w:tblPr>
        <w:tblLayout w:type="fixed"/>
        <w:tblInd w:w="0" w:type="dxa"/>
        <w:tblCellMar>
          <w:top w:w="0" w:type="dxa"/>
          <w:left w:w="0" w:type="dxa"/>
          <w:bottom w:w="0" w:type="dxa"/>
          <w:right w:w="0" w:type="dxa"/>
        </w:tblCellMar>
      </w:tblPr>
      <w:tr>
        <w:trPr>
          <w:trHeight w:val="217"/>
        </w:trPr>
        <w:tc>
          <w:tcPr>
            <w:tcW w:w="47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9"/>
          </w:tcPr>
          <w:p>
            <w:pPr>
              <w:jc w:val="right"/>
              <w:spacing w:after="0"/>
              <w:rPr>
                <w:sz w:val="20"/>
                <w:szCs w:val="20"/>
                <w:color w:val="auto"/>
              </w:rPr>
            </w:pPr>
            <w:r>
              <w:rPr>
                <w:rFonts w:ascii="Arial" w:cs="Arial" w:eastAsia="Arial" w:hAnsi="Arial"/>
                <w:sz w:val="16"/>
                <w:szCs w:val="16"/>
                <w:b w:val="1"/>
                <w:bCs w:val="1"/>
                <w:color w:val="auto"/>
                <w:w w:val="98"/>
              </w:rPr>
              <w:t>Year ended December 31, 2022</w:t>
            </w:r>
          </w:p>
        </w:tc>
        <w:tc>
          <w:tcPr>
            <w:tcW w:w="5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7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(In millions)</w:t>
            </w:r>
          </w:p>
        </w:tc>
        <w:tc>
          <w:tcPr>
            <w:tcW w:w="2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Conventional</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gridSpan w:val="2"/>
            <w:vMerge w:val="restart"/>
          </w:tcPr>
          <w:p>
            <w:pPr>
              <w:jc w:val="right"/>
              <w:ind w:right="51"/>
              <w:spacing w:after="0"/>
              <w:rPr>
                <w:sz w:val="20"/>
                <w:szCs w:val="20"/>
                <w:color w:val="auto"/>
              </w:rPr>
            </w:pPr>
            <w:r>
              <w:rPr>
                <w:rFonts w:ascii="Arial" w:cs="Arial" w:eastAsia="Arial" w:hAnsi="Arial"/>
                <w:sz w:val="16"/>
                <w:szCs w:val="16"/>
                <w:b w:val="1"/>
                <w:bCs w:val="1"/>
                <w:color w:val="auto"/>
                <w:w w:val="97"/>
              </w:rPr>
              <w:t>Renewables</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restart"/>
          </w:tcPr>
          <w:p>
            <w:pPr>
              <w:jc w:val="right"/>
              <w:ind w:right="131"/>
              <w:spacing w:after="0"/>
              <w:rPr>
                <w:sz w:val="20"/>
                <w:szCs w:val="20"/>
                <w:color w:val="auto"/>
              </w:rPr>
            </w:pPr>
            <w:r>
              <w:rPr>
                <w:rFonts w:ascii="Arial" w:cs="Arial" w:eastAsia="Arial" w:hAnsi="Arial"/>
                <w:sz w:val="16"/>
                <w:szCs w:val="16"/>
                <w:b w:val="1"/>
                <w:bCs w:val="1"/>
                <w:color w:val="auto"/>
                <w:w w:val="96"/>
              </w:rPr>
              <w:t>Thermal</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2"/>
            <w:vMerge w:val="restart"/>
          </w:tcPr>
          <w:p>
            <w:pPr>
              <w:jc w:val="right"/>
              <w:ind w:right="10"/>
              <w:spacing w:after="0"/>
              <w:rPr>
                <w:sz w:val="20"/>
                <w:szCs w:val="20"/>
                <w:color w:val="auto"/>
              </w:rPr>
            </w:pPr>
            <w:r>
              <w:rPr>
                <w:rFonts w:ascii="Arial" w:cs="Arial" w:eastAsia="Arial" w:hAnsi="Arial"/>
                <w:sz w:val="16"/>
                <w:szCs w:val="16"/>
                <w:b w:val="1"/>
                <w:bCs w:val="1"/>
                <w:color w:val="auto"/>
                <w:w w:val="94"/>
              </w:rPr>
              <w:t xml:space="preserve">Corporate </w:t>
            </w:r>
            <w:r>
              <w:rPr>
                <w:rFonts w:ascii="Arial" w:cs="Arial" w:eastAsia="Arial" w:hAnsi="Arial"/>
                <w:sz w:val="20"/>
                <w:szCs w:val="20"/>
                <w:b w:val="1"/>
                <w:bCs w:val="1"/>
                <w:color w:val="auto"/>
                <w:w w:val="94"/>
                <w:vertAlign w:val="superscript"/>
              </w:rPr>
              <w:t>(a)</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vMerge w:val="restart"/>
          </w:tcPr>
          <w:p>
            <w:pPr>
              <w:jc w:val="right"/>
              <w:ind w:right="2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720" w:type="dxa"/>
            <w:vAlign w:val="bottom"/>
            <w:tcBorders>
              <w:bottom w:val="single" w:sz="8" w:color="E6E6E6"/>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1"/>
              <w:spacing w:after="0"/>
              <w:rPr>
                <w:sz w:val="20"/>
                <w:szCs w:val="20"/>
                <w:color w:val="auto"/>
              </w:rPr>
            </w:pPr>
            <w:r>
              <w:rPr>
                <w:rFonts w:ascii="Arial" w:cs="Arial" w:eastAsia="Arial" w:hAnsi="Arial"/>
                <w:sz w:val="16"/>
                <w:szCs w:val="16"/>
                <w:b w:val="1"/>
                <w:bCs w:val="1"/>
                <w:color w:val="auto"/>
                <w:w w:val="87"/>
              </w:rPr>
              <w:t>Generation</w:t>
            </w:r>
          </w:p>
        </w:tc>
        <w:tc>
          <w:tcPr>
            <w:tcW w:w="20" w:type="dxa"/>
            <w:vAlign w:val="bottom"/>
            <w:tcBorders>
              <w:bottom w:val="single" w:sz="8" w:color="E6E6E6"/>
            </w:tcBorders>
          </w:tcPr>
          <w:p>
            <w:pPr>
              <w:spacing w:after="0"/>
              <w:rPr>
                <w:sz w:val="18"/>
                <w:szCs w:val="18"/>
                <w:color w:val="auto"/>
              </w:rPr>
            </w:pPr>
          </w:p>
        </w:tc>
        <w:tc>
          <w:tcPr>
            <w:tcW w:w="60" w:type="dxa"/>
            <w:vAlign w:val="bottom"/>
            <w:tcBorders>
              <w:bottom w:val="single" w:sz="8" w:color="E6E6E6"/>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vMerge w:val="continue"/>
          </w:tcPr>
          <w:p>
            <w:pPr>
              <w:spacing w:after="0"/>
              <w:rPr>
                <w:sz w:val="18"/>
                <w:szCs w:val="18"/>
                <w:color w:val="auto"/>
              </w:rPr>
            </w:pPr>
          </w:p>
        </w:tc>
        <w:tc>
          <w:tcPr>
            <w:tcW w:w="20" w:type="dxa"/>
            <w:vAlign w:val="bottom"/>
            <w:tcBorders>
              <w:bottom w:val="single" w:sz="8" w:color="E6E6E6"/>
            </w:tcBorders>
          </w:tcPr>
          <w:p>
            <w:pPr>
              <w:spacing w:after="0"/>
              <w:rPr>
                <w:sz w:val="18"/>
                <w:szCs w:val="18"/>
                <w:color w:val="auto"/>
              </w:rPr>
            </w:pPr>
          </w:p>
        </w:tc>
        <w:tc>
          <w:tcPr>
            <w:tcW w:w="40" w:type="dxa"/>
            <w:vAlign w:val="bottom"/>
            <w:tcBorders>
              <w:bottom w:val="single" w:sz="8" w:color="E6E6E6"/>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E6E6E6"/>
            </w:tcBorders>
          </w:tcPr>
          <w:p>
            <w:pPr>
              <w:spacing w:after="0"/>
              <w:rPr>
                <w:sz w:val="18"/>
                <w:szCs w:val="18"/>
                <w:color w:val="auto"/>
              </w:rPr>
            </w:pPr>
          </w:p>
        </w:tc>
        <w:tc>
          <w:tcPr>
            <w:tcW w:w="60" w:type="dxa"/>
            <w:vAlign w:val="bottom"/>
            <w:tcBorders>
              <w:bottom w:val="single" w:sz="8" w:color="E6E6E6"/>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vMerge w:val="continue"/>
          </w:tcPr>
          <w:p>
            <w:pPr>
              <w:spacing w:after="0"/>
              <w:rPr>
                <w:sz w:val="18"/>
                <w:szCs w:val="18"/>
                <w:color w:val="auto"/>
              </w:rPr>
            </w:pPr>
          </w:p>
        </w:tc>
        <w:tc>
          <w:tcPr>
            <w:tcW w:w="20" w:type="dxa"/>
            <w:vAlign w:val="bottom"/>
            <w:tcBorders>
              <w:bottom w:val="single" w:sz="8" w:color="E6E6E6"/>
            </w:tcBorders>
          </w:tcPr>
          <w:p>
            <w:pPr>
              <w:spacing w:after="0"/>
              <w:rPr>
                <w:sz w:val="18"/>
                <w:szCs w:val="18"/>
                <w:color w:val="auto"/>
              </w:rPr>
            </w:pPr>
          </w:p>
        </w:tc>
        <w:tc>
          <w:tcPr>
            <w:tcW w:w="60" w:type="dxa"/>
            <w:vAlign w:val="bottom"/>
            <w:tcBorders>
              <w:bottom w:val="single" w:sz="8" w:color="E6E6E6"/>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720" w:type="dxa"/>
            <w:vAlign w:val="bottom"/>
            <w:shd w:val="clear" w:color="auto" w:fill="E6E6E6"/>
          </w:tcPr>
          <w:p>
            <w:pPr>
              <w:jc w:val="right"/>
              <w:spacing w:after="0"/>
              <w:rPr>
                <w:sz w:val="20"/>
                <w:szCs w:val="20"/>
                <w:color w:val="auto"/>
              </w:rPr>
            </w:pPr>
            <w:r>
              <w:rPr>
                <w:rFonts w:ascii="Arial" w:cs="Arial" w:eastAsia="Arial" w:hAnsi="Arial"/>
                <w:sz w:val="18"/>
                <w:szCs w:val="18"/>
                <w:color w:val="BDBDBD"/>
                <w:w w:val="91"/>
              </w:rPr>
              <w:t>. . . . . . . . . . . . . . . . . . . . . . . . . . . . . . . . . . . .</w:t>
            </w:r>
            <w:r>
              <w:rPr>
                <w:rFonts w:ascii="Arial" w:cs="Arial" w:eastAsia="Arial" w:hAnsi="Arial"/>
                <w:sz w:val="18"/>
                <w:szCs w:val="18"/>
                <w:color w:val="000000"/>
                <w:w w:val="91"/>
              </w:rPr>
              <w:t>Operatingrevenues</w:t>
            </w:r>
          </w:p>
        </w:tc>
        <w:tc>
          <w:tcPr>
            <w:tcW w:w="16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417</w:t>
            </w:r>
          </w:p>
        </w:tc>
        <w:tc>
          <w:tcPr>
            <w:tcW w:w="2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360" w:type="dxa"/>
            <w:vAlign w:val="bottom"/>
            <w:gridSpan w:val="2"/>
            <w:shd w:val="clear" w:color="auto" w:fill="E6E6E6"/>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696</w:t>
            </w:r>
          </w:p>
        </w:tc>
        <w:tc>
          <w:tcPr>
            <w:tcW w:w="2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1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77</w:t>
            </w:r>
          </w:p>
        </w:tc>
        <w:tc>
          <w:tcPr>
            <w:tcW w:w="2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540" w:type="dxa"/>
            <w:vAlign w:val="bottom"/>
            <w:gridSpan w:val="2"/>
            <w:shd w:val="clear" w:color="auto" w:fill="E6E6E6"/>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60" w:type="dxa"/>
            <w:vAlign w:val="bottom"/>
            <w:shd w:val="clear" w:color="auto" w:fill="E6E6E6"/>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13"/>
        </w:trPr>
        <w:tc>
          <w:tcPr>
            <w:tcW w:w="4720" w:type="dxa"/>
            <w:vAlign w:val="bottom"/>
          </w:tcPr>
          <w:p>
            <w:pPr>
              <w:jc w:val="right"/>
              <w:ind w:right="251"/>
              <w:spacing w:after="0"/>
              <w:rPr>
                <w:sz w:val="20"/>
                <w:szCs w:val="20"/>
                <w:color w:val="auto"/>
              </w:rPr>
            </w:pPr>
            <w:r>
              <w:rPr>
                <w:rFonts w:ascii="Arial" w:cs="Arial" w:eastAsia="Arial" w:hAnsi="Arial"/>
                <w:sz w:val="18"/>
                <w:szCs w:val="18"/>
                <w:color w:val="auto"/>
                <w:w w:val="94"/>
              </w:rPr>
              <w:t>Cost of operations, exclusive of depreciation, amortization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298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43"/>
        </w:trPr>
        <w:tc>
          <w:tcPr>
            <w:tcW w:w="4720" w:type="dxa"/>
            <w:vAlign w:val="bottom"/>
          </w:tcPr>
          <w:p>
            <w:pPr>
              <w:jc w:val="right"/>
              <w:spacing w:after="0"/>
              <w:rPr>
                <w:sz w:val="20"/>
                <w:szCs w:val="20"/>
                <w:color w:val="auto"/>
              </w:rPr>
            </w:pPr>
            <w:r>
              <w:rPr>
                <w:rFonts w:ascii="Arial" w:cs="Arial" w:eastAsia="Arial" w:hAnsi="Arial"/>
                <w:sz w:val="18"/>
                <w:szCs w:val="18"/>
                <w:color w:val="auto"/>
                <w:w w:val="97"/>
              </w:rPr>
              <w:t xml:space="preserve">and accretion shown separately below </w:t>
            </w:r>
            <w:r>
              <w:rPr>
                <w:rFonts w:ascii="Arial" w:cs="Arial" w:eastAsia="Arial" w:hAnsi="Arial"/>
                <w:sz w:val="18"/>
                <w:szCs w:val="18"/>
                <w:color w:val="BDBDBD"/>
                <w:w w:val="97"/>
              </w:rPr>
              <w:t>. . . . . . . . . . . . . . . . .</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472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4"/>
              </w:rPr>
              <w:t xml:space="preserve">Depreciation, amortization and accretion </w:t>
            </w:r>
            <w:r>
              <w:rPr>
                <w:rFonts w:ascii="Arial" w:cs="Arial" w:eastAsia="Arial" w:hAnsi="Arial"/>
                <w:sz w:val="18"/>
                <w:szCs w:val="18"/>
                <w:color w:val="BDBDBD"/>
                <w:w w:val="94"/>
              </w:rPr>
              <w:t>. . . . . . . . . . . . . . . . .</w:t>
            </w:r>
          </w:p>
        </w:tc>
        <w:tc>
          <w:tcPr>
            <w:tcW w:w="2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131</w:t>
            </w:r>
          </w:p>
        </w:tc>
        <w:tc>
          <w:tcPr>
            <w:tcW w:w="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340" w:type="dxa"/>
            <w:vAlign w:val="bottom"/>
            <w:shd w:val="clear" w:color="auto" w:fill="E6E6E6"/>
          </w:tcPr>
          <w:p>
            <w:pPr>
              <w:spacing w:after="0"/>
              <w:rPr>
                <w:sz w:val="22"/>
                <w:szCs w:val="22"/>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381</w:t>
            </w:r>
          </w:p>
        </w:tc>
        <w:tc>
          <w:tcPr>
            <w:tcW w:w="20" w:type="dxa"/>
            <w:vAlign w:val="bottom"/>
            <w:shd w:val="clear" w:color="auto" w:fill="E6E6E6"/>
          </w:tcPr>
          <w:p>
            <w:pPr>
              <w:spacing w:after="0"/>
              <w:rPr>
                <w:sz w:val="22"/>
                <w:szCs w:val="22"/>
                <w:color w:val="auto"/>
              </w:rPr>
            </w:pPr>
          </w:p>
        </w:tc>
        <w:tc>
          <w:tcPr>
            <w:tcW w:w="40" w:type="dxa"/>
            <w:vAlign w:val="bottom"/>
            <w:shd w:val="clear" w:color="auto" w:fill="E6E6E6"/>
          </w:tcPr>
          <w:p>
            <w:pPr>
              <w:spacing w:after="0"/>
              <w:rPr>
                <w:sz w:val="22"/>
                <w:szCs w:val="22"/>
                <w:color w:val="auto"/>
              </w:rPr>
            </w:pPr>
          </w:p>
        </w:tc>
        <w:tc>
          <w:tcPr>
            <w:tcW w:w="180" w:type="dxa"/>
            <w:vAlign w:val="bottom"/>
            <w:shd w:val="clear" w:color="auto" w:fill="E6E6E6"/>
          </w:tcPr>
          <w:p>
            <w:pPr>
              <w:spacing w:after="0"/>
              <w:rPr>
                <w:sz w:val="22"/>
                <w:szCs w:val="22"/>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520" w:type="dxa"/>
            <w:vAlign w:val="bottom"/>
            <w:shd w:val="clear" w:color="auto" w:fill="E6E6E6"/>
          </w:tcPr>
          <w:p>
            <w:pPr>
              <w:spacing w:after="0"/>
              <w:rPr>
                <w:sz w:val="22"/>
                <w:szCs w:val="22"/>
                <w:color w:val="auto"/>
              </w:rPr>
            </w:pPr>
          </w:p>
        </w:tc>
        <w:tc>
          <w:tcPr>
            <w:tcW w:w="5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60" w:type="dxa"/>
            <w:vAlign w:val="bottom"/>
            <w:shd w:val="clear" w:color="auto" w:fill="E6E6E6"/>
          </w:tcPr>
          <w:p>
            <w:pPr>
              <w:spacing w:after="0"/>
              <w:rPr>
                <w:sz w:val="22"/>
                <w:szCs w:val="22"/>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47"/>
        </w:trPr>
        <w:tc>
          <w:tcPr>
            <w:tcW w:w="4720" w:type="dxa"/>
            <w:vAlign w:val="bottom"/>
          </w:tcPr>
          <w:p>
            <w:pPr>
              <w:jc w:val="right"/>
              <w:spacing w:after="0"/>
              <w:rPr>
                <w:sz w:val="20"/>
                <w:szCs w:val="20"/>
                <w:color w:val="auto"/>
              </w:rPr>
            </w:pPr>
            <w:r>
              <w:rPr>
                <w:rFonts w:ascii="Arial" w:cs="Arial" w:eastAsia="Arial" w:hAnsi="Arial"/>
                <w:sz w:val="18"/>
                <w:szCs w:val="18"/>
                <w:color w:val="auto"/>
                <w:w w:val="93"/>
              </w:rPr>
              <w:t xml:space="preserve">Impairment losses </w:t>
            </w:r>
            <w:r>
              <w:rPr>
                <w:rFonts w:ascii="Arial" w:cs="Arial" w:eastAsia="Arial" w:hAnsi="Arial"/>
                <w:sz w:val="18"/>
                <w:szCs w:val="18"/>
                <w:color w:val="BDBDBD"/>
                <w:w w:val="93"/>
              </w:rPr>
              <w:t>. . . . . . . . . . . . . . . . . . . . . . . . . . . . . . . . . . .</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61"/>
        </w:trPr>
        <w:tc>
          <w:tcPr>
            <w:tcW w:w="472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4"/>
              </w:rPr>
              <w:t xml:space="preserve">General and administrative </w:t>
            </w:r>
            <w:r>
              <w:rPr>
                <w:rFonts w:ascii="Arial" w:cs="Arial" w:eastAsia="Arial" w:hAnsi="Arial"/>
                <w:sz w:val="18"/>
                <w:szCs w:val="18"/>
                <w:color w:val="BDBDBD"/>
                <w:w w:val="94"/>
              </w:rPr>
              <w:t>. . . . . . . . . . . . . . . . . . . . . . . . . . . .</w:t>
            </w:r>
          </w:p>
        </w:tc>
        <w:tc>
          <w:tcPr>
            <w:tcW w:w="2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340" w:type="dxa"/>
            <w:vAlign w:val="bottom"/>
            <w:shd w:val="clear" w:color="auto" w:fill="E6E6E6"/>
          </w:tcPr>
          <w:p>
            <w:pPr>
              <w:spacing w:after="0"/>
              <w:rPr>
                <w:sz w:val="22"/>
                <w:szCs w:val="22"/>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E6E6E6"/>
          </w:tcPr>
          <w:p>
            <w:pPr>
              <w:spacing w:after="0"/>
              <w:rPr>
                <w:sz w:val="22"/>
                <w:szCs w:val="22"/>
                <w:color w:val="auto"/>
              </w:rPr>
            </w:pPr>
          </w:p>
        </w:tc>
        <w:tc>
          <w:tcPr>
            <w:tcW w:w="40" w:type="dxa"/>
            <w:vAlign w:val="bottom"/>
            <w:shd w:val="clear" w:color="auto" w:fill="E6E6E6"/>
          </w:tcPr>
          <w:p>
            <w:pPr>
              <w:spacing w:after="0"/>
              <w:rPr>
                <w:sz w:val="22"/>
                <w:szCs w:val="22"/>
                <w:color w:val="auto"/>
              </w:rPr>
            </w:pPr>
          </w:p>
        </w:tc>
        <w:tc>
          <w:tcPr>
            <w:tcW w:w="180" w:type="dxa"/>
            <w:vAlign w:val="bottom"/>
            <w:shd w:val="clear" w:color="auto" w:fill="E6E6E6"/>
          </w:tcPr>
          <w:p>
            <w:pPr>
              <w:spacing w:after="0"/>
              <w:rPr>
                <w:sz w:val="22"/>
                <w:szCs w:val="22"/>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520" w:type="dxa"/>
            <w:vAlign w:val="bottom"/>
            <w:shd w:val="clear" w:color="auto" w:fill="E6E6E6"/>
          </w:tcPr>
          <w:p>
            <w:pPr>
              <w:spacing w:after="0"/>
              <w:rPr>
                <w:sz w:val="22"/>
                <w:szCs w:val="22"/>
                <w:color w:val="auto"/>
              </w:rPr>
            </w:pPr>
          </w:p>
        </w:tc>
        <w:tc>
          <w:tcPr>
            <w:tcW w:w="5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38</w:t>
            </w:r>
          </w:p>
        </w:tc>
        <w:tc>
          <w:tcPr>
            <w:tcW w:w="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60" w:type="dxa"/>
            <w:vAlign w:val="bottom"/>
            <w:shd w:val="clear" w:color="auto" w:fill="E6E6E6"/>
          </w:tcPr>
          <w:p>
            <w:pPr>
              <w:spacing w:after="0"/>
              <w:rPr>
                <w:sz w:val="22"/>
                <w:szCs w:val="22"/>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7"/>
        </w:trPr>
        <w:tc>
          <w:tcPr>
            <w:tcW w:w="4720" w:type="dxa"/>
            <w:vAlign w:val="bottom"/>
          </w:tcPr>
          <w:p>
            <w:pPr>
              <w:jc w:val="right"/>
              <w:spacing w:after="0"/>
              <w:rPr>
                <w:sz w:val="20"/>
                <w:szCs w:val="20"/>
                <w:color w:val="auto"/>
              </w:rPr>
            </w:pPr>
            <w:r>
              <w:rPr>
                <w:rFonts w:ascii="Arial" w:cs="Arial" w:eastAsia="Arial" w:hAnsi="Arial"/>
                <w:sz w:val="18"/>
                <w:szCs w:val="18"/>
                <w:color w:val="auto"/>
                <w:w w:val="93"/>
              </w:rPr>
              <w:t xml:space="preserve">Transaction and integration costs </w:t>
            </w:r>
            <w:r>
              <w:rPr>
                <w:rFonts w:ascii="Arial" w:cs="Arial" w:eastAsia="Arial" w:hAnsi="Arial"/>
                <w:sz w:val="18"/>
                <w:szCs w:val="18"/>
                <w:color w:val="BDBDBD"/>
                <w:w w:val="93"/>
              </w:rPr>
              <w:t>. . . . . . . . . . . . . . . . . . . . . . .</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1"/>
        </w:trPr>
        <w:tc>
          <w:tcPr>
            <w:tcW w:w="47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w w:val="93"/>
              </w:rPr>
              <w:t xml:space="preserve">Development costs  </w:t>
            </w:r>
            <w:r>
              <w:rPr>
                <w:rFonts w:ascii="Arial" w:cs="Arial" w:eastAsia="Arial" w:hAnsi="Arial"/>
                <w:sz w:val="18"/>
                <w:szCs w:val="18"/>
                <w:color w:val="BDBDBD"/>
                <w:w w:val="93"/>
              </w:rPr>
              <w:t>. . . . . . . . . . . . . . . . . . . . . . . . . . . . . . . . . .</w:t>
            </w:r>
          </w:p>
        </w:tc>
        <w:tc>
          <w:tcPr>
            <w:tcW w:w="20" w:type="dxa"/>
            <w:vAlign w:val="bottom"/>
            <w:tcBorders>
              <w:bottom w:val="single" w:sz="8" w:color="auto"/>
            </w:tcBorders>
            <w:shd w:val="clear" w:color="auto" w:fill="E6E6E6"/>
          </w:tcPr>
          <w:p>
            <w:pPr>
              <w:spacing w:after="0"/>
              <w:rPr>
                <w:sz w:val="20"/>
                <w:szCs w:val="20"/>
                <w:color w:val="auto"/>
              </w:rPr>
            </w:pPr>
          </w:p>
        </w:tc>
        <w:tc>
          <w:tcPr>
            <w:tcW w:w="140" w:type="dxa"/>
            <w:vAlign w:val="bottom"/>
            <w:tcBorders>
              <w:bottom w:val="single" w:sz="8" w:color="auto"/>
            </w:tcBorders>
            <w:shd w:val="clear" w:color="auto" w:fill="E6E6E6"/>
          </w:tcPr>
          <w:p>
            <w:pPr>
              <w:spacing w:after="0"/>
              <w:rPr>
                <w:sz w:val="20"/>
                <w:szCs w:val="20"/>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6E6E6"/>
            </w:tcBorders>
            <w:shd w:val="clear" w:color="auto" w:fill="E6E6E6"/>
          </w:tcPr>
          <w:p>
            <w:pPr>
              <w:spacing w:after="0"/>
              <w:rPr>
                <w:sz w:val="20"/>
                <w:szCs w:val="20"/>
                <w:color w:val="auto"/>
              </w:rPr>
            </w:pPr>
          </w:p>
        </w:tc>
        <w:tc>
          <w:tcPr>
            <w:tcW w:w="60" w:type="dxa"/>
            <w:vAlign w:val="bottom"/>
            <w:tcBorders>
              <w:bottom w:val="single" w:sz="8" w:color="E6E6E6"/>
            </w:tcBorders>
            <w:shd w:val="clear" w:color="auto" w:fill="E6E6E6"/>
          </w:tcPr>
          <w:p>
            <w:pPr>
              <w:spacing w:after="0"/>
              <w:rPr>
                <w:sz w:val="20"/>
                <w:szCs w:val="20"/>
                <w:color w:val="auto"/>
              </w:rPr>
            </w:pPr>
          </w:p>
        </w:tc>
        <w:tc>
          <w:tcPr>
            <w:tcW w:w="20" w:type="dxa"/>
            <w:vAlign w:val="bottom"/>
            <w:tcBorders>
              <w:bottom w:val="single" w:sz="8" w:color="auto"/>
            </w:tcBorders>
            <w:shd w:val="clear" w:color="auto" w:fill="E6E6E6"/>
          </w:tcPr>
          <w:p>
            <w:pPr>
              <w:spacing w:after="0"/>
              <w:rPr>
                <w:sz w:val="20"/>
                <w:szCs w:val="20"/>
                <w:color w:val="auto"/>
              </w:rPr>
            </w:pPr>
          </w:p>
        </w:tc>
        <w:tc>
          <w:tcPr>
            <w:tcW w:w="340" w:type="dxa"/>
            <w:vAlign w:val="bottom"/>
            <w:tcBorders>
              <w:bottom w:val="single" w:sz="8" w:color="auto"/>
            </w:tcBorders>
            <w:shd w:val="clear" w:color="auto" w:fill="E6E6E6"/>
          </w:tcPr>
          <w:p>
            <w:pPr>
              <w:spacing w:after="0"/>
              <w:rPr>
                <w:sz w:val="20"/>
                <w:szCs w:val="20"/>
                <w:color w:val="auto"/>
              </w:rPr>
            </w:pPr>
          </w:p>
        </w:tc>
        <w:tc>
          <w:tcPr>
            <w:tcW w:w="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6E6E6"/>
            </w:tcBorders>
            <w:shd w:val="clear" w:color="auto" w:fill="E6E6E6"/>
          </w:tcPr>
          <w:p>
            <w:pPr>
              <w:spacing w:after="0"/>
              <w:rPr>
                <w:sz w:val="20"/>
                <w:szCs w:val="20"/>
                <w:color w:val="auto"/>
              </w:rPr>
            </w:pPr>
          </w:p>
        </w:tc>
        <w:tc>
          <w:tcPr>
            <w:tcW w:w="40" w:type="dxa"/>
            <w:vAlign w:val="bottom"/>
            <w:tcBorders>
              <w:bottom w:val="single" w:sz="8" w:color="E6E6E6"/>
            </w:tcBorders>
            <w:shd w:val="clear" w:color="auto" w:fill="E6E6E6"/>
          </w:tcPr>
          <w:p>
            <w:pPr>
              <w:spacing w:after="0"/>
              <w:rPr>
                <w:sz w:val="20"/>
                <w:szCs w:val="20"/>
                <w:color w:val="auto"/>
              </w:rPr>
            </w:pPr>
          </w:p>
        </w:tc>
        <w:tc>
          <w:tcPr>
            <w:tcW w:w="180" w:type="dxa"/>
            <w:vAlign w:val="bottom"/>
            <w:tcBorders>
              <w:bottom w:val="single" w:sz="8" w:color="auto"/>
            </w:tcBorders>
            <w:shd w:val="clear" w:color="auto" w:fill="E6E6E6"/>
          </w:tcPr>
          <w:p>
            <w:pPr>
              <w:spacing w:after="0"/>
              <w:rPr>
                <w:sz w:val="20"/>
                <w:szCs w:val="20"/>
                <w:color w:val="auto"/>
              </w:rPr>
            </w:pPr>
          </w:p>
        </w:tc>
        <w:tc>
          <w:tcPr>
            <w:tcW w:w="8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E6E6E6"/>
            </w:tcBorders>
            <w:shd w:val="clear" w:color="auto" w:fill="E6E6E6"/>
          </w:tcPr>
          <w:p>
            <w:pPr>
              <w:spacing w:after="0"/>
              <w:rPr>
                <w:sz w:val="20"/>
                <w:szCs w:val="20"/>
                <w:color w:val="auto"/>
              </w:rPr>
            </w:pPr>
          </w:p>
        </w:tc>
        <w:tc>
          <w:tcPr>
            <w:tcW w:w="60" w:type="dxa"/>
            <w:vAlign w:val="bottom"/>
            <w:tcBorders>
              <w:bottom w:val="single" w:sz="8" w:color="E6E6E6"/>
            </w:tcBorders>
            <w:shd w:val="clear" w:color="auto" w:fill="E6E6E6"/>
          </w:tcPr>
          <w:p>
            <w:pPr>
              <w:spacing w:after="0"/>
              <w:rPr>
                <w:sz w:val="20"/>
                <w:szCs w:val="20"/>
                <w:color w:val="auto"/>
              </w:rPr>
            </w:pPr>
          </w:p>
        </w:tc>
        <w:tc>
          <w:tcPr>
            <w:tcW w:w="20" w:type="dxa"/>
            <w:vAlign w:val="bottom"/>
            <w:tcBorders>
              <w:bottom w:val="single" w:sz="8" w:color="auto"/>
            </w:tcBorders>
            <w:shd w:val="clear" w:color="auto" w:fill="E6E6E6"/>
          </w:tcPr>
          <w:p>
            <w:pPr>
              <w:spacing w:after="0"/>
              <w:rPr>
                <w:sz w:val="20"/>
                <w:szCs w:val="20"/>
                <w:color w:val="auto"/>
              </w:rPr>
            </w:pPr>
          </w:p>
        </w:tc>
        <w:tc>
          <w:tcPr>
            <w:tcW w:w="520" w:type="dxa"/>
            <w:vAlign w:val="bottom"/>
            <w:tcBorders>
              <w:bottom w:val="single" w:sz="8" w:color="auto"/>
            </w:tcBorders>
            <w:shd w:val="clear" w:color="auto" w:fill="E6E6E6"/>
          </w:tcPr>
          <w:p>
            <w:pPr>
              <w:spacing w:after="0"/>
              <w:rPr>
                <w:sz w:val="20"/>
                <w:szCs w:val="20"/>
                <w:color w:val="auto"/>
              </w:rPr>
            </w:pPr>
          </w:p>
        </w:tc>
        <w:tc>
          <w:tcPr>
            <w:tcW w:w="5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6E6E6"/>
            </w:tcBorders>
            <w:shd w:val="clear" w:color="auto" w:fill="E6E6E6"/>
          </w:tcPr>
          <w:p>
            <w:pPr>
              <w:spacing w:after="0"/>
              <w:rPr>
                <w:sz w:val="20"/>
                <w:szCs w:val="20"/>
                <w:color w:val="auto"/>
              </w:rPr>
            </w:pPr>
          </w:p>
        </w:tc>
        <w:tc>
          <w:tcPr>
            <w:tcW w:w="60" w:type="dxa"/>
            <w:vAlign w:val="bottom"/>
            <w:tcBorders>
              <w:bottom w:val="single" w:sz="8" w:color="E6E6E6"/>
            </w:tcBorders>
            <w:shd w:val="clear" w:color="auto" w:fill="E6E6E6"/>
          </w:tcPr>
          <w:p>
            <w:pPr>
              <w:spacing w:after="0"/>
              <w:rPr>
                <w:sz w:val="20"/>
                <w:szCs w:val="20"/>
                <w:color w:val="auto"/>
              </w:rPr>
            </w:pPr>
          </w:p>
        </w:tc>
        <w:tc>
          <w:tcPr>
            <w:tcW w:w="260" w:type="dxa"/>
            <w:vAlign w:val="bottom"/>
            <w:tcBorders>
              <w:bottom w:val="single" w:sz="8" w:color="auto"/>
            </w:tcBorders>
            <w:shd w:val="clear" w:color="auto" w:fill="E6E6E6"/>
          </w:tcPr>
          <w:p>
            <w:pPr>
              <w:spacing w:after="0"/>
              <w:rPr>
                <w:sz w:val="20"/>
                <w:szCs w:val="20"/>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9"/>
        </w:trPr>
        <w:tc>
          <w:tcPr>
            <w:tcW w:w="4720" w:type="dxa"/>
            <w:vAlign w:val="bottom"/>
          </w:tcPr>
          <w:p>
            <w:pPr>
              <w:jc w:val="right"/>
              <w:spacing w:after="0"/>
              <w:rPr>
                <w:sz w:val="20"/>
                <w:szCs w:val="20"/>
                <w:color w:val="auto"/>
              </w:rPr>
            </w:pPr>
            <w:r>
              <w:rPr>
                <w:rFonts w:ascii="Arial" w:cs="Arial" w:eastAsia="Arial" w:hAnsi="Arial"/>
                <w:sz w:val="18"/>
                <w:szCs w:val="18"/>
                <w:color w:val="BDBDBD"/>
                <w:w w:val="94"/>
              </w:rPr>
              <w:t>. . . . . . . . . . . . . . . . . . . . . . .</w:t>
            </w:r>
            <w:r>
              <w:rPr>
                <w:rFonts w:ascii="Arial" w:cs="Arial" w:eastAsia="Arial" w:hAnsi="Arial"/>
                <w:sz w:val="18"/>
                <w:szCs w:val="18"/>
                <w:color w:val="000000"/>
                <w:w w:val="94"/>
              </w:rPr>
              <w:t>Totaloperatingcostsandexpenses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68"/>
        </w:trPr>
        <w:tc>
          <w:tcPr>
            <w:tcW w:w="47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w w:val="92"/>
              </w:rPr>
              <w:t xml:space="preserve">Gain on sale of business  </w:t>
            </w:r>
            <w:r>
              <w:rPr>
                <w:rFonts w:ascii="Arial" w:cs="Arial" w:eastAsia="Arial" w:hAnsi="Arial"/>
                <w:sz w:val="18"/>
                <w:szCs w:val="18"/>
                <w:color w:val="BDBDBD"/>
                <w:w w:val="92"/>
              </w:rPr>
              <w:t>. . . . . . . . . . . . . . . . . . . . . . . . . . . . . .</w:t>
            </w:r>
          </w:p>
        </w:tc>
        <w:tc>
          <w:tcPr>
            <w:tcW w:w="20" w:type="dxa"/>
            <w:vAlign w:val="bottom"/>
            <w:tcBorders>
              <w:bottom w:val="single" w:sz="8" w:color="auto"/>
            </w:tcBorders>
            <w:shd w:val="clear" w:color="auto" w:fill="E6E6E6"/>
          </w:tcPr>
          <w:p>
            <w:pPr>
              <w:spacing w:after="0"/>
              <w:rPr>
                <w:sz w:val="23"/>
                <w:szCs w:val="23"/>
                <w:color w:val="auto"/>
              </w:rPr>
            </w:pPr>
          </w:p>
        </w:tc>
        <w:tc>
          <w:tcPr>
            <w:tcW w:w="140" w:type="dxa"/>
            <w:vAlign w:val="bottom"/>
            <w:tcBorders>
              <w:bottom w:val="single" w:sz="8" w:color="auto"/>
            </w:tcBorders>
            <w:shd w:val="clear" w:color="auto" w:fill="E6E6E6"/>
          </w:tcPr>
          <w:p>
            <w:pPr>
              <w:spacing w:after="0"/>
              <w:rPr>
                <w:sz w:val="23"/>
                <w:szCs w:val="23"/>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6E6E6"/>
            </w:tcBorders>
            <w:shd w:val="clear" w:color="auto" w:fill="E6E6E6"/>
          </w:tcPr>
          <w:p>
            <w:pPr>
              <w:spacing w:after="0"/>
              <w:rPr>
                <w:sz w:val="23"/>
                <w:szCs w:val="23"/>
                <w:color w:val="auto"/>
              </w:rPr>
            </w:pPr>
          </w:p>
        </w:tc>
        <w:tc>
          <w:tcPr>
            <w:tcW w:w="6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340" w:type="dxa"/>
            <w:vAlign w:val="bottom"/>
            <w:tcBorders>
              <w:bottom w:val="single" w:sz="8" w:color="auto"/>
            </w:tcBorders>
            <w:shd w:val="clear" w:color="auto" w:fill="E6E6E6"/>
          </w:tcPr>
          <w:p>
            <w:pPr>
              <w:spacing w:after="0"/>
              <w:rPr>
                <w:sz w:val="23"/>
                <w:szCs w:val="23"/>
                <w:color w:val="auto"/>
              </w:rPr>
            </w:pPr>
          </w:p>
        </w:tc>
        <w:tc>
          <w:tcPr>
            <w:tcW w:w="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6E6E6"/>
            </w:tcBorders>
            <w:shd w:val="clear" w:color="auto" w:fill="E6E6E6"/>
          </w:tcPr>
          <w:p>
            <w:pPr>
              <w:spacing w:after="0"/>
              <w:rPr>
                <w:sz w:val="23"/>
                <w:szCs w:val="23"/>
                <w:color w:val="auto"/>
              </w:rPr>
            </w:pPr>
          </w:p>
        </w:tc>
        <w:tc>
          <w:tcPr>
            <w:tcW w:w="40" w:type="dxa"/>
            <w:vAlign w:val="bottom"/>
            <w:tcBorders>
              <w:bottom w:val="single" w:sz="8" w:color="E6E6E6"/>
            </w:tcBorders>
            <w:shd w:val="clear" w:color="auto" w:fill="E6E6E6"/>
          </w:tcPr>
          <w:p>
            <w:pPr>
              <w:spacing w:after="0"/>
              <w:rPr>
                <w:sz w:val="23"/>
                <w:szCs w:val="23"/>
                <w:color w:val="auto"/>
              </w:rPr>
            </w:pPr>
          </w:p>
        </w:tc>
        <w:tc>
          <w:tcPr>
            <w:tcW w:w="180" w:type="dxa"/>
            <w:vAlign w:val="bottom"/>
            <w:tcBorders>
              <w:bottom w:val="single" w:sz="8" w:color="auto"/>
            </w:tcBorders>
            <w:shd w:val="clear" w:color="auto" w:fill="E6E6E6"/>
          </w:tcPr>
          <w:p>
            <w:pPr>
              <w:spacing w:after="0"/>
              <w:rPr>
                <w:sz w:val="23"/>
                <w:szCs w:val="23"/>
                <w:color w:val="auto"/>
              </w:rPr>
            </w:pPr>
          </w:p>
        </w:tc>
        <w:tc>
          <w:tcPr>
            <w:tcW w:w="8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6E6E6"/>
            </w:tcBorders>
            <w:shd w:val="clear" w:color="auto" w:fill="E6E6E6"/>
          </w:tcPr>
          <w:p>
            <w:pPr>
              <w:spacing w:after="0"/>
              <w:rPr>
                <w:sz w:val="23"/>
                <w:szCs w:val="23"/>
                <w:color w:val="auto"/>
              </w:rPr>
            </w:pPr>
          </w:p>
        </w:tc>
        <w:tc>
          <w:tcPr>
            <w:tcW w:w="6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520" w:type="dxa"/>
            <w:vAlign w:val="bottom"/>
            <w:tcBorders>
              <w:bottom w:val="single" w:sz="8" w:color="auto"/>
            </w:tcBorders>
            <w:shd w:val="clear" w:color="auto" w:fill="E6E6E6"/>
          </w:tcPr>
          <w:p>
            <w:pPr>
              <w:spacing w:after="0"/>
              <w:rPr>
                <w:sz w:val="23"/>
                <w:szCs w:val="23"/>
                <w:color w:val="auto"/>
              </w:rPr>
            </w:pPr>
          </w:p>
        </w:tc>
        <w:tc>
          <w:tcPr>
            <w:tcW w:w="5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w w:val="97"/>
              </w:rPr>
              <w:t>1,292</w:t>
            </w:r>
          </w:p>
        </w:tc>
        <w:tc>
          <w:tcPr>
            <w:tcW w:w="20" w:type="dxa"/>
            <w:vAlign w:val="bottom"/>
            <w:tcBorders>
              <w:bottom w:val="single" w:sz="8" w:color="E6E6E6"/>
            </w:tcBorders>
            <w:shd w:val="clear" w:color="auto" w:fill="E6E6E6"/>
          </w:tcPr>
          <w:p>
            <w:pPr>
              <w:spacing w:after="0"/>
              <w:rPr>
                <w:sz w:val="23"/>
                <w:szCs w:val="23"/>
                <w:color w:val="auto"/>
              </w:rPr>
            </w:pPr>
          </w:p>
        </w:tc>
        <w:tc>
          <w:tcPr>
            <w:tcW w:w="60" w:type="dxa"/>
            <w:vAlign w:val="bottom"/>
            <w:tcBorders>
              <w:bottom w:val="single" w:sz="8" w:color="E6E6E6"/>
            </w:tcBorders>
            <w:shd w:val="clear" w:color="auto" w:fill="E6E6E6"/>
          </w:tcPr>
          <w:p>
            <w:pPr>
              <w:spacing w:after="0"/>
              <w:rPr>
                <w:sz w:val="23"/>
                <w:szCs w:val="23"/>
                <w:color w:val="auto"/>
              </w:rPr>
            </w:pPr>
          </w:p>
        </w:tc>
        <w:tc>
          <w:tcPr>
            <w:tcW w:w="260" w:type="dxa"/>
            <w:vAlign w:val="bottom"/>
            <w:tcBorders>
              <w:bottom w:val="single" w:sz="8" w:color="auto"/>
            </w:tcBorders>
            <w:shd w:val="clear" w:color="auto" w:fill="E6E6E6"/>
          </w:tcPr>
          <w:p>
            <w:pPr>
              <w:spacing w:after="0"/>
              <w:rPr>
                <w:sz w:val="23"/>
                <w:szCs w:val="23"/>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19"/>
        </w:trPr>
        <w:tc>
          <w:tcPr>
            <w:tcW w:w="4720" w:type="dxa"/>
            <w:vAlign w:val="bottom"/>
          </w:tcPr>
          <w:p>
            <w:pPr>
              <w:jc w:val="right"/>
              <w:spacing w:after="0"/>
              <w:rPr>
                <w:sz w:val="20"/>
                <w:szCs w:val="20"/>
                <w:color w:val="auto"/>
              </w:rPr>
            </w:pPr>
            <w:r>
              <w:rPr>
                <w:rFonts w:ascii="Arial" w:cs="Arial" w:eastAsia="Arial" w:hAnsi="Arial"/>
                <w:sz w:val="18"/>
                <w:szCs w:val="18"/>
                <w:color w:val="BDBDBD"/>
                <w:w w:val="92"/>
              </w:rPr>
              <w:t>. . . . . . . . . . . . . . . . . . . . . . . . . . . . . . . . . . . . .</w:t>
            </w:r>
            <w:r>
              <w:rPr>
                <w:rFonts w:ascii="Arial" w:cs="Arial" w:eastAsia="Arial" w:hAnsi="Arial"/>
                <w:sz w:val="18"/>
                <w:szCs w:val="18"/>
                <w:color w:val="000000"/>
                <w:w w:val="92"/>
              </w:rPr>
              <w:t>Operatingincome</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1,249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58"/>
        </w:trPr>
        <w:tc>
          <w:tcPr>
            <w:tcW w:w="472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5"/>
              </w:rPr>
              <w:t xml:space="preserve">Equity in earnings of unconsolidated affiliates </w:t>
            </w:r>
            <w:r>
              <w:rPr>
                <w:rFonts w:ascii="Arial" w:cs="Arial" w:eastAsia="Arial" w:hAnsi="Arial"/>
                <w:sz w:val="18"/>
                <w:szCs w:val="18"/>
                <w:color w:val="BDBDBD"/>
                <w:w w:val="95"/>
              </w:rPr>
              <w:t>. . . . . . . . . . . . .</w:t>
            </w:r>
          </w:p>
        </w:tc>
        <w:tc>
          <w:tcPr>
            <w:tcW w:w="2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340" w:type="dxa"/>
            <w:vAlign w:val="bottom"/>
            <w:shd w:val="clear" w:color="auto" w:fill="E6E6E6"/>
          </w:tcPr>
          <w:p>
            <w:pPr>
              <w:spacing w:after="0"/>
              <w:rPr>
                <w:sz w:val="22"/>
                <w:szCs w:val="22"/>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26</w:t>
            </w:r>
          </w:p>
        </w:tc>
        <w:tc>
          <w:tcPr>
            <w:tcW w:w="20" w:type="dxa"/>
            <w:vAlign w:val="bottom"/>
            <w:shd w:val="clear" w:color="auto" w:fill="E6E6E6"/>
          </w:tcPr>
          <w:p>
            <w:pPr>
              <w:spacing w:after="0"/>
              <w:rPr>
                <w:sz w:val="22"/>
                <w:szCs w:val="22"/>
                <w:color w:val="auto"/>
              </w:rPr>
            </w:pPr>
          </w:p>
        </w:tc>
        <w:tc>
          <w:tcPr>
            <w:tcW w:w="40" w:type="dxa"/>
            <w:vAlign w:val="bottom"/>
            <w:shd w:val="clear" w:color="auto" w:fill="E6E6E6"/>
          </w:tcPr>
          <w:p>
            <w:pPr>
              <w:spacing w:after="0"/>
              <w:rPr>
                <w:sz w:val="22"/>
                <w:szCs w:val="22"/>
                <w:color w:val="auto"/>
              </w:rPr>
            </w:pPr>
          </w:p>
        </w:tc>
        <w:tc>
          <w:tcPr>
            <w:tcW w:w="180" w:type="dxa"/>
            <w:vAlign w:val="bottom"/>
            <w:shd w:val="clear" w:color="auto" w:fill="E6E6E6"/>
          </w:tcPr>
          <w:p>
            <w:pPr>
              <w:spacing w:after="0"/>
              <w:rPr>
                <w:sz w:val="22"/>
                <w:szCs w:val="22"/>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520" w:type="dxa"/>
            <w:vAlign w:val="bottom"/>
            <w:shd w:val="clear" w:color="auto" w:fill="E6E6E6"/>
          </w:tcPr>
          <w:p>
            <w:pPr>
              <w:spacing w:after="0"/>
              <w:rPr>
                <w:sz w:val="22"/>
                <w:szCs w:val="22"/>
                <w:color w:val="auto"/>
              </w:rPr>
            </w:pPr>
          </w:p>
        </w:tc>
        <w:tc>
          <w:tcPr>
            <w:tcW w:w="5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60" w:type="dxa"/>
            <w:vAlign w:val="bottom"/>
            <w:shd w:val="clear" w:color="auto" w:fill="E6E6E6"/>
          </w:tcPr>
          <w:p>
            <w:pPr>
              <w:spacing w:after="0"/>
              <w:rPr>
                <w:sz w:val="22"/>
                <w:szCs w:val="22"/>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7"/>
        </w:trPr>
        <w:tc>
          <w:tcPr>
            <w:tcW w:w="4720" w:type="dxa"/>
            <w:vAlign w:val="bottom"/>
          </w:tcPr>
          <w:p>
            <w:pPr>
              <w:jc w:val="right"/>
              <w:spacing w:after="0"/>
              <w:rPr>
                <w:sz w:val="20"/>
                <w:szCs w:val="20"/>
                <w:color w:val="auto"/>
              </w:rPr>
            </w:pPr>
            <w:r>
              <w:rPr>
                <w:rFonts w:ascii="Arial" w:cs="Arial" w:eastAsia="Arial" w:hAnsi="Arial"/>
                <w:sz w:val="18"/>
                <w:szCs w:val="18"/>
                <w:color w:val="auto"/>
                <w:w w:val="93"/>
              </w:rPr>
              <w:t xml:space="preserve">Other income, net  </w:t>
            </w:r>
            <w:r>
              <w:rPr>
                <w:rFonts w:ascii="Arial" w:cs="Arial" w:eastAsia="Arial" w:hAnsi="Arial"/>
                <w:sz w:val="18"/>
                <w:szCs w:val="18"/>
                <w:color w:val="BDBDBD"/>
                <w:w w:val="93"/>
              </w:rPr>
              <w:t>. . . . . . . . . . . . . . . . . . . . . . . . . . . . . . . . . . .</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61"/>
        </w:trPr>
        <w:tc>
          <w:tcPr>
            <w:tcW w:w="472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3"/>
              </w:rPr>
              <w:t xml:space="preserve">Loss on debt extinguishment </w:t>
            </w:r>
            <w:r>
              <w:rPr>
                <w:rFonts w:ascii="Arial" w:cs="Arial" w:eastAsia="Arial" w:hAnsi="Arial"/>
                <w:sz w:val="18"/>
                <w:szCs w:val="18"/>
                <w:color w:val="BDBDBD"/>
                <w:w w:val="93"/>
              </w:rPr>
              <w:t>. . . . . . . . . . . . . . . . . . . . . . . . . . .</w:t>
            </w:r>
          </w:p>
        </w:tc>
        <w:tc>
          <w:tcPr>
            <w:tcW w:w="2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340" w:type="dxa"/>
            <w:vAlign w:val="bottom"/>
            <w:shd w:val="clear" w:color="auto" w:fill="E6E6E6"/>
          </w:tcPr>
          <w:p>
            <w:pPr>
              <w:spacing w:after="0"/>
              <w:rPr>
                <w:sz w:val="22"/>
                <w:szCs w:val="22"/>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E6E6E6"/>
          </w:tcPr>
          <w:p>
            <w:pPr>
              <w:spacing w:after="0"/>
              <w:rPr>
                <w:sz w:val="22"/>
                <w:szCs w:val="22"/>
                <w:color w:val="auto"/>
              </w:rPr>
            </w:pPr>
          </w:p>
        </w:tc>
        <w:tc>
          <w:tcPr>
            <w:tcW w:w="40" w:type="dxa"/>
            <w:vAlign w:val="bottom"/>
            <w:shd w:val="clear" w:color="auto" w:fill="E6E6E6"/>
          </w:tcPr>
          <w:p>
            <w:pPr>
              <w:spacing w:after="0"/>
              <w:rPr>
                <w:sz w:val="22"/>
                <w:szCs w:val="22"/>
                <w:color w:val="auto"/>
              </w:rPr>
            </w:pPr>
          </w:p>
        </w:tc>
        <w:tc>
          <w:tcPr>
            <w:tcW w:w="180" w:type="dxa"/>
            <w:vAlign w:val="bottom"/>
            <w:shd w:val="clear" w:color="auto" w:fill="E6E6E6"/>
          </w:tcPr>
          <w:p>
            <w:pPr>
              <w:spacing w:after="0"/>
              <w:rPr>
                <w:sz w:val="22"/>
                <w:szCs w:val="22"/>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520" w:type="dxa"/>
            <w:vAlign w:val="bottom"/>
            <w:shd w:val="clear" w:color="auto" w:fill="E6E6E6"/>
          </w:tcPr>
          <w:p>
            <w:pPr>
              <w:spacing w:after="0"/>
              <w:rPr>
                <w:sz w:val="22"/>
                <w:szCs w:val="22"/>
                <w:color w:val="auto"/>
              </w:rPr>
            </w:pPr>
          </w:p>
        </w:tc>
        <w:tc>
          <w:tcPr>
            <w:tcW w:w="5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60" w:type="dxa"/>
            <w:vAlign w:val="bottom"/>
            <w:shd w:val="clear" w:color="auto" w:fill="E6E6E6"/>
          </w:tcPr>
          <w:p>
            <w:pPr>
              <w:spacing w:after="0"/>
              <w:rPr>
                <w:sz w:val="22"/>
                <w:szCs w:val="22"/>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4"/>
        </w:trPr>
        <w:tc>
          <w:tcPr>
            <w:tcW w:w="4720" w:type="dxa"/>
            <w:vAlign w:val="bottom"/>
            <w:tcBorders>
              <w:bottom w:val="single" w:sz="8" w:color="E6E6E6"/>
            </w:tcBorders>
          </w:tcPr>
          <w:p>
            <w:pPr>
              <w:jc w:val="right"/>
              <w:spacing w:after="0"/>
              <w:rPr>
                <w:sz w:val="20"/>
                <w:szCs w:val="20"/>
                <w:color w:val="auto"/>
              </w:rPr>
            </w:pPr>
            <w:r>
              <w:rPr>
                <w:rFonts w:ascii="Arial" w:cs="Arial" w:eastAsia="Arial" w:hAnsi="Arial"/>
                <w:sz w:val="18"/>
                <w:szCs w:val="18"/>
                <w:color w:val="auto"/>
                <w:w w:val="93"/>
              </w:rPr>
              <w:t xml:space="preserve">Interest expense  </w:t>
            </w:r>
            <w:r>
              <w:rPr>
                <w:rFonts w:ascii="Arial" w:cs="Arial" w:eastAsia="Arial" w:hAnsi="Arial"/>
                <w:sz w:val="18"/>
                <w:szCs w:val="18"/>
                <w:color w:val="BDBDBD"/>
                <w:w w:val="93"/>
              </w:rPr>
              <w:t>. . . . . . . . . . . . . . . . . . . . . . . . . . . . . . . . . . . .</w:t>
            </w: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0" w:type="dxa"/>
            <w:vAlign w:val="bottom"/>
            <w:tcBorders>
              <w:bottom w:val="single" w:sz="8" w:color="E6E6E6"/>
            </w:tcBorders>
          </w:tcPr>
          <w:p>
            <w:pPr>
              <w:spacing w:after="0"/>
              <w:rPr>
                <w:sz w:val="21"/>
                <w:szCs w:val="21"/>
                <w:color w:val="auto"/>
              </w:rPr>
            </w:pPr>
          </w:p>
        </w:tc>
        <w:tc>
          <w:tcPr>
            <w:tcW w:w="60" w:type="dxa"/>
            <w:vAlign w:val="bottom"/>
            <w:tcBorders>
              <w:bottom w:val="single" w:sz="8" w:color="E6E6E6"/>
            </w:tcBorders>
          </w:tcPr>
          <w:p>
            <w:pPr>
              <w:spacing w:after="0"/>
              <w:rPr>
                <w:sz w:val="21"/>
                <w:szCs w:val="21"/>
                <w:color w:val="auto"/>
              </w:rPr>
            </w:pPr>
          </w:p>
        </w:tc>
        <w:tc>
          <w:tcPr>
            <w:tcW w:w="20" w:type="dxa"/>
            <w:vAlign w:val="bottom"/>
            <w:tcBorders>
              <w:bottom w:val="single" w:sz="8" w:color="E6E6E6"/>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0" w:type="dxa"/>
            <w:vAlign w:val="bottom"/>
            <w:tcBorders>
              <w:bottom w:val="single" w:sz="8" w:color="E6E6E6"/>
            </w:tcBorders>
          </w:tcPr>
          <w:p>
            <w:pPr>
              <w:spacing w:after="0"/>
              <w:rPr>
                <w:sz w:val="21"/>
                <w:szCs w:val="21"/>
                <w:color w:val="auto"/>
              </w:rPr>
            </w:pPr>
          </w:p>
        </w:tc>
        <w:tc>
          <w:tcPr>
            <w:tcW w:w="40" w:type="dxa"/>
            <w:vAlign w:val="bottom"/>
            <w:tcBorders>
              <w:bottom w:val="single" w:sz="8" w:color="E6E6E6"/>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E6E6E6"/>
            </w:tcBorders>
          </w:tcPr>
          <w:p>
            <w:pPr>
              <w:spacing w:after="0"/>
              <w:rPr>
                <w:sz w:val="21"/>
                <w:szCs w:val="21"/>
                <w:color w:val="auto"/>
              </w:rPr>
            </w:pPr>
          </w:p>
        </w:tc>
        <w:tc>
          <w:tcPr>
            <w:tcW w:w="60" w:type="dxa"/>
            <w:vAlign w:val="bottom"/>
            <w:tcBorders>
              <w:bottom w:val="single" w:sz="8" w:color="E6E6E6"/>
            </w:tcBorders>
          </w:tcPr>
          <w:p>
            <w:pPr>
              <w:spacing w:after="0"/>
              <w:rPr>
                <w:sz w:val="21"/>
                <w:szCs w:val="21"/>
                <w:color w:val="auto"/>
              </w:rPr>
            </w:pPr>
          </w:p>
        </w:tc>
        <w:tc>
          <w:tcPr>
            <w:tcW w:w="20" w:type="dxa"/>
            <w:vAlign w:val="bottom"/>
            <w:tcBorders>
              <w:bottom w:val="single" w:sz="8" w:color="E6E6E6"/>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0" w:type="dxa"/>
            <w:vAlign w:val="bottom"/>
            <w:tcBorders>
              <w:bottom w:val="single" w:sz="8" w:color="E6E6E6"/>
            </w:tcBorders>
          </w:tcPr>
          <w:p>
            <w:pPr>
              <w:spacing w:after="0"/>
              <w:rPr>
                <w:sz w:val="21"/>
                <w:szCs w:val="21"/>
                <w:color w:val="auto"/>
              </w:rPr>
            </w:pPr>
          </w:p>
        </w:tc>
        <w:tc>
          <w:tcPr>
            <w:tcW w:w="60" w:type="dxa"/>
            <w:vAlign w:val="bottom"/>
            <w:tcBorders>
              <w:bottom w:val="single" w:sz="8" w:color="E6E6E6"/>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44"/>
        </w:trPr>
        <w:tc>
          <w:tcPr>
            <w:tcW w:w="4720" w:type="dxa"/>
            <w:vAlign w:val="bottom"/>
            <w:shd w:val="clear" w:color="auto" w:fill="E6E6E6"/>
          </w:tcPr>
          <w:p>
            <w:pPr>
              <w:jc w:val="right"/>
              <w:spacing w:after="0"/>
              <w:rPr>
                <w:sz w:val="20"/>
                <w:szCs w:val="20"/>
                <w:color w:val="auto"/>
              </w:rPr>
            </w:pPr>
            <w:r>
              <w:rPr>
                <w:rFonts w:ascii="Arial" w:cs="Arial" w:eastAsia="Arial" w:hAnsi="Arial"/>
                <w:sz w:val="18"/>
                <w:szCs w:val="18"/>
                <w:color w:val="BDBDBD"/>
                <w:w w:val="95"/>
              </w:rPr>
              <w:t>. . . . . . . . . . . . . . . . . . . . . . . .</w:t>
            </w:r>
            <w:r>
              <w:rPr>
                <w:rFonts w:ascii="Arial" w:cs="Arial" w:eastAsia="Arial" w:hAnsi="Arial"/>
                <w:sz w:val="18"/>
                <w:szCs w:val="18"/>
                <w:color w:val="000000"/>
                <w:w w:val="95"/>
              </w:rPr>
              <w:t>Income(loss)beforeincometaxes</w:t>
            </w:r>
          </w:p>
        </w:tc>
        <w:tc>
          <w:tcPr>
            <w:tcW w:w="20" w:type="dxa"/>
            <w:vAlign w:val="bottom"/>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161</w:t>
            </w:r>
          </w:p>
        </w:tc>
        <w:tc>
          <w:tcPr>
            <w:tcW w:w="2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340" w:type="dxa"/>
            <w:vAlign w:val="bottom"/>
            <w:shd w:val="clear" w:color="auto" w:fill="E6E6E6"/>
          </w:tcPr>
          <w:p>
            <w:pPr>
              <w:spacing w:after="0"/>
              <w:rPr>
                <w:sz w:val="21"/>
                <w:szCs w:val="21"/>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(56)</w:t>
            </w:r>
          </w:p>
        </w:tc>
        <w:tc>
          <w:tcPr>
            <w:tcW w:w="2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180" w:type="dxa"/>
            <w:vAlign w:val="bottom"/>
            <w:shd w:val="clear" w:color="auto" w:fill="E6E6E6"/>
          </w:tcPr>
          <w:p>
            <w:pPr>
              <w:spacing w:after="0"/>
              <w:rPr>
                <w:sz w:val="21"/>
                <w:szCs w:val="21"/>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17</w:t>
            </w:r>
          </w:p>
        </w:tc>
        <w:tc>
          <w:tcPr>
            <w:tcW w:w="2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520" w:type="dxa"/>
            <w:vAlign w:val="bottom"/>
            <w:shd w:val="clear" w:color="auto" w:fill="E6E6E6"/>
          </w:tcPr>
          <w:p>
            <w:pPr>
              <w:spacing w:after="0"/>
              <w:rPr>
                <w:sz w:val="21"/>
                <w:szCs w:val="21"/>
                <w:color w:val="auto"/>
              </w:rPr>
            </w:pPr>
          </w:p>
        </w:tc>
        <w:tc>
          <w:tcPr>
            <w:tcW w:w="52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7"/>
              </w:rPr>
              <w:t>1,160</w:t>
            </w:r>
          </w:p>
        </w:tc>
        <w:tc>
          <w:tcPr>
            <w:tcW w:w="2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60" w:type="dxa"/>
            <w:vAlign w:val="bottom"/>
            <w:shd w:val="clear" w:color="auto" w:fill="E6E6E6"/>
          </w:tcPr>
          <w:p>
            <w:pPr>
              <w:spacing w:after="0"/>
              <w:rPr>
                <w:sz w:val="21"/>
                <w:szCs w:val="21"/>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244"/>
        </w:trPr>
        <w:tc>
          <w:tcPr>
            <w:tcW w:w="4720" w:type="dxa"/>
            <w:vAlign w:val="bottom"/>
            <w:tcBorders>
              <w:bottom w:val="single" w:sz="8" w:color="E6E6E6"/>
            </w:tcBorders>
          </w:tcPr>
          <w:p>
            <w:pPr>
              <w:jc w:val="right"/>
              <w:spacing w:after="0"/>
              <w:rPr>
                <w:sz w:val="20"/>
                <w:szCs w:val="20"/>
                <w:color w:val="auto"/>
              </w:rPr>
            </w:pPr>
            <w:r>
              <w:rPr>
                <w:rFonts w:ascii="Arial" w:cs="Arial" w:eastAsia="Arial" w:hAnsi="Arial"/>
                <w:sz w:val="18"/>
                <w:szCs w:val="18"/>
                <w:color w:val="auto"/>
                <w:w w:val="92"/>
              </w:rPr>
              <w:t xml:space="preserve">Income tax expense </w:t>
            </w:r>
            <w:r>
              <w:rPr>
                <w:rFonts w:ascii="Arial" w:cs="Arial" w:eastAsia="Arial" w:hAnsi="Arial"/>
                <w:sz w:val="18"/>
                <w:szCs w:val="18"/>
                <w:color w:val="BDBDBD"/>
                <w:w w:val="92"/>
              </w:rPr>
              <w:t>. . . . . . . . . . . . . . . . . . . . . . . . . . . . . . . . . .</w:t>
            </w:r>
          </w:p>
        </w:tc>
        <w:tc>
          <w:tcPr>
            <w:tcW w:w="20" w:type="dxa"/>
            <w:vAlign w:val="bottom"/>
            <w:tcBorders>
              <w:bottom w:val="single" w:sz="8" w:color="E6E6E6"/>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6E6E6"/>
            </w:tcBorders>
          </w:tcPr>
          <w:p>
            <w:pPr>
              <w:spacing w:after="0"/>
              <w:rPr>
                <w:sz w:val="21"/>
                <w:szCs w:val="21"/>
                <w:color w:val="auto"/>
              </w:rPr>
            </w:pPr>
          </w:p>
        </w:tc>
        <w:tc>
          <w:tcPr>
            <w:tcW w:w="60" w:type="dxa"/>
            <w:vAlign w:val="bottom"/>
            <w:tcBorders>
              <w:bottom w:val="single" w:sz="8" w:color="E6E6E6"/>
            </w:tcBorders>
          </w:tcPr>
          <w:p>
            <w:pPr>
              <w:spacing w:after="0"/>
              <w:rPr>
                <w:sz w:val="21"/>
                <w:szCs w:val="21"/>
                <w:color w:val="auto"/>
              </w:rPr>
            </w:pPr>
          </w:p>
        </w:tc>
        <w:tc>
          <w:tcPr>
            <w:tcW w:w="20" w:type="dxa"/>
            <w:vAlign w:val="bottom"/>
            <w:tcBorders>
              <w:bottom w:val="single" w:sz="8" w:color="E6E6E6"/>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E6E6E6"/>
            </w:tcBorders>
          </w:tcPr>
          <w:p>
            <w:pPr>
              <w:spacing w:after="0"/>
              <w:rPr>
                <w:sz w:val="21"/>
                <w:szCs w:val="21"/>
                <w:color w:val="auto"/>
              </w:rPr>
            </w:pPr>
          </w:p>
        </w:tc>
        <w:tc>
          <w:tcPr>
            <w:tcW w:w="40" w:type="dxa"/>
            <w:vAlign w:val="bottom"/>
            <w:tcBorders>
              <w:bottom w:val="single" w:sz="8" w:color="E6E6E6"/>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6E6E6"/>
            </w:tcBorders>
          </w:tcPr>
          <w:p>
            <w:pPr>
              <w:spacing w:after="0"/>
              <w:rPr>
                <w:sz w:val="21"/>
                <w:szCs w:val="21"/>
                <w:color w:val="auto"/>
              </w:rPr>
            </w:pPr>
          </w:p>
        </w:tc>
        <w:tc>
          <w:tcPr>
            <w:tcW w:w="60" w:type="dxa"/>
            <w:vAlign w:val="bottom"/>
            <w:tcBorders>
              <w:bottom w:val="single" w:sz="8" w:color="E6E6E6"/>
            </w:tcBorders>
          </w:tcPr>
          <w:p>
            <w:pPr>
              <w:spacing w:after="0"/>
              <w:rPr>
                <w:sz w:val="21"/>
                <w:szCs w:val="21"/>
                <w:color w:val="auto"/>
              </w:rPr>
            </w:pPr>
          </w:p>
        </w:tc>
        <w:tc>
          <w:tcPr>
            <w:tcW w:w="20" w:type="dxa"/>
            <w:vAlign w:val="bottom"/>
            <w:tcBorders>
              <w:bottom w:val="single" w:sz="8" w:color="E6E6E6"/>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20" w:type="dxa"/>
            <w:vAlign w:val="bottom"/>
            <w:tcBorders>
              <w:bottom w:val="single" w:sz="8" w:color="E6E6E6"/>
            </w:tcBorders>
          </w:tcPr>
          <w:p>
            <w:pPr>
              <w:spacing w:after="0"/>
              <w:rPr>
                <w:sz w:val="21"/>
                <w:szCs w:val="21"/>
                <w:color w:val="auto"/>
              </w:rPr>
            </w:pPr>
          </w:p>
        </w:tc>
        <w:tc>
          <w:tcPr>
            <w:tcW w:w="60" w:type="dxa"/>
            <w:vAlign w:val="bottom"/>
            <w:tcBorders>
              <w:bottom w:val="single" w:sz="8" w:color="E6E6E6"/>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34"/>
        </w:trPr>
        <w:tc>
          <w:tcPr>
            <w:tcW w:w="47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BDBDBD"/>
                <w:w w:val="92"/>
              </w:rPr>
              <w:t>. . . . . . . . . . . . . . . . . . . . . . . . . . . . . . . . . . . .</w:t>
            </w:r>
            <w:r>
              <w:rPr>
                <w:rFonts w:ascii="Arial" w:cs="Arial" w:eastAsia="Arial" w:hAnsi="Arial"/>
                <w:sz w:val="18"/>
                <w:szCs w:val="18"/>
                <w:b w:val="1"/>
                <w:bCs w:val="1"/>
                <w:color w:val="000000"/>
                <w:w w:val="92"/>
              </w:rPr>
              <w:t>NetIncome(Loss)</w:t>
            </w:r>
          </w:p>
        </w:tc>
        <w:tc>
          <w:tcPr>
            <w:tcW w:w="20" w:type="dxa"/>
            <w:vAlign w:val="bottom"/>
            <w:tcBorders>
              <w:bottom w:val="single" w:sz="8" w:color="E6E6E6"/>
            </w:tcBorders>
            <w:shd w:val="clear" w:color="auto" w:fill="E6E6E6"/>
          </w:tcPr>
          <w:p>
            <w:pPr>
              <w:spacing w:after="0"/>
              <w:rPr>
                <w:sz w:val="20"/>
                <w:szCs w:val="20"/>
                <w:color w:val="auto"/>
              </w:rPr>
            </w:pPr>
          </w:p>
        </w:tc>
        <w:tc>
          <w:tcPr>
            <w:tcW w:w="140" w:type="dxa"/>
            <w:vAlign w:val="bottom"/>
            <w:tcBorders>
              <w:bottom w:val="single" w:sz="8" w:color="auto"/>
            </w:tcBorders>
            <w:shd w:val="clear" w:color="auto" w:fill="E6E6E6"/>
          </w:tcPr>
          <w:p>
            <w:pPr>
              <w:spacing w:after="0"/>
              <w:rPr>
                <w:sz w:val="20"/>
                <w:szCs w:val="20"/>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161</w:t>
            </w:r>
          </w:p>
        </w:tc>
        <w:tc>
          <w:tcPr>
            <w:tcW w:w="20" w:type="dxa"/>
            <w:vAlign w:val="bottom"/>
            <w:tcBorders>
              <w:bottom w:val="single" w:sz="8" w:color="E6E6E6"/>
            </w:tcBorders>
            <w:shd w:val="clear" w:color="auto" w:fill="E6E6E6"/>
          </w:tcPr>
          <w:p>
            <w:pPr>
              <w:spacing w:after="0"/>
              <w:rPr>
                <w:sz w:val="20"/>
                <w:szCs w:val="20"/>
                <w:color w:val="auto"/>
              </w:rPr>
            </w:pPr>
          </w:p>
        </w:tc>
        <w:tc>
          <w:tcPr>
            <w:tcW w:w="60" w:type="dxa"/>
            <w:vAlign w:val="bottom"/>
            <w:tcBorders>
              <w:bottom w:val="single" w:sz="8" w:color="E6E6E6"/>
            </w:tcBorders>
            <w:shd w:val="clear" w:color="auto" w:fill="E6E6E6"/>
          </w:tcPr>
          <w:p>
            <w:pPr>
              <w:spacing w:after="0"/>
              <w:rPr>
                <w:sz w:val="20"/>
                <w:szCs w:val="20"/>
                <w:color w:val="auto"/>
              </w:rPr>
            </w:pPr>
          </w:p>
        </w:tc>
        <w:tc>
          <w:tcPr>
            <w:tcW w:w="20" w:type="dxa"/>
            <w:vAlign w:val="bottom"/>
            <w:tcBorders>
              <w:bottom w:val="single" w:sz="8" w:color="E6E6E6"/>
            </w:tcBorders>
            <w:shd w:val="clear" w:color="auto" w:fill="E6E6E6"/>
          </w:tcPr>
          <w:p>
            <w:pPr>
              <w:spacing w:after="0"/>
              <w:rPr>
                <w:sz w:val="20"/>
                <w:szCs w:val="20"/>
                <w:color w:val="auto"/>
              </w:rPr>
            </w:pPr>
          </w:p>
        </w:tc>
        <w:tc>
          <w:tcPr>
            <w:tcW w:w="340" w:type="dxa"/>
            <w:vAlign w:val="bottom"/>
            <w:tcBorders>
              <w:bottom w:val="single" w:sz="8" w:color="auto"/>
            </w:tcBorders>
            <w:shd w:val="clear" w:color="auto" w:fill="E6E6E6"/>
          </w:tcPr>
          <w:p>
            <w:pPr>
              <w:spacing w:after="0"/>
              <w:rPr>
                <w:sz w:val="20"/>
                <w:szCs w:val="20"/>
                <w:color w:val="auto"/>
              </w:rPr>
            </w:pPr>
          </w:p>
        </w:tc>
        <w:tc>
          <w:tcPr>
            <w:tcW w:w="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(58)</w:t>
            </w:r>
          </w:p>
        </w:tc>
        <w:tc>
          <w:tcPr>
            <w:tcW w:w="20" w:type="dxa"/>
            <w:vAlign w:val="bottom"/>
            <w:tcBorders>
              <w:bottom w:val="single" w:sz="8" w:color="auto"/>
            </w:tcBorders>
            <w:shd w:val="clear" w:color="auto" w:fill="E6E6E6"/>
          </w:tcPr>
          <w:p>
            <w:pPr>
              <w:spacing w:after="0"/>
              <w:rPr>
                <w:sz w:val="20"/>
                <w:szCs w:val="20"/>
                <w:color w:val="auto"/>
              </w:rPr>
            </w:pPr>
          </w:p>
        </w:tc>
        <w:tc>
          <w:tcPr>
            <w:tcW w:w="40" w:type="dxa"/>
            <w:vAlign w:val="bottom"/>
            <w:tcBorders>
              <w:bottom w:val="single" w:sz="8" w:color="E6E6E6"/>
            </w:tcBorders>
            <w:shd w:val="clear" w:color="auto" w:fill="E6E6E6"/>
          </w:tcPr>
          <w:p>
            <w:pPr>
              <w:spacing w:after="0"/>
              <w:rPr>
                <w:sz w:val="20"/>
                <w:szCs w:val="20"/>
                <w:color w:val="auto"/>
              </w:rPr>
            </w:pPr>
          </w:p>
        </w:tc>
        <w:tc>
          <w:tcPr>
            <w:tcW w:w="180" w:type="dxa"/>
            <w:vAlign w:val="bottom"/>
            <w:tcBorders>
              <w:bottom w:val="single" w:sz="8" w:color="auto"/>
            </w:tcBorders>
            <w:shd w:val="clear" w:color="auto" w:fill="E6E6E6"/>
          </w:tcPr>
          <w:p>
            <w:pPr>
              <w:spacing w:after="0"/>
              <w:rPr>
                <w:sz w:val="20"/>
                <w:szCs w:val="20"/>
                <w:color w:val="auto"/>
              </w:rPr>
            </w:pPr>
          </w:p>
        </w:tc>
        <w:tc>
          <w:tcPr>
            <w:tcW w:w="8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17</w:t>
            </w:r>
          </w:p>
        </w:tc>
        <w:tc>
          <w:tcPr>
            <w:tcW w:w="20" w:type="dxa"/>
            <w:vAlign w:val="bottom"/>
            <w:tcBorders>
              <w:bottom w:val="single" w:sz="8" w:color="E6E6E6"/>
            </w:tcBorders>
            <w:shd w:val="clear" w:color="auto" w:fill="E6E6E6"/>
          </w:tcPr>
          <w:p>
            <w:pPr>
              <w:spacing w:after="0"/>
              <w:rPr>
                <w:sz w:val="20"/>
                <w:szCs w:val="20"/>
                <w:color w:val="auto"/>
              </w:rPr>
            </w:pPr>
          </w:p>
        </w:tc>
        <w:tc>
          <w:tcPr>
            <w:tcW w:w="60" w:type="dxa"/>
            <w:vAlign w:val="bottom"/>
            <w:tcBorders>
              <w:bottom w:val="single" w:sz="8" w:color="E6E6E6"/>
            </w:tcBorders>
            <w:shd w:val="clear" w:color="auto" w:fill="E6E6E6"/>
          </w:tcPr>
          <w:p>
            <w:pPr>
              <w:spacing w:after="0"/>
              <w:rPr>
                <w:sz w:val="20"/>
                <w:szCs w:val="20"/>
                <w:color w:val="auto"/>
              </w:rPr>
            </w:pPr>
          </w:p>
        </w:tc>
        <w:tc>
          <w:tcPr>
            <w:tcW w:w="20" w:type="dxa"/>
            <w:vAlign w:val="bottom"/>
            <w:tcBorders>
              <w:bottom w:val="single" w:sz="8" w:color="E6E6E6"/>
            </w:tcBorders>
            <w:shd w:val="clear" w:color="auto" w:fill="E6E6E6"/>
          </w:tcPr>
          <w:p>
            <w:pPr>
              <w:spacing w:after="0"/>
              <w:rPr>
                <w:sz w:val="20"/>
                <w:szCs w:val="20"/>
                <w:color w:val="auto"/>
              </w:rPr>
            </w:pPr>
          </w:p>
        </w:tc>
        <w:tc>
          <w:tcPr>
            <w:tcW w:w="520" w:type="dxa"/>
            <w:vAlign w:val="bottom"/>
            <w:tcBorders>
              <w:bottom w:val="single" w:sz="8" w:color="auto"/>
            </w:tcBorders>
            <w:shd w:val="clear" w:color="auto" w:fill="E6E6E6"/>
          </w:tcPr>
          <w:p>
            <w:pPr>
              <w:spacing w:after="0"/>
              <w:rPr>
                <w:sz w:val="20"/>
                <w:szCs w:val="20"/>
                <w:color w:val="auto"/>
              </w:rPr>
            </w:pPr>
          </w:p>
        </w:tc>
        <w:tc>
          <w:tcPr>
            <w:tcW w:w="5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940</w:t>
            </w:r>
          </w:p>
        </w:tc>
        <w:tc>
          <w:tcPr>
            <w:tcW w:w="20" w:type="dxa"/>
            <w:vAlign w:val="bottom"/>
            <w:tcBorders>
              <w:bottom w:val="single" w:sz="8" w:color="auto"/>
            </w:tcBorders>
            <w:shd w:val="clear" w:color="auto" w:fill="E6E6E6"/>
          </w:tcPr>
          <w:p>
            <w:pPr>
              <w:spacing w:after="0"/>
              <w:rPr>
                <w:sz w:val="20"/>
                <w:szCs w:val="20"/>
                <w:color w:val="auto"/>
              </w:rPr>
            </w:pPr>
          </w:p>
        </w:tc>
        <w:tc>
          <w:tcPr>
            <w:tcW w:w="60" w:type="dxa"/>
            <w:vAlign w:val="bottom"/>
            <w:tcBorders>
              <w:bottom w:val="single" w:sz="8" w:color="E6E6E6"/>
            </w:tcBorders>
            <w:shd w:val="clear" w:color="auto" w:fill="E6E6E6"/>
          </w:tcPr>
          <w:p>
            <w:pPr>
              <w:spacing w:after="0"/>
              <w:rPr>
                <w:sz w:val="20"/>
                <w:szCs w:val="20"/>
                <w:color w:val="auto"/>
              </w:rPr>
            </w:pPr>
          </w:p>
        </w:tc>
        <w:tc>
          <w:tcPr>
            <w:tcW w:w="260" w:type="dxa"/>
            <w:vAlign w:val="bottom"/>
            <w:tcBorders>
              <w:bottom w:val="single" w:sz="8" w:color="auto"/>
            </w:tcBorders>
            <w:shd w:val="clear" w:color="auto" w:fill="E6E6E6"/>
          </w:tcPr>
          <w:p>
            <w:pPr>
              <w:spacing w:after="0"/>
              <w:rPr>
                <w:sz w:val="20"/>
                <w:szCs w:val="20"/>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83"/>
        </w:trPr>
        <w:tc>
          <w:tcPr>
            <w:tcW w:w="4880" w:type="dxa"/>
            <w:vAlign w:val="bottom"/>
            <w:gridSpan w:val="3"/>
          </w:tcPr>
          <w:p>
            <w:pPr>
              <w:jc w:val="right"/>
              <w:spacing w:after="0"/>
              <w:rPr>
                <w:sz w:val="20"/>
                <w:szCs w:val="20"/>
                <w:color w:val="auto"/>
              </w:rPr>
            </w:pPr>
            <w:r>
              <w:rPr>
                <w:rFonts w:ascii="Arial" w:cs="Arial" w:eastAsia="Arial" w:hAnsi="Arial"/>
                <w:sz w:val="18"/>
                <w:szCs w:val="18"/>
                <w:b w:val="1"/>
                <w:bCs w:val="1"/>
                <w:color w:val="auto"/>
                <w:w w:val="95"/>
              </w:rPr>
              <w:t xml:space="preserve">Net Income Attributable to Clearway Energy, Inc. </w:t>
            </w:r>
            <w:r>
              <w:rPr>
                <w:rFonts w:ascii="Arial" w:cs="Arial" w:eastAsia="Arial" w:hAnsi="Arial"/>
                <w:sz w:val="18"/>
                <w:szCs w:val="18"/>
                <w:b w:val="1"/>
                <w:bCs w:val="1"/>
                <w:color w:val="BDBDBD"/>
                <w:w w:val="95"/>
              </w:rPr>
              <w:t>. . . . . . . .</w:t>
            </w:r>
            <w:r>
              <w:rPr>
                <w:rFonts w:ascii="Arial" w:cs="Arial" w:eastAsia="Arial" w:hAnsi="Arial"/>
                <w:sz w:val="18"/>
                <w:szCs w:val="18"/>
                <w:b w:val="1"/>
                <w:bCs w:val="1"/>
                <w:color w:val="auto"/>
                <w:w w:val="95"/>
              </w:rPr>
              <w:t xml:space="preserve"> </w:t>
            </w:r>
            <w:r>
              <w:rPr>
                <w:rFonts w:ascii="Arial" w:cs="Arial" w:eastAsia="Arial" w:hAnsi="Arial"/>
                <w:sz w:val="18"/>
                <w:szCs w:val="18"/>
                <w:color w:val="auto"/>
                <w:w w:val="95"/>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161</w:t>
            </w:r>
          </w:p>
        </w:tc>
        <w:tc>
          <w:tcPr>
            <w:tcW w:w="44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49</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62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355</w:t>
            </w:r>
          </w:p>
        </w:tc>
        <w:tc>
          <w:tcPr>
            <w:tcW w:w="3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24"/>
        </w:trPr>
        <w:tc>
          <w:tcPr>
            <w:tcW w:w="4720" w:type="dxa"/>
            <w:vAlign w:val="bottom"/>
            <w:tcBorders>
              <w:top w:val="single" w:sz="8" w:color="E6E6E6"/>
            </w:tcBorders>
            <w:shd w:val="clear" w:color="auto" w:fill="E6E6E6"/>
          </w:tcPr>
          <w:p>
            <w:pPr>
              <w:ind w:left="60"/>
              <w:spacing w:after="0"/>
              <w:rPr>
                <w:sz w:val="20"/>
                <w:szCs w:val="20"/>
                <w:color w:val="auto"/>
              </w:rPr>
            </w:pPr>
            <w:r>
              <w:rPr>
                <w:rFonts w:ascii="Arial" w:cs="Arial" w:eastAsia="Arial" w:hAnsi="Arial"/>
                <w:sz w:val="18"/>
                <w:szCs w:val="18"/>
                <w:b w:val="1"/>
                <w:bCs w:val="1"/>
                <w:color w:val="auto"/>
              </w:rPr>
              <w:t>Balance Sheet</w:t>
            </w:r>
          </w:p>
        </w:tc>
        <w:tc>
          <w:tcPr>
            <w:tcW w:w="20" w:type="dxa"/>
            <w:vAlign w:val="bottom"/>
            <w:tcBorders>
              <w:top w:val="single" w:sz="8" w:color="E6E6E6"/>
            </w:tcBorders>
            <w:shd w:val="clear" w:color="auto" w:fill="E6E6E6"/>
          </w:tcPr>
          <w:p>
            <w:pPr>
              <w:spacing w:after="0"/>
              <w:rPr>
                <w:sz w:val="19"/>
                <w:szCs w:val="19"/>
                <w:color w:val="auto"/>
              </w:rPr>
            </w:pPr>
          </w:p>
        </w:tc>
        <w:tc>
          <w:tcPr>
            <w:tcW w:w="140" w:type="dxa"/>
            <w:vAlign w:val="bottom"/>
            <w:tcBorders>
              <w:top w:val="single" w:sz="8" w:color="auto"/>
            </w:tcBorders>
            <w:shd w:val="clear" w:color="auto" w:fill="E6E6E6"/>
          </w:tcPr>
          <w:p>
            <w:pPr>
              <w:spacing w:after="0"/>
              <w:rPr>
                <w:sz w:val="19"/>
                <w:szCs w:val="19"/>
                <w:color w:val="auto"/>
              </w:rPr>
            </w:pPr>
          </w:p>
        </w:tc>
        <w:tc>
          <w:tcPr>
            <w:tcW w:w="920" w:type="dxa"/>
            <w:vAlign w:val="bottom"/>
            <w:tcBorders>
              <w:top w:val="single" w:sz="8" w:color="auto"/>
            </w:tcBorders>
            <w:shd w:val="clear" w:color="auto" w:fill="E6E6E6"/>
          </w:tcPr>
          <w:p>
            <w:pPr>
              <w:spacing w:after="0"/>
              <w:rPr>
                <w:sz w:val="19"/>
                <w:szCs w:val="19"/>
                <w:color w:val="auto"/>
              </w:rPr>
            </w:pPr>
          </w:p>
        </w:tc>
        <w:tc>
          <w:tcPr>
            <w:tcW w:w="20" w:type="dxa"/>
            <w:vAlign w:val="bottom"/>
            <w:tcBorders>
              <w:top w:val="single" w:sz="8" w:color="auto"/>
            </w:tcBorders>
            <w:shd w:val="clear" w:color="auto" w:fill="E6E6E6"/>
          </w:tcPr>
          <w:p>
            <w:pPr>
              <w:spacing w:after="0"/>
              <w:rPr>
                <w:sz w:val="19"/>
                <w:szCs w:val="19"/>
                <w:color w:val="auto"/>
              </w:rPr>
            </w:pPr>
          </w:p>
        </w:tc>
        <w:tc>
          <w:tcPr>
            <w:tcW w:w="60" w:type="dxa"/>
            <w:vAlign w:val="bottom"/>
            <w:tcBorders>
              <w:top w:val="single" w:sz="8" w:color="E6E6E6"/>
            </w:tcBorders>
            <w:shd w:val="clear" w:color="auto" w:fill="E6E6E6"/>
          </w:tcPr>
          <w:p>
            <w:pPr>
              <w:spacing w:after="0"/>
              <w:rPr>
                <w:sz w:val="19"/>
                <w:szCs w:val="19"/>
                <w:color w:val="auto"/>
              </w:rPr>
            </w:pPr>
          </w:p>
        </w:tc>
        <w:tc>
          <w:tcPr>
            <w:tcW w:w="20" w:type="dxa"/>
            <w:vAlign w:val="bottom"/>
            <w:tcBorders>
              <w:top w:val="single" w:sz="8" w:color="E6E6E6"/>
            </w:tcBorders>
            <w:shd w:val="clear" w:color="auto" w:fill="E6E6E6"/>
          </w:tcPr>
          <w:p>
            <w:pPr>
              <w:spacing w:after="0"/>
              <w:rPr>
                <w:sz w:val="19"/>
                <w:szCs w:val="19"/>
                <w:color w:val="auto"/>
              </w:rPr>
            </w:pPr>
          </w:p>
        </w:tc>
        <w:tc>
          <w:tcPr>
            <w:tcW w:w="340" w:type="dxa"/>
            <w:vAlign w:val="bottom"/>
            <w:tcBorders>
              <w:top w:val="single" w:sz="8" w:color="auto"/>
            </w:tcBorders>
            <w:shd w:val="clear" w:color="auto" w:fill="E6E6E6"/>
          </w:tcPr>
          <w:p>
            <w:pPr>
              <w:spacing w:after="0"/>
              <w:rPr>
                <w:sz w:val="19"/>
                <w:szCs w:val="19"/>
                <w:color w:val="auto"/>
              </w:rPr>
            </w:pPr>
          </w:p>
        </w:tc>
        <w:tc>
          <w:tcPr>
            <w:tcW w:w="720" w:type="dxa"/>
            <w:vAlign w:val="bottom"/>
            <w:tcBorders>
              <w:top w:val="single" w:sz="8" w:color="auto"/>
            </w:tcBorders>
            <w:shd w:val="clear" w:color="auto" w:fill="E6E6E6"/>
          </w:tcPr>
          <w:p>
            <w:pPr>
              <w:spacing w:after="0"/>
              <w:rPr>
                <w:sz w:val="19"/>
                <w:szCs w:val="19"/>
                <w:color w:val="auto"/>
              </w:rPr>
            </w:pPr>
          </w:p>
        </w:tc>
        <w:tc>
          <w:tcPr>
            <w:tcW w:w="20" w:type="dxa"/>
            <w:vAlign w:val="bottom"/>
            <w:tcBorders>
              <w:top w:val="single" w:sz="8" w:color="auto"/>
            </w:tcBorders>
            <w:shd w:val="clear" w:color="auto" w:fill="E6E6E6"/>
          </w:tcPr>
          <w:p>
            <w:pPr>
              <w:spacing w:after="0"/>
              <w:rPr>
                <w:sz w:val="19"/>
                <w:szCs w:val="19"/>
                <w:color w:val="auto"/>
              </w:rPr>
            </w:pPr>
          </w:p>
        </w:tc>
        <w:tc>
          <w:tcPr>
            <w:tcW w:w="40" w:type="dxa"/>
            <w:vAlign w:val="bottom"/>
            <w:tcBorders>
              <w:top w:val="single" w:sz="8" w:color="E6E6E6"/>
            </w:tcBorders>
            <w:shd w:val="clear" w:color="auto" w:fill="E6E6E6"/>
          </w:tcPr>
          <w:p>
            <w:pPr>
              <w:spacing w:after="0"/>
              <w:rPr>
                <w:sz w:val="19"/>
                <w:szCs w:val="19"/>
                <w:color w:val="auto"/>
              </w:rPr>
            </w:pPr>
          </w:p>
        </w:tc>
        <w:tc>
          <w:tcPr>
            <w:tcW w:w="180" w:type="dxa"/>
            <w:vAlign w:val="bottom"/>
            <w:tcBorders>
              <w:top w:val="single" w:sz="8" w:color="auto"/>
            </w:tcBorders>
            <w:shd w:val="clear" w:color="auto" w:fill="E6E6E6"/>
          </w:tcPr>
          <w:p>
            <w:pPr>
              <w:spacing w:after="0"/>
              <w:rPr>
                <w:sz w:val="19"/>
                <w:szCs w:val="19"/>
                <w:color w:val="auto"/>
              </w:rPr>
            </w:pPr>
          </w:p>
        </w:tc>
        <w:tc>
          <w:tcPr>
            <w:tcW w:w="840" w:type="dxa"/>
            <w:vAlign w:val="bottom"/>
            <w:tcBorders>
              <w:top w:val="single" w:sz="8" w:color="auto"/>
            </w:tcBorders>
            <w:shd w:val="clear" w:color="auto" w:fill="E6E6E6"/>
          </w:tcPr>
          <w:p>
            <w:pPr>
              <w:spacing w:after="0"/>
              <w:rPr>
                <w:sz w:val="19"/>
                <w:szCs w:val="19"/>
                <w:color w:val="auto"/>
              </w:rPr>
            </w:pPr>
          </w:p>
        </w:tc>
        <w:tc>
          <w:tcPr>
            <w:tcW w:w="20" w:type="dxa"/>
            <w:vAlign w:val="bottom"/>
            <w:tcBorders>
              <w:top w:val="single" w:sz="8" w:color="auto"/>
            </w:tcBorders>
            <w:shd w:val="clear" w:color="auto" w:fill="E6E6E6"/>
          </w:tcPr>
          <w:p>
            <w:pPr>
              <w:spacing w:after="0"/>
              <w:rPr>
                <w:sz w:val="19"/>
                <w:szCs w:val="19"/>
                <w:color w:val="auto"/>
              </w:rPr>
            </w:pPr>
          </w:p>
        </w:tc>
        <w:tc>
          <w:tcPr>
            <w:tcW w:w="60" w:type="dxa"/>
            <w:vAlign w:val="bottom"/>
            <w:tcBorders>
              <w:top w:val="single" w:sz="8" w:color="E6E6E6"/>
            </w:tcBorders>
            <w:shd w:val="clear" w:color="auto" w:fill="E6E6E6"/>
          </w:tcPr>
          <w:p>
            <w:pPr>
              <w:spacing w:after="0"/>
              <w:rPr>
                <w:sz w:val="19"/>
                <w:szCs w:val="19"/>
                <w:color w:val="auto"/>
              </w:rPr>
            </w:pPr>
          </w:p>
        </w:tc>
        <w:tc>
          <w:tcPr>
            <w:tcW w:w="20" w:type="dxa"/>
            <w:vAlign w:val="bottom"/>
            <w:tcBorders>
              <w:top w:val="single" w:sz="8" w:color="E6E6E6"/>
            </w:tcBorders>
            <w:shd w:val="clear" w:color="auto" w:fill="E6E6E6"/>
          </w:tcPr>
          <w:p>
            <w:pPr>
              <w:spacing w:after="0"/>
              <w:rPr>
                <w:sz w:val="19"/>
                <w:szCs w:val="19"/>
                <w:color w:val="auto"/>
              </w:rPr>
            </w:pPr>
          </w:p>
        </w:tc>
        <w:tc>
          <w:tcPr>
            <w:tcW w:w="520" w:type="dxa"/>
            <w:vAlign w:val="bottom"/>
            <w:tcBorders>
              <w:top w:val="single" w:sz="8" w:color="auto"/>
            </w:tcBorders>
            <w:shd w:val="clear" w:color="auto" w:fill="E6E6E6"/>
          </w:tcPr>
          <w:p>
            <w:pPr>
              <w:spacing w:after="0"/>
              <w:rPr>
                <w:sz w:val="19"/>
                <w:szCs w:val="19"/>
                <w:color w:val="auto"/>
              </w:rPr>
            </w:pPr>
          </w:p>
        </w:tc>
        <w:tc>
          <w:tcPr>
            <w:tcW w:w="520" w:type="dxa"/>
            <w:vAlign w:val="bottom"/>
            <w:tcBorders>
              <w:top w:val="single" w:sz="8" w:color="auto"/>
            </w:tcBorders>
            <w:shd w:val="clear" w:color="auto" w:fill="E6E6E6"/>
          </w:tcPr>
          <w:p>
            <w:pPr>
              <w:spacing w:after="0"/>
              <w:rPr>
                <w:sz w:val="19"/>
                <w:szCs w:val="19"/>
                <w:color w:val="auto"/>
              </w:rPr>
            </w:pPr>
          </w:p>
        </w:tc>
        <w:tc>
          <w:tcPr>
            <w:tcW w:w="20" w:type="dxa"/>
            <w:vAlign w:val="bottom"/>
            <w:tcBorders>
              <w:top w:val="single" w:sz="8" w:color="auto"/>
            </w:tcBorders>
            <w:shd w:val="clear" w:color="auto" w:fill="E6E6E6"/>
          </w:tcPr>
          <w:p>
            <w:pPr>
              <w:spacing w:after="0"/>
              <w:rPr>
                <w:sz w:val="19"/>
                <w:szCs w:val="19"/>
                <w:color w:val="auto"/>
              </w:rPr>
            </w:pPr>
          </w:p>
        </w:tc>
        <w:tc>
          <w:tcPr>
            <w:tcW w:w="60" w:type="dxa"/>
            <w:vAlign w:val="bottom"/>
            <w:tcBorders>
              <w:top w:val="single" w:sz="8" w:color="E6E6E6"/>
            </w:tcBorders>
            <w:shd w:val="clear" w:color="auto" w:fill="E6E6E6"/>
          </w:tcPr>
          <w:p>
            <w:pPr>
              <w:spacing w:after="0"/>
              <w:rPr>
                <w:sz w:val="19"/>
                <w:szCs w:val="19"/>
                <w:color w:val="auto"/>
              </w:rPr>
            </w:pPr>
          </w:p>
        </w:tc>
        <w:tc>
          <w:tcPr>
            <w:tcW w:w="260" w:type="dxa"/>
            <w:vAlign w:val="bottom"/>
            <w:tcBorders>
              <w:top w:val="single" w:sz="8" w:color="auto"/>
            </w:tcBorders>
            <w:shd w:val="clear" w:color="auto" w:fill="E6E6E6"/>
          </w:tcPr>
          <w:p>
            <w:pPr>
              <w:spacing w:after="0"/>
              <w:rPr>
                <w:sz w:val="19"/>
                <w:szCs w:val="19"/>
                <w:color w:val="auto"/>
              </w:rPr>
            </w:pPr>
          </w:p>
        </w:tc>
        <w:tc>
          <w:tcPr>
            <w:tcW w:w="820" w:type="dxa"/>
            <w:vAlign w:val="bottom"/>
            <w:tcBorders>
              <w:top w:val="single" w:sz="8" w:color="auto"/>
            </w:tcBorders>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720" w:type="dxa"/>
            <w:vAlign w:val="bottom"/>
          </w:tcPr>
          <w:p>
            <w:pPr>
              <w:jc w:val="right"/>
              <w:spacing w:after="0"/>
              <w:rPr>
                <w:sz w:val="20"/>
                <w:szCs w:val="20"/>
                <w:color w:val="auto"/>
              </w:rPr>
            </w:pPr>
            <w:r>
              <w:rPr>
                <w:rFonts w:ascii="Arial" w:cs="Arial" w:eastAsia="Arial" w:hAnsi="Arial"/>
                <w:sz w:val="18"/>
                <w:szCs w:val="18"/>
                <w:color w:val="auto"/>
                <w:w w:val="92"/>
              </w:rPr>
              <w:t xml:space="preserve">Equity investments in affiliates </w:t>
            </w:r>
            <w:r>
              <w:rPr>
                <w:rFonts w:ascii="Arial" w:cs="Arial" w:eastAsia="Arial" w:hAnsi="Arial"/>
                <w:sz w:val="18"/>
                <w:szCs w:val="18"/>
                <w:color w:val="BDBDBD"/>
                <w:w w:val="92"/>
              </w:rPr>
              <w:t>. . . . . . . . . . . . . . . . . . . . . . . . . .</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82</w:t>
            </w:r>
          </w:p>
        </w:tc>
        <w:tc>
          <w:tcPr>
            <w:tcW w:w="44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282</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60"/>
        </w:trPr>
        <w:tc>
          <w:tcPr>
            <w:tcW w:w="4720" w:type="dxa"/>
            <w:vAlign w:val="bottom"/>
            <w:shd w:val="clear" w:color="auto" w:fill="E6E6E6"/>
          </w:tcPr>
          <w:p>
            <w:pPr>
              <w:jc w:val="right"/>
              <w:spacing w:after="0" w:line="261" w:lineRule="exact"/>
              <w:rPr>
                <w:sz w:val="20"/>
                <w:szCs w:val="20"/>
                <w:color w:val="auto"/>
              </w:rPr>
            </w:pPr>
            <w:r>
              <w:rPr>
                <w:rFonts w:ascii="Arial" w:cs="Arial" w:eastAsia="Arial" w:hAnsi="Arial"/>
                <w:sz w:val="18"/>
                <w:szCs w:val="18"/>
                <w:color w:val="auto"/>
                <w:w w:val="89"/>
              </w:rPr>
              <w:t xml:space="preserve">Capital expenditures </w:t>
            </w:r>
            <w:r>
              <w:rPr>
                <w:rFonts w:ascii="Arial" w:cs="Arial" w:eastAsia="Arial" w:hAnsi="Arial"/>
                <w:sz w:val="23"/>
                <w:szCs w:val="23"/>
                <w:color w:val="auto"/>
                <w:w w:val="89"/>
                <w:vertAlign w:val="superscript"/>
              </w:rPr>
              <w:t>(b)(c)</w:t>
            </w:r>
            <w:r>
              <w:rPr>
                <w:rFonts w:ascii="Arial" w:cs="Arial" w:eastAsia="Arial" w:hAnsi="Arial"/>
                <w:sz w:val="18"/>
                <w:szCs w:val="18"/>
                <w:color w:val="auto"/>
                <w:w w:val="89"/>
              </w:rPr>
              <w:t xml:space="preserve">  </w:t>
            </w:r>
            <w:r>
              <w:rPr>
                <w:rFonts w:ascii="Arial" w:cs="Arial" w:eastAsia="Arial" w:hAnsi="Arial"/>
                <w:sz w:val="18"/>
                <w:szCs w:val="18"/>
                <w:color w:val="BDBDBD"/>
                <w:w w:val="89"/>
              </w:rPr>
              <w:t>. . . . . . . . . . . . . . . . . . . . . . . . . . . . . . .</w:t>
            </w:r>
          </w:p>
        </w:tc>
        <w:tc>
          <w:tcPr>
            <w:tcW w:w="2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w:t>
            </w:r>
          </w:p>
        </w:tc>
        <w:tc>
          <w:tcPr>
            <w:tcW w:w="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340" w:type="dxa"/>
            <w:vAlign w:val="bottom"/>
            <w:shd w:val="clear" w:color="auto" w:fill="E6E6E6"/>
          </w:tcPr>
          <w:p>
            <w:pPr>
              <w:spacing w:after="0"/>
              <w:rPr>
                <w:sz w:val="22"/>
                <w:szCs w:val="22"/>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33</w:t>
            </w:r>
          </w:p>
        </w:tc>
        <w:tc>
          <w:tcPr>
            <w:tcW w:w="20" w:type="dxa"/>
            <w:vAlign w:val="bottom"/>
            <w:shd w:val="clear" w:color="auto" w:fill="E6E6E6"/>
          </w:tcPr>
          <w:p>
            <w:pPr>
              <w:spacing w:after="0"/>
              <w:rPr>
                <w:sz w:val="22"/>
                <w:szCs w:val="22"/>
                <w:color w:val="auto"/>
              </w:rPr>
            </w:pPr>
          </w:p>
        </w:tc>
        <w:tc>
          <w:tcPr>
            <w:tcW w:w="40" w:type="dxa"/>
            <w:vAlign w:val="bottom"/>
            <w:shd w:val="clear" w:color="auto" w:fill="E6E6E6"/>
          </w:tcPr>
          <w:p>
            <w:pPr>
              <w:spacing w:after="0"/>
              <w:rPr>
                <w:sz w:val="22"/>
                <w:szCs w:val="22"/>
                <w:color w:val="auto"/>
              </w:rPr>
            </w:pPr>
          </w:p>
        </w:tc>
        <w:tc>
          <w:tcPr>
            <w:tcW w:w="180" w:type="dxa"/>
            <w:vAlign w:val="bottom"/>
            <w:shd w:val="clear" w:color="auto" w:fill="E6E6E6"/>
          </w:tcPr>
          <w:p>
            <w:pPr>
              <w:spacing w:after="0"/>
              <w:rPr>
                <w:sz w:val="22"/>
                <w:szCs w:val="22"/>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w:t>
            </w:r>
          </w:p>
        </w:tc>
        <w:tc>
          <w:tcPr>
            <w:tcW w:w="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520" w:type="dxa"/>
            <w:vAlign w:val="bottom"/>
            <w:shd w:val="clear" w:color="auto" w:fill="E6E6E6"/>
          </w:tcPr>
          <w:p>
            <w:pPr>
              <w:spacing w:after="0"/>
              <w:rPr>
                <w:sz w:val="22"/>
                <w:szCs w:val="22"/>
                <w:color w:val="auto"/>
              </w:rPr>
            </w:pPr>
          </w:p>
        </w:tc>
        <w:tc>
          <w:tcPr>
            <w:tcW w:w="5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60" w:type="dxa"/>
            <w:vAlign w:val="bottom"/>
            <w:shd w:val="clear" w:color="auto" w:fill="E6E6E6"/>
          </w:tcPr>
          <w:p>
            <w:pPr>
              <w:spacing w:after="0"/>
              <w:rPr>
                <w:sz w:val="22"/>
                <w:szCs w:val="22"/>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9"/>
        </w:trPr>
        <w:tc>
          <w:tcPr>
            <w:tcW w:w="4720" w:type="dxa"/>
            <w:vAlign w:val="bottom"/>
          </w:tcPr>
          <w:p>
            <w:pPr>
              <w:jc w:val="right"/>
              <w:spacing w:after="0"/>
              <w:rPr>
                <w:sz w:val="20"/>
                <w:szCs w:val="20"/>
                <w:color w:val="auto"/>
              </w:rPr>
            </w:pPr>
            <w:r>
              <w:rPr>
                <w:rFonts w:ascii="Arial" w:cs="Arial" w:eastAsia="Arial" w:hAnsi="Arial"/>
                <w:sz w:val="18"/>
                <w:szCs w:val="18"/>
                <w:b w:val="1"/>
                <w:bCs w:val="1"/>
                <w:color w:val="auto"/>
                <w:w w:val="90"/>
              </w:rPr>
              <w:t xml:space="preserve">Total Assets </w:t>
            </w:r>
            <w:r>
              <w:rPr>
                <w:rFonts w:ascii="Arial" w:cs="Arial" w:eastAsia="Arial" w:hAnsi="Arial"/>
                <w:sz w:val="18"/>
                <w:szCs w:val="18"/>
                <w:b w:val="1"/>
                <w:bCs w:val="1"/>
                <w:color w:val="BDBDBD"/>
                <w:w w:val="90"/>
              </w:rPr>
              <w:t>. . . . . . . . . . . . . . . . . . . . . . . . . . . . . . . . . . . . . . . . .</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2,251</w:t>
            </w:r>
          </w:p>
        </w:tc>
        <w:tc>
          <w:tcPr>
            <w:tcW w:w="44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9,515</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546</w:t>
            </w:r>
          </w:p>
        </w:tc>
        <w:tc>
          <w:tcPr>
            <w:tcW w:w="3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12,312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2988945</wp:posOffset>
            </wp:positionH>
            <wp:positionV relativeFrom="paragraph">
              <wp:posOffset>-3680460</wp:posOffset>
            </wp:positionV>
            <wp:extent cx="3589020"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244">
                      <a:extLst>
                        <a:ext uri="{28A0092B-C50C-407E-A947-70E740481C1C}"/>
                      </a:extLst>
                    </a:blip>
                    <a:srcRect/>
                    <a:stretch>
                      <a:fillRect/>
                    </a:stretch>
                  </pic:blipFill>
                  <pic:spPr bwMode="auto">
                    <a:xfrm>
                      <a:off x="0" y="0"/>
                      <a:ext cx="3589020" cy="25400"/>
                    </a:xfrm>
                    <a:prstGeom prst="rect">
                      <a:avLst/>
                    </a:prstGeom>
                    <a:noFill/>
                  </pic:spPr>
                </pic:pic>
              </a:graphicData>
            </a:graphic>
          </wp:anchor>
        </w:drawing>
        <w:drawing>
          <wp:anchor simplePos="0" relativeHeight="251657728" behindDoc="1" locked="0" layoutInCell="0" allowOverlap="1">
            <wp:simplePos x="0" y="0"/>
            <wp:positionH relativeFrom="column">
              <wp:posOffset>2988945</wp:posOffset>
            </wp:positionH>
            <wp:positionV relativeFrom="paragraph">
              <wp:posOffset>-2438400</wp:posOffset>
            </wp:positionV>
            <wp:extent cx="3589020"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45">
                      <a:extLst>
                        <a:ext uri="{28A0092B-C50C-407E-A947-70E740481C1C}"/>
                      </a:extLst>
                    </a:blip>
                    <a:srcRect/>
                    <a:stretch>
                      <a:fillRect/>
                    </a:stretch>
                  </pic:blipFill>
                  <pic:spPr bwMode="auto">
                    <a:xfrm>
                      <a:off x="0" y="0"/>
                      <a:ext cx="3589020" cy="25400"/>
                    </a:xfrm>
                    <a:prstGeom prst="rect">
                      <a:avLst/>
                    </a:prstGeom>
                    <a:noFill/>
                  </pic:spPr>
                </pic:pic>
              </a:graphicData>
            </a:graphic>
          </wp:anchor>
        </w:drawing>
        <w:drawing>
          <wp:anchor simplePos="0" relativeHeight="251657728" behindDoc="1" locked="0" layoutInCell="0" allowOverlap="1">
            <wp:simplePos x="0" y="0"/>
            <wp:positionH relativeFrom="column">
              <wp:posOffset>2988945</wp:posOffset>
            </wp:positionH>
            <wp:positionV relativeFrom="paragraph">
              <wp:posOffset>-2116455</wp:posOffset>
            </wp:positionV>
            <wp:extent cx="3589020"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246">
                      <a:extLst>
                        <a:ext uri="{28A0092B-C50C-407E-A947-70E740481C1C}"/>
                      </a:extLst>
                    </a:blip>
                    <a:srcRect/>
                    <a:stretch>
                      <a:fillRect/>
                    </a:stretch>
                  </pic:blipFill>
                  <pic:spPr bwMode="auto">
                    <a:xfrm>
                      <a:off x="0" y="0"/>
                      <a:ext cx="3589020" cy="25400"/>
                    </a:xfrm>
                    <a:prstGeom prst="rect">
                      <a:avLst/>
                    </a:prstGeom>
                    <a:noFill/>
                  </pic:spPr>
                </pic:pic>
              </a:graphicData>
            </a:graphic>
          </wp:anchor>
        </w:drawing>
        <w:drawing>
          <wp:anchor simplePos="0" relativeHeight="251657728" behindDoc="1" locked="0" layoutInCell="0" allowOverlap="1">
            <wp:simplePos x="0" y="0"/>
            <wp:positionH relativeFrom="column">
              <wp:posOffset>2988945</wp:posOffset>
            </wp:positionH>
            <wp:positionV relativeFrom="paragraph">
              <wp:posOffset>-1310640</wp:posOffset>
            </wp:positionV>
            <wp:extent cx="3589020"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247">
                      <a:extLst>
                        <a:ext uri="{28A0092B-C50C-407E-A947-70E740481C1C}"/>
                      </a:extLst>
                    </a:blip>
                    <a:srcRect/>
                    <a:stretch>
                      <a:fillRect/>
                    </a:stretch>
                  </pic:blipFill>
                  <pic:spPr bwMode="auto">
                    <a:xfrm>
                      <a:off x="0" y="0"/>
                      <a:ext cx="3589020" cy="25400"/>
                    </a:xfrm>
                    <a:prstGeom prst="rect">
                      <a:avLst/>
                    </a:prstGeom>
                    <a:noFill/>
                  </pic:spPr>
                </pic:pic>
              </a:graphicData>
            </a:graphic>
          </wp:anchor>
        </w:drawing>
        <w:drawing>
          <wp:anchor simplePos="0" relativeHeight="251657728" behindDoc="1" locked="0" layoutInCell="0" allowOverlap="1">
            <wp:simplePos x="0" y="0"/>
            <wp:positionH relativeFrom="column">
              <wp:posOffset>2988945</wp:posOffset>
            </wp:positionH>
            <wp:positionV relativeFrom="paragraph">
              <wp:posOffset>-988695</wp:posOffset>
            </wp:positionV>
            <wp:extent cx="3589020"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248">
                      <a:extLst>
                        <a:ext uri="{28A0092B-C50C-407E-A947-70E740481C1C}"/>
                      </a:extLst>
                    </a:blip>
                    <a:srcRect/>
                    <a:stretch>
                      <a:fillRect/>
                    </a:stretch>
                  </pic:blipFill>
                  <pic:spPr bwMode="auto">
                    <a:xfrm>
                      <a:off x="0" y="0"/>
                      <a:ext cx="3589020" cy="25400"/>
                    </a:xfrm>
                    <a:prstGeom prst="rect">
                      <a:avLst/>
                    </a:prstGeom>
                    <a:noFill/>
                  </pic:spPr>
                </pic:pic>
              </a:graphicData>
            </a:graphic>
          </wp:anchor>
        </w:drawing>
        <w:drawing>
          <wp:anchor simplePos="0" relativeHeight="251657728" behindDoc="1" locked="0" layoutInCell="0" allowOverlap="1">
            <wp:simplePos x="0" y="0"/>
            <wp:positionH relativeFrom="column">
              <wp:posOffset>2988945</wp:posOffset>
            </wp:positionH>
            <wp:positionV relativeFrom="paragraph">
              <wp:posOffset>-827405</wp:posOffset>
            </wp:positionV>
            <wp:extent cx="3589020"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249">
                      <a:extLst>
                        <a:ext uri="{28A0092B-C50C-407E-A947-70E740481C1C}"/>
                      </a:extLst>
                    </a:blip>
                    <a:srcRect/>
                    <a:stretch>
                      <a:fillRect/>
                    </a:stretch>
                  </pic:blipFill>
                  <pic:spPr bwMode="auto">
                    <a:xfrm>
                      <a:off x="0" y="0"/>
                      <a:ext cx="3589020" cy="25400"/>
                    </a:xfrm>
                    <a:prstGeom prst="rect">
                      <a:avLst/>
                    </a:prstGeom>
                    <a:noFill/>
                  </pic:spPr>
                </pic:pic>
              </a:graphicData>
            </a:graphic>
          </wp:anchor>
        </w:drawing>
        <w:drawing>
          <wp:anchor simplePos="0" relativeHeight="251657728" behindDoc="1" locked="0" layoutInCell="0" allowOverlap="1">
            <wp:simplePos x="0" y="0"/>
            <wp:positionH relativeFrom="column">
              <wp:posOffset>2988945</wp:posOffset>
            </wp:positionH>
            <wp:positionV relativeFrom="paragraph">
              <wp:posOffset>-659765</wp:posOffset>
            </wp:positionV>
            <wp:extent cx="3589020" cy="508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250">
                      <a:extLst>
                        <a:ext uri="{28A0092B-C50C-407E-A947-70E740481C1C}"/>
                      </a:extLst>
                    </a:blip>
                    <a:srcRect/>
                    <a:stretch>
                      <a:fillRect/>
                    </a:stretch>
                  </pic:blipFill>
                  <pic:spPr bwMode="auto">
                    <a:xfrm>
                      <a:off x="0" y="0"/>
                      <a:ext cx="3589020" cy="508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-2540</wp:posOffset>
                </wp:positionH>
                <wp:positionV relativeFrom="paragraph">
                  <wp:posOffset>109855</wp:posOffset>
                </wp:positionV>
                <wp:extent cx="1259840" cy="0"/>
                <wp:wrapNone/>
                <wp:docPr id="321" name="Shape 3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598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21" o:spid="_x0000_s13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8.65pt" to="99pt,8.65pt" o:allowincell="f" strokecolor="#000000" strokeweight="1pt"/>
            </w:pict>
          </mc:Fallback>
        </mc:AlternateContent>
      </w:r>
    </w:p>
    <w:p>
      <w:pPr>
        <w:spacing w:after="0" w:line="140" w:lineRule="exact"/>
        <w:rPr>
          <w:sz w:val="20"/>
          <w:szCs w:val="20"/>
          <w:color w:val="auto"/>
        </w:rPr>
      </w:pPr>
    </w:p>
    <w:p>
      <w:pPr>
        <w:ind w:left="300" w:hanging="215"/>
        <w:spacing w:after="0"/>
        <w:tabs>
          <w:tab w:leader="none" w:pos="300" w:val="left"/>
        </w:tabs>
        <w:numPr>
          <w:ilvl w:val="0"/>
          <w:numId w:val="80"/>
        </w:numPr>
        <w:rPr>
          <w:rFonts w:ascii="Arial" w:cs="Arial" w:eastAsia="Arial" w:hAnsi="Arial"/>
          <w:sz w:val="26"/>
          <w:szCs w:val="26"/>
          <w:color w:val="auto"/>
          <w:vertAlign w:val="superscript"/>
        </w:rPr>
      </w:pPr>
      <w:r>
        <w:rPr>
          <w:rFonts w:ascii="Arial" w:cs="Arial" w:eastAsia="Arial" w:hAnsi="Arial"/>
          <w:sz w:val="16"/>
          <w:szCs w:val="16"/>
          <w:color w:val="auto"/>
        </w:rPr>
        <w:t>Includes eliminations.</w:t>
      </w:r>
    </w:p>
    <w:p>
      <w:pPr>
        <w:spacing w:after="0" w:line="70" w:lineRule="exact"/>
        <w:rPr>
          <w:rFonts w:ascii="Arial" w:cs="Arial" w:eastAsia="Arial" w:hAnsi="Arial"/>
          <w:sz w:val="26"/>
          <w:szCs w:val="26"/>
          <w:color w:val="auto"/>
          <w:vertAlign w:val="superscript"/>
        </w:rPr>
      </w:pPr>
    </w:p>
    <w:p>
      <w:pPr>
        <w:ind w:left="320" w:hanging="235"/>
        <w:spacing w:after="0" w:line="181" w:lineRule="auto"/>
        <w:tabs>
          <w:tab w:leader="none" w:pos="320" w:val="left"/>
        </w:tabs>
        <w:numPr>
          <w:ilvl w:val="0"/>
          <w:numId w:val="80"/>
        </w:numPr>
        <w:rPr>
          <w:rFonts w:ascii="Arial" w:cs="Arial" w:eastAsia="Arial" w:hAnsi="Arial"/>
          <w:sz w:val="24"/>
          <w:szCs w:val="24"/>
          <w:color w:val="auto"/>
          <w:vertAlign w:val="superscript"/>
        </w:rPr>
      </w:pPr>
      <w:r>
        <w:rPr>
          <w:rFonts w:ascii="Arial" w:cs="Arial" w:eastAsia="Arial" w:hAnsi="Arial"/>
          <w:sz w:val="15"/>
          <w:szCs w:val="15"/>
          <w:color w:val="auto"/>
        </w:rPr>
        <w:t>Includes accruals.</w:t>
      </w:r>
    </w:p>
    <w:p>
      <w:pPr>
        <w:spacing w:after="0" w:line="70" w:lineRule="exact"/>
        <w:rPr>
          <w:rFonts w:ascii="Arial" w:cs="Arial" w:eastAsia="Arial" w:hAnsi="Arial"/>
          <w:sz w:val="24"/>
          <w:szCs w:val="24"/>
          <w:color w:val="auto"/>
          <w:vertAlign w:val="superscript"/>
        </w:rPr>
      </w:pPr>
    </w:p>
    <w:p>
      <w:pPr>
        <w:ind w:left="300" w:hanging="215"/>
        <w:spacing w:after="0" w:line="181" w:lineRule="auto"/>
        <w:tabs>
          <w:tab w:leader="none" w:pos="300" w:val="left"/>
        </w:tabs>
        <w:numPr>
          <w:ilvl w:val="0"/>
          <w:numId w:val="80"/>
        </w:numPr>
        <w:rPr>
          <w:rFonts w:ascii="Arial" w:cs="Arial" w:eastAsia="Arial" w:hAnsi="Arial"/>
          <w:sz w:val="24"/>
          <w:szCs w:val="24"/>
          <w:color w:val="auto"/>
          <w:vertAlign w:val="superscript"/>
        </w:rPr>
      </w:pPr>
      <w:r>
        <w:rPr>
          <w:rFonts w:ascii="Arial" w:cs="Arial" w:eastAsia="Arial" w:hAnsi="Arial"/>
          <w:sz w:val="15"/>
          <w:szCs w:val="15"/>
          <w:color w:val="auto"/>
        </w:rPr>
        <w:t>Thermal capital expenditures, including accruals, prior to the sale of the Thermal Business on May 1, 2022.</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9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9"/>
          </w:tcPr>
          <w:p>
            <w:pPr>
              <w:jc w:val="right"/>
              <w:ind w:right="20"/>
              <w:spacing w:after="0"/>
              <w:rPr>
                <w:sz w:val="20"/>
                <w:szCs w:val="20"/>
                <w:color w:val="auto"/>
              </w:rPr>
            </w:pPr>
            <w:r>
              <w:rPr>
                <w:rFonts w:ascii="Arial" w:cs="Arial" w:eastAsia="Arial" w:hAnsi="Arial"/>
                <w:sz w:val="16"/>
                <w:szCs w:val="16"/>
                <w:b w:val="1"/>
                <w:bCs w:val="1"/>
                <w:color w:val="auto"/>
                <w:w w:val="98"/>
              </w:rPr>
              <w:t>Year ended December 31, 2021</w:t>
            </w: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720" w:type="dxa"/>
            <w:vAlign w:val="bottom"/>
            <w:gridSpan w:val="2"/>
            <w:vMerge w:val="restart"/>
          </w:tcPr>
          <w:p>
            <w:pPr>
              <w:jc w:val="right"/>
              <w:ind w:right="3840"/>
              <w:spacing w:after="0"/>
              <w:rPr>
                <w:sz w:val="20"/>
                <w:szCs w:val="20"/>
                <w:color w:val="auto"/>
              </w:rPr>
            </w:pPr>
            <w:r>
              <w:rPr>
                <w:rFonts w:ascii="Arial" w:cs="Arial" w:eastAsia="Arial" w:hAnsi="Arial"/>
                <w:sz w:val="16"/>
                <w:szCs w:val="16"/>
                <w:b w:val="1"/>
                <w:bCs w:val="1"/>
                <w:color w:val="auto"/>
                <w:w w:val="95"/>
              </w:rPr>
              <w:t>(In millions)</w:t>
            </w:r>
          </w:p>
        </w:tc>
        <w:tc>
          <w:tcPr>
            <w:tcW w:w="108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Conventional</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gridSpan w:val="2"/>
            <w:vMerge w:val="restart"/>
          </w:tcPr>
          <w:p>
            <w:pPr>
              <w:jc w:val="right"/>
              <w:ind w:right="51"/>
              <w:spacing w:after="0"/>
              <w:rPr>
                <w:sz w:val="20"/>
                <w:szCs w:val="20"/>
                <w:color w:val="auto"/>
              </w:rPr>
            </w:pPr>
            <w:r>
              <w:rPr>
                <w:rFonts w:ascii="Arial" w:cs="Arial" w:eastAsia="Arial" w:hAnsi="Arial"/>
                <w:sz w:val="16"/>
                <w:szCs w:val="16"/>
                <w:b w:val="1"/>
                <w:bCs w:val="1"/>
                <w:color w:val="auto"/>
                <w:w w:val="97"/>
              </w:rPr>
              <w:t>Renewables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ind w:right="131"/>
              <w:spacing w:after="0"/>
              <w:rPr>
                <w:sz w:val="20"/>
                <w:szCs w:val="20"/>
                <w:color w:val="auto"/>
              </w:rPr>
            </w:pPr>
            <w:r>
              <w:rPr>
                <w:rFonts w:ascii="Arial" w:cs="Arial" w:eastAsia="Arial" w:hAnsi="Arial"/>
                <w:sz w:val="16"/>
                <w:szCs w:val="16"/>
                <w:b w:val="1"/>
                <w:bCs w:val="1"/>
                <w:color w:val="auto"/>
                <w:w w:val="96"/>
              </w:rPr>
              <w:t>Thermal</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2"/>
            <w:vMerge w:val="restart"/>
          </w:tcPr>
          <w:p>
            <w:pPr>
              <w:jc w:val="right"/>
              <w:ind w:right="10"/>
              <w:spacing w:after="0"/>
              <w:rPr>
                <w:sz w:val="20"/>
                <w:szCs w:val="20"/>
                <w:color w:val="auto"/>
              </w:rPr>
            </w:pPr>
            <w:r>
              <w:rPr>
                <w:rFonts w:ascii="Arial" w:cs="Arial" w:eastAsia="Arial" w:hAnsi="Arial"/>
                <w:sz w:val="16"/>
                <w:szCs w:val="16"/>
                <w:b w:val="1"/>
                <w:bCs w:val="1"/>
                <w:color w:val="auto"/>
                <w:w w:val="94"/>
              </w:rPr>
              <w:t xml:space="preserve">Corporate </w:t>
            </w:r>
            <w:r>
              <w:rPr>
                <w:rFonts w:ascii="Arial" w:cs="Arial" w:eastAsia="Arial" w:hAnsi="Arial"/>
                <w:sz w:val="20"/>
                <w:szCs w:val="20"/>
                <w:b w:val="1"/>
                <w:bCs w:val="1"/>
                <w:color w:val="auto"/>
                <w:w w:val="94"/>
                <w:vertAlign w:val="superscript"/>
              </w:rPr>
              <w:t>(a)</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vMerge w:val="restart"/>
          </w:tcPr>
          <w:p>
            <w:pPr>
              <w:jc w:val="right"/>
              <w:ind w:right="2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720" w:type="dxa"/>
            <w:vAlign w:val="bottom"/>
            <w:tcBorders>
              <w:bottom w:val="single" w:sz="8" w:color="E6E6E6"/>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1"/>
              <w:spacing w:after="0"/>
              <w:rPr>
                <w:sz w:val="20"/>
                <w:szCs w:val="20"/>
                <w:color w:val="auto"/>
              </w:rPr>
            </w:pPr>
            <w:r>
              <w:rPr>
                <w:rFonts w:ascii="Arial" w:cs="Arial" w:eastAsia="Arial" w:hAnsi="Arial"/>
                <w:sz w:val="16"/>
                <w:szCs w:val="16"/>
                <w:b w:val="1"/>
                <w:bCs w:val="1"/>
                <w:color w:val="auto"/>
                <w:w w:val="87"/>
              </w:rPr>
              <w:t>Generation</w:t>
            </w:r>
          </w:p>
        </w:tc>
        <w:tc>
          <w:tcPr>
            <w:tcW w:w="20" w:type="dxa"/>
            <w:vAlign w:val="bottom"/>
            <w:tcBorders>
              <w:bottom w:val="single" w:sz="8" w:color="E6E6E6"/>
            </w:tcBorders>
          </w:tcPr>
          <w:p>
            <w:pPr>
              <w:spacing w:after="0"/>
              <w:rPr>
                <w:sz w:val="18"/>
                <w:szCs w:val="18"/>
                <w:color w:val="auto"/>
              </w:rPr>
            </w:pPr>
          </w:p>
        </w:tc>
        <w:tc>
          <w:tcPr>
            <w:tcW w:w="60" w:type="dxa"/>
            <w:vAlign w:val="bottom"/>
            <w:tcBorders>
              <w:bottom w:val="single" w:sz="8" w:color="E6E6E6"/>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vMerge w:val="continue"/>
          </w:tcPr>
          <w:p>
            <w:pPr>
              <w:spacing w:after="0"/>
              <w:rPr>
                <w:sz w:val="18"/>
                <w:szCs w:val="18"/>
                <w:color w:val="auto"/>
              </w:rPr>
            </w:pPr>
          </w:p>
        </w:tc>
        <w:tc>
          <w:tcPr>
            <w:tcW w:w="60" w:type="dxa"/>
            <w:vAlign w:val="bottom"/>
            <w:tcBorders>
              <w:bottom w:val="single" w:sz="8" w:color="E6E6E6"/>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E6E6E6"/>
            </w:tcBorders>
          </w:tcPr>
          <w:p>
            <w:pPr>
              <w:spacing w:after="0"/>
              <w:rPr>
                <w:sz w:val="18"/>
                <w:szCs w:val="18"/>
                <w:color w:val="auto"/>
              </w:rPr>
            </w:pPr>
          </w:p>
        </w:tc>
        <w:tc>
          <w:tcPr>
            <w:tcW w:w="60" w:type="dxa"/>
            <w:vAlign w:val="bottom"/>
            <w:tcBorders>
              <w:bottom w:val="single" w:sz="8" w:color="E6E6E6"/>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E6E6E6"/>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720" w:type="dxa"/>
            <w:vAlign w:val="bottom"/>
            <w:gridSpan w:val="2"/>
            <w:shd w:val="clear" w:color="auto" w:fill="E6E6E6"/>
          </w:tcPr>
          <w:p>
            <w:pPr>
              <w:jc w:val="right"/>
              <w:ind w:right="40"/>
              <w:spacing w:after="0"/>
              <w:rPr>
                <w:sz w:val="20"/>
                <w:szCs w:val="20"/>
                <w:color w:val="auto"/>
              </w:rPr>
            </w:pPr>
            <w:r>
              <w:rPr>
                <w:rFonts w:ascii="Arial" w:cs="Arial" w:eastAsia="Arial" w:hAnsi="Arial"/>
                <w:sz w:val="18"/>
                <w:szCs w:val="18"/>
                <w:color w:val="BDBDBD"/>
                <w:w w:val="91"/>
              </w:rPr>
              <w:t>. . . . . . . . . . . . . . . . . . . . . . . . . . . . . . . . . . . .</w:t>
            </w:r>
            <w:r>
              <w:rPr>
                <w:rFonts w:ascii="Arial" w:cs="Arial" w:eastAsia="Arial" w:hAnsi="Arial"/>
                <w:sz w:val="18"/>
                <w:szCs w:val="18"/>
                <w:color w:val="000000"/>
                <w:w w:val="91"/>
              </w:rPr>
              <w:t>Operatingrevenues</w:t>
            </w:r>
          </w:p>
        </w:tc>
        <w:tc>
          <w:tcPr>
            <w:tcW w:w="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441</w:t>
            </w:r>
          </w:p>
        </w:tc>
        <w:tc>
          <w:tcPr>
            <w:tcW w:w="2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360" w:type="dxa"/>
            <w:vAlign w:val="bottom"/>
            <w:gridSpan w:val="2"/>
            <w:shd w:val="clear" w:color="auto" w:fill="E6E6E6"/>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641</w:t>
            </w:r>
          </w:p>
        </w:tc>
        <w:tc>
          <w:tcPr>
            <w:tcW w:w="60" w:type="dxa"/>
            <w:vAlign w:val="bottom"/>
            <w:shd w:val="clear" w:color="auto" w:fill="E6E6E6"/>
          </w:tcPr>
          <w:p>
            <w:pPr>
              <w:spacing w:after="0"/>
              <w:rPr>
                <w:sz w:val="21"/>
                <w:szCs w:val="21"/>
                <w:color w:val="auto"/>
              </w:rPr>
            </w:pPr>
          </w:p>
        </w:tc>
        <w:tc>
          <w:tcPr>
            <w:tcW w:w="180" w:type="dxa"/>
            <w:vAlign w:val="bottom"/>
            <w:gridSpan w:val="2"/>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204</w:t>
            </w:r>
          </w:p>
        </w:tc>
        <w:tc>
          <w:tcPr>
            <w:tcW w:w="2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560" w:type="dxa"/>
            <w:vAlign w:val="bottom"/>
            <w:gridSpan w:val="2"/>
            <w:shd w:val="clear" w:color="auto" w:fill="E6E6E6"/>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1"/>
                <w:szCs w:val="21"/>
                <w:color w:val="auto"/>
              </w:rPr>
            </w:pPr>
          </w:p>
        </w:tc>
        <w:tc>
          <w:tcPr>
            <w:tcW w:w="260" w:type="dxa"/>
            <w:vAlign w:val="bottom"/>
            <w:gridSpan w:val="2"/>
            <w:shd w:val="clear" w:color="auto" w:fill="E6E6E6"/>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13"/>
        </w:trPr>
        <w:tc>
          <w:tcPr>
            <w:tcW w:w="472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Cost of operations, exclusive of depreciation, amortization</w:t>
            </w:r>
          </w:p>
        </w:tc>
        <w:tc>
          <w:tcPr>
            <w:tcW w:w="16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229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134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43"/>
        </w:trPr>
        <w:tc>
          <w:tcPr>
            <w:tcW w:w="47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 xml:space="preserve">and accretion shown separately below </w:t>
            </w:r>
            <w:r>
              <w:rPr>
                <w:rFonts w:ascii="Arial" w:cs="Arial" w:eastAsia="Arial" w:hAnsi="Arial"/>
                <w:sz w:val="18"/>
                <w:szCs w:val="18"/>
                <w:color w:val="BDBDBD"/>
                <w:w w:val="97"/>
              </w:rPr>
              <w:t>. . . . . . . . . . . . . . . . .</w:t>
            </w:r>
          </w:p>
        </w:tc>
        <w:tc>
          <w:tcPr>
            <w:tcW w:w="16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4720" w:type="dxa"/>
            <w:vAlign w:val="bottom"/>
            <w:gridSpan w:val="2"/>
            <w:shd w:val="clear" w:color="auto" w:fill="E6E6E6"/>
          </w:tcPr>
          <w:p>
            <w:pPr>
              <w:jc w:val="right"/>
              <w:ind w:right="40"/>
              <w:spacing w:after="0"/>
              <w:rPr>
                <w:sz w:val="20"/>
                <w:szCs w:val="20"/>
                <w:color w:val="auto"/>
              </w:rPr>
            </w:pPr>
            <w:r>
              <w:rPr>
                <w:rFonts w:ascii="Arial" w:cs="Arial" w:eastAsia="Arial" w:hAnsi="Arial"/>
                <w:sz w:val="18"/>
                <w:szCs w:val="18"/>
                <w:color w:val="auto"/>
                <w:w w:val="94"/>
              </w:rPr>
              <w:t xml:space="preserve">Depreciation, amortization and accretion </w:t>
            </w:r>
            <w:r>
              <w:rPr>
                <w:rFonts w:ascii="Arial" w:cs="Arial" w:eastAsia="Arial" w:hAnsi="Arial"/>
                <w:sz w:val="18"/>
                <w:szCs w:val="18"/>
                <w:color w:val="BDBDBD"/>
                <w:w w:val="94"/>
              </w:rPr>
              <w:t>. . . . . . . . . . . . . . . . .</w:t>
            </w:r>
          </w:p>
        </w:tc>
        <w:tc>
          <w:tcPr>
            <w:tcW w:w="160" w:type="dxa"/>
            <w:vAlign w:val="bottom"/>
            <w:shd w:val="clear" w:color="auto" w:fill="E6E6E6"/>
          </w:tcPr>
          <w:p>
            <w:pPr>
              <w:spacing w:after="0"/>
              <w:rPr>
                <w:sz w:val="22"/>
                <w:szCs w:val="22"/>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132</w:t>
            </w:r>
          </w:p>
        </w:tc>
        <w:tc>
          <w:tcPr>
            <w:tcW w:w="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340" w:type="dxa"/>
            <w:vAlign w:val="bottom"/>
            <w:shd w:val="clear" w:color="auto" w:fill="E6E6E6"/>
          </w:tcPr>
          <w:p>
            <w:pPr>
              <w:spacing w:after="0"/>
              <w:rPr>
                <w:sz w:val="22"/>
                <w:szCs w:val="22"/>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354</w:t>
            </w: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23</w:t>
            </w:r>
          </w:p>
        </w:tc>
        <w:tc>
          <w:tcPr>
            <w:tcW w:w="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540" w:type="dxa"/>
            <w:vAlign w:val="bottom"/>
            <w:shd w:val="clear" w:color="auto" w:fill="E6E6E6"/>
          </w:tcPr>
          <w:p>
            <w:pPr>
              <w:spacing w:after="0"/>
              <w:rPr>
                <w:sz w:val="22"/>
                <w:szCs w:val="22"/>
                <w:color w:val="auto"/>
              </w:rPr>
            </w:pPr>
          </w:p>
        </w:tc>
        <w:tc>
          <w:tcPr>
            <w:tcW w:w="5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240" w:type="dxa"/>
            <w:vAlign w:val="bottom"/>
            <w:shd w:val="clear" w:color="auto" w:fill="E6E6E6"/>
          </w:tcPr>
          <w:p>
            <w:pPr>
              <w:spacing w:after="0"/>
              <w:rPr>
                <w:sz w:val="22"/>
                <w:szCs w:val="22"/>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47"/>
        </w:trPr>
        <w:tc>
          <w:tcPr>
            <w:tcW w:w="47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 xml:space="preserve">Impairment losses </w:t>
            </w:r>
            <w:r>
              <w:rPr>
                <w:rFonts w:ascii="Arial" w:cs="Arial" w:eastAsia="Arial" w:hAnsi="Arial"/>
                <w:sz w:val="18"/>
                <w:szCs w:val="18"/>
                <w:color w:val="BDBDBD"/>
                <w:w w:val="93"/>
              </w:rPr>
              <w:t>. . . . . . . . . . . . . . . . . . . . . . . . . . . . . . . . . . .</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61"/>
        </w:trPr>
        <w:tc>
          <w:tcPr>
            <w:tcW w:w="4720" w:type="dxa"/>
            <w:vAlign w:val="bottom"/>
            <w:gridSpan w:val="2"/>
            <w:shd w:val="clear" w:color="auto" w:fill="E6E6E6"/>
          </w:tcPr>
          <w:p>
            <w:pPr>
              <w:jc w:val="right"/>
              <w:ind w:right="40"/>
              <w:spacing w:after="0"/>
              <w:rPr>
                <w:sz w:val="20"/>
                <w:szCs w:val="20"/>
                <w:color w:val="auto"/>
              </w:rPr>
            </w:pPr>
            <w:r>
              <w:rPr>
                <w:rFonts w:ascii="Arial" w:cs="Arial" w:eastAsia="Arial" w:hAnsi="Arial"/>
                <w:sz w:val="18"/>
                <w:szCs w:val="18"/>
                <w:color w:val="auto"/>
                <w:w w:val="94"/>
              </w:rPr>
              <w:t xml:space="preserve">General and administrative </w:t>
            </w:r>
            <w:r>
              <w:rPr>
                <w:rFonts w:ascii="Arial" w:cs="Arial" w:eastAsia="Arial" w:hAnsi="Arial"/>
                <w:sz w:val="18"/>
                <w:szCs w:val="18"/>
                <w:color w:val="BDBDBD"/>
                <w:w w:val="94"/>
              </w:rPr>
              <w:t>. . . . . . . . . . . . . . . . . . . . . . . . . . . .</w:t>
            </w:r>
          </w:p>
        </w:tc>
        <w:tc>
          <w:tcPr>
            <w:tcW w:w="160" w:type="dxa"/>
            <w:vAlign w:val="bottom"/>
            <w:shd w:val="clear" w:color="auto" w:fill="E6E6E6"/>
          </w:tcPr>
          <w:p>
            <w:pPr>
              <w:spacing w:after="0"/>
              <w:rPr>
                <w:sz w:val="22"/>
                <w:szCs w:val="22"/>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340" w:type="dxa"/>
            <w:vAlign w:val="bottom"/>
            <w:shd w:val="clear" w:color="auto" w:fill="E6E6E6"/>
          </w:tcPr>
          <w:p>
            <w:pPr>
              <w:spacing w:after="0"/>
              <w:rPr>
                <w:sz w:val="22"/>
                <w:szCs w:val="22"/>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540" w:type="dxa"/>
            <w:vAlign w:val="bottom"/>
            <w:shd w:val="clear" w:color="auto" w:fill="E6E6E6"/>
          </w:tcPr>
          <w:p>
            <w:pPr>
              <w:spacing w:after="0"/>
              <w:rPr>
                <w:sz w:val="22"/>
                <w:szCs w:val="22"/>
                <w:color w:val="auto"/>
              </w:rPr>
            </w:pPr>
          </w:p>
        </w:tc>
        <w:tc>
          <w:tcPr>
            <w:tcW w:w="5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240" w:type="dxa"/>
            <w:vAlign w:val="bottom"/>
            <w:shd w:val="clear" w:color="auto" w:fill="E6E6E6"/>
          </w:tcPr>
          <w:p>
            <w:pPr>
              <w:spacing w:after="0"/>
              <w:rPr>
                <w:sz w:val="22"/>
                <w:szCs w:val="22"/>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7"/>
        </w:trPr>
        <w:tc>
          <w:tcPr>
            <w:tcW w:w="47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 xml:space="preserve">Transaction and integration costs </w:t>
            </w:r>
            <w:r>
              <w:rPr>
                <w:rFonts w:ascii="Arial" w:cs="Arial" w:eastAsia="Arial" w:hAnsi="Arial"/>
                <w:sz w:val="18"/>
                <w:szCs w:val="18"/>
                <w:color w:val="BDBDBD"/>
                <w:w w:val="93"/>
              </w:rPr>
              <w:t>. . . . . . . . . . . . . . . . . . . . . . .</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69"/>
        </w:trPr>
        <w:tc>
          <w:tcPr>
            <w:tcW w:w="4720" w:type="dxa"/>
            <w:vAlign w:val="bottom"/>
            <w:tcBorders>
              <w:bottom w:val="single" w:sz="8" w:color="E6E6E6"/>
            </w:tcBorders>
            <w:gridSpan w:val="2"/>
            <w:shd w:val="clear" w:color="auto" w:fill="E6E6E6"/>
          </w:tcPr>
          <w:p>
            <w:pPr>
              <w:jc w:val="right"/>
              <w:ind w:right="60"/>
              <w:spacing w:after="0"/>
              <w:rPr>
                <w:sz w:val="20"/>
                <w:szCs w:val="20"/>
                <w:color w:val="auto"/>
              </w:rPr>
            </w:pPr>
            <w:r>
              <w:rPr>
                <w:rFonts w:ascii="Arial" w:cs="Arial" w:eastAsia="Arial" w:hAnsi="Arial"/>
                <w:sz w:val="18"/>
                <w:szCs w:val="18"/>
                <w:color w:val="auto"/>
                <w:w w:val="93"/>
              </w:rPr>
              <w:t xml:space="preserve">Development costs  </w:t>
            </w:r>
            <w:r>
              <w:rPr>
                <w:rFonts w:ascii="Arial" w:cs="Arial" w:eastAsia="Arial" w:hAnsi="Arial"/>
                <w:sz w:val="18"/>
                <w:szCs w:val="18"/>
                <w:color w:val="BDBDBD"/>
                <w:w w:val="93"/>
              </w:rPr>
              <w:t>. . . . . . . . . . . . . . . . . . . . . . . . . . . . . . . . . .</w:t>
            </w:r>
          </w:p>
        </w:tc>
        <w:tc>
          <w:tcPr>
            <w:tcW w:w="160" w:type="dxa"/>
            <w:vAlign w:val="bottom"/>
            <w:tcBorders>
              <w:bottom w:val="single" w:sz="8" w:color="auto"/>
            </w:tcBorders>
            <w:shd w:val="clear" w:color="auto" w:fill="E6E6E6"/>
          </w:tcPr>
          <w:p>
            <w:pPr>
              <w:spacing w:after="0"/>
              <w:rPr>
                <w:sz w:val="23"/>
                <w:szCs w:val="23"/>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E6E6E6"/>
          </w:tcPr>
          <w:p>
            <w:pPr>
              <w:spacing w:after="0"/>
              <w:rPr>
                <w:sz w:val="23"/>
                <w:szCs w:val="23"/>
                <w:color w:val="auto"/>
              </w:rPr>
            </w:pPr>
          </w:p>
        </w:tc>
        <w:tc>
          <w:tcPr>
            <w:tcW w:w="6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auto"/>
            </w:tcBorders>
            <w:shd w:val="clear" w:color="auto" w:fill="E6E6E6"/>
          </w:tcPr>
          <w:p>
            <w:pPr>
              <w:spacing w:after="0"/>
              <w:rPr>
                <w:sz w:val="23"/>
                <w:szCs w:val="23"/>
                <w:color w:val="auto"/>
              </w:rPr>
            </w:pPr>
          </w:p>
        </w:tc>
        <w:tc>
          <w:tcPr>
            <w:tcW w:w="340" w:type="dxa"/>
            <w:vAlign w:val="bottom"/>
            <w:tcBorders>
              <w:bottom w:val="single" w:sz="8" w:color="auto"/>
            </w:tcBorders>
            <w:shd w:val="clear" w:color="auto" w:fill="E6E6E6"/>
          </w:tcPr>
          <w:p>
            <w:pPr>
              <w:spacing w:after="0"/>
              <w:rPr>
                <w:sz w:val="23"/>
                <w:szCs w:val="23"/>
                <w:color w:val="auto"/>
              </w:rPr>
            </w:pPr>
          </w:p>
        </w:tc>
        <w:tc>
          <w:tcPr>
            <w:tcW w:w="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auto"/>
            </w:tcBorders>
            <w:shd w:val="clear" w:color="auto" w:fill="E6E6E6"/>
          </w:tcPr>
          <w:p>
            <w:pPr>
              <w:spacing w:after="0"/>
              <w:rPr>
                <w:sz w:val="23"/>
                <w:szCs w:val="23"/>
                <w:color w:val="auto"/>
              </w:rPr>
            </w:pPr>
          </w:p>
        </w:tc>
        <w:tc>
          <w:tcPr>
            <w:tcW w:w="160" w:type="dxa"/>
            <w:vAlign w:val="bottom"/>
            <w:tcBorders>
              <w:bottom w:val="single" w:sz="8" w:color="auto"/>
            </w:tcBorders>
            <w:shd w:val="clear" w:color="auto" w:fill="E6E6E6"/>
          </w:tcPr>
          <w:p>
            <w:pPr>
              <w:spacing w:after="0"/>
              <w:rPr>
                <w:sz w:val="23"/>
                <w:szCs w:val="23"/>
                <w:color w:val="auto"/>
              </w:rPr>
            </w:pPr>
          </w:p>
        </w:tc>
        <w:tc>
          <w:tcPr>
            <w:tcW w:w="8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auto"/>
            </w:tcBorders>
            <w:shd w:val="clear" w:color="auto" w:fill="E6E6E6"/>
          </w:tcPr>
          <w:p>
            <w:pPr>
              <w:spacing w:after="0"/>
              <w:rPr>
                <w:sz w:val="23"/>
                <w:szCs w:val="23"/>
                <w:color w:val="auto"/>
              </w:rPr>
            </w:pPr>
          </w:p>
        </w:tc>
        <w:tc>
          <w:tcPr>
            <w:tcW w:w="6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auto"/>
            </w:tcBorders>
            <w:shd w:val="clear" w:color="auto" w:fill="E6E6E6"/>
          </w:tcPr>
          <w:p>
            <w:pPr>
              <w:spacing w:after="0"/>
              <w:rPr>
                <w:sz w:val="23"/>
                <w:szCs w:val="23"/>
                <w:color w:val="auto"/>
              </w:rPr>
            </w:pPr>
          </w:p>
        </w:tc>
        <w:tc>
          <w:tcPr>
            <w:tcW w:w="540" w:type="dxa"/>
            <w:vAlign w:val="bottom"/>
            <w:tcBorders>
              <w:bottom w:val="single" w:sz="8" w:color="auto"/>
            </w:tcBorders>
            <w:shd w:val="clear" w:color="auto" w:fill="E6E6E6"/>
          </w:tcPr>
          <w:p>
            <w:pPr>
              <w:spacing w:after="0"/>
              <w:rPr>
                <w:sz w:val="23"/>
                <w:szCs w:val="23"/>
                <w:color w:val="auto"/>
              </w:rPr>
            </w:pPr>
          </w:p>
        </w:tc>
        <w:tc>
          <w:tcPr>
            <w:tcW w:w="5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auto"/>
            </w:tcBorders>
            <w:shd w:val="clear" w:color="auto" w:fill="E6E6E6"/>
          </w:tcPr>
          <w:p>
            <w:pPr>
              <w:spacing w:after="0"/>
              <w:rPr>
                <w:sz w:val="23"/>
                <w:szCs w:val="23"/>
                <w:color w:val="auto"/>
              </w:rPr>
            </w:pPr>
          </w:p>
        </w:tc>
        <w:tc>
          <w:tcPr>
            <w:tcW w:w="240" w:type="dxa"/>
            <w:vAlign w:val="bottom"/>
            <w:tcBorders>
              <w:bottom w:val="single" w:sz="8" w:color="auto"/>
            </w:tcBorders>
            <w:shd w:val="clear" w:color="auto" w:fill="E6E6E6"/>
          </w:tcPr>
          <w:p>
            <w:pPr>
              <w:spacing w:after="0"/>
              <w:rPr>
                <w:sz w:val="23"/>
                <w:szCs w:val="23"/>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1"/>
        </w:trPr>
        <w:tc>
          <w:tcPr>
            <w:tcW w:w="4720" w:type="dxa"/>
            <w:vAlign w:val="bottom"/>
            <w:gridSpan w:val="2"/>
          </w:tcPr>
          <w:p>
            <w:pPr>
              <w:jc w:val="right"/>
              <w:ind w:right="40"/>
              <w:spacing w:after="0"/>
              <w:rPr>
                <w:sz w:val="20"/>
                <w:szCs w:val="20"/>
                <w:color w:val="auto"/>
              </w:rPr>
            </w:pPr>
            <w:r>
              <w:rPr>
                <w:rFonts w:ascii="Arial" w:cs="Arial" w:eastAsia="Arial" w:hAnsi="Arial"/>
                <w:sz w:val="18"/>
                <w:szCs w:val="18"/>
                <w:color w:val="BDBDBD"/>
                <w:w w:val="93"/>
              </w:rPr>
              <w:t>. . . . . . . . . . . . . . . . . . . . . . . . . . . . . . . .</w:t>
            </w:r>
            <w:r>
              <w:rPr>
                <w:rFonts w:ascii="Arial" w:cs="Arial" w:eastAsia="Arial" w:hAnsi="Arial"/>
                <w:sz w:val="18"/>
                <w:szCs w:val="18"/>
                <w:color w:val="000000"/>
                <w:w w:val="93"/>
              </w:rPr>
              <w:t>Operatingincome(loss)</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58"/>
        </w:trPr>
        <w:tc>
          <w:tcPr>
            <w:tcW w:w="4720" w:type="dxa"/>
            <w:vAlign w:val="bottom"/>
            <w:gridSpan w:val="2"/>
            <w:shd w:val="clear" w:color="auto" w:fill="E6E6E6"/>
          </w:tcPr>
          <w:p>
            <w:pPr>
              <w:jc w:val="right"/>
              <w:ind w:right="40"/>
              <w:spacing w:after="0"/>
              <w:rPr>
                <w:sz w:val="20"/>
                <w:szCs w:val="20"/>
                <w:color w:val="auto"/>
              </w:rPr>
            </w:pPr>
            <w:r>
              <w:rPr>
                <w:rFonts w:ascii="Arial" w:cs="Arial" w:eastAsia="Arial" w:hAnsi="Arial"/>
                <w:sz w:val="18"/>
                <w:szCs w:val="18"/>
                <w:color w:val="auto"/>
                <w:w w:val="95"/>
              </w:rPr>
              <w:t xml:space="preserve">Equity in earnings of unconsolidated affiliates </w:t>
            </w:r>
            <w:r>
              <w:rPr>
                <w:rFonts w:ascii="Arial" w:cs="Arial" w:eastAsia="Arial" w:hAnsi="Arial"/>
                <w:sz w:val="18"/>
                <w:szCs w:val="18"/>
                <w:color w:val="BDBDBD"/>
                <w:w w:val="95"/>
              </w:rPr>
              <w:t>. . . . . . . . . . . . .</w:t>
            </w:r>
          </w:p>
        </w:tc>
        <w:tc>
          <w:tcPr>
            <w:tcW w:w="160" w:type="dxa"/>
            <w:vAlign w:val="bottom"/>
            <w:shd w:val="clear" w:color="auto" w:fill="E6E6E6"/>
          </w:tcPr>
          <w:p>
            <w:pPr>
              <w:spacing w:after="0"/>
              <w:rPr>
                <w:sz w:val="22"/>
                <w:szCs w:val="22"/>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w:t>
            </w:r>
          </w:p>
        </w:tc>
        <w:tc>
          <w:tcPr>
            <w:tcW w:w="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340" w:type="dxa"/>
            <w:vAlign w:val="bottom"/>
            <w:shd w:val="clear" w:color="auto" w:fill="E6E6E6"/>
          </w:tcPr>
          <w:p>
            <w:pPr>
              <w:spacing w:after="0"/>
              <w:rPr>
                <w:sz w:val="22"/>
                <w:szCs w:val="22"/>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26</w:t>
            </w: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540" w:type="dxa"/>
            <w:vAlign w:val="bottom"/>
            <w:shd w:val="clear" w:color="auto" w:fill="E6E6E6"/>
          </w:tcPr>
          <w:p>
            <w:pPr>
              <w:spacing w:after="0"/>
              <w:rPr>
                <w:sz w:val="22"/>
                <w:szCs w:val="22"/>
                <w:color w:val="auto"/>
              </w:rPr>
            </w:pPr>
          </w:p>
        </w:tc>
        <w:tc>
          <w:tcPr>
            <w:tcW w:w="5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240" w:type="dxa"/>
            <w:vAlign w:val="bottom"/>
            <w:shd w:val="clear" w:color="auto" w:fill="E6E6E6"/>
          </w:tcPr>
          <w:p>
            <w:pPr>
              <w:spacing w:after="0"/>
              <w:rPr>
                <w:sz w:val="22"/>
                <w:szCs w:val="22"/>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7"/>
        </w:trPr>
        <w:tc>
          <w:tcPr>
            <w:tcW w:w="47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 xml:space="preserve">Other income, net </w:t>
            </w:r>
            <w:r>
              <w:rPr>
                <w:rFonts w:ascii="Arial" w:cs="Arial" w:eastAsia="Arial" w:hAnsi="Arial"/>
                <w:sz w:val="18"/>
                <w:szCs w:val="18"/>
                <w:color w:val="BDBDBD"/>
                <w:w w:val="94"/>
              </w:rPr>
              <w:t>. . . . . . . . . . . . . . . . . . . . . . . . . . . . . . . . . . .</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1"/>
        </w:trPr>
        <w:tc>
          <w:tcPr>
            <w:tcW w:w="4720" w:type="dxa"/>
            <w:vAlign w:val="bottom"/>
            <w:gridSpan w:val="2"/>
            <w:shd w:val="clear" w:color="auto" w:fill="E6E6E6"/>
          </w:tcPr>
          <w:p>
            <w:pPr>
              <w:jc w:val="right"/>
              <w:ind w:right="40"/>
              <w:spacing w:after="0"/>
              <w:rPr>
                <w:sz w:val="20"/>
                <w:szCs w:val="20"/>
                <w:color w:val="auto"/>
              </w:rPr>
            </w:pPr>
            <w:r>
              <w:rPr>
                <w:rFonts w:ascii="Arial" w:cs="Arial" w:eastAsia="Arial" w:hAnsi="Arial"/>
                <w:sz w:val="18"/>
                <w:szCs w:val="18"/>
                <w:color w:val="auto"/>
                <w:w w:val="93"/>
              </w:rPr>
              <w:t xml:space="preserve">Loss on debt extinguishment </w:t>
            </w:r>
            <w:r>
              <w:rPr>
                <w:rFonts w:ascii="Arial" w:cs="Arial" w:eastAsia="Arial" w:hAnsi="Arial"/>
                <w:sz w:val="18"/>
                <w:szCs w:val="18"/>
                <w:color w:val="BDBDBD"/>
                <w:w w:val="93"/>
              </w:rPr>
              <w:t>. . . . . . . . . . . . . . . . . . . . . . . . . . .</w:t>
            </w:r>
          </w:p>
        </w:tc>
        <w:tc>
          <w:tcPr>
            <w:tcW w:w="160" w:type="dxa"/>
            <w:vAlign w:val="bottom"/>
            <w:shd w:val="clear" w:color="auto" w:fill="E6E6E6"/>
          </w:tcPr>
          <w:p>
            <w:pPr>
              <w:spacing w:after="0"/>
              <w:rPr>
                <w:sz w:val="22"/>
                <w:szCs w:val="22"/>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340" w:type="dxa"/>
            <w:vAlign w:val="bottom"/>
            <w:shd w:val="clear" w:color="auto" w:fill="E6E6E6"/>
          </w:tcPr>
          <w:p>
            <w:pPr>
              <w:spacing w:after="0"/>
              <w:rPr>
                <w:sz w:val="22"/>
                <w:szCs w:val="22"/>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540" w:type="dxa"/>
            <w:vAlign w:val="bottom"/>
            <w:shd w:val="clear" w:color="auto" w:fill="E6E6E6"/>
          </w:tcPr>
          <w:p>
            <w:pPr>
              <w:spacing w:after="0"/>
              <w:rPr>
                <w:sz w:val="22"/>
                <w:szCs w:val="22"/>
                <w:color w:val="auto"/>
              </w:rPr>
            </w:pPr>
          </w:p>
        </w:tc>
        <w:tc>
          <w:tcPr>
            <w:tcW w:w="5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240" w:type="dxa"/>
            <w:vAlign w:val="bottom"/>
            <w:shd w:val="clear" w:color="auto" w:fill="E6E6E6"/>
          </w:tcPr>
          <w:p>
            <w:pPr>
              <w:spacing w:after="0"/>
              <w:rPr>
                <w:sz w:val="22"/>
                <w:szCs w:val="22"/>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4"/>
        </w:trPr>
        <w:tc>
          <w:tcPr>
            <w:tcW w:w="4720" w:type="dxa"/>
            <w:vAlign w:val="bottom"/>
            <w:tcBorders>
              <w:bottom w:val="single" w:sz="8" w:color="E6E6E6"/>
            </w:tcBorders>
            <w:gridSpan w:val="2"/>
          </w:tcPr>
          <w:p>
            <w:pPr>
              <w:jc w:val="right"/>
              <w:ind w:right="40"/>
              <w:spacing w:after="0"/>
              <w:rPr>
                <w:sz w:val="20"/>
                <w:szCs w:val="20"/>
                <w:color w:val="auto"/>
              </w:rPr>
            </w:pPr>
            <w:r>
              <w:rPr>
                <w:rFonts w:ascii="Arial" w:cs="Arial" w:eastAsia="Arial" w:hAnsi="Arial"/>
                <w:sz w:val="18"/>
                <w:szCs w:val="18"/>
                <w:color w:val="auto"/>
                <w:w w:val="93"/>
              </w:rPr>
              <w:t xml:space="preserve">Interest expense  </w:t>
            </w:r>
            <w:r>
              <w:rPr>
                <w:rFonts w:ascii="Arial" w:cs="Arial" w:eastAsia="Arial" w:hAnsi="Arial"/>
                <w:sz w:val="18"/>
                <w:szCs w:val="18"/>
                <w:color w:val="BDBDBD"/>
                <w:w w:val="93"/>
              </w:rPr>
              <w:t>. . . . . . . . . . . . . . . . . . . . . . . . . . . . . . . . . . . .</w:t>
            </w: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E6E6E6"/>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60" w:type="dxa"/>
            <w:vAlign w:val="bottom"/>
            <w:tcBorders>
              <w:bottom w:val="single" w:sz="8" w:color="E6E6E6"/>
            </w:tcBorders>
          </w:tcPr>
          <w:p>
            <w:pPr>
              <w:spacing w:after="0"/>
              <w:rPr>
                <w:sz w:val="21"/>
                <w:szCs w:val="21"/>
                <w:color w:val="auto"/>
              </w:rPr>
            </w:pPr>
          </w:p>
        </w:tc>
        <w:tc>
          <w:tcPr>
            <w:tcW w:w="20" w:type="dxa"/>
            <w:vAlign w:val="bottom"/>
            <w:tcBorders>
              <w:bottom w:val="single" w:sz="8" w:color="E6E6E6"/>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E6E6E6"/>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80" w:type="dxa"/>
            <w:vAlign w:val="bottom"/>
            <w:tcBorders>
              <w:bottom w:val="single" w:sz="8" w:color="E6E6E6"/>
            </w:tcBorders>
          </w:tcPr>
          <w:p>
            <w:pPr>
              <w:spacing w:after="0"/>
              <w:rPr>
                <w:sz w:val="21"/>
                <w:szCs w:val="21"/>
                <w:color w:val="auto"/>
              </w:rPr>
            </w:pPr>
          </w:p>
        </w:tc>
        <w:tc>
          <w:tcPr>
            <w:tcW w:w="20" w:type="dxa"/>
            <w:vAlign w:val="bottom"/>
            <w:tcBorders>
              <w:bottom w:val="single" w:sz="8" w:color="E6E6E6"/>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44"/>
        </w:trPr>
        <w:tc>
          <w:tcPr>
            <w:tcW w:w="4720" w:type="dxa"/>
            <w:vAlign w:val="bottom"/>
            <w:gridSpan w:val="2"/>
            <w:shd w:val="clear" w:color="auto" w:fill="E6E6E6"/>
          </w:tcPr>
          <w:p>
            <w:pPr>
              <w:jc w:val="right"/>
              <w:ind w:right="40"/>
              <w:spacing w:after="0"/>
              <w:rPr>
                <w:sz w:val="20"/>
                <w:szCs w:val="20"/>
                <w:color w:val="auto"/>
              </w:rPr>
            </w:pPr>
            <w:r>
              <w:rPr>
                <w:rFonts w:ascii="Arial" w:cs="Arial" w:eastAsia="Arial" w:hAnsi="Arial"/>
                <w:sz w:val="18"/>
                <w:szCs w:val="18"/>
                <w:color w:val="BDBDBD"/>
                <w:w w:val="95"/>
              </w:rPr>
              <w:t>. . . . . . . . . . . . . . . . . . . . . . . .</w:t>
            </w:r>
            <w:r>
              <w:rPr>
                <w:rFonts w:ascii="Arial" w:cs="Arial" w:eastAsia="Arial" w:hAnsi="Arial"/>
                <w:sz w:val="18"/>
                <w:szCs w:val="18"/>
                <w:color w:val="000000"/>
                <w:w w:val="95"/>
              </w:rPr>
              <w:t>Income(loss)beforeincometaxes</w:t>
            </w:r>
          </w:p>
        </w:tc>
        <w:tc>
          <w:tcPr>
            <w:tcW w:w="160" w:type="dxa"/>
            <w:vAlign w:val="bottom"/>
            <w:shd w:val="clear" w:color="auto" w:fill="E6E6E6"/>
          </w:tcPr>
          <w:p>
            <w:pPr>
              <w:spacing w:after="0"/>
              <w:rPr>
                <w:sz w:val="21"/>
                <w:szCs w:val="21"/>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172</w:t>
            </w:r>
          </w:p>
        </w:tc>
        <w:tc>
          <w:tcPr>
            <w:tcW w:w="2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340" w:type="dxa"/>
            <w:vAlign w:val="bottom"/>
            <w:shd w:val="clear" w:color="auto" w:fill="E6E6E6"/>
          </w:tcPr>
          <w:p>
            <w:pPr>
              <w:spacing w:after="0"/>
              <w:rPr>
                <w:sz w:val="21"/>
                <w:szCs w:val="21"/>
                <w:color w:val="auto"/>
              </w:rPr>
            </w:pP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(63)</w:t>
            </w:r>
          </w:p>
        </w:tc>
        <w:tc>
          <w:tcPr>
            <w:tcW w:w="6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160" w:type="dxa"/>
            <w:vAlign w:val="bottom"/>
            <w:shd w:val="clear" w:color="auto" w:fill="E6E6E6"/>
          </w:tcPr>
          <w:p>
            <w:pPr>
              <w:spacing w:after="0"/>
              <w:rPr>
                <w:sz w:val="21"/>
                <w:szCs w:val="21"/>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22</w:t>
            </w:r>
          </w:p>
        </w:tc>
        <w:tc>
          <w:tcPr>
            <w:tcW w:w="2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540" w:type="dxa"/>
            <w:vAlign w:val="bottom"/>
            <w:shd w:val="clear" w:color="auto" w:fill="E6E6E6"/>
          </w:tcPr>
          <w:p>
            <w:pPr>
              <w:spacing w:after="0"/>
              <w:rPr>
                <w:sz w:val="21"/>
                <w:szCs w:val="21"/>
                <w:color w:val="auto"/>
              </w:rPr>
            </w:pPr>
          </w:p>
        </w:tc>
        <w:tc>
          <w:tcPr>
            <w:tcW w:w="5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(194)</w:t>
            </w:r>
          </w:p>
        </w:tc>
        <w:tc>
          <w:tcPr>
            <w:tcW w:w="8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8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4"/>
        </w:trPr>
        <w:tc>
          <w:tcPr>
            <w:tcW w:w="4720" w:type="dxa"/>
            <w:vAlign w:val="bottom"/>
            <w:tcBorders>
              <w:bottom w:val="single" w:sz="8" w:color="E6E6E6"/>
            </w:tcBorders>
            <w:gridSpan w:val="2"/>
          </w:tcPr>
          <w:p>
            <w:pPr>
              <w:jc w:val="right"/>
              <w:ind w:right="40"/>
              <w:spacing w:after="0"/>
              <w:rPr>
                <w:sz w:val="20"/>
                <w:szCs w:val="20"/>
                <w:color w:val="auto"/>
              </w:rPr>
            </w:pPr>
            <w:r>
              <w:rPr>
                <w:rFonts w:ascii="Arial" w:cs="Arial" w:eastAsia="Arial" w:hAnsi="Arial"/>
                <w:sz w:val="18"/>
                <w:szCs w:val="18"/>
                <w:color w:val="auto"/>
                <w:w w:val="92"/>
              </w:rPr>
              <w:t xml:space="preserve">Income tax expense </w:t>
            </w:r>
            <w:r>
              <w:rPr>
                <w:rFonts w:ascii="Arial" w:cs="Arial" w:eastAsia="Arial" w:hAnsi="Arial"/>
                <w:sz w:val="18"/>
                <w:szCs w:val="18"/>
                <w:color w:val="BDBDBD"/>
                <w:w w:val="92"/>
              </w:rPr>
              <w:t>. . . . . . . . . . . . . . . . . . . . . . . . . . . . . . . . . .</w:t>
            </w: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E6E6E6"/>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bottom w:val="single" w:sz="8" w:color="E6E6E6"/>
            </w:tcBorders>
          </w:tcPr>
          <w:p>
            <w:pPr>
              <w:spacing w:after="0"/>
              <w:rPr>
                <w:sz w:val="21"/>
                <w:szCs w:val="21"/>
                <w:color w:val="auto"/>
              </w:rPr>
            </w:pPr>
          </w:p>
        </w:tc>
        <w:tc>
          <w:tcPr>
            <w:tcW w:w="20" w:type="dxa"/>
            <w:vAlign w:val="bottom"/>
            <w:tcBorders>
              <w:bottom w:val="single" w:sz="8" w:color="E6E6E6"/>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E6E6E6"/>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E6E6E6"/>
            </w:tcBorders>
          </w:tcPr>
          <w:p>
            <w:pPr>
              <w:spacing w:after="0"/>
              <w:rPr>
                <w:sz w:val="21"/>
                <w:szCs w:val="21"/>
                <w:color w:val="auto"/>
              </w:rPr>
            </w:pPr>
          </w:p>
        </w:tc>
        <w:tc>
          <w:tcPr>
            <w:tcW w:w="20" w:type="dxa"/>
            <w:vAlign w:val="bottom"/>
            <w:tcBorders>
              <w:bottom w:val="single" w:sz="8" w:color="E6E6E6"/>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4"/>
        </w:trPr>
        <w:tc>
          <w:tcPr>
            <w:tcW w:w="4720" w:type="dxa"/>
            <w:vAlign w:val="bottom"/>
            <w:tcBorders>
              <w:bottom w:val="single" w:sz="8" w:color="E6E6E6"/>
            </w:tcBorders>
            <w:gridSpan w:val="2"/>
            <w:shd w:val="clear" w:color="auto" w:fill="E6E6E6"/>
          </w:tcPr>
          <w:p>
            <w:pPr>
              <w:jc w:val="right"/>
              <w:ind w:right="40"/>
              <w:spacing w:after="0"/>
              <w:rPr>
                <w:sz w:val="20"/>
                <w:szCs w:val="20"/>
                <w:color w:val="auto"/>
              </w:rPr>
            </w:pPr>
            <w:r>
              <w:rPr>
                <w:rFonts w:ascii="Arial" w:cs="Arial" w:eastAsia="Arial" w:hAnsi="Arial"/>
                <w:sz w:val="18"/>
                <w:szCs w:val="18"/>
                <w:b w:val="1"/>
                <w:bCs w:val="1"/>
                <w:color w:val="BDBDBD"/>
                <w:w w:val="92"/>
              </w:rPr>
              <w:t>. . . . . . . . . . . . . . . . . . . . . . . . . . . . . . . . . . . .</w:t>
            </w:r>
            <w:r>
              <w:rPr>
                <w:rFonts w:ascii="Arial" w:cs="Arial" w:eastAsia="Arial" w:hAnsi="Arial"/>
                <w:sz w:val="18"/>
                <w:szCs w:val="18"/>
                <w:b w:val="1"/>
                <w:bCs w:val="1"/>
                <w:color w:val="000000"/>
                <w:w w:val="92"/>
              </w:rPr>
              <w:t>NetIncome(Loss)</w:t>
            </w:r>
          </w:p>
        </w:tc>
        <w:tc>
          <w:tcPr>
            <w:tcW w:w="160" w:type="dxa"/>
            <w:vAlign w:val="bottom"/>
            <w:tcBorders>
              <w:bottom w:val="single" w:sz="8" w:color="auto"/>
            </w:tcBorders>
            <w:shd w:val="clear" w:color="auto" w:fill="E6E6E6"/>
          </w:tcPr>
          <w:p>
            <w:pPr>
              <w:spacing w:after="0"/>
              <w:rPr>
                <w:sz w:val="22"/>
                <w:szCs w:val="22"/>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172</w:t>
            </w:r>
          </w:p>
        </w:tc>
        <w:tc>
          <w:tcPr>
            <w:tcW w:w="20" w:type="dxa"/>
            <w:vAlign w:val="bottom"/>
            <w:tcBorders>
              <w:bottom w:val="single" w:sz="8" w:color="auto"/>
            </w:tcBorders>
            <w:shd w:val="clear" w:color="auto" w:fill="E6E6E6"/>
          </w:tcPr>
          <w:p>
            <w:pPr>
              <w:spacing w:after="0"/>
              <w:rPr>
                <w:sz w:val="22"/>
                <w:szCs w:val="22"/>
                <w:color w:val="auto"/>
              </w:rPr>
            </w:pPr>
          </w:p>
        </w:tc>
        <w:tc>
          <w:tcPr>
            <w:tcW w:w="6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c>
          <w:tcPr>
            <w:tcW w:w="340" w:type="dxa"/>
            <w:vAlign w:val="bottom"/>
            <w:tcBorders>
              <w:bottom w:val="single" w:sz="8" w:color="auto"/>
            </w:tcBorders>
            <w:shd w:val="clear" w:color="auto" w:fill="E6E6E6"/>
          </w:tcPr>
          <w:p>
            <w:pPr>
              <w:spacing w:after="0"/>
              <w:rPr>
                <w:sz w:val="22"/>
                <w:szCs w:val="22"/>
                <w:color w:val="auto"/>
              </w:rPr>
            </w:pPr>
          </w:p>
        </w:tc>
        <w:tc>
          <w:tcPr>
            <w:tcW w:w="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(65)</w:t>
            </w:r>
          </w:p>
        </w:tc>
        <w:tc>
          <w:tcPr>
            <w:tcW w:w="6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c>
          <w:tcPr>
            <w:tcW w:w="160" w:type="dxa"/>
            <w:vAlign w:val="bottom"/>
            <w:tcBorders>
              <w:bottom w:val="single" w:sz="8" w:color="auto"/>
            </w:tcBorders>
            <w:shd w:val="clear" w:color="auto" w:fill="E6E6E6"/>
          </w:tcPr>
          <w:p>
            <w:pPr>
              <w:spacing w:after="0"/>
              <w:rPr>
                <w:sz w:val="22"/>
                <w:szCs w:val="22"/>
                <w:color w:val="auto"/>
              </w:rPr>
            </w:pPr>
          </w:p>
        </w:tc>
        <w:tc>
          <w:tcPr>
            <w:tcW w:w="8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22</w:t>
            </w:r>
          </w:p>
        </w:tc>
        <w:tc>
          <w:tcPr>
            <w:tcW w:w="20" w:type="dxa"/>
            <w:vAlign w:val="bottom"/>
            <w:tcBorders>
              <w:bottom w:val="single" w:sz="8" w:color="auto"/>
            </w:tcBorders>
            <w:shd w:val="clear" w:color="auto" w:fill="E6E6E6"/>
          </w:tcPr>
          <w:p>
            <w:pPr>
              <w:spacing w:after="0"/>
              <w:rPr>
                <w:sz w:val="22"/>
                <w:szCs w:val="22"/>
                <w:color w:val="auto"/>
              </w:rPr>
            </w:pPr>
          </w:p>
        </w:tc>
        <w:tc>
          <w:tcPr>
            <w:tcW w:w="6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c>
          <w:tcPr>
            <w:tcW w:w="540" w:type="dxa"/>
            <w:vAlign w:val="bottom"/>
            <w:tcBorders>
              <w:bottom w:val="single" w:sz="8" w:color="auto"/>
            </w:tcBorders>
            <w:shd w:val="clear" w:color="auto" w:fill="E6E6E6"/>
          </w:tcPr>
          <w:p>
            <w:pPr>
              <w:spacing w:after="0"/>
              <w:rPr>
                <w:sz w:val="22"/>
                <w:szCs w:val="22"/>
                <w:color w:val="auto"/>
              </w:rPr>
            </w:pPr>
          </w:p>
        </w:tc>
        <w:tc>
          <w:tcPr>
            <w:tcW w:w="5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(204)</w:t>
            </w:r>
          </w:p>
        </w:tc>
        <w:tc>
          <w:tcPr>
            <w:tcW w:w="8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c>
          <w:tcPr>
            <w:tcW w:w="240" w:type="dxa"/>
            <w:vAlign w:val="bottom"/>
            <w:tcBorders>
              <w:bottom w:val="single" w:sz="8" w:color="auto"/>
            </w:tcBorders>
            <w:shd w:val="clear" w:color="auto" w:fill="E6E6E6"/>
          </w:tcPr>
          <w:p>
            <w:pPr>
              <w:spacing w:after="0"/>
              <w:rPr>
                <w:sz w:val="22"/>
                <w:szCs w:val="22"/>
                <w:color w:val="auto"/>
              </w:rPr>
            </w:pPr>
          </w:p>
        </w:tc>
        <w:tc>
          <w:tcPr>
            <w:tcW w:w="8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9"/>
        </w:trPr>
        <w:tc>
          <w:tcPr>
            <w:tcW w:w="47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9"/>
              </w:rPr>
              <w:t xml:space="preserve">. </w:t>
            </w:r>
            <w:r>
              <w:rPr>
                <w:rFonts w:ascii="Arial" w:cs="Arial" w:eastAsia="Arial" w:hAnsi="Arial"/>
                <w:sz w:val="18"/>
                <w:szCs w:val="18"/>
                <w:b w:val="1"/>
                <w:bCs w:val="1"/>
                <w:color w:val="BDBDBD"/>
                <w:w w:val="99"/>
              </w:rPr>
              <w:t>. . .</w:t>
            </w:r>
            <w:r>
              <w:rPr>
                <w:rFonts w:ascii="Arial" w:cs="Arial" w:eastAsia="Arial" w:hAnsi="Arial"/>
                <w:sz w:val="18"/>
                <w:szCs w:val="18"/>
                <w:b w:val="1"/>
                <w:bCs w:val="1"/>
                <w:color w:val="auto"/>
                <w:w w:val="99"/>
              </w:rPr>
              <w:t>NetIncome(Loss)AttributabletoClearwayEnergy,Inc</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172</w:t>
            </w:r>
          </w:p>
        </w:tc>
        <w:tc>
          <w:tcPr>
            <w:tcW w:w="44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109</w:t>
            </w: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640" w:type="dxa"/>
            <w:vAlign w:val="bottom"/>
            <w:gridSpan w:val="4"/>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(252)</w:t>
            </w:r>
          </w:p>
        </w:tc>
        <w:tc>
          <w:tcPr>
            <w:tcW w:w="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980" w:type="dxa"/>
            <w:vAlign w:val="bottom"/>
            <w:tcBorders>
              <w:bottom w:val="single" w:sz="8" w:color="auto"/>
            </w:tcBorders>
          </w:tcPr>
          <w:p>
            <w:pPr>
              <w:spacing w:after="0"/>
              <w:rPr>
                <w:sz w:val="10"/>
                <w:szCs w:val="10"/>
                <w:color w:val="auto"/>
              </w:rPr>
            </w:pPr>
          </w:p>
        </w:tc>
        <w:tc>
          <w:tcPr>
            <w:tcW w:w="2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2988945</wp:posOffset>
            </wp:positionH>
            <wp:positionV relativeFrom="paragraph">
              <wp:posOffset>-2858770</wp:posOffset>
            </wp:positionV>
            <wp:extent cx="3589020"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251">
                      <a:extLst>
                        <a:ext uri="{28A0092B-C50C-407E-A947-70E740481C1C}"/>
                      </a:extLst>
                    </a:blip>
                    <a:srcRect/>
                    <a:stretch>
                      <a:fillRect/>
                    </a:stretch>
                  </pic:blipFill>
                  <pic:spPr bwMode="auto">
                    <a:xfrm>
                      <a:off x="0" y="0"/>
                      <a:ext cx="3589020" cy="25400"/>
                    </a:xfrm>
                    <a:prstGeom prst="rect">
                      <a:avLst/>
                    </a:prstGeom>
                    <a:noFill/>
                  </pic:spPr>
                </pic:pic>
              </a:graphicData>
            </a:graphic>
          </wp:anchor>
        </w:drawing>
        <w:drawing>
          <wp:anchor simplePos="0" relativeHeight="251657728" behindDoc="1" locked="0" layoutInCell="0" allowOverlap="1">
            <wp:simplePos x="0" y="0"/>
            <wp:positionH relativeFrom="column">
              <wp:posOffset>2988945</wp:posOffset>
            </wp:positionH>
            <wp:positionV relativeFrom="paragraph">
              <wp:posOffset>-1597660</wp:posOffset>
            </wp:positionV>
            <wp:extent cx="3589020"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252">
                      <a:extLst>
                        <a:ext uri="{28A0092B-C50C-407E-A947-70E740481C1C}"/>
                      </a:extLst>
                    </a:blip>
                    <a:srcRect/>
                    <a:stretch>
                      <a:fillRect/>
                    </a:stretch>
                  </pic:blipFill>
                  <pic:spPr bwMode="auto">
                    <a:xfrm>
                      <a:off x="0" y="0"/>
                      <a:ext cx="3589020" cy="25400"/>
                    </a:xfrm>
                    <a:prstGeom prst="rect">
                      <a:avLst/>
                    </a:prstGeom>
                    <a:noFill/>
                  </pic:spPr>
                </pic:pic>
              </a:graphicData>
            </a:graphic>
          </wp:anchor>
        </w:drawing>
        <w:drawing>
          <wp:anchor simplePos="0" relativeHeight="251657728" behindDoc="1" locked="0" layoutInCell="0" allowOverlap="1">
            <wp:simplePos x="0" y="0"/>
            <wp:positionH relativeFrom="column">
              <wp:posOffset>2988945</wp:posOffset>
            </wp:positionH>
            <wp:positionV relativeFrom="paragraph">
              <wp:posOffset>-792480</wp:posOffset>
            </wp:positionV>
            <wp:extent cx="3589020"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253">
                      <a:extLst>
                        <a:ext uri="{28A0092B-C50C-407E-A947-70E740481C1C}"/>
                      </a:extLst>
                    </a:blip>
                    <a:srcRect/>
                    <a:stretch>
                      <a:fillRect/>
                    </a:stretch>
                  </pic:blipFill>
                  <pic:spPr bwMode="auto">
                    <a:xfrm>
                      <a:off x="0" y="0"/>
                      <a:ext cx="3589020" cy="25400"/>
                    </a:xfrm>
                    <a:prstGeom prst="rect">
                      <a:avLst/>
                    </a:prstGeom>
                    <a:noFill/>
                  </pic:spPr>
                </pic:pic>
              </a:graphicData>
            </a:graphic>
          </wp:anchor>
        </w:drawing>
        <w:drawing>
          <wp:anchor simplePos="0" relativeHeight="251657728" behindDoc="1" locked="0" layoutInCell="0" allowOverlap="1">
            <wp:simplePos x="0" y="0"/>
            <wp:positionH relativeFrom="column">
              <wp:posOffset>2988945</wp:posOffset>
            </wp:positionH>
            <wp:positionV relativeFrom="paragraph">
              <wp:posOffset>-469900</wp:posOffset>
            </wp:positionV>
            <wp:extent cx="3589020"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254">
                      <a:extLst>
                        <a:ext uri="{28A0092B-C50C-407E-A947-70E740481C1C}"/>
                      </a:extLst>
                    </a:blip>
                    <a:srcRect/>
                    <a:stretch>
                      <a:fillRect/>
                    </a:stretch>
                  </pic:blipFill>
                  <pic:spPr bwMode="auto">
                    <a:xfrm>
                      <a:off x="0" y="0"/>
                      <a:ext cx="3589020" cy="25400"/>
                    </a:xfrm>
                    <a:prstGeom prst="rect">
                      <a:avLst/>
                    </a:prstGeom>
                    <a:noFill/>
                  </pic:spPr>
                </pic:pic>
              </a:graphicData>
            </a:graphic>
          </wp:anchor>
        </w:drawing>
        <w:drawing>
          <wp:anchor simplePos="0" relativeHeight="251657728" behindDoc="1" locked="0" layoutInCell="0" allowOverlap="1">
            <wp:simplePos x="0" y="0"/>
            <wp:positionH relativeFrom="column">
              <wp:posOffset>2988945</wp:posOffset>
            </wp:positionH>
            <wp:positionV relativeFrom="paragraph">
              <wp:posOffset>-309245</wp:posOffset>
            </wp:positionV>
            <wp:extent cx="3589020"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255">
                      <a:extLst>
                        <a:ext uri="{28A0092B-C50C-407E-A947-70E740481C1C}"/>
                      </a:extLst>
                    </a:blip>
                    <a:srcRect/>
                    <a:stretch>
                      <a:fillRect/>
                    </a:stretch>
                  </pic:blipFill>
                  <pic:spPr bwMode="auto">
                    <a:xfrm>
                      <a:off x="0" y="0"/>
                      <a:ext cx="3589020" cy="25400"/>
                    </a:xfrm>
                    <a:prstGeom prst="rect">
                      <a:avLst/>
                    </a:prstGeom>
                    <a:noFill/>
                  </pic:spPr>
                </pic:pic>
              </a:graphicData>
            </a:graphic>
          </wp:anchor>
        </w:drawing>
      </w:r>
    </w:p>
    <w:p>
      <w:pPr>
        <w:ind w:left="300" w:hanging="215"/>
        <w:spacing w:after="0" w:line="221" w:lineRule="auto"/>
        <w:tabs>
          <w:tab w:leader="none" w:pos="300" w:val="left"/>
        </w:tabs>
        <w:numPr>
          <w:ilvl w:val="0"/>
          <w:numId w:val="81"/>
        </w:numPr>
        <w:rPr>
          <w:rFonts w:ascii="Arial" w:cs="Arial" w:eastAsia="Arial" w:hAnsi="Arial"/>
          <w:sz w:val="26"/>
          <w:szCs w:val="26"/>
          <w:color w:val="auto"/>
          <w:vertAlign w:val="superscript"/>
        </w:rPr>
      </w:pPr>
      <w:r>
        <w:rPr>
          <w:rFonts w:ascii="Arial" w:cs="Arial" w:eastAsia="Arial" w:hAnsi="Arial"/>
          <w:sz w:val="16"/>
          <w:szCs w:val="16"/>
          <w:color w:val="auto"/>
        </w:rPr>
        <w:t>Includes eliminations.</w:t>
      </w:r>
    </w:p>
    <w:p>
      <w:pPr>
        <w:sectPr>
          <w:pgSz w:w="11880" w:h="15480" w:orient="portrait"/>
          <w:cols w:equalWidth="0" w:num="1">
            <w:col w:w="10340"/>
          </w:cols>
          <w:pgMar w:left="840" w:top="500"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40"/>
        <w:spacing w:after="0"/>
        <w:rPr>
          <w:sz w:val="20"/>
          <w:szCs w:val="20"/>
          <w:color w:val="auto"/>
        </w:rPr>
      </w:pPr>
      <w:r>
        <w:rPr>
          <w:rFonts w:ascii="Arial" w:cs="Arial" w:eastAsia="Arial" w:hAnsi="Arial"/>
          <w:sz w:val="15"/>
          <w:szCs w:val="15"/>
          <w:color w:val="auto"/>
        </w:rPr>
        <w:t>118</w:t>
      </w:r>
    </w:p>
    <w:p>
      <w:pPr>
        <w:sectPr>
          <w:pgSz w:w="11880" w:h="15480" w:orient="portrait"/>
          <w:cols w:equalWidth="0" w:num="1">
            <w:col w:w="10340"/>
          </w:cols>
          <w:pgMar w:left="840" w:top="500" w:right="700" w:bottom="0" w:gutter="0" w:footer="0" w:header="0"/>
          <w:type w:val="continuous"/>
        </w:sectPr>
      </w:pPr>
    </w:p>
    <w:bookmarkStart w:id="120" w:name="page121"/>
    <w:bookmarkEnd w:id="120"/>
    <w:p>
      <w:pPr>
        <w:spacing w:after="0"/>
        <w:rPr>
          <w:sz w:val="20"/>
          <w:szCs w:val="20"/>
          <w:color w:val="auto"/>
        </w:rPr>
      </w:pPr>
      <w:r>
        <w:rPr>
          <w:rFonts w:ascii="Arial" w:cs="Arial" w:eastAsia="Arial" w:hAnsi="Arial"/>
          <w:sz w:val="20"/>
          <w:szCs w:val="20"/>
          <w:b w:val="1"/>
          <w:bCs w:val="1"/>
          <w:color w:val="auto"/>
        </w:rPr>
        <w:t>Note 14 — Income Taxes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Effective Tax Rate</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income tax provision consisted of the following amounts: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8"/>
          </w:tcPr>
          <w:p>
            <w:pPr>
              <w:jc w:val="center"/>
              <w:spacing w:after="0"/>
              <w:rPr>
                <w:sz w:val="20"/>
                <w:szCs w:val="20"/>
                <w:color w:val="auto"/>
              </w:rPr>
            </w:pPr>
            <w:r>
              <w:rPr>
                <w:rFonts w:ascii="Arial" w:cs="Arial" w:eastAsia="Arial" w:hAnsi="Arial"/>
                <w:sz w:val="16"/>
                <w:szCs w:val="16"/>
                <w:b w:val="1"/>
                <w:bCs w:val="1"/>
                <w:color w:val="auto"/>
                <w:w w:val="90"/>
              </w:rPr>
              <w:t>Year Ended December 31,</w:t>
            </w:r>
          </w:p>
        </w:tc>
        <w:tc>
          <w:tcPr>
            <w:tcW w:w="1040" w:type="dxa"/>
            <w:vAlign w:val="bottom"/>
            <w:tcBorders>
              <w:bottom w:val="single" w:sz="8" w:color="auto"/>
            </w:tcBorders>
          </w:tcPr>
          <w:p>
            <w:pPr>
              <w:spacing w:after="0"/>
              <w:rPr>
                <w:sz w:val="18"/>
                <w:szCs w:val="18"/>
                <w:color w:val="auto"/>
              </w:rPr>
            </w:pPr>
          </w:p>
        </w:tc>
      </w:tr>
      <w:tr>
        <w:trPr>
          <w:trHeight w:val="234"/>
        </w:trPr>
        <w:tc>
          <w:tcPr>
            <w:tcW w:w="5840" w:type="dxa"/>
            <w:vAlign w:val="bottom"/>
          </w:tcPr>
          <w:p>
            <w:pPr>
              <w:spacing w:after="0"/>
              <w:rPr>
                <w:sz w:val="20"/>
                <w:szCs w:val="20"/>
                <w:color w:val="auto"/>
              </w:rPr>
            </w:pPr>
          </w:p>
        </w:tc>
        <w:tc>
          <w:tcPr>
            <w:tcW w:w="9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6"/>
                <w:szCs w:val="16"/>
                <w:b w:val="1"/>
                <w:bCs w:val="1"/>
                <w:color w:val="auto"/>
              </w:rPr>
              <w:t>2023</w:t>
            </w:r>
          </w:p>
        </w:tc>
        <w:tc>
          <w:tcPr>
            <w:tcW w:w="4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33"/>
              <w:spacing w:after="0"/>
              <w:rPr>
                <w:sz w:val="20"/>
                <w:szCs w:val="20"/>
                <w:color w:val="auto"/>
              </w:rPr>
            </w:pPr>
            <w:r>
              <w:rPr>
                <w:rFonts w:ascii="Arial" w:cs="Arial" w:eastAsia="Arial" w:hAnsi="Arial"/>
                <w:sz w:val="16"/>
                <w:szCs w:val="16"/>
                <w:b w:val="1"/>
                <w:bCs w:val="1"/>
                <w:color w:val="auto"/>
                <w:w w:val="89"/>
              </w:rPr>
              <w:t>2022</w:t>
            </w: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2021</w:t>
            </w:r>
          </w:p>
        </w:tc>
      </w:tr>
      <w:tr>
        <w:trPr>
          <w:trHeight w:val="236"/>
        </w:trPr>
        <w:tc>
          <w:tcPr>
            <w:tcW w:w="5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center"/>
              <w:ind w:right="133"/>
              <w:spacing w:after="0"/>
              <w:rPr>
                <w:sz w:val="20"/>
                <w:szCs w:val="20"/>
                <w:color w:val="auto"/>
              </w:rPr>
            </w:pPr>
            <w:r>
              <w:rPr>
                <w:rFonts w:ascii="Arial" w:cs="Arial" w:eastAsia="Arial" w:hAnsi="Arial"/>
                <w:sz w:val="16"/>
                <w:szCs w:val="16"/>
                <w:b w:val="1"/>
                <w:bCs w:val="1"/>
                <w:color w:val="auto"/>
                <w:w w:val="93"/>
              </w:rPr>
              <w:t>(In millions)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62"/>
        </w:trPr>
        <w:tc>
          <w:tcPr>
            <w:tcW w:w="5840" w:type="dxa"/>
            <w:vAlign w:val="bottom"/>
            <w:shd w:val="clear" w:color="auto" w:fill="E6E6E6"/>
          </w:tcPr>
          <w:p>
            <w:pPr>
              <w:ind w:left="40"/>
              <w:spacing w:after="0"/>
              <w:rPr>
                <w:sz w:val="20"/>
                <w:szCs w:val="20"/>
                <w:color w:val="auto"/>
              </w:rPr>
            </w:pPr>
            <w:r>
              <w:rPr>
                <w:rFonts w:ascii="Arial" w:cs="Arial" w:eastAsia="Arial" w:hAnsi="Arial"/>
                <w:sz w:val="18"/>
                <w:szCs w:val="18"/>
                <w:color w:val="auto"/>
              </w:rPr>
              <w:t>Current</w:t>
            </w:r>
          </w:p>
        </w:tc>
        <w:tc>
          <w:tcPr>
            <w:tcW w:w="20" w:type="dxa"/>
            <w:vAlign w:val="bottom"/>
            <w:shd w:val="clear" w:color="auto" w:fill="E6E6E6"/>
          </w:tcPr>
          <w:p>
            <w:pPr>
              <w:spacing w:after="0"/>
              <w:rPr>
                <w:sz w:val="22"/>
                <w:szCs w:val="22"/>
                <w:color w:val="auto"/>
              </w:rPr>
            </w:pPr>
          </w:p>
        </w:tc>
        <w:tc>
          <w:tcPr>
            <w:tcW w:w="960" w:type="dxa"/>
            <w:vAlign w:val="bottom"/>
            <w:shd w:val="clear" w:color="auto" w:fill="E6E6E6"/>
          </w:tcPr>
          <w:p>
            <w:pPr>
              <w:spacing w:after="0"/>
              <w:rPr>
                <w:sz w:val="22"/>
                <w:szCs w:val="22"/>
                <w:color w:val="auto"/>
              </w:rPr>
            </w:pPr>
          </w:p>
        </w:tc>
        <w:tc>
          <w:tcPr>
            <w:tcW w:w="4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118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320" w:type="dxa"/>
            <w:vAlign w:val="bottom"/>
            <w:shd w:val="clear" w:color="auto" w:fill="E6E6E6"/>
          </w:tcPr>
          <w:p>
            <w:pPr>
              <w:spacing w:after="0"/>
              <w:rPr>
                <w:sz w:val="22"/>
                <w:szCs w:val="22"/>
                <w:color w:val="auto"/>
              </w:rPr>
            </w:pPr>
          </w:p>
        </w:tc>
        <w:tc>
          <w:tcPr>
            <w:tcW w:w="1040" w:type="dxa"/>
            <w:vAlign w:val="bottom"/>
            <w:shd w:val="clear" w:color="auto" w:fill="E6E6E6"/>
          </w:tcPr>
          <w:p>
            <w:pPr>
              <w:spacing w:after="0"/>
              <w:rPr>
                <w:sz w:val="22"/>
                <w:szCs w:val="22"/>
                <w:color w:val="auto"/>
              </w:rPr>
            </w:pPr>
          </w:p>
        </w:tc>
      </w:tr>
      <w:tr>
        <w:trPr>
          <w:trHeight w:val="247"/>
        </w:trPr>
        <w:tc>
          <w:tcPr>
            <w:tcW w:w="5840" w:type="dxa"/>
            <w:vAlign w:val="bottom"/>
          </w:tcPr>
          <w:p>
            <w:pPr>
              <w:jc w:val="right"/>
              <w:spacing w:after="0"/>
              <w:rPr>
                <w:sz w:val="20"/>
                <w:szCs w:val="20"/>
                <w:color w:val="auto"/>
              </w:rPr>
            </w:pPr>
            <w:r>
              <w:rPr>
                <w:rFonts w:ascii="Arial" w:cs="Arial" w:eastAsia="Arial" w:hAnsi="Arial"/>
                <w:sz w:val="18"/>
                <w:szCs w:val="18"/>
                <w:color w:val="auto"/>
                <w:w w:val="92"/>
              </w:rPr>
              <w:t xml:space="preserve">U.S. Federal </w:t>
            </w:r>
            <w:r>
              <w:rPr>
                <w:rFonts w:ascii="Arial" w:cs="Arial" w:eastAsia="Arial" w:hAnsi="Arial"/>
                <w:sz w:val="18"/>
                <w:szCs w:val="18"/>
                <w:color w:val="BDBDBD"/>
                <w:w w:val="92"/>
              </w:rPr>
              <w:t>. . . . . . . . . . . . . . . . . . . . . . . . . . . . . . . . . . . . . . . . . . . . . . . . . . . .</w:t>
            </w:r>
          </w:p>
        </w:tc>
        <w:tc>
          <w:tcPr>
            <w:tcW w:w="98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58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w w:val="92"/>
              </w:rPr>
              <w:t xml:space="preserve">State </w:t>
            </w:r>
            <w:r>
              <w:rPr>
                <w:rFonts w:ascii="Arial" w:cs="Arial" w:eastAsia="Arial" w:hAnsi="Arial"/>
                <w:sz w:val="18"/>
                <w:szCs w:val="18"/>
                <w:color w:val="BDBDBD"/>
                <w:w w:val="92"/>
              </w:rPr>
              <w:t>. . . . . . . . . . . . . . . . . . . . . . . . . . . . . . . . . . . . . . . . . . . . . . . . . . . . . . . . . .</w:t>
            </w:r>
          </w:p>
        </w:tc>
        <w:tc>
          <w:tcPr>
            <w:tcW w:w="20" w:type="dxa"/>
            <w:vAlign w:val="bottom"/>
            <w:tcBorders>
              <w:bottom w:val="single" w:sz="8" w:color="auto"/>
            </w:tcBorders>
            <w:shd w:val="clear" w:color="auto" w:fill="E6E6E6"/>
          </w:tcPr>
          <w:p>
            <w:pPr>
              <w:spacing w:after="0"/>
              <w:rPr>
                <w:sz w:val="22"/>
                <w:szCs w:val="22"/>
                <w:color w:val="auto"/>
              </w:rPr>
            </w:pPr>
          </w:p>
        </w:tc>
        <w:tc>
          <w:tcPr>
            <w:tcW w:w="960" w:type="dxa"/>
            <w:vAlign w:val="bottom"/>
            <w:tcBorders>
              <w:bottom w:val="single" w:sz="8" w:color="auto"/>
            </w:tcBorders>
            <w:shd w:val="clear" w:color="auto" w:fill="E6E6E6"/>
          </w:tcPr>
          <w:p>
            <w:pPr>
              <w:spacing w:after="0"/>
              <w:rPr>
                <w:sz w:val="22"/>
                <w:szCs w:val="22"/>
                <w:color w:val="auto"/>
              </w:rPr>
            </w:pPr>
          </w:p>
        </w:tc>
        <w:tc>
          <w:tcPr>
            <w:tcW w:w="4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auto"/>
            </w:tcBorders>
            <w:shd w:val="clear" w:color="auto" w:fill="E6E6E6"/>
          </w:tcPr>
          <w:p>
            <w:pPr>
              <w:spacing w:after="0"/>
              <w:rPr>
                <w:sz w:val="22"/>
                <w:szCs w:val="22"/>
                <w:color w:val="auto"/>
              </w:rPr>
            </w:pPr>
          </w:p>
        </w:tc>
        <w:tc>
          <w:tcPr>
            <w:tcW w:w="200" w:type="dxa"/>
            <w:vAlign w:val="bottom"/>
            <w:tcBorders>
              <w:bottom w:val="single" w:sz="8" w:color="auto"/>
            </w:tcBorders>
            <w:shd w:val="clear" w:color="auto" w:fill="E6E6E6"/>
          </w:tcPr>
          <w:p>
            <w:pPr>
              <w:spacing w:after="0"/>
              <w:rPr>
                <w:sz w:val="22"/>
                <w:szCs w:val="22"/>
                <w:color w:val="auto"/>
              </w:rPr>
            </w:pPr>
          </w:p>
        </w:tc>
        <w:tc>
          <w:tcPr>
            <w:tcW w:w="11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auto"/>
            </w:tcBorders>
            <w:shd w:val="clear" w:color="auto" w:fill="E6E6E6"/>
          </w:tcPr>
          <w:p>
            <w:pPr>
              <w:spacing w:after="0"/>
              <w:rPr>
                <w:sz w:val="22"/>
                <w:szCs w:val="22"/>
                <w:color w:val="auto"/>
              </w:rPr>
            </w:pPr>
          </w:p>
        </w:tc>
        <w:tc>
          <w:tcPr>
            <w:tcW w:w="320" w:type="dxa"/>
            <w:vAlign w:val="bottom"/>
            <w:tcBorders>
              <w:bottom w:val="single" w:sz="8" w:color="auto"/>
            </w:tcBorders>
            <w:shd w:val="clear" w:color="auto" w:fill="E6E6E6"/>
          </w:tcPr>
          <w:p>
            <w:pPr>
              <w:spacing w:after="0"/>
              <w:rPr>
                <w:sz w:val="22"/>
                <w:szCs w:val="22"/>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5840" w:type="dxa"/>
            <w:vAlign w:val="bottom"/>
          </w:tcPr>
          <w:p>
            <w:pPr>
              <w:ind w:left="40"/>
              <w:spacing w:after="0"/>
              <w:rPr>
                <w:sz w:val="20"/>
                <w:szCs w:val="20"/>
                <w:color w:val="auto"/>
              </w:rPr>
            </w:pPr>
            <w:r>
              <w:rPr>
                <w:rFonts w:ascii="Arial" w:cs="Arial" w:eastAsia="Arial" w:hAnsi="Arial"/>
                <w:sz w:val="18"/>
                <w:szCs w:val="18"/>
                <w:color w:val="auto"/>
              </w:rPr>
              <w:t>Total — current</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8"/>
        </w:trPr>
        <w:tc>
          <w:tcPr>
            <w:tcW w:w="5840" w:type="dxa"/>
            <w:vAlign w:val="bottom"/>
            <w:shd w:val="clear" w:color="auto" w:fill="E6E6E6"/>
          </w:tcPr>
          <w:p>
            <w:pPr>
              <w:ind w:left="40"/>
              <w:spacing w:after="0"/>
              <w:rPr>
                <w:sz w:val="20"/>
                <w:szCs w:val="20"/>
                <w:color w:val="auto"/>
              </w:rPr>
            </w:pPr>
            <w:r>
              <w:rPr>
                <w:rFonts w:ascii="Arial" w:cs="Arial" w:eastAsia="Arial" w:hAnsi="Arial"/>
                <w:sz w:val="18"/>
                <w:szCs w:val="18"/>
                <w:color w:val="auto"/>
              </w:rPr>
              <w:t>Deferred</w:t>
            </w:r>
          </w:p>
        </w:tc>
        <w:tc>
          <w:tcPr>
            <w:tcW w:w="20" w:type="dxa"/>
            <w:vAlign w:val="bottom"/>
            <w:shd w:val="clear" w:color="auto" w:fill="E6E6E6"/>
          </w:tcPr>
          <w:p>
            <w:pPr>
              <w:spacing w:after="0"/>
              <w:rPr>
                <w:sz w:val="22"/>
                <w:szCs w:val="22"/>
                <w:color w:val="auto"/>
              </w:rPr>
            </w:pPr>
          </w:p>
        </w:tc>
        <w:tc>
          <w:tcPr>
            <w:tcW w:w="960" w:type="dxa"/>
            <w:vAlign w:val="bottom"/>
            <w:shd w:val="clear" w:color="auto" w:fill="E6E6E6"/>
          </w:tcPr>
          <w:p>
            <w:pPr>
              <w:spacing w:after="0"/>
              <w:rPr>
                <w:sz w:val="22"/>
                <w:szCs w:val="22"/>
                <w:color w:val="auto"/>
              </w:rPr>
            </w:pPr>
          </w:p>
        </w:tc>
        <w:tc>
          <w:tcPr>
            <w:tcW w:w="4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118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320" w:type="dxa"/>
            <w:vAlign w:val="bottom"/>
            <w:shd w:val="clear" w:color="auto" w:fill="E6E6E6"/>
          </w:tcPr>
          <w:p>
            <w:pPr>
              <w:spacing w:after="0"/>
              <w:rPr>
                <w:sz w:val="22"/>
                <w:szCs w:val="22"/>
                <w:color w:val="auto"/>
              </w:rPr>
            </w:pPr>
          </w:p>
        </w:tc>
        <w:tc>
          <w:tcPr>
            <w:tcW w:w="1040" w:type="dxa"/>
            <w:vAlign w:val="bottom"/>
            <w:shd w:val="clear" w:color="auto" w:fill="E6E6E6"/>
          </w:tcPr>
          <w:p>
            <w:pPr>
              <w:spacing w:after="0"/>
              <w:rPr>
                <w:sz w:val="22"/>
                <w:szCs w:val="22"/>
                <w:color w:val="auto"/>
              </w:rPr>
            </w:pPr>
          </w:p>
        </w:tc>
      </w:tr>
      <w:tr>
        <w:trPr>
          <w:trHeight w:val="247"/>
        </w:trPr>
        <w:tc>
          <w:tcPr>
            <w:tcW w:w="5840" w:type="dxa"/>
            <w:vAlign w:val="bottom"/>
          </w:tcPr>
          <w:p>
            <w:pPr>
              <w:jc w:val="right"/>
              <w:spacing w:after="0"/>
              <w:rPr>
                <w:sz w:val="20"/>
                <w:szCs w:val="20"/>
                <w:color w:val="auto"/>
              </w:rPr>
            </w:pPr>
            <w:r>
              <w:rPr>
                <w:rFonts w:ascii="Arial" w:cs="Arial" w:eastAsia="Arial" w:hAnsi="Arial"/>
                <w:sz w:val="18"/>
                <w:szCs w:val="18"/>
                <w:color w:val="auto"/>
                <w:w w:val="92"/>
              </w:rPr>
              <w:t xml:space="preserve">U.S. Federal </w:t>
            </w:r>
            <w:r>
              <w:rPr>
                <w:rFonts w:ascii="Arial" w:cs="Arial" w:eastAsia="Arial" w:hAnsi="Arial"/>
                <w:sz w:val="18"/>
                <w:szCs w:val="18"/>
                <w:color w:val="BDBDBD"/>
                <w:w w:val="92"/>
              </w:rPr>
              <w:t>. . . . . . . . . . . . . . . . . . . . . . . . . . . . . . . . . . . . . . . . . . . . . . . . . . . .</w:t>
            </w:r>
          </w:p>
        </w:tc>
        <w:tc>
          <w:tcPr>
            <w:tcW w:w="98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150</w:t>
            </w:r>
          </w:p>
        </w:tc>
        <w:tc>
          <w:tcPr>
            <w:tcW w:w="42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69"/>
        </w:trPr>
        <w:tc>
          <w:tcPr>
            <w:tcW w:w="58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w w:val="92"/>
              </w:rPr>
              <w:t xml:space="preserve">State </w:t>
            </w:r>
            <w:r>
              <w:rPr>
                <w:rFonts w:ascii="Arial" w:cs="Arial" w:eastAsia="Arial" w:hAnsi="Arial"/>
                <w:sz w:val="18"/>
                <w:szCs w:val="18"/>
                <w:color w:val="BDBDBD"/>
                <w:w w:val="92"/>
              </w:rPr>
              <w:t>. . . . . . . . . . . . . . . . . . . . . . . . . . . . . . . . . . . . . . . . . . . . . . . . . . . . . . . . . .</w:t>
            </w:r>
          </w:p>
        </w:tc>
        <w:tc>
          <w:tcPr>
            <w:tcW w:w="20" w:type="dxa"/>
            <w:vAlign w:val="bottom"/>
            <w:tcBorders>
              <w:bottom w:val="single" w:sz="8" w:color="E6E6E6"/>
            </w:tcBorders>
            <w:shd w:val="clear" w:color="auto" w:fill="E6E6E6"/>
          </w:tcPr>
          <w:p>
            <w:pPr>
              <w:spacing w:after="0"/>
              <w:rPr>
                <w:sz w:val="23"/>
                <w:szCs w:val="23"/>
                <w:color w:val="auto"/>
              </w:rPr>
            </w:pPr>
          </w:p>
        </w:tc>
        <w:tc>
          <w:tcPr>
            <w:tcW w:w="960" w:type="dxa"/>
            <w:vAlign w:val="bottom"/>
            <w:tcBorders>
              <w:bottom w:val="single" w:sz="8" w:color="auto"/>
            </w:tcBorders>
            <w:shd w:val="clear" w:color="auto" w:fill="E6E6E6"/>
          </w:tcPr>
          <w:p>
            <w:pPr>
              <w:spacing w:after="0"/>
              <w:rPr>
                <w:sz w:val="23"/>
                <w:szCs w:val="23"/>
                <w:color w:val="auto"/>
              </w:rPr>
            </w:pPr>
          </w:p>
        </w:tc>
        <w:tc>
          <w:tcPr>
            <w:tcW w:w="4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200" w:type="dxa"/>
            <w:vAlign w:val="bottom"/>
            <w:tcBorders>
              <w:bottom w:val="single" w:sz="8" w:color="auto"/>
            </w:tcBorders>
            <w:shd w:val="clear" w:color="auto" w:fill="E6E6E6"/>
          </w:tcPr>
          <w:p>
            <w:pPr>
              <w:spacing w:after="0"/>
              <w:rPr>
                <w:sz w:val="23"/>
                <w:szCs w:val="23"/>
                <w:color w:val="auto"/>
              </w:rPr>
            </w:pPr>
          </w:p>
        </w:tc>
        <w:tc>
          <w:tcPr>
            <w:tcW w:w="11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44</w:t>
            </w:r>
          </w:p>
        </w:tc>
        <w:tc>
          <w:tcPr>
            <w:tcW w:w="8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auto"/>
            </w:tcBorders>
            <w:shd w:val="clear" w:color="auto" w:fill="E6E6E6"/>
          </w:tcPr>
          <w:p>
            <w:pPr>
              <w:spacing w:after="0"/>
              <w:rPr>
                <w:sz w:val="23"/>
                <w:szCs w:val="23"/>
                <w:color w:val="auto"/>
              </w:rPr>
            </w:pPr>
          </w:p>
        </w:tc>
        <w:tc>
          <w:tcPr>
            <w:tcW w:w="320" w:type="dxa"/>
            <w:vAlign w:val="bottom"/>
            <w:tcBorders>
              <w:bottom w:val="single" w:sz="8" w:color="auto"/>
            </w:tcBorders>
            <w:shd w:val="clear" w:color="auto" w:fill="E6E6E6"/>
          </w:tcPr>
          <w:p>
            <w:pPr>
              <w:spacing w:after="0"/>
              <w:rPr>
                <w:sz w:val="23"/>
                <w:szCs w:val="23"/>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5840" w:type="dxa"/>
            <w:vAlign w:val="bottom"/>
            <w:tcBorders>
              <w:bottom w:val="single" w:sz="8" w:color="E6E6E6"/>
            </w:tcBorders>
          </w:tcPr>
          <w:p>
            <w:pPr>
              <w:ind w:left="40"/>
              <w:spacing w:after="0"/>
              <w:rPr>
                <w:sz w:val="20"/>
                <w:szCs w:val="20"/>
                <w:color w:val="auto"/>
              </w:rPr>
            </w:pPr>
            <w:r>
              <w:rPr>
                <w:rFonts w:ascii="Arial" w:cs="Arial" w:eastAsia="Arial" w:hAnsi="Arial"/>
                <w:sz w:val="18"/>
                <w:szCs w:val="18"/>
                <w:color w:val="auto"/>
              </w:rPr>
              <w:t>Total — deferred</w:t>
            </w:r>
          </w:p>
        </w:tc>
        <w:tc>
          <w:tcPr>
            <w:tcW w:w="20" w:type="dxa"/>
            <w:vAlign w:val="bottom"/>
            <w:tcBorders>
              <w:bottom w:val="single" w:sz="8" w:color="E6E6E6"/>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bottom w:val="single" w:sz="8" w:color="E6E6E6"/>
            </w:tcBorders>
          </w:tcPr>
          <w:p>
            <w:pPr>
              <w:spacing w:after="0"/>
              <w:rPr>
                <w:sz w:val="18"/>
                <w:szCs w:val="18"/>
                <w:color w:val="auto"/>
              </w:rPr>
            </w:pPr>
          </w:p>
        </w:tc>
        <w:tc>
          <w:tcPr>
            <w:tcW w:w="20" w:type="dxa"/>
            <w:vAlign w:val="bottom"/>
            <w:tcBorders>
              <w:bottom w:val="single" w:sz="8" w:color="E6E6E6"/>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80" w:type="dxa"/>
            <w:vAlign w:val="bottom"/>
            <w:tcBorders>
              <w:bottom w:val="single" w:sz="8" w:color="E6E6E6"/>
            </w:tcBorders>
          </w:tcPr>
          <w:p>
            <w:pPr>
              <w:spacing w:after="0"/>
              <w:rPr>
                <w:sz w:val="18"/>
                <w:szCs w:val="18"/>
                <w:color w:val="auto"/>
              </w:rPr>
            </w:pPr>
          </w:p>
        </w:tc>
        <w:tc>
          <w:tcPr>
            <w:tcW w:w="20" w:type="dxa"/>
            <w:vAlign w:val="bottom"/>
            <w:tcBorders>
              <w:bottom w:val="single" w:sz="8" w:color="E6E6E6"/>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54"/>
        </w:trPr>
        <w:tc>
          <w:tcPr>
            <w:tcW w:w="58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BDBDBD"/>
                <w:w w:val="97"/>
              </w:rPr>
              <w:t>. . . . . . . . . . . . . . . . . . . . . . . . . . . . . . . . . .</w:t>
            </w:r>
            <w:r>
              <w:rPr>
                <w:rFonts w:ascii="Arial" w:cs="Arial" w:eastAsia="Arial" w:hAnsi="Arial"/>
                <w:sz w:val="18"/>
                <w:szCs w:val="18"/>
                <w:color w:val="000000"/>
                <w:w w:val="97"/>
              </w:rPr>
              <w:t>Totalincometax(benefit)expense</w:t>
            </w:r>
          </w:p>
        </w:tc>
        <w:tc>
          <w:tcPr>
            <w:tcW w:w="20" w:type="dxa"/>
            <w:vAlign w:val="bottom"/>
            <w:tcBorders>
              <w:bottom w:val="single" w:sz="8" w:color="E6E6E6"/>
            </w:tcBorders>
            <w:shd w:val="clear" w:color="auto" w:fill="E6E6E6"/>
          </w:tcPr>
          <w:p>
            <w:pPr>
              <w:spacing w:after="0"/>
              <w:rPr>
                <w:sz w:val="22"/>
                <w:szCs w:val="22"/>
                <w:color w:val="auto"/>
              </w:rPr>
            </w:pPr>
          </w:p>
        </w:tc>
        <w:tc>
          <w:tcPr>
            <w:tcW w:w="960" w:type="dxa"/>
            <w:vAlign w:val="bottom"/>
            <w:tcBorders>
              <w:bottom w:val="single" w:sz="8" w:color="auto"/>
            </w:tcBorders>
            <w:shd w:val="clear" w:color="auto" w:fill="E6E6E6"/>
          </w:tcPr>
          <w:p>
            <w:pPr>
              <w:jc w:val="right"/>
              <w:ind w:right="75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E6E6E6"/>
            </w:tcBorders>
            <w:gridSpan w:val="2"/>
            <w:shd w:val="clear" w:color="auto" w:fill="E6E6E6"/>
          </w:tcPr>
          <w:p>
            <w:pPr>
              <w:spacing w:after="0"/>
              <w:rPr>
                <w:sz w:val="22"/>
                <w:szCs w:val="22"/>
                <w:color w:val="auto"/>
              </w:rPr>
            </w:pPr>
          </w:p>
        </w:tc>
        <w:tc>
          <w:tcPr>
            <w:tcW w:w="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E6E6E6"/>
            </w:tcBorders>
            <w:gridSpan w:val="2"/>
            <w:shd w:val="clear" w:color="auto" w:fill="E6E6E6"/>
          </w:tcPr>
          <w:p>
            <w:pPr>
              <w:spacing w:after="0"/>
              <w:rPr>
                <w:sz w:val="22"/>
                <w:szCs w:val="22"/>
                <w:color w:val="auto"/>
              </w:rPr>
            </w:pPr>
          </w:p>
        </w:tc>
        <w:tc>
          <w:tcPr>
            <w:tcW w:w="320" w:type="dxa"/>
            <w:vAlign w:val="bottom"/>
            <w:tcBorders>
              <w:bottom w:val="single" w:sz="8" w:color="auto"/>
            </w:tcBorders>
            <w:shd w:val="clear" w:color="auto" w:fill="E6E6E6"/>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-997585</wp:posOffset>
            </wp:positionV>
            <wp:extent cx="276415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256">
                      <a:extLst>
                        <a:ext uri="{28A0092B-C50C-407E-A947-70E740481C1C}"/>
                      </a:extLst>
                    </a:blip>
                    <a:srcRect/>
                    <a:stretch>
                      <a:fillRect/>
                    </a:stretch>
                  </pic:blipFill>
                  <pic:spPr bwMode="auto">
                    <a:xfrm>
                      <a:off x="0" y="0"/>
                      <a:ext cx="2764155" cy="2540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-353060</wp:posOffset>
            </wp:positionV>
            <wp:extent cx="276415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257">
                      <a:extLst>
                        <a:ext uri="{28A0092B-C50C-407E-A947-70E740481C1C}"/>
                      </a:extLst>
                    </a:blip>
                    <a:srcRect/>
                    <a:stretch>
                      <a:fillRect/>
                    </a:stretch>
                  </pic:blipFill>
                  <pic:spPr bwMode="auto">
                    <a:xfrm>
                      <a:off x="0" y="0"/>
                      <a:ext cx="2764155" cy="2540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-192405</wp:posOffset>
            </wp:positionV>
            <wp:extent cx="276415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258">
                      <a:extLst>
                        <a:ext uri="{28A0092B-C50C-407E-A947-70E740481C1C}"/>
                      </a:extLst>
                    </a:blip>
                    <a:srcRect/>
                    <a:stretch>
                      <a:fillRect/>
                    </a:stretch>
                  </pic:blipFill>
                  <pic:spPr bwMode="auto">
                    <a:xfrm>
                      <a:off x="0" y="0"/>
                      <a:ext cx="2764155" cy="2540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-43815</wp:posOffset>
            </wp:positionV>
            <wp:extent cx="2764155" cy="508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259">
                      <a:extLst>
                        <a:ext uri="{28A0092B-C50C-407E-A947-70E740481C1C}"/>
                      </a:extLst>
                    </a:blip>
                    <a:srcRect/>
                    <a:stretch>
                      <a:fillRect/>
                    </a:stretch>
                  </pic:blipFill>
                  <pic:spPr bwMode="auto">
                    <a:xfrm>
                      <a:off x="0" y="0"/>
                      <a:ext cx="2764155" cy="50800"/>
                    </a:xfrm>
                    <a:prstGeom prst="rect">
                      <a:avLst/>
                    </a:prstGeom>
                    <a:noFill/>
                  </pic:spPr>
                </pic:pic>
              </a:graphicData>
            </a:graphic>
          </wp:anchor>
        </w:drawing>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20"/>
          <w:szCs w:val="20"/>
          <w:color w:val="auto"/>
        </w:rPr>
        <w:t>A reconciliation of the U.S. federal statutory rate of 21% to the Company’s effective rate is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4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9"/>
          </w:tcPr>
          <w:p>
            <w:pPr>
              <w:jc w:val="right"/>
              <w:ind w:right="210"/>
              <w:spacing w:after="0"/>
              <w:rPr>
                <w:sz w:val="20"/>
                <w:szCs w:val="20"/>
                <w:color w:val="auto"/>
              </w:rPr>
            </w:pPr>
            <w:r>
              <w:rPr>
                <w:rFonts w:ascii="Arial" w:cs="Arial" w:eastAsia="Arial" w:hAnsi="Arial"/>
                <w:sz w:val="16"/>
                <w:szCs w:val="16"/>
                <w:b w:val="1"/>
                <w:bCs w:val="1"/>
                <w:color w:val="auto"/>
                <w:w w:val="91"/>
              </w:rPr>
              <w:t>Year Ended December 31,</w:t>
            </w:r>
          </w:p>
        </w:tc>
        <w:tc>
          <w:tcPr>
            <w:tcW w:w="940" w:type="dxa"/>
            <w:vAlign w:val="bottom"/>
            <w:tcBorders>
              <w:bottom w:val="single" w:sz="8" w:color="auto"/>
            </w:tcBorders>
          </w:tcPr>
          <w:p>
            <w:pPr>
              <w:spacing w:after="0"/>
              <w:rPr>
                <w:sz w:val="18"/>
                <w:szCs w:val="18"/>
                <w:color w:val="auto"/>
              </w:rPr>
            </w:pPr>
          </w:p>
        </w:tc>
      </w:tr>
      <w:tr>
        <w:trPr>
          <w:trHeight w:val="234"/>
        </w:trPr>
        <w:tc>
          <w:tcPr>
            <w:tcW w:w="584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2021</w:t>
            </w:r>
          </w:p>
        </w:tc>
      </w:tr>
      <w:tr>
        <w:trPr>
          <w:trHeight w:val="236"/>
        </w:trPr>
        <w:tc>
          <w:tcPr>
            <w:tcW w:w="5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520" w:type="dxa"/>
            <w:vAlign w:val="bottom"/>
            <w:gridSpan w:val="10"/>
          </w:tcPr>
          <w:p>
            <w:pPr>
              <w:jc w:val="right"/>
              <w:ind w:right="10"/>
              <w:spacing w:after="0"/>
              <w:rPr>
                <w:sz w:val="20"/>
                <w:szCs w:val="20"/>
                <w:color w:val="auto"/>
              </w:rPr>
            </w:pPr>
            <w:r>
              <w:rPr>
                <w:rFonts w:ascii="Arial" w:cs="Arial" w:eastAsia="Arial" w:hAnsi="Arial"/>
                <w:sz w:val="16"/>
                <w:szCs w:val="16"/>
                <w:b w:val="1"/>
                <w:bCs w:val="1"/>
                <w:color w:val="auto"/>
                <w:w w:val="96"/>
              </w:rPr>
              <w:t>(In millions, except percentages)</w:t>
            </w:r>
          </w:p>
        </w:tc>
        <w:tc>
          <w:tcPr>
            <w:tcW w:w="940" w:type="dxa"/>
            <w:vAlign w:val="bottom"/>
          </w:tcPr>
          <w:p>
            <w:pPr>
              <w:spacing w:after="0"/>
              <w:rPr>
                <w:sz w:val="20"/>
                <w:szCs w:val="20"/>
                <w:color w:val="auto"/>
              </w:rPr>
            </w:pPr>
          </w:p>
        </w:tc>
      </w:tr>
      <w:tr>
        <w:trPr>
          <w:trHeight w:val="270"/>
        </w:trPr>
        <w:tc>
          <w:tcPr>
            <w:tcW w:w="584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1"/>
              </w:rPr>
              <w:t xml:space="preserve">(Loss) Income Before Income Taxes </w:t>
            </w:r>
            <w:r>
              <w:rPr>
                <w:rFonts w:ascii="Arial" w:cs="Arial" w:eastAsia="Arial" w:hAnsi="Arial"/>
                <w:sz w:val="18"/>
                <w:szCs w:val="18"/>
                <w:color w:val="BDBDBD"/>
                <w:w w:val="91"/>
              </w:rPr>
              <w:t>. . . . . . . . . . . . . . . . . . . . . . . . . . . . . . . . . .</w:t>
            </w:r>
          </w:p>
        </w:tc>
        <w:tc>
          <w:tcPr>
            <w:tcW w:w="860" w:type="dxa"/>
            <w:vAlign w:val="bottom"/>
            <w:shd w:val="clear" w:color="auto" w:fill="E6E6E6"/>
          </w:tcPr>
          <w:p>
            <w:pPr>
              <w:jc w:val="right"/>
              <w:ind w:right="634"/>
              <w:spacing w:after="0"/>
              <w:rPr>
                <w:sz w:val="20"/>
                <w:szCs w:val="20"/>
                <w:color w:val="auto"/>
              </w:rPr>
            </w:pPr>
            <w:r>
              <w:rPr>
                <w:rFonts w:ascii="Arial" w:cs="Arial" w:eastAsia="Arial" w:hAnsi="Arial"/>
                <w:sz w:val="18"/>
                <w:szCs w:val="18"/>
                <w:color w:val="auto"/>
              </w:rPr>
              <w:t>$</w:t>
            </w:r>
          </w:p>
        </w:tc>
        <w:tc>
          <w:tcPr>
            <w:tcW w:w="4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w:t>
            </w:r>
          </w:p>
        </w:tc>
        <w:tc>
          <w:tcPr>
            <w:tcW w:w="540" w:type="dxa"/>
            <w:vAlign w:val="bottom"/>
            <w:gridSpan w:val="5"/>
            <w:shd w:val="clear" w:color="auto" w:fill="E6E6E6"/>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6E6E6"/>
          </w:tcPr>
          <w:p>
            <w:pPr>
              <w:jc w:val="right"/>
              <w:ind w:right="131"/>
              <w:spacing w:after="0"/>
              <w:rPr>
                <w:sz w:val="20"/>
                <w:szCs w:val="20"/>
                <w:color w:val="auto"/>
              </w:rPr>
            </w:pPr>
            <w:r>
              <w:rPr>
                <w:rFonts w:ascii="Arial" w:cs="Arial" w:eastAsia="Arial" w:hAnsi="Arial"/>
                <w:sz w:val="18"/>
                <w:szCs w:val="18"/>
                <w:color w:val="auto"/>
              </w:rPr>
              <w:t>1,282</w:t>
            </w:r>
          </w:p>
        </w:tc>
        <w:tc>
          <w:tcPr>
            <w:tcW w:w="520" w:type="dxa"/>
            <w:vAlign w:val="bottom"/>
            <w:gridSpan w:val="3"/>
            <w:shd w:val="clear" w:color="auto" w:fill="E6E6E6"/>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shd w:val="clear" w:color="auto" w:fill="E6E6E6"/>
          </w:tcPr>
          <w:p>
            <w:pPr>
              <w:jc w:val="right"/>
              <w:ind w:right="71"/>
              <w:spacing w:after="0"/>
              <w:rPr>
                <w:sz w:val="20"/>
                <w:szCs w:val="20"/>
                <w:color w:val="auto"/>
              </w:rPr>
            </w:pPr>
            <w:r>
              <w:rPr>
                <w:rFonts w:ascii="Arial" w:cs="Arial" w:eastAsia="Arial" w:hAnsi="Arial"/>
                <w:sz w:val="18"/>
                <w:szCs w:val="18"/>
                <w:color w:val="auto"/>
              </w:rPr>
              <w:t>(63)</w:t>
            </w:r>
          </w:p>
        </w:tc>
      </w:tr>
      <w:tr>
        <w:trPr>
          <w:trHeight w:val="221"/>
        </w:trPr>
        <w:tc>
          <w:tcPr>
            <w:tcW w:w="5840" w:type="dxa"/>
            <w:vAlign w:val="bottom"/>
            <w:tcBorders>
              <w:top w:val="single" w:sz="8" w:color="E6E6E6"/>
            </w:tcBorders>
          </w:tcPr>
          <w:p>
            <w:pPr>
              <w:jc w:val="right"/>
              <w:spacing w:after="0"/>
              <w:rPr>
                <w:sz w:val="20"/>
                <w:szCs w:val="20"/>
                <w:color w:val="auto"/>
              </w:rPr>
            </w:pPr>
            <w:r>
              <w:rPr>
                <w:rFonts w:ascii="Arial" w:cs="Arial" w:eastAsia="Arial" w:hAnsi="Arial"/>
                <w:sz w:val="18"/>
                <w:szCs w:val="18"/>
                <w:color w:val="BDBDBD"/>
                <w:w w:val="93"/>
              </w:rPr>
              <w:t>. . . . . . . . . . . . . . . . . . . . . . . . . . . . . . . . . . . . . . . . . . . . . . . . . . . . . .</w:t>
            </w:r>
            <w:r>
              <w:rPr>
                <w:rFonts w:ascii="Arial" w:cs="Arial" w:eastAsia="Arial" w:hAnsi="Arial"/>
                <w:sz w:val="18"/>
                <w:szCs w:val="18"/>
                <w:color w:val="000000"/>
                <w:w w:val="93"/>
              </w:rPr>
              <w:t>Taxat21%</w:t>
            </w:r>
          </w:p>
        </w:tc>
        <w:tc>
          <w:tcPr>
            <w:tcW w:w="8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auto"/>
            </w:tcBorders>
          </w:tcPr>
          <w:p>
            <w:pPr>
              <w:spacing w:after="0"/>
              <w:rPr>
                <w:sz w:val="19"/>
                <w:szCs w:val="19"/>
                <w:color w:val="auto"/>
              </w:rPr>
            </w:pPr>
          </w:p>
        </w:tc>
        <w:tc>
          <w:tcPr>
            <w:tcW w:w="20" w:type="dxa"/>
            <w:vAlign w:val="bottom"/>
            <w:tcBorders>
              <w:top w:val="single" w:sz="8" w:color="E6E6E6"/>
            </w:tcBorders>
          </w:tcPr>
          <w:p>
            <w:pPr>
              <w:spacing w:after="0"/>
              <w:rPr>
                <w:sz w:val="19"/>
                <w:szCs w:val="19"/>
                <w:color w:val="auto"/>
              </w:rPr>
            </w:pPr>
          </w:p>
        </w:tc>
        <w:tc>
          <w:tcPr>
            <w:tcW w:w="40" w:type="dxa"/>
            <w:vAlign w:val="bottom"/>
            <w:tcBorders>
              <w:top w:val="single" w:sz="8" w:color="E6E6E6"/>
            </w:tcBorders>
          </w:tcPr>
          <w:p>
            <w:pPr>
              <w:spacing w:after="0"/>
              <w:rPr>
                <w:sz w:val="19"/>
                <w:szCs w:val="19"/>
                <w:color w:val="auto"/>
              </w:rPr>
            </w:pPr>
          </w:p>
        </w:tc>
        <w:tc>
          <w:tcPr>
            <w:tcW w:w="20" w:type="dxa"/>
            <w:vAlign w:val="bottom"/>
            <w:tcBorders>
              <w:top w:val="single" w:sz="8" w:color="E6E6E6"/>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269</w:t>
            </w:r>
          </w:p>
        </w:tc>
        <w:tc>
          <w:tcPr>
            <w:tcW w:w="80" w:type="dxa"/>
            <w:vAlign w:val="bottom"/>
            <w:tcBorders>
              <w:top w:val="single" w:sz="8" w:color="E6E6E6"/>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(13)</w:t>
            </w:r>
          </w:p>
        </w:tc>
      </w:tr>
      <w:tr>
        <w:trPr>
          <w:trHeight w:val="258"/>
        </w:trPr>
        <w:tc>
          <w:tcPr>
            <w:tcW w:w="584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2"/>
              </w:rPr>
              <w:t xml:space="preserve">State taxes, net of federal benefit </w:t>
            </w:r>
            <w:r>
              <w:rPr>
                <w:rFonts w:ascii="Arial" w:cs="Arial" w:eastAsia="Arial" w:hAnsi="Arial"/>
                <w:sz w:val="18"/>
                <w:szCs w:val="18"/>
                <w:color w:val="BDBDBD"/>
                <w:w w:val="92"/>
              </w:rPr>
              <w:t>. . . . . . . . . . . . . . . . . . . . . . . . . . . . . . . . . . . .</w:t>
            </w:r>
          </w:p>
        </w:tc>
        <w:tc>
          <w:tcPr>
            <w:tcW w:w="860" w:type="dxa"/>
            <w:vAlign w:val="bottom"/>
            <w:shd w:val="clear" w:color="auto" w:fill="E6E6E6"/>
          </w:tcPr>
          <w:p>
            <w:pPr>
              <w:spacing w:after="0"/>
              <w:rPr>
                <w:sz w:val="22"/>
                <w:szCs w:val="22"/>
                <w:color w:val="auto"/>
              </w:rPr>
            </w:pPr>
          </w:p>
        </w:tc>
        <w:tc>
          <w:tcPr>
            <w:tcW w:w="4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4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320" w:type="dxa"/>
            <w:vAlign w:val="bottom"/>
            <w:shd w:val="clear" w:color="auto" w:fill="E6E6E6"/>
          </w:tcPr>
          <w:p>
            <w:pPr>
              <w:spacing w:after="0"/>
              <w:rPr>
                <w:sz w:val="22"/>
                <w:szCs w:val="22"/>
                <w:color w:val="auto"/>
              </w:rPr>
            </w:pPr>
          </w:p>
        </w:tc>
        <w:tc>
          <w:tcPr>
            <w:tcW w:w="1060" w:type="dxa"/>
            <w:vAlign w:val="bottom"/>
            <w:shd w:val="clear" w:color="auto" w:fill="E6E6E6"/>
          </w:tcPr>
          <w:p>
            <w:pPr>
              <w:jc w:val="right"/>
              <w:ind w:right="131"/>
              <w:spacing w:after="0"/>
              <w:rPr>
                <w:sz w:val="20"/>
                <w:szCs w:val="20"/>
                <w:color w:val="auto"/>
              </w:rPr>
            </w:pPr>
            <w:r>
              <w:rPr>
                <w:rFonts w:ascii="Arial" w:cs="Arial" w:eastAsia="Arial" w:hAnsi="Arial"/>
                <w:sz w:val="18"/>
                <w:szCs w:val="18"/>
                <w:color w:val="auto"/>
              </w:rPr>
              <w:t>58</w:t>
            </w:r>
          </w:p>
        </w:tc>
        <w:tc>
          <w:tcPr>
            <w:tcW w:w="8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420" w:type="dxa"/>
            <w:vAlign w:val="bottom"/>
            <w:shd w:val="clear" w:color="auto" w:fill="E6E6E6"/>
          </w:tcPr>
          <w:p>
            <w:pPr>
              <w:spacing w:after="0"/>
              <w:rPr>
                <w:sz w:val="22"/>
                <w:szCs w:val="22"/>
                <w:color w:val="auto"/>
              </w:rPr>
            </w:pPr>
          </w:p>
        </w:tc>
        <w:tc>
          <w:tcPr>
            <w:tcW w:w="940" w:type="dxa"/>
            <w:vAlign w:val="bottom"/>
            <w:shd w:val="clear" w:color="auto" w:fill="E6E6E6"/>
          </w:tcPr>
          <w:p>
            <w:pPr>
              <w:jc w:val="right"/>
              <w:ind w:right="71"/>
              <w:spacing w:after="0"/>
              <w:rPr>
                <w:sz w:val="20"/>
                <w:szCs w:val="20"/>
                <w:color w:val="auto"/>
              </w:rPr>
            </w:pPr>
            <w:r>
              <w:rPr>
                <w:rFonts w:ascii="Arial" w:cs="Arial" w:eastAsia="Arial" w:hAnsi="Arial"/>
                <w:sz w:val="18"/>
                <w:szCs w:val="18"/>
                <w:color w:val="auto"/>
              </w:rPr>
              <w:t>(4)</w:t>
            </w:r>
          </w:p>
        </w:tc>
      </w:tr>
      <w:tr>
        <w:trPr>
          <w:trHeight w:val="247"/>
        </w:trPr>
        <w:tc>
          <w:tcPr>
            <w:tcW w:w="5840" w:type="dxa"/>
            <w:vAlign w:val="bottom"/>
          </w:tcPr>
          <w:p>
            <w:pPr>
              <w:jc w:val="right"/>
              <w:spacing w:after="0"/>
              <w:rPr>
                <w:sz w:val="20"/>
                <w:szCs w:val="20"/>
                <w:color w:val="auto"/>
              </w:rPr>
            </w:pPr>
            <w:r>
              <w:rPr>
                <w:rFonts w:ascii="Arial" w:cs="Arial" w:eastAsia="Arial" w:hAnsi="Arial"/>
                <w:sz w:val="18"/>
                <w:szCs w:val="18"/>
                <w:color w:val="auto"/>
                <w:w w:val="92"/>
              </w:rPr>
              <w:t xml:space="preserve">Impact of non-taxable partnership earnings (losses) </w:t>
            </w:r>
            <w:r>
              <w:rPr>
                <w:rFonts w:ascii="Arial" w:cs="Arial" w:eastAsia="Arial" w:hAnsi="Arial"/>
                <w:sz w:val="18"/>
                <w:szCs w:val="18"/>
                <w:color w:val="BDBDBD"/>
                <w:w w:val="92"/>
              </w:rPr>
              <w:t>. . . . . . . . . . . . . . . . . . . . .</w:t>
            </w:r>
          </w:p>
        </w:tc>
        <w:tc>
          <w:tcPr>
            <w:tcW w:w="8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31"/>
              <w:spacing w:after="0"/>
              <w:rPr>
                <w:sz w:val="20"/>
                <w:szCs w:val="20"/>
                <w:color w:val="auto"/>
              </w:rPr>
            </w:pPr>
            <w:r>
              <w:rPr>
                <w:rFonts w:ascii="Arial" w:cs="Arial" w:eastAsia="Arial" w:hAnsi="Arial"/>
                <w:sz w:val="18"/>
                <w:szCs w:val="18"/>
                <w:color w:val="auto"/>
              </w:rPr>
              <w:t>34</w:t>
            </w:r>
          </w:p>
        </w:tc>
      </w:tr>
      <w:tr>
        <w:trPr>
          <w:trHeight w:val="261"/>
        </w:trPr>
        <w:tc>
          <w:tcPr>
            <w:tcW w:w="584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3"/>
              </w:rPr>
              <w:t xml:space="preserve">Valuation allowance </w:t>
            </w:r>
            <w:r>
              <w:rPr>
                <w:rFonts w:ascii="Arial" w:cs="Arial" w:eastAsia="Arial" w:hAnsi="Arial"/>
                <w:sz w:val="18"/>
                <w:szCs w:val="18"/>
                <w:color w:val="BDBDBD"/>
                <w:w w:val="93"/>
              </w:rPr>
              <w:t>. . . . . . . . . . . . . . . . . . . . . . . . . . . . . . . . . . . . . . . . . . . . . .</w:t>
            </w:r>
          </w:p>
        </w:tc>
        <w:tc>
          <w:tcPr>
            <w:tcW w:w="860" w:type="dxa"/>
            <w:vAlign w:val="bottom"/>
            <w:shd w:val="clear" w:color="auto" w:fill="E6E6E6"/>
          </w:tcPr>
          <w:p>
            <w:pPr>
              <w:spacing w:after="0"/>
              <w:rPr>
                <w:sz w:val="22"/>
                <w:szCs w:val="22"/>
                <w:color w:val="auto"/>
              </w:rPr>
            </w:pPr>
          </w:p>
        </w:tc>
        <w:tc>
          <w:tcPr>
            <w:tcW w:w="4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4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320" w:type="dxa"/>
            <w:vAlign w:val="bottom"/>
            <w:shd w:val="clear" w:color="auto" w:fill="E6E6E6"/>
          </w:tcPr>
          <w:p>
            <w:pPr>
              <w:spacing w:after="0"/>
              <w:rPr>
                <w:sz w:val="22"/>
                <w:szCs w:val="22"/>
                <w:color w:val="auto"/>
              </w:rPr>
            </w:pPr>
          </w:p>
        </w:tc>
        <w:tc>
          <w:tcPr>
            <w:tcW w:w="1060" w:type="dxa"/>
            <w:vAlign w:val="bottom"/>
            <w:shd w:val="clear" w:color="auto" w:fill="E6E6E6"/>
          </w:tcPr>
          <w:p>
            <w:pPr>
              <w:jc w:val="right"/>
              <w:ind w:right="131"/>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420" w:type="dxa"/>
            <w:vAlign w:val="bottom"/>
            <w:shd w:val="clear" w:color="auto" w:fill="E6E6E6"/>
          </w:tcPr>
          <w:p>
            <w:pPr>
              <w:spacing w:after="0"/>
              <w:rPr>
                <w:sz w:val="22"/>
                <w:szCs w:val="22"/>
                <w:color w:val="auto"/>
              </w:rPr>
            </w:pPr>
          </w:p>
        </w:tc>
        <w:tc>
          <w:tcPr>
            <w:tcW w:w="940" w:type="dxa"/>
            <w:vAlign w:val="bottom"/>
            <w:shd w:val="clear" w:color="auto" w:fill="E6E6E6"/>
          </w:tcPr>
          <w:p>
            <w:pPr>
              <w:jc w:val="right"/>
              <w:ind w:right="71"/>
              <w:spacing w:after="0"/>
              <w:rPr>
                <w:sz w:val="20"/>
                <w:szCs w:val="20"/>
                <w:color w:val="auto"/>
              </w:rPr>
            </w:pPr>
            <w:r>
              <w:rPr>
                <w:rFonts w:ascii="Arial" w:cs="Arial" w:eastAsia="Arial" w:hAnsi="Arial"/>
                <w:sz w:val="18"/>
                <w:szCs w:val="18"/>
                <w:color w:val="auto"/>
              </w:rPr>
              <w:t>(14)</w:t>
            </w:r>
          </w:p>
        </w:tc>
      </w:tr>
      <w:tr>
        <w:trPr>
          <w:trHeight w:val="247"/>
        </w:trPr>
        <w:tc>
          <w:tcPr>
            <w:tcW w:w="5840" w:type="dxa"/>
            <w:vAlign w:val="bottom"/>
          </w:tcPr>
          <w:p>
            <w:pPr>
              <w:jc w:val="right"/>
              <w:spacing w:after="0"/>
              <w:rPr>
                <w:sz w:val="20"/>
                <w:szCs w:val="20"/>
                <w:color w:val="auto"/>
              </w:rPr>
            </w:pPr>
            <w:r>
              <w:rPr>
                <w:rFonts w:ascii="Arial" w:cs="Arial" w:eastAsia="Arial" w:hAnsi="Arial"/>
                <w:sz w:val="18"/>
                <w:szCs w:val="18"/>
                <w:color w:val="auto"/>
                <w:w w:val="92"/>
              </w:rPr>
              <w:t xml:space="preserve">Investment tax credits </w:t>
            </w:r>
            <w:r>
              <w:rPr>
                <w:rFonts w:ascii="Arial" w:cs="Arial" w:eastAsia="Arial" w:hAnsi="Arial"/>
                <w:sz w:val="18"/>
                <w:szCs w:val="18"/>
                <w:color w:val="BDBDBD"/>
                <w:w w:val="92"/>
              </w:rPr>
              <w:t>. . . . . . . . . . . . . . . . . . . . . . . . . . . . . . . . . . . . . . . . . . . . .</w:t>
            </w:r>
          </w:p>
        </w:tc>
        <w:tc>
          <w:tcPr>
            <w:tcW w:w="8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61"/>
        </w:trPr>
        <w:tc>
          <w:tcPr>
            <w:tcW w:w="5840" w:type="dxa"/>
            <w:vAlign w:val="bottom"/>
            <w:shd w:val="clear" w:color="auto" w:fill="E6E6E6"/>
          </w:tcPr>
          <w:p>
            <w:pPr>
              <w:jc w:val="right"/>
              <w:spacing w:after="0" w:line="261" w:lineRule="exact"/>
              <w:rPr>
                <w:sz w:val="20"/>
                <w:szCs w:val="20"/>
                <w:color w:val="auto"/>
              </w:rPr>
            </w:pPr>
            <w:r>
              <w:rPr>
                <w:rFonts w:ascii="Arial" w:cs="Arial" w:eastAsia="Arial" w:hAnsi="Arial"/>
                <w:sz w:val="18"/>
                <w:szCs w:val="18"/>
                <w:color w:val="auto"/>
                <w:w w:val="92"/>
              </w:rPr>
              <w:t xml:space="preserve">Production tax credits </w:t>
            </w:r>
            <w:r>
              <w:rPr>
                <w:rFonts w:ascii="Arial" w:cs="Arial" w:eastAsia="Arial" w:hAnsi="Arial"/>
                <w:sz w:val="23"/>
                <w:szCs w:val="23"/>
                <w:color w:val="auto"/>
                <w:w w:val="92"/>
                <w:vertAlign w:val="superscript"/>
              </w:rPr>
              <w:t>(a)</w:t>
            </w:r>
            <w:r>
              <w:rPr>
                <w:rFonts w:ascii="Arial" w:cs="Arial" w:eastAsia="Arial" w:hAnsi="Arial"/>
                <w:sz w:val="18"/>
                <w:szCs w:val="18"/>
                <w:color w:val="auto"/>
                <w:w w:val="92"/>
              </w:rPr>
              <w:t xml:space="preserve"> </w:t>
            </w:r>
            <w:r>
              <w:rPr>
                <w:rFonts w:ascii="Arial" w:cs="Arial" w:eastAsia="Arial" w:hAnsi="Arial"/>
                <w:sz w:val="18"/>
                <w:szCs w:val="18"/>
                <w:color w:val="BDBDBD"/>
                <w:w w:val="92"/>
              </w:rPr>
              <w:t>. . . . . . . . . . . . . . . . . . . . . . . . . . . . . . . . . . . . . . . . . . .</w:t>
            </w:r>
          </w:p>
        </w:tc>
        <w:tc>
          <w:tcPr>
            <w:tcW w:w="860" w:type="dxa"/>
            <w:vAlign w:val="bottom"/>
            <w:shd w:val="clear" w:color="auto" w:fill="E6E6E6"/>
          </w:tcPr>
          <w:p>
            <w:pPr>
              <w:spacing w:after="0"/>
              <w:rPr>
                <w:sz w:val="22"/>
                <w:szCs w:val="22"/>
                <w:color w:val="auto"/>
              </w:rPr>
            </w:pPr>
          </w:p>
        </w:tc>
        <w:tc>
          <w:tcPr>
            <w:tcW w:w="4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4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320" w:type="dxa"/>
            <w:vAlign w:val="bottom"/>
            <w:shd w:val="clear" w:color="auto" w:fill="E6E6E6"/>
          </w:tcPr>
          <w:p>
            <w:pPr>
              <w:spacing w:after="0"/>
              <w:rPr>
                <w:sz w:val="22"/>
                <w:szCs w:val="22"/>
                <w:color w:val="auto"/>
              </w:rPr>
            </w:pPr>
          </w:p>
        </w:tc>
        <w:tc>
          <w:tcPr>
            <w:tcW w:w="1060" w:type="dxa"/>
            <w:vAlign w:val="bottom"/>
            <w:shd w:val="clear" w:color="auto" w:fill="E6E6E6"/>
          </w:tcPr>
          <w:p>
            <w:pPr>
              <w:jc w:val="right"/>
              <w:ind w:right="71"/>
              <w:spacing w:after="0"/>
              <w:rPr>
                <w:sz w:val="20"/>
                <w:szCs w:val="20"/>
                <w:color w:val="auto"/>
              </w:rPr>
            </w:pPr>
            <w:r>
              <w:rPr>
                <w:rFonts w:ascii="Arial" w:cs="Arial" w:eastAsia="Arial" w:hAnsi="Arial"/>
                <w:sz w:val="18"/>
                <w:szCs w:val="18"/>
                <w:color w:val="auto"/>
              </w:rPr>
              <w:t>(2)</w:t>
            </w:r>
          </w:p>
        </w:tc>
        <w:tc>
          <w:tcPr>
            <w:tcW w:w="8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420" w:type="dxa"/>
            <w:vAlign w:val="bottom"/>
            <w:shd w:val="clear" w:color="auto" w:fill="E6E6E6"/>
          </w:tcPr>
          <w:p>
            <w:pPr>
              <w:spacing w:after="0"/>
              <w:rPr>
                <w:sz w:val="22"/>
                <w:szCs w:val="22"/>
                <w:color w:val="auto"/>
              </w:rPr>
            </w:pPr>
          </w:p>
        </w:tc>
        <w:tc>
          <w:tcPr>
            <w:tcW w:w="940" w:type="dxa"/>
            <w:vAlign w:val="bottom"/>
            <w:shd w:val="clear" w:color="auto" w:fill="E6E6E6"/>
          </w:tcPr>
          <w:p>
            <w:pPr>
              <w:jc w:val="right"/>
              <w:ind w:right="71"/>
              <w:spacing w:after="0"/>
              <w:rPr>
                <w:sz w:val="20"/>
                <w:szCs w:val="20"/>
                <w:color w:val="auto"/>
              </w:rPr>
            </w:pPr>
            <w:r>
              <w:rPr>
                <w:rFonts w:ascii="Arial" w:cs="Arial" w:eastAsia="Arial" w:hAnsi="Arial"/>
                <w:sz w:val="18"/>
                <w:szCs w:val="18"/>
                <w:color w:val="auto"/>
              </w:rPr>
              <w:t>(1)</w:t>
            </w:r>
          </w:p>
        </w:tc>
      </w:tr>
      <w:tr>
        <w:trPr>
          <w:trHeight w:val="247"/>
        </w:trPr>
        <w:tc>
          <w:tcPr>
            <w:tcW w:w="5840" w:type="dxa"/>
            <w:vAlign w:val="bottom"/>
          </w:tcPr>
          <w:p>
            <w:pPr>
              <w:jc w:val="right"/>
              <w:spacing w:after="0"/>
              <w:rPr>
                <w:sz w:val="20"/>
                <w:szCs w:val="20"/>
                <w:color w:val="auto"/>
              </w:rPr>
            </w:pPr>
            <w:r>
              <w:rPr>
                <w:rFonts w:ascii="Arial" w:cs="Arial" w:eastAsia="Arial" w:hAnsi="Arial"/>
                <w:sz w:val="18"/>
                <w:szCs w:val="18"/>
                <w:color w:val="auto"/>
                <w:w w:val="92"/>
              </w:rPr>
              <w:t xml:space="preserve">Rate change </w:t>
            </w:r>
            <w:r>
              <w:rPr>
                <w:rFonts w:ascii="Arial" w:cs="Arial" w:eastAsia="Arial" w:hAnsi="Arial"/>
                <w:sz w:val="18"/>
                <w:szCs w:val="18"/>
                <w:color w:val="BDBDBD"/>
                <w:w w:val="92"/>
              </w:rPr>
              <w:t>. . . . . . . . . . . . . . . . . . . . . . . . . . . . . . . . . . . . . . . . . . . . . . . . . . . .</w:t>
            </w:r>
          </w:p>
        </w:tc>
        <w:tc>
          <w:tcPr>
            <w:tcW w:w="8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(2)</w:t>
            </w:r>
          </w:p>
        </w:tc>
      </w:tr>
      <w:tr>
        <w:trPr>
          <w:trHeight w:val="261"/>
        </w:trPr>
        <w:tc>
          <w:tcPr>
            <w:tcW w:w="584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1"/>
              </w:rPr>
              <w:t xml:space="preserve">Partnership state basis  </w:t>
            </w:r>
            <w:r>
              <w:rPr>
                <w:rFonts w:ascii="Arial" w:cs="Arial" w:eastAsia="Arial" w:hAnsi="Arial"/>
                <w:sz w:val="18"/>
                <w:szCs w:val="18"/>
                <w:color w:val="BDBDBD"/>
                <w:w w:val="91"/>
              </w:rPr>
              <w:t>. . . . . . . . . . . . . . . . . . . . . . . . . . . . . . . . . . . . . . . . . . . .</w:t>
            </w:r>
          </w:p>
        </w:tc>
        <w:tc>
          <w:tcPr>
            <w:tcW w:w="860" w:type="dxa"/>
            <w:vAlign w:val="bottom"/>
            <w:shd w:val="clear" w:color="auto" w:fill="E6E6E6"/>
          </w:tcPr>
          <w:p>
            <w:pPr>
              <w:spacing w:after="0"/>
              <w:rPr>
                <w:sz w:val="22"/>
                <w:szCs w:val="22"/>
                <w:color w:val="auto"/>
              </w:rPr>
            </w:pPr>
          </w:p>
        </w:tc>
        <w:tc>
          <w:tcPr>
            <w:tcW w:w="4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4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320" w:type="dxa"/>
            <w:vAlign w:val="bottom"/>
            <w:shd w:val="clear" w:color="auto" w:fill="E6E6E6"/>
          </w:tcPr>
          <w:p>
            <w:pPr>
              <w:spacing w:after="0"/>
              <w:rPr>
                <w:sz w:val="22"/>
                <w:szCs w:val="22"/>
                <w:color w:val="auto"/>
              </w:rPr>
            </w:pPr>
          </w:p>
        </w:tc>
        <w:tc>
          <w:tcPr>
            <w:tcW w:w="1060" w:type="dxa"/>
            <w:vAlign w:val="bottom"/>
            <w:shd w:val="clear" w:color="auto" w:fill="E6E6E6"/>
          </w:tcPr>
          <w:p>
            <w:pPr>
              <w:jc w:val="right"/>
              <w:ind w:right="131"/>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420" w:type="dxa"/>
            <w:vAlign w:val="bottom"/>
            <w:shd w:val="clear" w:color="auto" w:fill="E6E6E6"/>
          </w:tcPr>
          <w:p>
            <w:pPr>
              <w:spacing w:after="0"/>
              <w:rPr>
                <w:sz w:val="22"/>
                <w:szCs w:val="22"/>
                <w:color w:val="auto"/>
              </w:rPr>
            </w:pPr>
          </w:p>
        </w:tc>
        <w:tc>
          <w:tcPr>
            <w:tcW w:w="940" w:type="dxa"/>
            <w:vAlign w:val="bottom"/>
            <w:shd w:val="clear" w:color="auto" w:fill="E6E6E6"/>
          </w:tcPr>
          <w:p>
            <w:pPr>
              <w:jc w:val="right"/>
              <w:ind w:right="131"/>
              <w:spacing w:after="0"/>
              <w:rPr>
                <w:sz w:val="20"/>
                <w:szCs w:val="20"/>
                <w:color w:val="auto"/>
              </w:rPr>
            </w:pPr>
            <w:r>
              <w:rPr>
                <w:rFonts w:ascii="Arial" w:cs="Arial" w:eastAsia="Arial" w:hAnsi="Arial"/>
                <w:sz w:val="18"/>
                <w:szCs w:val="18"/>
                <w:color w:val="auto"/>
              </w:rPr>
              <w:t>8</w:t>
            </w:r>
          </w:p>
        </w:tc>
      </w:tr>
      <w:tr>
        <w:trPr>
          <w:trHeight w:val="247"/>
        </w:trPr>
        <w:tc>
          <w:tcPr>
            <w:tcW w:w="5840" w:type="dxa"/>
            <w:vAlign w:val="bottom"/>
          </w:tcPr>
          <w:p>
            <w:pPr>
              <w:jc w:val="right"/>
              <w:spacing w:after="0"/>
              <w:rPr>
                <w:sz w:val="20"/>
                <w:szCs w:val="20"/>
                <w:color w:val="auto"/>
              </w:rPr>
            </w:pPr>
            <w:r>
              <w:rPr>
                <w:rFonts w:ascii="Arial" w:cs="Arial" w:eastAsia="Arial" w:hAnsi="Arial"/>
                <w:sz w:val="18"/>
                <w:szCs w:val="18"/>
                <w:color w:val="auto"/>
                <w:w w:val="90"/>
              </w:rPr>
              <w:t xml:space="preserve">State taxes assessed at subsidiaries  </w:t>
            </w:r>
            <w:r>
              <w:rPr>
                <w:rFonts w:ascii="Arial" w:cs="Arial" w:eastAsia="Arial" w:hAnsi="Arial"/>
                <w:sz w:val="18"/>
                <w:szCs w:val="18"/>
                <w:color w:val="BDBDBD"/>
                <w:w w:val="90"/>
              </w:rPr>
              <w:t>. . . . . . . . . . . . . . . . . . . . . . . . . . . . . . . . . .</w:t>
            </w:r>
          </w:p>
        </w:tc>
        <w:tc>
          <w:tcPr>
            <w:tcW w:w="8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31"/>
              <w:spacing w:after="0"/>
              <w:rPr>
                <w:sz w:val="20"/>
                <w:szCs w:val="20"/>
                <w:color w:val="auto"/>
              </w:rPr>
            </w:pPr>
            <w:r>
              <w:rPr>
                <w:rFonts w:ascii="Arial" w:cs="Arial" w:eastAsia="Arial" w:hAnsi="Arial"/>
                <w:sz w:val="18"/>
                <w:szCs w:val="18"/>
                <w:color w:val="auto"/>
              </w:rPr>
              <w:t>2</w:t>
            </w:r>
          </w:p>
        </w:tc>
      </w:tr>
      <w:tr>
        <w:trPr>
          <w:trHeight w:val="269"/>
        </w:trPr>
        <w:tc>
          <w:tcPr>
            <w:tcW w:w="58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w w:val="92"/>
              </w:rPr>
              <w:t xml:space="preserve">Other  </w:t>
            </w:r>
            <w:r>
              <w:rPr>
                <w:rFonts w:ascii="Arial" w:cs="Arial" w:eastAsia="Arial" w:hAnsi="Arial"/>
                <w:sz w:val="18"/>
                <w:szCs w:val="18"/>
                <w:color w:val="BDBDBD"/>
                <w:w w:val="92"/>
              </w:rPr>
              <w:t>. . . . . . . . . . . . . . . . . . . . . . . . . . . . . . . . . . . . . . . . . . . . . . . . . . . . . . . . .</w:t>
            </w:r>
          </w:p>
        </w:tc>
        <w:tc>
          <w:tcPr>
            <w:tcW w:w="860" w:type="dxa"/>
            <w:vAlign w:val="bottom"/>
            <w:tcBorders>
              <w:bottom w:val="single" w:sz="8" w:color="auto"/>
            </w:tcBorders>
            <w:shd w:val="clear" w:color="auto" w:fill="E6E6E6"/>
          </w:tcPr>
          <w:p>
            <w:pPr>
              <w:spacing w:after="0"/>
              <w:rPr>
                <w:sz w:val="23"/>
                <w:szCs w:val="23"/>
                <w:color w:val="auto"/>
              </w:rPr>
            </w:pPr>
          </w:p>
        </w:tc>
        <w:tc>
          <w:tcPr>
            <w:tcW w:w="4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auto"/>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4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320" w:type="dxa"/>
            <w:vAlign w:val="bottom"/>
            <w:tcBorders>
              <w:bottom w:val="single" w:sz="8" w:color="auto"/>
            </w:tcBorders>
            <w:shd w:val="clear" w:color="auto" w:fill="E6E6E6"/>
          </w:tcPr>
          <w:p>
            <w:pPr>
              <w:spacing w:after="0"/>
              <w:rPr>
                <w:sz w:val="23"/>
                <w:szCs w:val="23"/>
                <w:color w:val="auto"/>
              </w:rPr>
            </w:pPr>
          </w:p>
        </w:tc>
        <w:tc>
          <w:tcPr>
            <w:tcW w:w="1060" w:type="dxa"/>
            <w:vAlign w:val="bottom"/>
            <w:tcBorders>
              <w:bottom w:val="single" w:sz="8" w:color="auto"/>
            </w:tcBorders>
            <w:shd w:val="clear" w:color="auto" w:fill="E6E6E6"/>
          </w:tcPr>
          <w:p>
            <w:pPr>
              <w:jc w:val="right"/>
              <w:ind w:right="71"/>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420" w:type="dxa"/>
            <w:vAlign w:val="bottom"/>
            <w:tcBorders>
              <w:bottom w:val="single" w:sz="8" w:color="auto"/>
            </w:tcBorders>
            <w:shd w:val="clear" w:color="auto" w:fill="E6E6E6"/>
          </w:tcPr>
          <w:p>
            <w:pPr>
              <w:spacing w:after="0"/>
              <w:rPr>
                <w:sz w:val="23"/>
                <w:szCs w:val="23"/>
                <w:color w:val="auto"/>
              </w:rPr>
            </w:pPr>
          </w:p>
        </w:tc>
        <w:tc>
          <w:tcPr>
            <w:tcW w:w="940" w:type="dxa"/>
            <w:vAlign w:val="bottom"/>
            <w:tcBorders>
              <w:bottom w:val="single" w:sz="8" w:color="auto"/>
            </w:tcBorders>
            <w:shd w:val="clear" w:color="auto" w:fill="E6E6E6"/>
          </w:tcPr>
          <w:p>
            <w:pPr>
              <w:jc w:val="right"/>
              <w:ind w:right="131"/>
              <w:spacing w:after="0"/>
              <w:rPr>
                <w:sz w:val="20"/>
                <w:szCs w:val="20"/>
                <w:color w:val="auto"/>
              </w:rPr>
            </w:pPr>
            <w:r>
              <w:rPr>
                <w:rFonts w:ascii="Arial" w:cs="Arial" w:eastAsia="Arial" w:hAnsi="Arial"/>
                <w:sz w:val="18"/>
                <w:szCs w:val="18"/>
                <w:color w:val="auto"/>
              </w:rPr>
              <w:t>2</w:t>
            </w:r>
          </w:p>
        </w:tc>
      </w:tr>
      <w:tr>
        <w:trPr>
          <w:trHeight w:val="236"/>
        </w:trPr>
        <w:tc>
          <w:tcPr>
            <w:tcW w:w="5840" w:type="dxa"/>
            <w:vAlign w:val="bottom"/>
            <w:tcBorders>
              <w:bottom w:val="single" w:sz="8" w:color="E6E6E6"/>
            </w:tcBorders>
          </w:tcPr>
          <w:p>
            <w:pPr>
              <w:jc w:val="right"/>
              <w:spacing w:after="0" w:line="196" w:lineRule="exact"/>
              <w:rPr>
                <w:sz w:val="20"/>
                <w:szCs w:val="20"/>
                <w:color w:val="auto"/>
              </w:rPr>
            </w:pPr>
            <w:r>
              <w:rPr>
                <w:rFonts w:ascii="Arial" w:cs="Arial" w:eastAsia="Arial" w:hAnsi="Arial"/>
                <w:sz w:val="18"/>
                <w:szCs w:val="18"/>
                <w:color w:val="BDBDBD"/>
                <w:w w:val="98"/>
              </w:rPr>
              <w:t>. . . . . . . . . . . . . . . . . . . . . . . . . . . . . . . . . . . . .</w:t>
            </w:r>
            <w:r>
              <w:rPr>
                <w:rFonts w:ascii="Arial" w:cs="Arial" w:eastAsia="Arial" w:hAnsi="Arial"/>
                <w:sz w:val="18"/>
                <w:szCs w:val="18"/>
                <w:color w:val="000000"/>
                <w:w w:val="98"/>
              </w:rPr>
              <w:t>Incometax(benefit)expense</w:t>
            </w:r>
          </w:p>
        </w:tc>
        <w:tc>
          <w:tcPr>
            <w:tcW w:w="860" w:type="dxa"/>
            <w:vAlign w:val="bottom"/>
            <w:tcBorders>
              <w:bottom w:val="single" w:sz="8" w:color="auto"/>
            </w:tcBorders>
          </w:tcPr>
          <w:p>
            <w:pPr>
              <w:jc w:val="right"/>
              <w:ind w:right="634"/>
              <w:spacing w:after="0" w:line="196" w:lineRule="exact"/>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w:t>
            </w:r>
          </w:p>
        </w:tc>
        <w:tc>
          <w:tcPr>
            <w:tcW w:w="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E6E6E6"/>
            </w:tcBorders>
            <w:gridSpan w:val="2"/>
          </w:tcPr>
          <w:p>
            <w:pPr>
              <w:spacing w:after="0"/>
              <w:rPr>
                <w:sz w:val="20"/>
                <w:szCs w:val="20"/>
                <w:color w:val="auto"/>
              </w:rPr>
            </w:pPr>
          </w:p>
        </w:tc>
        <w:tc>
          <w:tcPr>
            <w:tcW w:w="32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31"/>
              <w:spacing w:after="0" w:line="196" w:lineRule="exact"/>
              <w:rPr>
                <w:sz w:val="20"/>
                <w:szCs w:val="20"/>
                <w:color w:val="auto"/>
              </w:rPr>
            </w:pPr>
            <w:r>
              <w:rPr>
                <w:rFonts w:ascii="Arial" w:cs="Arial" w:eastAsia="Arial" w:hAnsi="Arial"/>
                <w:sz w:val="18"/>
                <w:szCs w:val="18"/>
                <w:color w:val="auto"/>
              </w:rPr>
              <w:t>222</w:t>
            </w:r>
          </w:p>
        </w:tc>
        <w:tc>
          <w:tcPr>
            <w:tcW w:w="100" w:type="dxa"/>
            <w:vAlign w:val="bottom"/>
            <w:tcBorders>
              <w:bottom w:val="single" w:sz="8" w:color="E6E6E6"/>
            </w:tcBorders>
            <w:gridSpan w:val="2"/>
          </w:tcPr>
          <w:p>
            <w:pPr>
              <w:spacing w:after="0"/>
              <w:rPr>
                <w:sz w:val="20"/>
                <w:szCs w:val="20"/>
                <w:color w:val="auto"/>
              </w:rPr>
            </w:pPr>
          </w:p>
        </w:tc>
        <w:tc>
          <w:tcPr>
            <w:tcW w:w="42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31"/>
              <w:spacing w:after="0" w:line="196" w:lineRule="exact"/>
              <w:rPr>
                <w:sz w:val="20"/>
                <w:szCs w:val="20"/>
                <w:color w:val="auto"/>
              </w:rPr>
            </w:pPr>
            <w:r>
              <w:rPr>
                <w:rFonts w:ascii="Arial" w:cs="Arial" w:eastAsia="Arial" w:hAnsi="Arial"/>
                <w:sz w:val="18"/>
                <w:szCs w:val="18"/>
                <w:color w:val="auto"/>
              </w:rPr>
              <w:t>12</w:t>
            </w:r>
          </w:p>
        </w:tc>
      </w:tr>
      <w:tr>
        <w:trPr>
          <w:trHeight w:val="224"/>
        </w:trPr>
        <w:tc>
          <w:tcPr>
            <w:tcW w:w="5840" w:type="dxa"/>
            <w:vAlign w:val="bottom"/>
            <w:shd w:val="clear" w:color="auto" w:fill="E6E6E6"/>
          </w:tcPr>
          <w:p>
            <w:pPr>
              <w:jc w:val="right"/>
              <w:spacing w:after="0"/>
              <w:rPr>
                <w:sz w:val="20"/>
                <w:szCs w:val="20"/>
                <w:color w:val="auto"/>
              </w:rPr>
            </w:pPr>
            <w:r>
              <w:rPr>
                <w:rFonts w:ascii="Arial" w:cs="Arial" w:eastAsia="Arial" w:hAnsi="Arial"/>
                <w:sz w:val="18"/>
                <w:szCs w:val="18"/>
                <w:color w:val="BDBDBD"/>
                <w:w w:val="93"/>
              </w:rPr>
              <w:t>. . . . . . . . . . . . . . . . . . . . . . . . . . . . . . . . . . . . . . . . . . . .</w:t>
            </w:r>
            <w:r>
              <w:rPr>
                <w:rFonts w:ascii="Arial" w:cs="Arial" w:eastAsia="Arial" w:hAnsi="Arial"/>
                <w:sz w:val="18"/>
                <w:szCs w:val="18"/>
                <w:color w:val="000000"/>
                <w:w w:val="93"/>
              </w:rPr>
              <w:t>Effectiveincometaxrate</w:t>
            </w:r>
          </w:p>
        </w:tc>
        <w:tc>
          <w:tcPr>
            <w:tcW w:w="860" w:type="dxa"/>
            <w:vAlign w:val="bottom"/>
            <w:shd w:val="clear" w:color="auto" w:fill="E6E6E6"/>
          </w:tcPr>
          <w:p>
            <w:pPr>
              <w:spacing w:after="0"/>
              <w:rPr>
                <w:sz w:val="19"/>
                <w:szCs w:val="19"/>
                <w:color w:val="auto"/>
              </w:rPr>
            </w:pPr>
          </w:p>
        </w:tc>
        <w:tc>
          <w:tcPr>
            <w:tcW w:w="54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w w:val="89"/>
              </w:rPr>
              <w:t>12.5 %</w:t>
            </w:r>
          </w:p>
        </w:tc>
        <w:tc>
          <w:tcPr>
            <w:tcW w:w="20" w:type="dxa"/>
            <w:vAlign w:val="bottom"/>
            <w:shd w:val="clear" w:color="auto" w:fill="E6E6E6"/>
          </w:tcPr>
          <w:p>
            <w:pPr>
              <w:spacing w:after="0"/>
              <w:rPr>
                <w:sz w:val="19"/>
                <w:szCs w:val="19"/>
                <w:color w:val="auto"/>
              </w:rPr>
            </w:pPr>
          </w:p>
        </w:tc>
        <w:tc>
          <w:tcPr>
            <w:tcW w:w="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17.3 %</w:t>
            </w:r>
          </w:p>
        </w:tc>
        <w:tc>
          <w:tcPr>
            <w:tcW w:w="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420" w:type="dxa"/>
            <w:vAlign w:val="bottom"/>
            <w:shd w:val="clear" w:color="auto" w:fill="E6E6E6"/>
          </w:tcPr>
          <w:p>
            <w:pPr>
              <w:spacing w:after="0"/>
              <w:rPr>
                <w:sz w:val="19"/>
                <w:szCs w:val="19"/>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-1945640</wp:posOffset>
            </wp:positionV>
            <wp:extent cx="276415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260">
                      <a:extLst>
                        <a:ext uri="{28A0092B-C50C-407E-A947-70E740481C1C}"/>
                      </a:extLst>
                    </a:blip>
                    <a:srcRect/>
                    <a:stretch>
                      <a:fillRect/>
                    </a:stretch>
                  </pic:blipFill>
                  <pic:spPr bwMode="auto">
                    <a:xfrm>
                      <a:off x="0" y="0"/>
                      <a:ext cx="2764155" cy="2540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-334010</wp:posOffset>
            </wp:positionV>
            <wp:extent cx="276415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261">
                      <a:extLst>
                        <a:ext uri="{28A0092B-C50C-407E-A947-70E740481C1C}"/>
                      </a:extLst>
                    </a:blip>
                    <a:srcRect/>
                    <a:stretch>
                      <a:fillRect/>
                    </a:stretch>
                  </pic:blipFill>
                  <pic:spPr bwMode="auto">
                    <a:xfrm>
                      <a:off x="0" y="0"/>
                      <a:ext cx="2764155" cy="2540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-186055</wp:posOffset>
            </wp:positionV>
            <wp:extent cx="2764155" cy="508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262">
                      <a:extLst>
                        <a:ext uri="{28A0092B-C50C-407E-A947-70E740481C1C}"/>
                      </a:extLst>
                    </a:blip>
                    <a:srcRect/>
                    <a:stretch>
                      <a:fillRect/>
                    </a:stretch>
                  </pic:blipFill>
                  <pic:spPr bwMode="auto">
                    <a:xfrm>
                      <a:off x="0" y="0"/>
                      <a:ext cx="2764155" cy="508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-2540</wp:posOffset>
                </wp:positionH>
                <wp:positionV relativeFrom="paragraph">
                  <wp:posOffset>100965</wp:posOffset>
                </wp:positionV>
                <wp:extent cx="1259840" cy="0"/>
                <wp:wrapNone/>
                <wp:docPr id="334" name="Shape 3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598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34" o:spid="_x0000_s13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7.95pt" to="99pt,7.95pt" o:allowincell="f" strokecolor="#000000" strokeweight="1pt"/>
            </w:pict>
          </mc:Fallback>
        </mc:AlternateContent>
      </w:r>
    </w:p>
    <w:p>
      <w:pPr>
        <w:spacing w:after="0" w:line="189" w:lineRule="exact"/>
        <w:rPr>
          <w:sz w:val="20"/>
          <w:szCs w:val="20"/>
          <w:color w:val="auto"/>
        </w:rPr>
      </w:pPr>
    </w:p>
    <w:p>
      <w:pPr>
        <w:ind w:left="80" w:right="160" w:firstLine="5"/>
        <w:spacing w:after="0" w:line="218" w:lineRule="auto"/>
        <w:tabs>
          <w:tab w:leader="none" w:pos="274" w:val="left"/>
        </w:tabs>
        <w:numPr>
          <w:ilvl w:val="0"/>
          <w:numId w:val="82"/>
        </w:numPr>
        <w:rPr>
          <w:rFonts w:ascii="Arial" w:cs="Arial" w:eastAsia="Arial" w:hAnsi="Arial"/>
          <w:sz w:val="21"/>
          <w:szCs w:val="21"/>
          <w:color w:val="auto"/>
          <w:vertAlign w:val="superscript"/>
        </w:rPr>
      </w:pPr>
      <w:r>
        <w:rPr>
          <w:rFonts w:ascii="Arial" w:cs="Arial" w:eastAsia="Arial" w:hAnsi="Arial"/>
          <w:sz w:val="16"/>
          <w:szCs w:val="16"/>
          <w:color w:val="auto"/>
        </w:rPr>
        <w:t>On December 6, 2023, the Company executed an agreement with a third party to sell the PTCs generated by the Alta X and Alta XI wind projects, which resulted in a $14 million income tax benefit (reduction to income tax expense) during the year ended December 31, 2023.</w:t>
      </w:r>
    </w:p>
    <w:p>
      <w:pPr>
        <w:spacing w:after="0" w:line="136" w:lineRule="exact"/>
        <w:rPr>
          <w:sz w:val="20"/>
          <w:szCs w:val="20"/>
          <w:color w:val="auto"/>
        </w:rPr>
      </w:pPr>
    </w:p>
    <w:p>
      <w:pPr>
        <w:jc w:val="both"/>
        <w:ind w:firstLine="448"/>
        <w:spacing w:after="0" w:line="259" w:lineRule="auto"/>
        <w:rPr>
          <w:sz w:val="20"/>
          <w:szCs w:val="20"/>
          <w:color w:val="auto"/>
        </w:rPr>
      </w:pPr>
      <w:r>
        <w:rPr>
          <w:rFonts w:ascii="Arial" w:cs="Arial" w:eastAsia="Arial" w:hAnsi="Arial"/>
          <w:sz w:val="20"/>
          <w:szCs w:val="20"/>
          <w:color w:val="auto"/>
        </w:rPr>
        <w:t>For the year ended December 31, 2023, the overall effective tax rate was different than the statutory rate of 21% primarily due to the allocation of taxable earnings and losses based on the partners’ interest in Clearway Energy LLC, which includes the effects of applying the HLBV method of accounting for book purposes for certain partnerships, partially offset by the impact of PTCs generated.</w:t>
      </w:r>
    </w:p>
    <w:p>
      <w:pPr>
        <w:spacing w:after="0" w:line="201" w:lineRule="exact"/>
        <w:rPr>
          <w:sz w:val="20"/>
          <w:szCs w:val="20"/>
          <w:color w:val="auto"/>
        </w:rPr>
      </w:pPr>
    </w:p>
    <w:p>
      <w:pPr>
        <w:jc w:val="both"/>
        <w:ind w:firstLine="448"/>
        <w:spacing w:after="0" w:line="259" w:lineRule="auto"/>
        <w:rPr>
          <w:sz w:val="20"/>
          <w:szCs w:val="20"/>
          <w:color w:val="auto"/>
        </w:rPr>
      </w:pPr>
      <w:r>
        <w:rPr>
          <w:rFonts w:ascii="Arial" w:cs="Arial" w:eastAsia="Arial" w:hAnsi="Arial"/>
          <w:sz w:val="20"/>
          <w:szCs w:val="20"/>
          <w:color w:val="auto"/>
        </w:rPr>
        <w:t>For the year ended December 31, 2022, the overall effective tax rate was different than the statutory rate of 21% primarily due to the allocation of taxable earnings and losses, including the gain on the sale of the Thermal Business, based on the partners’ interest in Clearway Energy LLC, which includes the effects of applying the HLBV method of accounting for book purposes for certain partnerships.</w:t>
      </w:r>
    </w:p>
    <w:p>
      <w:pPr>
        <w:spacing w:after="0" w:line="142" w:lineRule="exact"/>
        <w:rPr>
          <w:sz w:val="20"/>
          <w:szCs w:val="20"/>
          <w:color w:val="auto"/>
        </w:rPr>
      </w:pPr>
    </w:p>
    <w:p>
      <w:pPr>
        <w:jc w:val="both"/>
        <w:ind w:firstLine="448"/>
        <w:spacing w:after="0" w:line="285" w:lineRule="auto"/>
        <w:rPr>
          <w:sz w:val="20"/>
          <w:szCs w:val="20"/>
          <w:color w:val="auto"/>
        </w:rPr>
      </w:pPr>
      <w:r>
        <w:rPr>
          <w:rFonts w:ascii="Arial" w:cs="Arial" w:eastAsia="Arial" w:hAnsi="Arial"/>
          <w:sz w:val="19"/>
          <w:szCs w:val="19"/>
          <w:color w:val="auto"/>
        </w:rPr>
        <w:t>For the year ended December 31, 2021, the overall effective tax rate was different than the statutory rate of 21% primarily due to the allocation of taxable earnings and losses based on the partners’ interest in Clearway Energy LLC, which includes the effects of applying the HLBV method of accounting for book purposes for certain partnerships.</w:t>
      </w:r>
    </w:p>
    <w:p>
      <w:pPr>
        <w:spacing w:after="0" w:line="117" w:lineRule="exact"/>
        <w:rPr>
          <w:sz w:val="20"/>
          <w:szCs w:val="20"/>
          <w:color w:val="auto"/>
        </w:rPr>
      </w:pPr>
    </w:p>
    <w:p>
      <w:pPr>
        <w:jc w:val="both"/>
        <w:ind w:firstLine="448"/>
        <w:spacing w:after="0" w:line="280" w:lineRule="auto"/>
        <w:rPr>
          <w:sz w:val="20"/>
          <w:szCs w:val="20"/>
          <w:color w:val="auto"/>
        </w:rPr>
      </w:pPr>
      <w:r>
        <w:rPr>
          <w:rFonts w:ascii="Arial" w:cs="Arial" w:eastAsia="Arial" w:hAnsi="Arial"/>
          <w:sz w:val="20"/>
          <w:szCs w:val="20"/>
          <w:color w:val="auto"/>
        </w:rPr>
        <w:t>For tax purposes, Clearway Energy LLC is treated as a partnership; therefore, the Company and CEG each record their respective share of taxable income or loss.</w:t>
      </w:r>
    </w:p>
    <w:p>
      <w:pPr>
        <w:sectPr>
          <w:pgSz w:w="11880" w:h="15480" w:orient="portrait"/>
          <w:cols w:equalWidth="0" w:num="1">
            <w:col w:w="10200"/>
          </w:cols>
          <w:pgMar w:left="840" w:top="404"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119</w:t>
      </w:r>
    </w:p>
    <w:p>
      <w:pPr>
        <w:sectPr>
          <w:pgSz w:w="11880" w:h="15480" w:orient="portrait"/>
          <w:cols w:equalWidth="0" w:num="1">
            <w:col w:w="10200"/>
          </w:cols>
          <w:pgMar w:left="840" w:top="404" w:right="840" w:bottom="0" w:gutter="0" w:footer="0" w:header="0"/>
          <w:type w:val="continuous"/>
        </w:sectPr>
      </w:pPr>
    </w:p>
    <w:bookmarkStart w:id="121" w:name="page122"/>
    <w:bookmarkEnd w:id="121"/>
    <w:p>
      <w:pPr>
        <w:ind w:left="440"/>
        <w:spacing w:after="0"/>
        <w:rPr>
          <w:sz w:val="20"/>
          <w:szCs w:val="20"/>
          <w:color w:val="auto"/>
        </w:rPr>
      </w:pPr>
      <w:r>
        <w:rPr>
          <w:rFonts w:ascii="Arial" w:cs="Arial" w:eastAsia="Arial" w:hAnsi="Arial"/>
          <w:sz w:val="19"/>
          <w:szCs w:val="19"/>
          <w:color w:val="auto"/>
        </w:rPr>
        <w:t>The temporary differences, which gave rise to the Company’s deferred tax balances consisted of the following: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360" w:type="dxa"/>
            <w:vAlign w:val="bottom"/>
          </w:tcPr>
          <w:p>
            <w:pPr>
              <w:spacing w:after="0"/>
              <w:rPr>
                <w:sz w:val="18"/>
                <w:szCs w:val="18"/>
                <w:color w:val="auto"/>
              </w:rPr>
            </w:pPr>
          </w:p>
        </w:tc>
        <w:tc>
          <w:tcPr>
            <w:tcW w:w="2380" w:type="dxa"/>
            <w:vAlign w:val="bottom"/>
            <w:tcBorders>
              <w:bottom w:val="single" w:sz="8" w:color="auto"/>
            </w:tcBorders>
            <w:gridSpan w:val="4"/>
          </w:tcPr>
          <w:p>
            <w:pPr>
              <w:jc w:val="right"/>
              <w:ind w:right="215"/>
              <w:spacing w:after="0"/>
              <w:rPr>
                <w:sz w:val="20"/>
                <w:szCs w:val="20"/>
                <w:color w:val="auto"/>
              </w:rPr>
            </w:pPr>
            <w:r>
              <w:rPr>
                <w:rFonts w:ascii="Arial" w:cs="Arial" w:eastAsia="Arial" w:hAnsi="Arial"/>
                <w:sz w:val="16"/>
                <w:szCs w:val="16"/>
                <w:b w:val="1"/>
                <w:bCs w:val="1"/>
                <w:color w:val="auto"/>
              </w:rPr>
              <w:t>As of December 31,</w:t>
            </w:r>
          </w:p>
        </w:tc>
        <w:tc>
          <w:tcPr>
            <w:tcW w:w="460" w:type="dxa"/>
            <w:vAlign w:val="bottom"/>
            <w:tcBorders>
              <w:bottom w:val="single" w:sz="8" w:color="auto"/>
            </w:tcBorders>
          </w:tcPr>
          <w:p>
            <w:pPr>
              <w:spacing w:after="0"/>
              <w:rPr>
                <w:sz w:val="18"/>
                <w:szCs w:val="18"/>
                <w:color w:val="auto"/>
              </w:rPr>
            </w:pPr>
          </w:p>
        </w:tc>
      </w:tr>
      <w:tr>
        <w:trPr>
          <w:trHeight w:val="234"/>
        </w:trPr>
        <w:tc>
          <w:tcPr>
            <w:tcW w:w="736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20"/>
                <w:szCs w:val="20"/>
                <w:color w:val="auto"/>
              </w:rPr>
            </w:pPr>
          </w:p>
        </w:tc>
      </w:tr>
      <w:tr>
        <w:trPr>
          <w:trHeight w:val="236"/>
        </w:trPr>
        <w:tc>
          <w:tcPr>
            <w:tcW w:w="7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gridSpan w:val="3"/>
          </w:tcPr>
          <w:p>
            <w:pPr>
              <w:jc w:val="right"/>
              <w:ind w:right="455"/>
              <w:spacing w:after="0"/>
              <w:rPr>
                <w:sz w:val="20"/>
                <w:szCs w:val="20"/>
                <w:color w:val="auto"/>
              </w:rPr>
            </w:pPr>
            <w:r>
              <w:rPr>
                <w:rFonts w:ascii="Arial" w:cs="Arial" w:eastAsia="Arial" w:hAnsi="Arial"/>
                <w:sz w:val="16"/>
                <w:szCs w:val="16"/>
                <w:b w:val="1"/>
                <w:bCs w:val="1"/>
                <w:color w:val="auto"/>
              </w:rPr>
              <w:t>(In millions)</w:t>
            </w:r>
          </w:p>
        </w:tc>
        <w:tc>
          <w:tcPr>
            <w:tcW w:w="460" w:type="dxa"/>
            <w:vAlign w:val="bottom"/>
          </w:tcPr>
          <w:p>
            <w:pPr>
              <w:spacing w:after="0"/>
              <w:rPr>
                <w:sz w:val="20"/>
                <w:szCs w:val="20"/>
                <w:color w:val="auto"/>
              </w:rPr>
            </w:pPr>
          </w:p>
        </w:tc>
      </w:tr>
      <w:tr>
        <w:trPr>
          <w:trHeight w:val="262"/>
        </w:trPr>
        <w:tc>
          <w:tcPr>
            <w:tcW w:w="7360" w:type="dxa"/>
            <w:vAlign w:val="bottom"/>
            <w:shd w:val="clear" w:color="auto" w:fill="E6E6E6"/>
          </w:tcPr>
          <w:p>
            <w:pPr>
              <w:ind w:left="40"/>
              <w:spacing w:after="0"/>
              <w:rPr>
                <w:sz w:val="20"/>
                <w:szCs w:val="20"/>
                <w:color w:val="auto"/>
              </w:rPr>
            </w:pPr>
            <w:r>
              <w:rPr>
                <w:rFonts w:ascii="Arial" w:cs="Arial" w:eastAsia="Arial" w:hAnsi="Arial"/>
                <w:sz w:val="18"/>
                <w:szCs w:val="18"/>
                <w:color w:val="auto"/>
              </w:rPr>
              <w:t>Deferred tax liabilities:</w:t>
            </w:r>
          </w:p>
        </w:tc>
        <w:tc>
          <w:tcPr>
            <w:tcW w:w="920" w:type="dxa"/>
            <w:vAlign w:val="bottom"/>
            <w:shd w:val="clear" w:color="auto" w:fill="E6E6E6"/>
          </w:tcPr>
          <w:p>
            <w:pPr>
              <w:spacing w:after="0"/>
              <w:rPr>
                <w:sz w:val="22"/>
                <w:szCs w:val="22"/>
                <w:color w:val="auto"/>
              </w:rPr>
            </w:pPr>
          </w:p>
        </w:tc>
        <w:tc>
          <w:tcPr>
            <w:tcW w:w="46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920" w:type="dxa"/>
            <w:vAlign w:val="bottom"/>
            <w:shd w:val="clear" w:color="auto" w:fill="E6E6E6"/>
          </w:tcPr>
          <w:p>
            <w:pPr>
              <w:spacing w:after="0"/>
              <w:rPr>
                <w:sz w:val="22"/>
                <w:szCs w:val="22"/>
                <w:color w:val="auto"/>
              </w:rPr>
            </w:pPr>
          </w:p>
        </w:tc>
        <w:tc>
          <w:tcPr>
            <w:tcW w:w="460" w:type="dxa"/>
            <w:vAlign w:val="bottom"/>
            <w:shd w:val="clear" w:color="auto" w:fill="E6E6E6"/>
          </w:tcPr>
          <w:p>
            <w:pPr>
              <w:spacing w:after="0"/>
              <w:rPr>
                <w:sz w:val="22"/>
                <w:szCs w:val="22"/>
                <w:color w:val="auto"/>
              </w:rPr>
            </w:pPr>
          </w:p>
        </w:tc>
      </w:tr>
      <w:tr>
        <w:trPr>
          <w:trHeight w:val="244"/>
        </w:trPr>
        <w:tc>
          <w:tcPr>
            <w:tcW w:w="7360" w:type="dxa"/>
            <w:vAlign w:val="bottom"/>
          </w:tcPr>
          <w:p>
            <w:pPr>
              <w:jc w:val="right"/>
              <w:spacing w:after="0"/>
              <w:rPr>
                <w:sz w:val="20"/>
                <w:szCs w:val="20"/>
                <w:color w:val="auto"/>
              </w:rPr>
            </w:pPr>
            <w:r>
              <w:rPr>
                <w:rFonts w:ascii="Arial" w:cs="Arial" w:eastAsia="Arial" w:hAnsi="Arial"/>
                <w:sz w:val="18"/>
                <w:szCs w:val="18"/>
                <w:color w:val="auto"/>
                <w:w w:val="92"/>
              </w:rPr>
              <w:t xml:space="preserve">Investment in projects </w:t>
            </w:r>
            <w:r>
              <w:rPr>
                <w:rFonts w:ascii="Arial" w:cs="Arial" w:eastAsia="Arial" w:hAnsi="Arial"/>
                <w:sz w:val="18"/>
                <w:szCs w:val="18"/>
                <w:color w:val="BDBDBD"/>
                <w:w w:val="92"/>
              </w:rPr>
              <w:t>. . . . . . . . . . . . . . . . . . . . . . . . . . . . . . . . . . . . . . . . . . . . . . . . . . . . . . . . . . . . .</w:t>
            </w:r>
          </w:p>
        </w:tc>
        <w:tc>
          <w:tcPr>
            <w:tcW w:w="920" w:type="dxa"/>
            <w:vAlign w:val="bottom"/>
          </w:tcPr>
          <w:p>
            <w:pPr>
              <w:jc w:val="right"/>
              <w:ind w:right="694"/>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241</w:t>
            </w:r>
          </w:p>
        </w:tc>
        <w:tc>
          <w:tcPr>
            <w:tcW w:w="1000" w:type="dxa"/>
            <w:vAlign w:val="bottom"/>
            <w:gridSpan w:val="2"/>
          </w:tcPr>
          <w:p>
            <w:pPr>
              <w:jc w:val="right"/>
              <w:ind w:right="695"/>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54"/>
        </w:trPr>
        <w:tc>
          <w:tcPr>
            <w:tcW w:w="7360" w:type="dxa"/>
            <w:vAlign w:val="bottom"/>
            <w:tcBorders>
              <w:top w:val="single" w:sz="8" w:color="E6E6E6"/>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BDBDBD"/>
                <w:w w:val="96"/>
              </w:rPr>
              <w:t>. . . . . . . . . . . . . . . . . . . . . . . . . . . . . . . . . . . . . . . . . . . . . . . . . . . . . .</w:t>
            </w:r>
            <w:r>
              <w:rPr>
                <w:rFonts w:ascii="Arial" w:cs="Arial" w:eastAsia="Arial" w:hAnsi="Arial"/>
                <w:sz w:val="18"/>
                <w:szCs w:val="18"/>
                <w:b w:val="1"/>
                <w:bCs w:val="1"/>
                <w:color w:val="000000"/>
                <w:w w:val="96"/>
              </w:rPr>
              <w:t>Totaldeferredtaxliabilities</w:t>
            </w:r>
          </w:p>
        </w:tc>
        <w:tc>
          <w:tcPr>
            <w:tcW w:w="920" w:type="dxa"/>
            <w:vAlign w:val="bottom"/>
            <w:tcBorders>
              <w:top w:val="single" w:sz="8" w:color="auto"/>
              <w:bottom w:val="single" w:sz="8" w:color="auto"/>
            </w:tcBorders>
            <w:shd w:val="clear" w:color="auto" w:fill="E6E6E6"/>
          </w:tcPr>
          <w:p>
            <w:pPr>
              <w:spacing w:after="0"/>
              <w:rPr>
                <w:sz w:val="22"/>
                <w:szCs w:val="22"/>
                <w:color w:val="auto"/>
              </w:rPr>
            </w:pPr>
          </w:p>
        </w:tc>
        <w:tc>
          <w:tcPr>
            <w:tcW w:w="46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241</w:t>
            </w:r>
          </w:p>
        </w:tc>
        <w:tc>
          <w:tcPr>
            <w:tcW w:w="80" w:type="dxa"/>
            <w:vAlign w:val="bottom"/>
            <w:tcBorders>
              <w:top w:val="single" w:sz="8" w:color="E6E6E6"/>
              <w:bottom w:val="single" w:sz="8" w:color="E6E6E6"/>
            </w:tcBorders>
            <w:shd w:val="clear" w:color="auto" w:fill="E6E6E6"/>
          </w:tcPr>
          <w:p>
            <w:pPr>
              <w:spacing w:after="0"/>
              <w:rPr>
                <w:sz w:val="22"/>
                <w:szCs w:val="22"/>
                <w:color w:val="auto"/>
              </w:rPr>
            </w:pPr>
          </w:p>
        </w:tc>
        <w:tc>
          <w:tcPr>
            <w:tcW w:w="920" w:type="dxa"/>
            <w:vAlign w:val="bottom"/>
            <w:tcBorders>
              <w:top w:val="single" w:sz="8" w:color="auto"/>
              <w:bottom w:val="single" w:sz="8" w:color="auto"/>
            </w:tcBorders>
            <w:shd w:val="clear" w:color="auto" w:fill="E6E6E6"/>
          </w:tcPr>
          <w:p>
            <w:pPr>
              <w:spacing w:after="0"/>
              <w:rPr>
                <w:sz w:val="22"/>
                <w:szCs w:val="22"/>
                <w:color w:val="auto"/>
              </w:rPr>
            </w:pPr>
          </w:p>
        </w:tc>
        <w:tc>
          <w:tcPr>
            <w:tcW w:w="46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240</w:t>
            </w:r>
          </w:p>
        </w:tc>
      </w:tr>
      <w:tr>
        <w:trPr>
          <w:trHeight w:val="217"/>
        </w:trPr>
        <w:tc>
          <w:tcPr>
            <w:tcW w:w="736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61"/>
        </w:trPr>
        <w:tc>
          <w:tcPr>
            <w:tcW w:w="736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2"/>
              </w:rPr>
              <w:t xml:space="preserve">Interest expense disallowance carryforward - Investment in Projects </w:t>
            </w:r>
            <w:r>
              <w:rPr>
                <w:rFonts w:ascii="Arial" w:cs="Arial" w:eastAsia="Arial" w:hAnsi="Arial"/>
                <w:sz w:val="18"/>
                <w:szCs w:val="18"/>
                <w:color w:val="BDBDBD"/>
                <w:w w:val="92"/>
              </w:rPr>
              <w:t>. . . . . . . . . . . . . . . . . . . . . . . . .</w:t>
            </w:r>
          </w:p>
        </w:tc>
        <w:tc>
          <w:tcPr>
            <w:tcW w:w="920" w:type="dxa"/>
            <w:vAlign w:val="bottom"/>
            <w:shd w:val="clear" w:color="auto" w:fill="E6E6E6"/>
          </w:tcPr>
          <w:p>
            <w:pPr>
              <w:jc w:val="right"/>
              <w:ind w:right="694"/>
              <w:spacing w:after="0"/>
              <w:rPr>
                <w:sz w:val="20"/>
                <w:szCs w:val="20"/>
                <w:color w:val="auto"/>
              </w:rPr>
            </w:pPr>
            <w:r>
              <w:rPr>
                <w:rFonts w:ascii="Arial" w:cs="Arial" w:eastAsia="Arial" w:hAnsi="Arial"/>
                <w:sz w:val="18"/>
                <w:szCs w:val="18"/>
                <w:color w:val="auto"/>
              </w:rPr>
              <w:t>$</w:t>
            </w:r>
          </w:p>
        </w:tc>
        <w:tc>
          <w:tcPr>
            <w:tcW w:w="4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17</w:t>
            </w:r>
          </w:p>
        </w:tc>
        <w:tc>
          <w:tcPr>
            <w:tcW w:w="1000" w:type="dxa"/>
            <w:vAlign w:val="bottom"/>
            <w:gridSpan w:val="2"/>
            <w:shd w:val="clear" w:color="auto" w:fill="E6E6E6"/>
          </w:tcPr>
          <w:p>
            <w:pPr>
              <w:jc w:val="right"/>
              <w:ind w:right="695"/>
              <w:spacing w:after="0"/>
              <w:rPr>
                <w:sz w:val="20"/>
                <w:szCs w:val="20"/>
                <w:color w:val="auto"/>
              </w:rPr>
            </w:pPr>
            <w:r>
              <w:rPr>
                <w:rFonts w:ascii="Arial" w:cs="Arial" w:eastAsia="Arial" w:hAnsi="Arial"/>
                <w:sz w:val="18"/>
                <w:szCs w:val="18"/>
                <w:color w:val="auto"/>
              </w:rPr>
              <w:t>$</w:t>
            </w:r>
          </w:p>
        </w:tc>
        <w:tc>
          <w:tcPr>
            <w:tcW w:w="4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r>
      <w:tr>
        <w:trPr>
          <w:trHeight w:val="247"/>
        </w:trPr>
        <w:tc>
          <w:tcPr>
            <w:tcW w:w="7360" w:type="dxa"/>
            <w:vAlign w:val="bottom"/>
          </w:tcPr>
          <w:p>
            <w:pPr>
              <w:jc w:val="right"/>
              <w:spacing w:after="0"/>
              <w:rPr>
                <w:sz w:val="20"/>
                <w:szCs w:val="20"/>
                <w:color w:val="auto"/>
              </w:rPr>
            </w:pPr>
            <w:r>
              <w:rPr>
                <w:rFonts w:ascii="Arial" w:cs="Arial" w:eastAsia="Arial" w:hAnsi="Arial"/>
                <w:sz w:val="18"/>
                <w:szCs w:val="18"/>
                <w:color w:val="auto"/>
                <w:w w:val="92"/>
              </w:rPr>
              <w:t xml:space="preserve">Production tax credits  </w:t>
            </w:r>
            <w:r>
              <w:rPr>
                <w:rFonts w:ascii="Arial" w:cs="Arial" w:eastAsia="Arial" w:hAnsi="Arial"/>
                <w:sz w:val="18"/>
                <w:szCs w:val="18"/>
                <w:color w:val="BDBDBD"/>
                <w:w w:val="92"/>
              </w:rPr>
              <w:t>. . . . . . . . . . . . . . . . . . . . . . . . . . . . . . . . . . . . . . . . . . . . . . . . . . . . . . . . . . . . .</w:t>
            </w:r>
          </w:p>
        </w:tc>
        <w:tc>
          <w:tcPr>
            <w:tcW w:w="9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61"/>
        </w:trPr>
        <w:tc>
          <w:tcPr>
            <w:tcW w:w="736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2"/>
              </w:rPr>
              <w:t xml:space="preserve">Investment tax credits </w:t>
            </w:r>
            <w:r>
              <w:rPr>
                <w:rFonts w:ascii="Arial" w:cs="Arial" w:eastAsia="Arial" w:hAnsi="Arial"/>
                <w:sz w:val="18"/>
                <w:szCs w:val="18"/>
                <w:color w:val="BDBDBD"/>
                <w:w w:val="92"/>
              </w:rPr>
              <w:t>. . . . . . . . . . . . . . . . . . . . . . . . . . . . . . . . . . . . . . . . . . . . . . . . . . . . . . . . . . . . .</w:t>
            </w:r>
          </w:p>
        </w:tc>
        <w:tc>
          <w:tcPr>
            <w:tcW w:w="920" w:type="dxa"/>
            <w:vAlign w:val="bottom"/>
            <w:shd w:val="clear" w:color="auto" w:fill="E6E6E6"/>
          </w:tcPr>
          <w:p>
            <w:pPr>
              <w:spacing w:after="0"/>
              <w:rPr>
                <w:sz w:val="22"/>
                <w:szCs w:val="22"/>
                <w:color w:val="auto"/>
              </w:rPr>
            </w:pPr>
          </w:p>
        </w:tc>
        <w:tc>
          <w:tcPr>
            <w:tcW w:w="4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E6E6E6"/>
          </w:tcPr>
          <w:p>
            <w:pPr>
              <w:spacing w:after="0"/>
              <w:rPr>
                <w:sz w:val="22"/>
                <w:szCs w:val="22"/>
                <w:color w:val="auto"/>
              </w:rPr>
            </w:pPr>
          </w:p>
        </w:tc>
        <w:tc>
          <w:tcPr>
            <w:tcW w:w="920" w:type="dxa"/>
            <w:vAlign w:val="bottom"/>
            <w:shd w:val="clear" w:color="auto" w:fill="E6E6E6"/>
          </w:tcPr>
          <w:p>
            <w:pPr>
              <w:spacing w:after="0"/>
              <w:rPr>
                <w:sz w:val="22"/>
                <w:szCs w:val="22"/>
                <w:color w:val="auto"/>
              </w:rPr>
            </w:pPr>
          </w:p>
        </w:tc>
        <w:tc>
          <w:tcPr>
            <w:tcW w:w="4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w:t>
            </w:r>
          </w:p>
        </w:tc>
      </w:tr>
      <w:tr>
        <w:trPr>
          <w:trHeight w:val="247"/>
        </w:trPr>
        <w:tc>
          <w:tcPr>
            <w:tcW w:w="7360" w:type="dxa"/>
            <w:vAlign w:val="bottom"/>
          </w:tcPr>
          <w:p>
            <w:pPr>
              <w:jc w:val="right"/>
              <w:spacing w:after="0"/>
              <w:rPr>
                <w:sz w:val="20"/>
                <w:szCs w:val="20"/>
                <w:color w:val="auto"/>
              </w:rPr>
            </w:pPr>
            <w:r>
              <w:rPr>
                <w:rFonts w:ascii="Arial" w:cs="Arial" w:eastAsia="Arial" w:hAnsi="Arial"/>
                <w:sz w:val="18"/>
                <w:szCs w:val="18"/>
                <w:color w:val="auto"/>
                <w:w w:val="91"/>
              </w:rPr>
              <w:t xml:space="preserve">U.S. Federal net operating loss carryforwards </w:t>
            </w:r>
            <w:r>
              <w:rPr>
                <w:rFonts w:ascii="Arial" w:cs="Arial" w:eastAsia="Arial" w:hAnsi="Arial"/>
                <w:sz w:val="18"/>
                <w:szCs w:val="18"/>
                <w:color w:val="BDBDBD"/>
                <w:w w:val="91"/>
              </w:rPr>
              <w:t>. . . . . . . . . . . . . . . . . . . . . . . . . . . . . . . . . . . . . . . . . . .</w:t>
            </w:r>
          </w:p>
        </w:tc>
        <w:tc>
          <w:tcPr>
            <w:tcW w:w="9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69"/>
        </w:trPr>
        <w:tc>
          <w:tcPr>
            <w:tcW w:w="73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w w:val="91"/>
              </w:rPr>
              <w:t xml:space="preserve">State net operating loss carryforwards </w:t>
            </w:r>
            <w:r>
              <w:rPr>
                <w:rFonts w:ascii="Arial" w:cs="Arial" w:eastAsia="Arial" w:hAnsi="Arial"/>
                <w:sz w:val="18"/>
                <w:szCs w:val="18"/>
                <w:color w:val="BDBDBD"/>
                <w:w w:val="91"/>
              </w:rPr>
              <w:t>. . . . . . . . . . . . . . . . . . . . . . . . . . . . . . . . . . . . . . . . . . . . . . . . .</w:t>
            </w:r>
          </w:p>
        </w:tc>
        <w:tc>
          <w:tcPr>
            <w:tcW w:w="920" w:type="dxa"/>
            <w:vAlign w:val="bottom"/>
            <w:tcBorders>
              <w:bottom w:val="single" w:sz="8" w:color="auto"/>
            </w:tcBorders>
            <w:shd w:val="clear" w:color="auto" w:fill="E6E6E6"/>
          </w:tcPr>
          <w:p>
            <w:pPr>
              <w:spacing w:after="0"/>
              <w:rPr>
                <w:sz w:val="23"/>
                <w:szCs w:val="23"/>
                <w:color w:val="auto"/>
              </w:rPr>
            </w:pPr>
          </w:p>
        </w:tc>
        <w:tc>
          <w:tcPr>
            <w:tcW w:w="4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E6E6E6"/>
            </w:tcBorders>
            <w:shd w:val="clear" w:color="auto" w:fill="E6E6E6"/>
          </w:tcPr>
          <w:p>
            <w:pPr>
              <w:spacing w:after="0"/>
              <w:rPr>
                <w:sz w:val="23"/>
                <w:szCs w:val="23"/>
                <w:color w:val="auto"/>
              </w:rPr>
            </w:pPr>
          </w:p>
        </w:tc>
        <w:tc>
          <w:tcPr>
            <w:tcW w:w="920" w:type="dxa"/>
            <w:vAlign w:val="bottom"/>
            <w:tcBorders>
              <w:bottom w:val="single" w:sz="8" w:color="auto"/>
            </w:tcBorders>
            <w:shd w:val="clear" w:color="auto" w:fill="E6E6E6"/>
          </w:tcPr>
          <w:p>
            <w:pPr>
              <w:spacing w:after="0"/>
              <w:rPr>
                <w:sz w:val="23"/>
                <w:szCs w:val="23"/>
                <w:color w:val="auto"/>
              </w:rPr>
            </w:pPr>
          </w:p>
        </w:tc>
        <w:tc>
          <w:tcPr>
            <w:tcW w:w="4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4</w:t>
            </w:r>
          </w:p>
        </w:tc>
      </w:tr>
      <w:tr>
        <w:trPr>
          <w:trHeight w:val="221"/>
        </w:trPr>
        <w:tc>
          <w:tcPr>
            <w:tcW w:w="7360" w:type="dxa"/>
            <w:vAlign w:val="bottom"/>
          </w:tcPr>
          <w:p>
            <w:pPr>
              <w:jc w:val="right"/>
              <w:spacing w:after="0"/>
              <w:rPr>
                <w:sz w:val="20"/>
                <w:szCs w:val="20"/>
                <w:color w:val="auto"/>
              </w:rPr>
            </w:pPr>
            <w:r>
              <w:rPr>
                <w:rFonts w:ascii="Arial" w:cs="Arial" w:eastAsia="Arial" w:hAnsi="Arial"/>
                <w:sz w:val="18"/>
                <w:szCs w:val="18"/>
                <w:b w:val="1"/>
                <w:bCs w:val="1"/>
                <w:color w:val="BDBDBD"/>
                <w:w w:val="95"/>
              </w:rPr>
              <w:t>. . . . . . . . . . . . . . . . . . . . . . . . . . . . . . . . . . . . . . . . . . . . . . . . . . . . . . . . .</w:t>
            </w:r>
            <w:r>
              <w:rPr>
                <w:rFonts w:ascii="Arial" w:cs="Arial" w:eastAsia="Arial" w:hAnsi="Arial"/>
                <w:sz w:val="18"/>
                <w:szCs w:val="18"/>
                <w:b w:val="1"/>
                <w:bCs w:val="1"/>
                <w:color w:val="000000"/>
                <w:w w:val="95"/>
              </w:rPr>
              <w:t>Totaldeferredtaxassets</w:t>
            </w:r>
          </w:p>
        </w:tc>
        <w:tc>
          <w:tcPr>
            <w:tcW w:w="9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66"/>
        </w:trPr>
        <w:tc>
          <w:tcPr>
            <w:tcW w:w="73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w w:val="92"/>
              </w:rPr>
              <w:t xml:space="preserve">Valuation allowance </w:t>
            </w:r>
            <w:r>
              <w:rPr>
                <w:rFonts w:ascii="Arial" w:cs="Arial" w:eastAsia="Arial" w:hAnsi="Arial"/>
                <w:sz w:val="18"/>
                <w:szCs w:val="18"/>
                <w:color w:val="BDBDBD"/>
                <w:w w:val="92"/>
              </w:rPr>
              <w:t>. . . . . . . . . . . . . . . . . . . . . . . . . . . . . . . . . . . . . . . . . . . . . . . . . . . . . . . . . . . . . . .</w:t>
            </w:r>
          </w:p>
        </w:tc>
        <w:tc>
          <w:tcPr>
            <w:tcW w:w="920" w:type="dxa"/>
            <w:vAlign w:val="bottom"/>
            <w:tcBorders>
              <w:bottom w:val="single" w:sz="8" w:color="auto"/>
            </w:tcBorders>
            <w:shd w:val="clear" w:color="auto" w:fill="E6E6E6"/>
          </w:tcPr>
          <w:p>
            <w:pPr>
              <w:spacing w:after="0"/>
              <w:rPr>
                <w:sz w:val="23"/>
                <w:szCs w:val="23"/>
                <w:color w:val="auto"/>
              </w:rPr>
            </w:pPr>
          </w:p>
        </w:tc>
        <w:tc>
          <w:tcPr>
            <w:tcW w:w="4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E6E6E6"/>
            </w:tcBorders>
            <w:shd w:val="clear" w:color="auto" w:fill="E6E6E6"/>
          </w:tcPr>
          <w:p>
            <w:pPr>
              <w:spacing w:after="0"/>
              <w:rPr>
                <w:sz w:val="23"/>
                <w:szCs w:val="23"/>
                <w:color w:val="auto"/>
              </w:rPr>
            </w:pPr>
          </w:p>
        </w:tc>
        <w:tc>
          <w:tcPr>
            <w:tcW w:w="920" w:type="dxa"/>
            <w:vAlign w:val="bottom"/>
            <w:tcBorders>
              <w:bottom w:val="single" w:sz="8" w:color="auto"/>
            </w:tcBorders>
            <w:shd w:val="clear" w:color="auto" w:fill="E6E6E6"/>
          </w:tcPr>
          <w:p>
            <w:pPr>
              <w:spacing w:after="0"/>
              <w:rPr>
                <w:sz w:val="23"/>
                <w:szCs w:val="23"/>
                <w:color w:val="auto"/>
              </w:rPr>
            </w:pPr>
          </w:p>
        </w:tc>
        <w:tc>
          <w:tcPr>
            <w:tcW w:w="4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360" w:type="dxa"/>
            <w:vAlign w:val="bottom"/>
            <w:tcBorders>
              <w:bottom w:val="single" w:sz="8" w:color="E6E6E6"/>
            </w:tcBorders>
          </w:tcPr>
          <w:p>
            <w:pPr>
              <w:jc w:val="right"/>
              <w:spacing w:after="0"/>
              <w:rPr>
                <w:sz w:val="20"/>
                <w:szCs w:val="20"/>
                <w:color w:val="auto"/>
              </w:rPr>
            </w:pPr>
            <w:r>
              <w:rPr>
                <w:rFonts w:ascii="Arial" w:cs="Arial" w:eastAsia="Arial" w:hAnsi="Arial"/>
                <w:sz w:val="18"/>
                <w:szCs w:val="18"/>
                <w:b w:val="1"/>
                <w:bCs w:val="1"/>
                <w:color w:val="BDBDBD"/>
                <w:w w:val="97"/>
              </w:rPr>
              <w:t>. . . . . . . . . . . . . . . . . . . . . . . . . . . . . . . . . .</w:t>
            </w:r>
            <w:r>
              <w:rPr>
                <w:rFonts w:ascii="Arial" w:cs="Arial" w:eastAsia="Arial" w:hAnsi="Arial"/>
                <w:sz w:val="18"/>
                <w:szCs w:val="18"/>
                <w:b w:val="1"/>
                <w:bCs w:val="1"/>
                <w:color w:val="000000"/>
                <w:w w:val="97"/>
              </w:rPr>
              <w:t>Totaldeferredtaxassets,netofvaluationallowance</w:t>
            </w:r>
          </w:p>
        </w:tc>
        <w:tc>
          <w:tcPr>
            <w:tcW w:w="9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80" w:type="dxa"/>
            <w:vAlign w:val="bottom"/>
            <w:tcBorders>
              <w:bottom w:val="single" w:sz="8" w:color="E6E6E6"/>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r>
      <w:tr>
        <w:trPr>
          <w:trHeight w:val="254"/>
        </w:trPr>
        <w:tc>
          <w:tcPr>
            <w:tcW w:w="73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BDBDBD"/>
                <w:w w:val="93"/>
              </w:rPr>
              <w:t>. . . . . . . . . . . . . . . . . . . . . . . . . . . . . . . . . . . . . . . . . . . . . . . . .</w:t>
            </w:r>
            <w:r>
              <w:rPr>
                <w:rFonts w:ascii="Arial" w:cs="Arial" w:eastAsia="Arial" w:hAnsi="Arial"/>
                <w:sz w:val="18"/>
                <w:szCs w:val="18"/>
                <w:b w:val="1"/>
                <w:bCs w:val="1"/>
                <w:color w:val="000000"/>
                <w:w w:val="93"/>
              </w:rPr>
              <w:t>Netdeferrednon-currenttaxliability</w:t>
            </w:r>
          </w:p>
        </w:tc>
        <w:tc>
          <w:tcPr>
            <w:tcW w:w="920" w:type="dxa"/>
            <w:vAlign w:val="bottom"/>
            <w:tcBorders>
              <w:bottom w:val="single" w:sz="8" w:color="auto"/>
            </w:tcBorders>
            <w:shd w:val="clear" w:color="auto" w:fill="E6E6E6"/>
          </w:tcPr>
          <w:p>
            <w:pPr>
              <w:jc w:val="right"/>
              <w:ind w:right="694"/>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w w:val="99"/>
              </w:rPr>
              <w:t>(127)</w:t>
            </w:r>
          </w:p>
        </w:tc>
        <w:tc>
          <w:tcPr>
            <w:tcW w:w="80" w:type="dxa"/>
            <w:vAlign w:val="bottom"/>
            <w:tcBorders>
              <w:bottom w:val="single" w:sz="8" w:color="E6E6E6"/>
            </w:tcBorders>
            <w:shd w:val="clear" w:color="auto" w:fill="E6E6E6"/>
          </w:tcPr>
          <w:p>
            <w:pPr>
              <w:spacing w:after="0"/>
              <w:rPr>
                <w:sz w:val="22"/>
                <w:szCs w:val="22"/>
                <w:color w:val="auto"/>
              </w:rPr>
            </w:pPr>
          </w:p>
        </w:tc>
        <w:tc>
          <w:tcPr>
            <w:tcW w:w="920" w:type="dxa"/>
            <w:vAlign w:val="bottom"/>
            <w:tcBorders>
              <w:bottom w:val="single" w:sz="8" w:color="auto"/>
            </w:tcBorders>
            <w:shd w:val="clear" w:color="auto" w:fill="E6E6E6"/>
          </w:tcPr>
          <w:p>
            <w:pPr>
              <w:jc w:val="right"/>
              <w:ind w:right="695"/>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4657090</wp:posOffset>
            </wp:positionH>
            <wp:positionV relativeFrom="paragraph">
              <wp:posOffset>-1803400</wp:posOffset>
            </wp:positionV>
            <wp:extent cx="183578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263">
                      <a:extLst>
                        <a:ext uri="{28A0092B-C50C-407E-A947-70E740481C1C}"/>
                      </a:extLst>
                    </a:blip>
                    <a:srcRect/>
                    <a:stretch>
                      <a:fillRect/>
                    </a:stretch>
                  </pic:blipFill>
                  <pic:spPr bwMode="auto">
                    <a:xfrm>
                      <a:off x="0" y="0"/>
                      <a:ext cx="1835785" cy="25400"/>
                    </a:xfrm>
                    <a:prstGeom prst="rect">
                      <a:avLst/>
                    </a:prstGeom>
                    <a:noFill/>
                  </pic:spPr>
                </pic:pic>
              </a:graphicData>
            </a:graphic>
          </wp:anchor>
        </w:drawing>
        <w:drawing>
          <wp:anchor simplePos="0" relativeHeight="251657728" behindDoc="1" locked="0" layoutInCell="0" allowOverlap="1">
            <wp:simplePos x="0" y="0"/>
            <wp:positionH relativeFrom="column">
              <wp:posOffset>4657090</wp:posOffset>
            </wp:positionH>
            <wp:positionV relativeFrom="paragraph">
              <wp:posOffset>-1642110</wp:posOffset>
            </wp:positionV>
            <wp:extent cx="183578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264">
                      <a:extLst>
                        <a:ext uri="{28A0092B-C50C-407E-A947-70E740481C1C}"/>
                      </a:extLst>
                    </a:blip>
                    <a:srcRect/>
                    <a:stretch>
                      <a:fillRect/>
                    </a:stretch>
                  </pic:blipFill>
                  <pic:spPr bwMode="auto">
                    <a:xfrm>
                      <a:off x="0" y="0"/>
                      <a:ext cx="1835785" cy="25400"/>
                    </a:xfrm>
                    <a:prstGeom prst="rect">
                      <a:avLst/>
                    </a:prstGeom>
                    <a:noFill/>
                  </pic:spPr>
                </pic:pic>
              </a:graphicData>
            </a:graphic>
          </wp:anchor>
        </w:drawing>
        <w:drawing>
          <wp:anchor simplePos="0" relativeHeight="251657728" behindDoc="1" locked="0" layoutInCell="0" allowOverlap="1">
            <wp:simplePos x="0" y="0"/>
            <wp:positionH relativeFrom="column">
              <wp:posOffset>4657090</wp:posOffset>
            </wp:positionH>
            <wp:positionV relativeFrom="paragraph">
              <wp:posOffset>-675640</wp:posOffset>
            </wp:positionV>
            <wp:extent cx="183578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265">
                      <a:extLst>
                        <a:ext uri="{28A0092B-C50C-407E-A947-70E740481C1C}"/>
                      </a:extLst>
                    </a:blip>
                    <a:srcRect/>
                    <a:stretch>
                      <a:fillRect/>
                    </a:stretch>
                  </pic:blipFill>
                  <pic:spPr bwMode="auto">
                    <a:xfrm>
                      <a:off x="0" y="0"/>
                      <a:ext cx="1835785" cy="25400"/>
                    </a:xfrm>
                    <a:prstGeom prst="rect">
                      <a:avLst/>
                    </a:prstGeom>
                    <a:noFill/>
                  </pic:spPr>
                </pic:pic>
              </a:graphicData>
            </a:graphic>
          </wp:anchor>
        </w:drawing>
        <w:drawing>
          <wp:anchor simplePos="0" relativeHeight="251657728" behindDoc="1" locked="0" layoutInCell="0" allowOverlap="1">
            <wp:simplePos x="0" y="0"/>
            <wp:positionH relativeFrom="column">
              <wp:posOffset>4657090</wp:posOffset>
            </wp:positionH>
            <wp:positionV relativeFrom="paragraph">
              <wp:posOffset>-353060</wp:posOffset>
            </wp:positionV>
            <wp:extent cx="183578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266">
                      <a:extLst>
                        <a:ext uri="{28A0092B-C50C-407E-A947-70E740481C1C}"/>
                      </a:extLst>
                    </a:blip>
                    <a:srcRect/>
                    <a:stretch>
                      <a:fillRect/>
                    </a:stretch>
                  </pic:blipFill>
                  <pic:spPr bwMode="auto">
                    <a:xfrm>
                      <a:off x="0" y="0"/>
                      <a:ext cx="1835785" cy="25400"/>
                    </a:xfrm>
                    <a:prstGeom prst="rect">
                      <a:avLst/>
                    </a:prstGeom>
                    <a:noFill/>
                  </pic:spPr>
                </pic:pic>
              </a:graphicData>
            </a:graphic>
          </wp:anchor>
        </w:drawing>
        <w:drawing>
          <wp:anchor simplePos="0" relativeHeight="251657728" behindDoc="1" locked="0" layoutInCell="0" allowOverlap="1">
            <wp:simplePos x="0" y="0"/>
            <wp:positionH relativeFrom="column">
              <wp:posOffset>4657090</wp:posOffset>
            </wp:positionH>
            <wp:positionV relativeFrom="paragraph">
              <wp:posOffset>-192405</wp:posOffset>
            </wp:positionV>
            <wp:extent cx="183578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267">
                      <a:extLst>
                        <a:ext uri="{28A0092B-C50C-407E-A947-70E740481C1C}"/>
                      </a:extLst>
                    </a:blip>
                    <a:srcRect/>
                    <a:stretch>
                      <a:fillRect/>
                    </a:stretch>
                  </pic:blipFill>
                  <pic:spPr bwMode="auto">
                    <a:xfrm>
                      <a:off x="0" y="0"/>
                      <a:ext cx="1835785" cy="25400"/>
                    </a:xfrm>
                    <a:prstGeom prst="rect">
                      <a:avLst/>
                    </a:prstGeom>
                    <a:noFill/>
                  </pic:spPr>
                </pic:pic>
              </a:graphicData>
            </a:graphic>
          </wp:anchor>
        </w:drawing>
        <w:drawing>
          <wp:anchor simplePos="0" relativeHeight="251657728" behindDoc="1" locked="0" layoutInCell="0" allowOverlap="1">
            <wp:simplePos x="0" y="0"/>
            <wp:positionH relativeFrom="column">
              <wp:posOffset>4657090</wp:posOffset>
            </wp:positionH>
            <wp:positionV relativeFrom="paragraph">
              <wp:posOffset>-43815</wp:posOffset>
            </wp:positionV>
            <wp:extent cx="1835785" cy="508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268">
                      <a:extLst>
                        <a:ext uri="{28A0092B-C50C-407E-A947-70E740481C1C}"/>
                      </a:extLst>
                    </a:blip>
                    <a:srcRect/>
                    <a:stretch>
                      <a:fillRect/>
                    </a:stretch>
                  </pic:blipFill>
                  <pic:spPr bwMode="auto">
                    <a:xfrm>
                      <a:off x="0" y="0"/>
                      <a:ext cx="1835785" cy="5080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Tax Receivable</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20"/>
          <w:szCs w:val="20"/>
          <w:color w:val="auto"/>
        </w:rPr>
        <w:t>As of December 31, 2023, the Company has a $13 million tax receivable.</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Deferred Tax Balances and Valuation Allowance</w:t>
      </w:r>
    </w:p>
    <w:p>
      <w:pPr>
        <w:spacing w:after="0" w:line="193" w:lineRule="exact"/>
        <w:rPr>
          <w:sz w:val="20"/>
          <w:szCs w:val="20"/>
          <w:color w:val="auto"/>
        </w:rPr>
      </w:pPr>
    </w:p>
    <w:p>
      <w:pPr>
        <w:jc w:val="both"/>
        <w:ind w:firstLine="448"/>
        <w:spacing w:after="0" w:line="255" w:lineRule="auto"/>
        <w:rPr>
          <w:sz w:val="20"/>
          <w:szCs w:val="20"/>
          <w:color w:val="auto"/>
        </w:rPr>
      </w:pPr>
      <w:r>
        <w:rPr>
          <w:rFonts w:ascii="Arial" w:cs="Arial" w:eastAsia="Arial" w:hAnsi="Arial"/>
          <w:sz w:val="20"/>
          <w:szCs w:val="20"/>
          <w:b w:val="1"/>
          <w:bCs w:val="1"/>
          <w:i w:val="1"/>
          <w:iCs w:val="1"/>
          <w:color w:val="auto"/>
        </w:rPr>
        <w:t xml:space="preserve">Net deferred tax balances </w:t>
      </w:r>
      <w:r>
        <w:rPr>
          <w:rFonts w:ascii="Arial" w:cs="Arial" w:eastAsia="Arial" w:hAnsi="Arial"/>
          <w:sz w:val="20"/>
          <w:szCs w:val="20"/>
          <w:color w:val="auto"/>
        </w:rPr>
        <w:t>— As of December 31, 2023 and 2022, the Company recorded a net deferred tax liability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$127 million and $119 million, respectively. The Company believes it is more likely than not that the results of future operations will generate sufficient taxable income, which includes the future reversal of existing taxable temporary differences to realize deferred tax assets. The Company considered the profit before tax generated in recent years as well as projections of future earnings and estimates of taxable income in arriving at this conclusion. The Company believes that $4 million of existing state NOLs, based on forecasted future earnings and estimated taxable income, will expire unutilized, resulting in the recording of a valuation allowance.</w:t>
      </w:r>
    </w:p>
    <w:p>
      <w:pPr>
        <w:spacing w:after="0" w:line="140" w:lineRule="exact"/>
        <w:rPr>
          <w:sz w:val="20"/>
          <w:szCs w:val="20"/>
          <w:color w:val="auto"/>
        </w:rPr>
      </w:pPr>
    </w:p>
    <w:p>
      <w:pPr>
        <w:jc w:val="both"/>
        <w:ind w:firstLine="448"/>
        <w:spacing w:after="0" w:line="278" w:lineRule="auto"/>
        <w:rPr>
          <w:sz w:val="20"/>
          <w:szCs w:val="20"/>
          <w:color w:val="auto"/>
        </w:rPr>
      </w:pPr>
      <w:r>
        <w:rPr>
          <w:rFonts w:ascii="Arial" w:cs="Arial" w:eastAsia="Arial" w:hAnsi="Arial"/>
          <w:sz w:val="19"/>
          <w:szCs w:val="19"/>
          <w:b w:val="1"/>
          <w:bCs w:val="1"/>
          <w:i w:val="1"/>
          <w:iCs w:val="1"/>
          <w:color w:val="auto"/>
        </w:rPr>
        <w:t xml:space="preserve">NOL and Tax Credit carryforwards </w:t>
      </w:r>
      <w:r>
        <w:rPr>
          <w:rFonts w:ascii="Arial" w:cs="Arial" w:eastAsia="Arial" w:hAnsi="Arial"/>
          <w:sz w:val="19"/>
          <w:szCs w:val="19"/>
          <w:color w:val="auto"/>
        </w:rPr>
        <w:t>— As of December 31, 2023, the Company had tax-effected domestic NOL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carryforwards for federal income tax purposes of $73 million. Additionally, the Company has a cumulative tax-effected state NOL carryforward of $7 million, which will expire between 2024 and 2040 if unutilized. In addition, the Company has PTC and ITC carryforward balances totaling $21 million, which will expire between 2035 and 2043 if unutilized.</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Uncertain Tax Positions</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Company has not identified any material uncertain tax positions to be reported as of December 31, 2023.</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15 — Related Party Transactions</w:t>
      </w:r>
    </w:p>
    <w:p>
      <w:pPr>
        <w:spacing w:after="0" w:line="195" w:lineRule="exact"/>
        <w:rPr>
          <w:sz w:val="20"/>
          <w:szCs w:val="20"/>
          <w:color w:val="auto"/>
        </w:rPr>
      </w:pPr>
    </w:p>
    <w:p>
      <w:pPr>
        <w:jc w:val="both"/>
        <w:ind w:firstLine="448"/>
        <w:spacing w:after="0" w:line="292" w:lineRule="auto"/>
        <w:rPr>
          <w:sz w:val="20"/>
          <w:szCs w:val="20"/>
          <w:color w:val="auto"/>
        </w:rPr>
      </w:pPr>
      <w:r>
        <w:rPr>
          <w:rFonts w:ascii="Arial" w:cs="Arial" w:eastAsia="Arial" w:hAnsi="Arial"/>
          <w:sz w:val="18"/>
          <w:szCs w:val="18"/>
          <w:color w:val="auto"/>
        </w:rPr>
        <w:t>In addition to the transactions and relationships described elsewhere in the notes to the consolidated financial statements, certain subsidiaries of CEG provide services to the Company and its project entities. Amounts due to CEG subsidiaries are recorded as accounts payable — affiliates and amounts due to the Company from CEG subsidiaries are recorded as accounts receivable — affiliates in the Company’s consolidated balance sheets. The disclosures below summarize the Company’s material related party transactions with CEG and its subsidiaries that are included in the Company’s operating costs.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O&amp;M Services Agreements by and between the Company and Clearway Renewable Operation &amp; Maintenance LLC</w:t>
      </w:r>
    </w:p>
    <w:p>
      <w:pPr>
        <w:spacing w:after="0" w:line="219" w:lineRule="exact"/>
        <w:rPr>
          <w:sz w:val="20"/>
          <w:szCs w:val="20"/>
          <w:color w:val="auto"/>
        </w:rPr>
      </w:pPr>
    </w:p>
    <w:p>
      <w:pPr>
        <w:jc w:val="both"/>
        <w:ind w:firstLine="448"/>
        <w:spacing w:after="0" w:line="273" w:lineRule="auto"/>
        <w:rPr>
          <w:sz w:val="20"/>
          <w:szCs w:val="20"/>
          <w:color w:val="auto"/>
        </w:rPr>
      </w:pPr>
      <w:r>
        <w:rPr>
          <w:rFonts w:ascii="Arial" w:cs="Arial" w:eastAsia="Arial" w:hAnsi="Arial"/>
          <w:sz w:val="19"/>
          <w:szCs w:val="19"/>
          <w:color w:val="auto"/>
        </w:rPr>
        <w:t>Various wholly-owned subsidiaries of the Company in the Renewables segment are party to services agreements with Clearway Renewable Operation &amp; Maintenance LLC, or RENOM, a wholly-owned subsidiary of CEG, which provides operation and maintenance, or O&amp;M, services to these subsidiaries. The Company incurred total expenses for these services of $73 million, $71 million and $56 million for the years ended December 31, 2023, 2022 and 2021, respectively. There was a balance of $13 million and $14 million due to RENOM as of December 31, 2023 and 2022, respectively.</w:t>
      </w:r>
    </w:p>
    <w:p>
      <w:pPr>
        <w:sectPr>
          <w:pgSz w:w="11880" w:h="15480" w:orient="portrait"/>
          <w:cols w:equalWidth="0" w:num="1">
            <w:col w:w="10200"/>
          </w:cols>
          <w:pgMar w:left="840" w:top="411"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120</w:t>
      </w:r>
    </w:p>
    <w:p>
      <w:pPr>
        <w:sectPr>
          <w:pgSz w:w="11880" w:h="15480" w:orient="portrait"/>
          <w:cols w:equalWidth="0" w:num="1">
            <w:col w:w="10200"/>
          </w:cols>
          <w:pgMar w:left="840" w:top="411" w:right="840" w:bottom="0" w:gutter="0" w:footer="0" w:header="0"/>
          <w:type w:val="continuous"/>
        </w:sectPr>
      </w:pPr>
    </w:p>
    <w:bookmarkStart w:id="122" w:name="page123"/>
    <w:bookmarkEnd w:id="122"/>
    <w:p>
      <w:pPr>
        <w:ind w:left="4"/>
        <w:spacing w:after="0"/>
        <w:rPr>
          <w:sz w:val="20"/>
          <w:szCs w:val="20"/>
          <w:color w:val="auto"/>
        </w:rPr>
      </w:pPr>
      <w:r>
        <w:rPr>
          <w:rFonts w:ascii="Arial" w:cs="Arial" w:eastAsia="Arial" w:hAnsi="Arial"/>
          <w:sz w:val="20"/>
          <w:szCs w:val="20"/>
          <w:b w:val="1"/>
          <w:bCs w:val="1"/>
          <w:i w:val="1"/>
          <w:iCs w:val="1"/>
          <w:color w:val="auto"/>
        </w:rPr>
        <w:t>Administrative Services Agreements by and between the Company and CEG</w:t>
      </w:r>
    </w:p>
    <w:p>
      <w:pPr>
        <w:spacing w:after="0" w:line="196" w:lineRule="exact"/>
        <w:rPr>
          <w:sz w:val="20"/>
          <w:szCs w:val="20"/>
          <w:color w:val="auto"/>
        </w:rPr>
      </w:pPr>
    </w:p>
    <w:p>
      <w:pPr>
        <w:jc w:val="both"/>
        <w:ind w:left="4" w:firstLine="448"/>
        <w:spacing w:after="0" w:line="273" w:lineRule="auto"/>
        <w:rPr>
          <w:sz w:val="20"/>
          <w:szCs w:val="20"/>
          <w:color w:val="auto"/>
        </w:rPr>
      </w:pPr>
      <w:r>
        <w:rPr>
          <w:rFonts w:ascii="Arial" w:cs="Arial" w:eastAsia="Arial" w:hAnsi="Arial"/>
          <w:sz w:val="19"/>
          <w:szCs w:val="19"/>
          <w:color w:val="auto"/>
        </w:rPr>
        <w:t>Various wholly-owned subsidiaries of the Company are parties to services agreements with Clearway Asset Services LLC and Clearway Solar Asset Management LLC, two wholly-owned subsidiaries of CEG, which provide various administrative services to the Company’s subsidiaries. The Company incurred expenses under these agreements of $20 million, $16 million and $14 million for the years ended December 31, 2023, 2022 and 2021, respectively. There was a balance of $2 million and $3 million due to CEG as of December 31, 2023 and 2022, respectively.</w:t>
      </w:r>
    </w:p>
    <w:p>
      <w:pPr>
        <w:spacing w:after="0" w:line="182" w:lineRule="exact"/>
        <w:rPr>
          <w:sz w:val="20"/>
          <w:szCs w:val="20"/>
          <w:color w:val="auto"/>
        </w:rPr>
      </w:pPr>
    </w:p>
    <w:p>
      <w:pPr>
        <w:ind w:left="4"/>
        <w:spacing w:after="0"/>
        <w:rPr>
          <w:sz w:val="20"/>
          <w:szCs w:val="20"/>
          <w:color w:val="auto"/>
        </w:rPr>
      </w:pPr>
      <w:r>
        <w:rPr>
          <w:rFonts w:ascii="Arial" w:cs="Arial" w:eastAsia="Arial" w:hAnsi="Arial"/>
          <w:sz w:val="20"/>
          <w:szCs w:val="20"/>
          <w:b w:val="1"/>
          <w:bCs w:val="1"/>
          <w:i w:val="1"/>
          <w:iCs w:val="1"/>
          <w:color w:val="auto"/>
        </w:rPr>
        <w:t>CEG Master Services Agreements</w:t>
      </w:r>
    </w:p>
    <w:p>
      <w:pPr>
        <w:spacing w:after="0" w:line="196" w:lineRule="exact"/>
        <w:rPr>
          <w:sz w:val="20"/>
          <w:szCs w:val="20"/>
          <w:color w:val="auto"/>
        </w:rPr>
      </w:pPr>
    </w:p>
    <w:p>
      <w:pPr>
        <w:jc w:val="both"/>
        <w:ind w:left="4" w:firstLine="448"/>
        <w:spacing w:after="0" w:line="294" w:lineRule="auto"/>
        <w:rPr>
          <w:sz w:val="20"/>
          <w:szCs w:val="20"/>
          <w:color w:val="auto"/>
        </w:rPr>
      </w:pPr>
      <w:r>
        <w:rPr>
          <w:rFonts w:ascii="Arial" w:cs="Arial" w:eastAsia="Arial" w:hAnsi="Arial"/>
          <w:sz w:val="18"/>
          <w:szCs w:val="18"/>
          <w:color w:val="auto"/>
        </w:rPr>
        <w:t>The Company is a party to the CEG Master Services Agreements, pursuant to which CEG and certain of its affiliates or third-party service providers provide certain services to the Company, including operational and administrative services, which include human resources, information systems, cybersecurity, external affairs, accounting, procurement and risk management services, and the Company provides certain services to CEG, including accounting, internal audit, tax and treasury services, in exchange for the payment of fees in respect of such services. The Company incurred net expenses of $5 million under these agreements for each of the years ended December 31, 2023 and 2022 and $4 million for the year ended December 31, 2021.</w:t>
      </w:r>
    </w:p>
    <w:p>
      <w:pPr>
        <w:spacing w:after="0" w:line="107" w:lineRule="exact"/>
        <w:rPr>
          <w:sz w:val="20"/>
          <w:szCs w:val="20"/>
          <w:color w:val="auto"/>
        </w:rPr>
      </w:pPr>
    </w:p>
    <w:p>
      <w:pPr>
        <w:ind w:left="4"/>
        <w:spacing w:after="0"/>
        <w:rPr>
          <w:sz w:val="20"/>
          <w:szCs w:val="20"/>
          <w:color w:val="auto"/>
        </w:rPr>
      </w:pPr>
      <w:r>
        <w:rPr>
          <w:rFonts w:ascii="Arial" w:cs="Arial" w:eastAsia="Arial" w:hAnsi="Arial"/>
          <w:sz w:val="20"/>
          <w:szCs w:val="20"/>
          <w:b w:val="1"/>
          <w:bCs w:val="1"/>
          <w:color w:val="auto"/>
        </w:rPr>
        <w:t>Note 16 — Commitments and Contingencies</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20"/>
          <w:szCs w:val="20"/>
          <w:b w:val="1"/>
          <w:bCs w:val="1"/>
          <w:i w:val="1"/>
          <w:iCs w:val="1"/>
          <w:color w:val="auto"/>
        </w:rPr>
        <w:t>Gas and Transportation Commitments</w:t>
      </w:r>
    </w:p>
    <w:p>
      <w:pPr>
        <w:spacing w:after="0" w:line="196" w:lineRule="exact"/>
        <w:rPr>
          <w:sz w:val="20"/>
          <w:szCs w:val="20"/>
          <w:color w:val="auto"/>
        </w:rPr>
      </w:pPr>
    </w:p>
    <w:p>
      <w:pPr>
        <w:jc w:val="both"/>
        <w:ind w:left="4" w:firstLine="531"/>
        <w:spacing w:after="0" w:line="259" w:lineRule="auto"/>
        <w:rPr>
          <w:sz w:val="20"/>
          <w:szCs w:val="20"/>
          <w:color w:val="auto"/>
        </w:rPr>
      </w:pPr>
      <w:r>
        <w:rPr>
          <w:rFonts w:ascii="Arial" w:cs="Arial" w:eastAsia="Arial" w:hAnsi="Arial"/>
          <w:sz w:val="20"/>
          <w:szCs w:val="20"/>
          <w:color w:val="auto"/>
        </w:rPr>
        <w:t xml:space="preserve">The Company previously entered into contractual arrangements to procure power, fuel and associated transportation services for the Thermal Business, which was sold to KKR on May 1, 2022, as further discussed in Note 3, </w:t>
      </w:r>
      <w:r>
        <w:rPr>
          <w:rFonts w:ascii="Arial" w:cs="Arial" w:eastAsia="Arial" w:hAnsi="Arial"/>
          <w:sz w:val="20"/>
          <w:szCs w:val="20"/>
          <w:b w:val="1"/>
          <w:bCs w:val="1"/>
          <w:i w:val="1"/>
          <w:iCs w:val="1"/>
          <w:color w:val="auto"/>
        </w:rPr>
        <w:t>Acquisitions and</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Dispositions</w:t>
      </w:r>
      <w:r>
        <w:rPr>
          <w:rFonts w:ascii="Arial" w:cs="Arial" w:eastAsia="Arial" w:hAnsi="Arial"/>
          <w:sz w:val="20"/>
          <w:szCs w:val="20"/>
          <w:color w:val="auto"/>
        </w:rPr>
        <w:t>. Under these arrangements, the Company purchased $20 million and $40 million for the years ended December 31,</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2022 and 2021, respectively.</w:t>
      </w:r>
    </w:p>
    <w:p>
      <w:pPr>
        <w:spacing w:after="0" w:line="135" w:lineRule="exact"/>
        <w:rPr>
          <w:sz w:val="20"/>
          <w:szCs w:val="20"/>
          <w:color w:val="auto"/>
        </w:rPr>
      </w:pPr>
    </w:p>
    <w:p>
      <w:pPr>
        <w:ind w:left="4"/>
        <w:spacing w:after="0"/>
        <w:rPr>
          <w:sz w:val="20"/>
          <w:szCs w:val="20"/>
          <w:color w:val="auto"/>
        </w:rPr>
      </w:pPr>
      <w:r>
        <w:rPr>
          <w:rFonts w:ascii="Arial" w:cs="Arial" w:eastAsia="Arial" w:hAnsi="Arial"/>
          <w:sz w:val="20"/>
          <w:szCs w:val="20"/>
          <w:b w:val="1"/>
          <w:bCs w:val="1"/>
          <w:color w:val="auto"/>
        </w:rPr>
        <w:t>Contingencies</w:t>
      </w:r>
    </w:p>
    <w:p>
      <w:pPr>
        <w:spacing w:after="0" w:line="195" w:lineRule="exact"/>
        <w:rPr>
          <w:sz w:val="20"/>
          <w:szCs w:val="20"/>
          <w:color w:val="auto"/>
        </w:rPr>
      </w:pPr>
    </w:p>
    <w:p>
      <w:pPr>
        <w:jc w:val="both"/>
        <w:ind w:left="4" w:firstLine="448"/>
        <w:spacing w:after="0" w:line="283" w:lineRule="auto"/>
        <w:rPr>
          <w:sz w:val="20"/>
          <w:szCs w:val="20"/>
          <w:color w:val="auto"/>
        </w:rPr>
      </w:pPr>
      <w:r>
        <w:rPr>
          <w:rFonts w:ascii="Arial" w:cs="Arial" w:eastAsia="Arial" w:hAnsi="Arial"/>
          <w:sz w:val="18"/>
          <w:szCs w:val="18"/>
          <w:color w:val="auto"/>
        </w:rPr>
        <w:t>The Company records reserves for estimated losses from contingencies when information available indicates that a loss is probable and the amount of the loss, or range of loss, can be reasonably estimated. As applicable, the Company will establish an adequate reserve for ongoing legal matters. In addition, legal costs are expensed as incurred. Management assesses such matters based on current information and makes a judgment concerning its potential outcome, considering the nature of the claim, the amount and nature of damages sought and the probability of success. The Company is unable to predict the outcome of ongoing legal proceedings or reasonably estimate the scope or amount of any associated costs and potential liabilities. As additional information becomes available, management adjusts its assessment and estimate of contingencies accordingly. Because litigation is subject to inherent uncertainties and unfavorable rulings or developments, it is possible that the ultimate resolution of the Company’s liabilities and contingencies could be at amounts that are different from its currently recorded reserves and that such difference could be material.</w:t>
      </w:r>
    </w:p>
    <w:p>
      <w:pPr>
        <w:spacing w:after="0" w:line="126" w:lineRule="exact"/>
        <w:rPr>
          <w:sz w:val="20"/>
          <w:szCs w:val="20"/>
          <w:color w:val="auto"/>
        </w:rPr>
      </w:pPr>
    </w:p>
    <w:p>
      <w:pPr>
        <w:jc w:val="both"/>
        <w:ind w:left="4" w:firstLine="448"/>
        <w:spacing w:after="0" w:line="265" w:lineRule="auto"/>
        <w:rPr>
          <w:sz w:val="20"/>
          <w:szCs w:val="20"/>
          <w:color w:val="auto"/>
        </w:rPr>
      </w:pPr>
      <w:r>
        <w:rPr>
          <w:rFonts w:ascii="Arial" w:cs="Arial" w:eastAsia="Arial" w:hAnsi="Arial"/>
          <w:sz w:val="20"/>
          <w:szCs w:val="20"/>
          <w:color w:val="auto"/>
        </w:rPr>
        <w:t>The Company and its subsidiaries are party to litigation or legal proceedings arising in the ordinary course of business. In management’s opinion, the disposition of these ordinary course matters will not materially adversely affect the Company’s consolidated financial position, results of operations or cash flows.</w:t>
      </w:r>
    </w:p>
    <w:p>
      <w:pPr>
        <w:spacing w:after="0" w:line="131" w:lineRule="exact"/>
        <w:rPr>
          <w:sz w:val="20"/>
          <w:szCs w:val="20"/>
          <w:color w:val="auto"/>
        </w:rPr>
      </w:pPr>
    </w:p>
    <w:p>
      <w:pPr>
        <w:ind w:left="444"/>
        <w:spacing w:after="0"/>
        <w:rPr>
          <w:sz w:val="20"/>
          <w:szCs w:val="20"/>
          <w:color w:val="auto"/>
        </w:rPr>
      </w:pPr>
      <w:r>
        <w:rPr>
          <w:rFonts w:ascii="Arial" w:cs="Arial" w:eastAsia="Arial" w:hAnsi="Arial"/>
          <w:sz w:val="20"/>
          <w:szCs w:val="20"/>
          <w:b w:val="1"/>
          <w:bCs w:val="1"/>
          <w:i w:val="1"/>
          <w:iCs w:val="1"/>
          <w:color w:val="auto"/>
        </w:rPr>
        <w:t>Buckthorn Solar Litigation</w:t>
      </w:r>
    </w:p>
    <w:p>
      <w:pPr>
        <w:spacing w:after="0" w:line="175" w:lineRule="exact"/>
        <w:rPr>
          <w:sz w:val="20"/>
          <w:szCs w:val="20"/>
          <w:color w:val="auto"/>
        </w:rPr>
      </w:pPr>
    </w:p>
    <w:p>
      <w:pPr>
        <w:jc w:val="both"/>
        <w:ind w:left="4" w:firstLine="448"/>
        <w:spacing w:after="0" w:line="276" w:lineRule="auto"/>
        <w:rPr>
          <w:sz w:val="20"/>
          <w:szCs w:val="20"/>
          <w:color w:val="auto"/>
        </w:rPr>
      </w:pPr>
      <w:r>
        <w:rPr>
          <w:rFonts w:ascii="Arial" w:cs="Arial" w:eastAsia="Arial" w:hAnsi="Arial"/>
          <w:sz w:val="18"/>
          <w:szCs w:val="18"/>
          <w:color w:val="auto"/>
        </w:rPr>
        <w:t>On October 8, 2019, the City of Georgetown, Texas, or Georgetown, filed a petition in the District Court of Williamson County, Texas naming Buckthorn Westex, LLC, the Company’s subsidiary that owns the Buckthorn Westex solar project, as the defendant, alleging fraud by nondisclosure and breach of contract in connection with the project and the PPA, and seeking</w:t>
      </w:r>
    </w:p>
    <w:p>
      <w:pPr>
        <w:spacing w:after="0" w:line="2" w:lineRule="exact"/>
        <w:rPr>
          <w:sz w:val="20"/>
          <w:szCs w:val="20"/>
          <w:color w:val="auto"/>
        </w:rPr>
      </w:pPr>
    </w:p>
    <w:p>
      <w:pPr>
        <w:jc w:val="both"/>
        <w:ind w:left="4" w:hanging="4"/>
        <w:spacing w:after="0" w:line="267" w:lineRule="auto"/>
        <w:tabs>
          <w:tab w:leader="none" w:pos="255" w:val="left"/>
        </w:tabs>
        <w:numPr>
          <w:ilvl w:val="0"/>
          <w:numId w:val="83"/>
        </w:numPr>
        <w:rPr>
          <w:rFonts w:ascii="Arial" w:cs="Arial" w:eastAsia="Arial" w:hAnsi="Arial"/>
          <w:sz w:val="19"/>
          <w:szCs w:val="19"/>
          <w:color w:val="auto"/>
        </w:rPr>
      </w:pPr>
      <w:r>
        <w:rPr>
          <w:rFonts w:ascii="Arial" w:cs="Arial" w:eastAsia="Arial" w:hAnsi="Arial"/>
          <w:sz w:val="19"/>
          <w:szCs w:val="19"/>
          <w:color w:val="auto"/>
        </w:rPr>
        <w:t>rescission and/or cancellation of the PPA, (ii) declaratory judgment that the alleged breaches constitute an event of default under the PPA entitling Georgetown to terminate, and (iii) recovery of all damages, costs of court, and attorneys’ fees. On November 15, 2019, Buckthorn Westex filed an original answer and counterclaims (i) denying Georgetown’s claims, (ii) alleging Georgetown has breached its contracts with Buckthorn Westex by failing to pay amounts due, and (iii) seeking relief in the form of (x) declaratory judgment that Georgetown’s alleged failure to pay amounts due constitute breaches of and an event of default under the PPA and that Buckthorn did not commit any events of default under the PPA, (y) recovery of costs, expenses, interest, and attorneys’ fees, and (z) such other relief to which it is entitled at law or in equity. On November 14, 2023, the two parties entered into a settlement agreement to resolve all claims related to this litigation, following which settlement the claims were dismissed by the court with prejudice. The amounts paid pursuant to the settlement agreement had an immaterial impact to the Company’s financial statements.</w:t>
      </w:r>
    </w:p>
    <w:p>
      <w:pPr>
        <w:sectPr>
          <w:pgSz w:w="11880" w:h="15480" w:orient="portrait"/>
          <w:cols w:equalWidth="0" w:num="1">
            <w:col w:w="10204"/>
          </w:cols>
          <w:pgMar w:left="836" w:top="403"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
        <w:spacing w:after="0"/>
        <w:rPr>
          <w:sz w:val="20"/>
          <w:szCs w:val="20"/>
          <w:color w:val="auto"/>
        </w:rPr>
      </w:pPr>
      <w:r>
        <w:rPr>
          <w:rFonts w:ascii="Arial" w:cs="Arial" w:eastAsia="Arial" w:hAnsi="Arial"/>
          <w:sz w:val="15"/>
          <w:szCs w:val="15"/>
          <w:color w:val="auto"/>
        </w:rPr>
        <w:t>121</w:t>
      </w:r>
    </w:p>
    <w:p>
      <w:pPr>
        <w:sectPr>
          <w:pgSz w:w="11880" w:h="15480" w:orient="portrait"/>
          <w:cols w:equalWidth="0" w:num="1">
            <w:col w:w="10204"/>
          </w:cols>
          <w:pgMar w:left="836" w:top="403" w:right="840" w:bottom="0" w:gutter="0" w:footer="0" w:header="0"/>
          <w:type w:val="continuous"/>
        </w:sectPr>
      </w:pPr>
    </w:p>
    <w:bookmarkStart w:id="123" w:name="page124"/>
    <w:bookmarkEnd w:id="123"/>
    <w:p>
      <w:pPr>
        <w:spacing w:after="0"/>
        <w:rPr>
          <w:sz w:val="20"/>
          <w:szCs w:val="20"/>
          <w:color w:val="auto"/>
        </w:rPr>
      </w:pPr>
      <w:r>
        <w:rPr>
          <w:rFonts w:ascii="Arial" w:cs="Arial" w:eastAsia="Arial" w:hAnsi="Arial"/>
          <w:sz w:val="20"/>
          <w:szCs w:val="20"/>
          <w:b w:val="1"/>
          <w:bCs w:val="1"/>
          <w:color w:val="auto"/>
        </w:rPr>
        <w:t>Note 17 — Leases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Accounting for Leases</w:t>
      </w:r>
    </w:p>
    <w:p>
      <w:pPr>
        <w:spacing w:after="0" w:line="196" w:lineRule="exact"/>
        <w:rPr>
          <w:sz w:val="20"/>
          <w:szCs w:val="20"/>
          <w:color w:val="auto"/>
        </w:rPr>
      </w:pPr>
    </w:p>
    <w:p>
      <w:pPr>
        <w:jc w:val="both"/>
        <w:ind w:firstLine="448"/>
        <w:spacing w:after="0" w:line="280" w:lineRule="auto"/>
        <w:rPr>
          <w:sz w:val="20"/>
          <w:szCs w:val="20"/>
          <w:color w:val="auto"/>
        </w:rPr>
      </w:pPr>
      <w:r>
        <w:rPr>
          <w:rFonts w:ascii="Arial" w:cs="Arial" w:eastAsia="Arial" w:hAnsi="Arial"/>
          <w:sz w:val="20"/>
          <w:szCs w:val="20"/>
          <w:color w:val="auto"/>
        </w:rPr>
        <w:t>The Company evaluates each arrangement at inception to determine if it contains a lease. Substantially all of the Company’s leases are operating leases.</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Lessee</w:t>
      </w:r>
    </w:p>
    <w:p>
      <w:pPr>
        <w:spacing w:after="0" w:line="196" w:lineRule="exact"/>
        <w:rPr>
          <w:sz w:val="20"/>
          <w:szCs w:val="20"/>
          <w:color w:val="auto"/>
        </w:rPr>
      </w:pPr>
    </w:p>
    <w:p>
      <w:pPr>
        <w:jc w:val="both"/>
        <w:ind w:firstLine="448"/>
        <w:spacing w:after="0" w:line="254" w:lineRule="auto"/>
        <w:rPr>
          <w:sz w:val="20"/>
          <w:szCs w:val="20"/>
          <w:color w:val="auto"/>
        </w:rPr>
      </w:pPr>
      <w:r>
        <w:rPr>
          <w:rFonts w:ascii="Arial" w:cs="Arial" w:eastAsia="Arial" w:hAnsi="Arial"/>
          <w:sz w:val="20"/>
          <w:szCs w:val="20"/>
          <w:color w:val="auto"/>
        </w:rPr>
        <w:t>The Company records its operating lease liabilities at the present value of the lease payments over the lease term at lease commencement date. Lease payments include fixed payment amounts as well as variable rate payments based on an index initially measured at lease commencement date. Variable payments, including payments based on future performance and based on index changes, are recorded when the expense is probable. The Company determines the relevant lease term by evaluating whether renewal and termination options are reasonably certain to be exercised. The Company uses its incremental borrowing rate to calculate the present value of the lease payments, based on information available at the lease commencement date.</w:t>
      </w:r>
    </w:p>
    <w:p>
      <w:pPr>
        <w:spacing w:after="0" w:line="147" w:lineRule="exact"/>
        <w:rPr>
          <w:sz w:val="20"/>
          <w:szCs w:val="20"/>
          <w:color w:val="auto"/>
        </w:rPr>
      </w:pPr>
    </w:p>
    <w:p>
      <w:pPr>
        <w:jc w:val="both"/>
        <w:ind w:firstLine="448"/>
        <w:spacing w:after="0" w:line="307" w:lineRule="auto"/>
        <w:rPr>
          <w:sz w:val="20"/>
          <w:szCs w:val="20"/>
          <w:color w:val="auto"/>
        </w:rPr>
      </w:pPr>
      <w:r>
        <w:rPr>
          <w:rFonts w:ascii="Arial" w:cs="Arial" w:eastAsia="Arial" w:hAnsi="Arial"/>
          <w:sz w:val="18"/>
          <w:szCs w:val="18"/>
          <w:color w:val="auto"/>
        </w:rPr>
        <w:t>The Company’s leases consist of land leases for numerous operating asset locations, real estate leases and equipment leases. The terms and conditions for these leases vary by the type of underlying asset. Certain of these leases have both lease and non-lease components and the Company has elected to apply the practical expedient to not separate these components.</w:t>
      </w:r>
    </w:p>
    <w:p>
      <w:pPr>
        <w:spacing w:after="0" w:line="101" w:lineRule="exact"/>
        <w:rPr>
          <w:sz w:val="20"/>
          <w:szCs w:val="20"/>
          <w:color w:val="auto"/>
        </w:rPr>
      </w:pPr>
    </w:p>
    <w:p>
      <w:pPr>
        <w:ind w:left="440"/>
        <w:spacing w:after="0"/>
        <w:rPr>
          <w:sz w:val="20"/>
          <w:szCs w:val="20"/>
          <w:color w:val="auto"/>
        </w:rPr>
      </w:pPr>
      <w:r>
        <w:rPr>
          <w:rFonts w:ascii="Arial" w:cs="Arial" w:eastAsia="Arial" w:hAnsi="Arial"/>
          <w:sz w:val="20"/>
          <w:szCs w:val="20"/>
          <w:color w:val="auto"/>
        </w:rPr>
        <w:t>Lease expense was comprised of the following: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7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gridSpan w:val="8"/>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340" w:type="dxa"/>
            <w:vAlign w:val="bottom"/>
            <w:tcBorders>
              <w:bottom w:val="single" w:sz="8" w:color="auto"/>
            </w:tcBorders>
          </w:tcPr>
          <w:p>
            <w:pPr>
              <w:spacing w:after="0"/>
              <w:rPr>
                <w:sz w:val="21"/>
                <w:szCs w:val="21"/>
                <w:color w:val="auto"/>
              </w:rPr>
            </w:pPr>
          </w:p>
        </w:tc>
      </w:tr>
      <w:tr>
        <w:trPr>
          <w:trHeight w:val="264"/>
        </w:trPr>
        <w:tc>
          <w:tcPr>
            <w:tcW w:w="4720" w:type="dxa"/>
            <w:vAlign w:val="bottom"/>
            <w:tcBorders>
              <w:bottom w:val="single" w:sz="8" w:color="E6E6E6"/>
            </w:tcBorders>
          </w:tcPr>
          <w:p>
            <w:pPr>
              <w:ind w:left="40"/>
              <w:spacing w:after="0"/>
              <w:rPr>
                <w:sz w:val="20"/>
                <w:szCs w:val="20"/>
                <w:color w:val="auto"/>
              </w:rPr>
            </w:pPr>
            <w:r>
              <w:rPr>
                <w:rFonts w:ascii="Arial" w:cs="Arial" w:eastAsia="Arial" w:hAnsi="Arial"/>
                <w:sz w:val="16"/>
                <w:szCs w:val="16"/>
                <w:b w:val="1"/>
                <w:bCs w:val="1"/>
                <w:color w:val="auto"/>
              </w:rPr>
              <w:t>(In millions)</w:t>
            </w: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2"/>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80" w:type="dxa"/>
            <w:vAlign w:val="bottom"/>
            <w:tcBorders>
              <w:bottom w:val="single" w:sz="8" w:color="E6E6E6"/>
            </w:tcBorders>
          </w:tcPr>
          <w:p>
            <w:pPr>
              <w:spacing w:after="0"/>
              <w:rPr>
                <w:sz w:val="22"/>
                <w:szCs w:val="22"/>
                <w:color w:val="auto"/>
              </w:rPr>
            </w:pPr>
          </w:p>
        </w:tc>
        <w:tc>
          <w:tcPr>
            <w:tcW w:w="14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0" w:type="dxa"/>
            <w:vAlign w:val="bottom"/>
            <w:tcBorders>
              <w:bottom w:val="single" w:sz="8" w:color="E6E6E6"/>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01"/>
              <w:spacing w:after="0"/>
              <w:rPr>
                <w:sz w:val="20"/>
                <w:szCs w:val="20"/>
                <w:color w:val="auto"/>
              </w:rPr>
            </w:pPr>
            <w:r>
              <w:rPr>
                <w:rFonts w:ascii="Arial" w:cs="Arial" w:eastAsia="Arial" w:hAnsi="Arial"/>
                <w:sz w:val="18"/>
                <w:szCs w:val="18"/>
                <w:b w:val="1"/>
                <w:bCs w:val="1"/>
                <w:color w:val="auto"/>
              </w:rPr>
              <w:t>2021</w:t>
            </w:r>
          </w:p>
        </w:tc>
      </w:tr>
      <w:tr>
        <w:trPr>
          <w:trHeight w:val="289"/>
        </w:trPr>
        <w:tc>
          <w:tcPr>
            <w:tcW w:w="4720" w:type="dxa"/>
            <w:vAlign w:val="bottom"/>
            <w:shd w:val="clear" w:color="auto" w:fill="E6E6E6"/>
          </w:tcPr>
          <w:p>
            <w:pPr>
              <w:ind w:left="280"/>
              <w:spacing w:after="0"/>
              <w:rPr>
                <w:sz w:val="20"/>
                <w:szCs w:val="20"/>
                <w:color w:val="auto"/>
              </w:rPr>
            </w:pPr>
            <w:r>
              <w:rPr>
                <w:rFonts w:ascii="Arial" w:cs="Arial" w:eastAsia="Arial" w:hAnsi="Arial"/>
                <w:sz w:val="20"/>
                <w:szCs w:val="20"/>
                <w:color w:val="auto"/>
              </w:rPr>
              <w:t>Operating lease cost - Fixed</w:t>
            </w:r>
          </w:p>
        </w:tc>
        <w:tc>
          <w:tcPr>
            <w:tcW w:w="440" w:type="dxa"/>
            <w:vAlign w:val="bottom"/>
            <w:shd w:val="clear" w:color="auto" w:fill="E6E6E6"/>
          </w:tcPr>
          <w:p>
            <w:pPr>
              <w:jc w:val="right"/>
              <w:ind w:right="181"/>
              <w:spacing w:after="0"/>
              <w:rPr>
                <w:sz w:val="20"/>
                <w:szCs w:val="20"/>
                <w:color w:val="auto"/>
              </w:rPr>
            </w:pPr>
            <w:r>
              <w:rPr>
                <w:rFonts w:ascii="Arial" w:cs="Arial" w:eastAsia="Arial" w:hAnsi="Arial"/>
                <w:sz w:val="20"/>
                <w:szCs w:val="20"/>
                <w:color w:val="auto"/>
              </w:rPr>
              <w:t>$</w:t>
            </w:r>
          </w:p>
        </w:tc>
        <w:tc>
          <w:tcPr>
            <w:tcW w:w="1280" w:type="dxa"/>
            <w:vAlign w:val="bottom"/>
            <w:gridSpan w:val="2"/>
            <w:shd w:val="clear" w:color="auto" w:fill="E6E6E6"/>
          </w:tcPr>
          <w:p>
            <w:pPr>
              <w:ind w:left="1060"/>
              <w:spacing w:after="0"/>
              <w:rPr>
                <w:sz w:val="20"/>
                <w:szCs w:val="20"/>
                <w:color w:val="auto"/>
              </w:rPr>
            </w:pPr>
            <w:r>
              <w:rPr>
                <w:rFonts w:ascii="Arial" w:cs="Arial" w:eastAsia="Arial" w:hAnsi="Arial"/>
                <w:sz w:val="20"/>
                <w:szCs w:val="20"/>
                <w:color w:val="auto"/>
                <w:w w:val="89"/>
              </w:rPr>
              <w:t>40</w:t>
            </w:r>
          </w:p>
        </w:tc>
        <w:tc>
          <w:tcPr>
            <w:tcW w:w="1560" w:type="dxa"/>
            <w:vAlign w:val="bottom"/>
            <w:gridSpan w:val="3"/>
            <w:shd w:val="clear" w:color="auto" w:fill="E6E6E6"/>
          </w:tcPr>
          <w:p>
            <w:pPr>
              <w:jc w:val="right"/>
              <w:ind w:right="1190"/>
              <w:spacing w:after="0"/>
              <w:rPr>
                <w:sz w:val="20"/>
                <w:szCs w:val="20"/>
                <w:color w:val="auto"/>
              </w:rPr>
            </w:pPr>
            <w:r>
              <w:rPr>
                <w:rFonts w:ascii="Arial" w:cs="Arial" w:eastAsia="Arial" w:hAnsi="Arial"/>
                <w:sz w:val="20"/>
                <w:szCs w:val="20"/>
                <w:color w:val="auto"/>
              </w:rPr>
              <w:t>$</w:t>
            </w:r>
          </w:p>
        </w:tc>
        <w:tc>
          <w:tcPr>
            <w:tcW w:w="360" w:type="dxa"/>
            <w:vAlign w:val="bottom"/>
            <w:gridSpan w:val="3"/>
            <w:shd w:val="clear" w:color="auto" w:fill="E6E6E6"/>
          </w:tcPr>
          <w:p>
            <w:pPr>
              <w:jc w:val="right"/>
              <w:ind w:right="80"/>
              <w:spacing w:after="0"/>
              <w:rPr>
                <w:sz w:val="20"/>
                <w:szCs w:val="20"/>
                <w:color w:val="auto"/>
              </w:rPr>
            </w:pPr>
            <w:r>
              <w:rPr>
                <w:rFonts w:ascii="Arial" w:cs="Arial" w:eastAsia="Arial" w:hAnsi="Arial"/>
                <w:sz w:val="20"/>
                <w:szCs w:val="20"/>
                <w:color w:val="auto"/>
              </w:rPr>
              <w:t>36</w:t>
            </w:r>
          </w:p>
        </w:tc>
        <w:tc>
          <w:tcPr>
            <w:tcW w:w="60" w:type="dxa"/>
            <w:vAlign w:val="bottom"/>
            <w:shd w:val="clear" w:color="auto" w:fill="E6E6E6"/>
          </w:tcPr>
          <w:p>
            <w:pPr>
              <w:spacing w:after="0"/>
              <w:rPr>
                <w:sz w:val="24"/>
                <w:szCs w:val="24"/>
                <w:color w:val="auto"/>
              </w:rPr>
            </w:pPr>
          </w:p>
        </w:tc>
        <w:tc>
          <w:tcPr>
            <w:tcW w:w="440" w:type="dxa"/>
            <w:vAlign w:val="bottom"/>
            <w:shd w:val="clear" w:color="auto" w:fill="E6E6E6"/>
          </w:tcPr>
          <w:p>
            <w:pPr>
              <w:ind w:left="60"/>
              <w:spacing w:after="0"/>
              <w:rPr>
                <w:sz w:val="20"/>
                <w:szCs w:val="20"/>
                <w:color w:val="auto"/>
              </w:rPr>
            </w:pPr>
            <w:r>
              <w:rPr>
                <w:rFonts w:ascii="Arial" w:cs="Arial" w:eastAsia="Arial" w:hAnsi="Arial"/>
                <w:sz w:val="20"/>
                <w:szCs w:val="20"/>
                <w:color w:val="auto"/>
              </w:rPr>
              <w:t>$</w:t>
            </w: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27</w:t>
            </w:r>
          </w:p>
        </w:tc>
      </w:tr>
      <w:tr>
        <w:trPr>
          <w:trHeight w:val="288"/>
        </w:trPr>
        <w:tc>
          <w:tcPr>
            <w:tcW w:w="4720" w:type="dxa"/>
            <w:vAlign w:val="bottom"/>
            <w:tcBorders>
              <w:bottom w:val="single" w:sz="8" w:color="E6E6E6"/>
            </w:tcBorders>
          </w:tcPr>
          <w:p>
            <w:pPr>
              <w:ind w:left="280"/>
              <w:spacing w:after="0"/>
              <w:rPr>
                <w:sz w:val="20"/>
                <w:szCs w:val="20"/>
                <w:color w:val="auto"/>
              </w:rPr>
            </w:pPr>
            <w:r>
              <w:rPr>
                <w:rFonts w:ascii="Arial" w:cs="Arial" w:eastAsia="Arial" w:hAnsi="Arial"/>
                <w:sz w:val="20"/>
                <w:szCs w:val="20"/>
                <w:color w:val="auto"/>
              </w:rPr>
              <w:t>Operating lease cost - Variable</w:t>
            </w:r>
          </w:p>
        </w:tc>
        <w:tc>
          <w:tcPr>
            <w:tcW w:w="4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ind w:left="1060"/>
              <w:spacing w:after="0"/>
              <w:rPr>
                <w:sz w:val="20"/>
                <w:szCs w:val="20"/>
                <w:color w:val="auto"/>
              </w:rPr>
            </w:pPr>
            <w:r>
              <w:rPr>
                <w:rFonts w:ascii="Arial" w:cs="Arial" w:eastAsia="Arial" w:hAnsi="Arial"/>
                <w:sz w:val="20"/>
                <w:szCs w:val="20"/>
                <w:color w:val="auto"/>
                <w:w w:val="89"/>
              </w:rPr>
              <w:t>11</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20"/>
                <w:szCs w:val="20"/>
                <w:color w:val="auto"/>
              </w:rPr>
              <w:t>11</w:t>
            </w:r>
          </w:p>
        </w:tc>
        <w:tc>
          <w:tcPr>
            <w:tcW w:w="60" w:type="dxa"/>
            <w:vAlign w:val="bottom"/>
            <w:tcBorders>
              <w:bottom w:val="single" w:sz="8" w:color="E6E6E6"/>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w:t>
            </w:r>
          </w:p>
        </w:tc>
      </w:tr>
      <w:tr>
        <w:trPr>
          <w:trHeight w:val="298"/>
        </w:trPr>
        <w:tc>
          <w:tcPr>
            <w:tcW w:w="4720" w:type="dxa"/>
            <w:vAlign w:val="bottom"/>
            <w:shd w:val="clear" w:color="auto" w:fill="E6E6E6"/>
          </w:tcPr>
          <w:p>
            <w:pPr>
              <w:ind w:left="980"/>
              <w:spacing w:after="0"/>
              <w:rPr>
                <w:sz w:val="20"/>
                <w:szCs w:val="20"/>
                <w:color w:val="auto"/>
              </w:rPr>
            </w:pPr>
            <w:r>
              <w:rPr>
                <w:rFonts w:ascii="Arial" w:cs="Arial" w:eastAsia="Arial" w:hAnsi="Arial"/>
                <w:sz w:val="20"/>
                <w:szCs w:val="20"/>
                <w:b w:val="1"/>
                <w:bCs w:val="1"/>
                <w:color w:val="auto"/>
              </w:rPr>
              <w:t>Total lease cost</w:t>
            </w:r>
          </w:p>
        </w:tc>
        <w:tc>
          <w:tcPr>
            <w:tcW w:w="440" w:type="dxa"/>
            <w:vAlign w:val="bottom"/>
            <w:shd w:val="clear" w:color="auto" w:fill="E6E6E6"/>
          </w:tcPr>
          <w:p>
            <w:pPr>
              <w:jc w:val="right"/>
              <w:ind w:right="181"/>
              <w:spacing w:after="0"/>
              <w:rPr>
                <w:sz w:val="20"/>
                <w:szCs w:val="20"/>
                <w:color w:val="auto"/>
              </w:rPr>
            </w:pPr>
            <w:r>
              <w:rPr>
                <w:rFonts w:ascii="Arial" w:cs="Arial" w:eastAsia="Arial" w:hAnsi="Arial"/>
                <w:sz w:val="20"/>
                <w:szCs w:val="20"/>
                <w:color w:val="auto"/>
              </w:rPr>
              <w:t>$</w:t>
            </w:r>
          </w:p>
        </w:tc>
        <w:tc>
          <w:tcPr>
            <w:tcW w:w="1280" w:type="dxa"/>
            <w:vAlign w:val="bottom"/>
            <w:gridSpan w:val="2"/>
            <w:shd w:val="clear" w:color="auto" w:fill="E6E6E6"/>
          </w:tcPr>
          <w:p>
            <w:pPr>
              <w:ind w:left="1060"/>
              <w:spacing w:after="0"/>
              <w:rPr>
                <w:sz w:val="20"/>
                <w:szCs w:val="20"/>
                <w:color w:val="auto"/>
              </w:rPr>
            </w:pPr>
            <w:r>
              <w:rPr>
                <w:rFonts w:ascii="Arial" w:cs="Arial" w:eastAsia="Arial" w:hAnsi="Arial"/>
                <w:sz w:val="20"/>
                <w:szCs w:val="20"/>
                <w:color w:val="auto"/>
                <w:w w:val="89"/>
              </w:rPr>
              <w:t>51</w:t>
            </w:r>
          </w:p>
        </w:tc>
        <w:tc>
          <w:tcPr>
            <w:tcW w:w="1560" w:type="dxa"/>
            <w:vAlign w:val="bottom"/>
            <w:gridSpan w:val="3"/>
            <w:shd w:val="clear" w:color="auto" w:fill="E6E6E6"/>
          </w:tcPr>
          <w:p>
            <w:pPr>
              <w:jc w:val="right"/>
              <w:ind w:right="1190"/>
              <w:spacing w:after="0"/>
              <w:rPr>
                <w:sz w:val="20"/>
                <w:szCs w:val="20"/>
                <w:color w:val="auto"/>
              </w:rPr>
            </w:pPr>
            <w:r>
              <w:rPr>
                <w:rFonts w:ascii="Arial" w:cs="Arial" w:eastAsia="Arial" w:hAnsi="Arial"/>
                <w:sz w:val="20"/>
                <w:szCs w:val="20"/>
                <w:color w:val="auto"/>
              </w:rPr>
              <w:t>$</w:t>
            </w:r>
          </w:p>
        </w:tc>
        <w:tc>
          <w:tcPr>
            <w:tcW w:w="360" w:type="dxa"/>
            <w:vAlign w:val="bottom"/>
            <w:gridSpan w:val="3"/>
            <w:shd w:val="clear" w:color="auto" w:fill="E6E6E6"/>
          </w:tcPr>
          <w:p>
            <w:pPr>
              <w:jc w:val="right"/>
              <w:ind w:right="80"/>
              <w:spacing w:after="0"/>
              <w:rPr>
                <w:sz w:val="20"/>
                <w:szCs w:val="20"/>
                <w:color w:val="auto"/>
              </w:rPr>
            </w:pPr>
            <w:r>
              <w:rPr>
                <w:rFonts w:ascii="Arial" w:cs="Arial" w:eastAsia="Arial" w:hAnsi="Arial"/>
                <w:sz w:val="20"/>
                <w:szCs w:val="20"/>
                <w:color w:val="auto"/>
              </w:rPr>
              <w:t>47</w:t>
            </w:r>
          </w:p>
        </w:tc>
        <w:tc>
          <w:tcPr>
            <w:tcW w:w="60" w:type="dxa"/>
            <w:vAlign w:val="bottom"/>
            <w:shd w:val="clear" w:color="auto" w:fill="E6E6E6"/>
          </w:tcPr>
          <w:p>
            <w:pPr>
              <w:spacing w:after="0"/>
              <w:rPr>
                <w:sz w:val="24"/>
                <w:szCs w:val="24"/>
                <w:color w:val="auto"/>
              </w:rPr>
            </w:pPr>
          </w:p>
        </w:tc>
        <w:tc>
          <w:tcPr>
            <w:tcW w:w="440" w:type="dxa"/>
            <w:vAlign w:val="bottom"/>
            <w:shd w:val="clear" w:color="auto" w:fill="E6E6E6"/>
          </w:tcPr>
          <w:p>
            <w:pPr>
              <w:ind w:left="60"/>
              <w:spacing w:after="0"/>
              <w:rPr>
                <w:sz w:val="20"/>
                <w:szCs w:val="20"/>
                <w:color w:val="auto"/>
              </w:rPr>
            </w:pPr>
            <w:r>
              <w:rPr>
                <w:rFonts w:ascii="Arial" w:cs="Arial" w:eastAsia="Arial" w:hAnsi="Arial"/>
                <w:sz w:val="20"/>
                <w:szCs w:val="20"/>
                <w:color w:val="auto"/>
              </w:rPr>
              <w:t>$</w:t>
            </w: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42</w:t>
            </w:r>
          </w:p>
        </w:tc>
      </w:tr>
      <w:tr>
        <w:trPr>
          <w:trHeight w:val="447"/>
        </w:trPr>
        <w:tc>
          <w:tcPr>
            <w:tcW w:w="4720" w:type="dxa"/>
            <w:vAlign w:val="bottom"/>
            <w:tcBorders>
              <w:top w:val="single" w:sz="8" w:color="E6E6E6"/>
            </w:tcBorders>
          </w:tcPr>
          <w:p>
            <w:pPr>
              <w:ind w:left="440"/>
              <w:spacing w:after="0"/>
              <w:rPr>
                <w:sz w:val="20"/>
                <w:szCs w:val="20"/>
                <w:color w:val="auto"/>
              </w:rPr>
            </w:pPr>
            <w:r>
              <w:rPr>
                <w:rFonts w:ascii="Arial" w:cs="Arial" w:eastAsia="Arial" w:hAnsi="Arial"/>
                <w:sz w:val="20"/>
                <w:szCs w:val="20"/>
                <w:color w:val="auto"/>
              </w:rPr>
              <w:t>Operating lease information was as follows:</w:t>
            </w:r>
          </w:p>
        </w:tc>
        <w:tc>
          <w:tcPr>
            <w:tcW w:w="4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E6E6E6"/>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 w:type="dxa"/>
            <w:vAlign w:val="bottom"/>
            <w:tcBorders>
              <w:top w:val="single" w:sz="8" w:color="E6E6E6"/>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r>
      <w:tr>
        <w:trPr>
          <w:trHeight w:val="374"/>
        </w:trPr>
        <w:tc>
          <w:tcPr>
            <w:tcW w:w="4720" w:type="dxa"/>
            <w:vAlign w:val="bottom"/>
            <w:tcBorders>
              <w:bottom w:val="single" w:sz="8" w:color="E6E6E6"/>
            </w:tcBorders>
          </w:tcPr>
          <w:p>
            <w:pPr>
              <w:ind w:left="40"/>
              <w:spacing w:after="0"/>
              <w:rPr>
                <w:sz w:val="20"/>
                <w:szCs w:val="20"/>
                <w:color w:val="auto"/>
              </w:rPr>
            </w:pPr>
            <w:r>
              <w:rPr>
                <w:rFonts w:ascii="Arial" w:cs="Arial" w:eastAsia="Arial" w:hAnsi="Arial"/>
                <w:sz w:val="16"/>
                <w:szCs w:val="16"/>
                <w:b w:val="1"/>
                <w:bCs w:val="1"/>
                <w:color w:val="auto"/>
              </w:rPr>
              <w:t>(In millions, except term and rate)</w:t>
            </w:r>
          </w:p>
        </w:tc>
        <w:tc>
          <w:tcPr>
            <w:tcW w:w="440" w:type="dxa"/>
            <w:vAlign w:val="bottom"/>
            <w:tcBorders>
              <w:bottom w:val="single" w:sz="8" w:color="E6E6E6"/>
            </w:tcBorders>
          </w:tcPr>
          <w:p>
            <w:pPr>
              <w:spacing w:after="0"/>
              <w:rPr>
                <w:sz w:val="24"/>
                <w:szCs w:val="24"/>
                <w:color w:val="auto"/>
              </w:rPr>
            </w:pPr>
          </w:p>
        </w:tc>
        <w:tc>
          <w:tcPr>
            <w:tcW w:w="1020" w:type="dxa"/>
            <w:vAlign w:val="bottom"/>
            <w:tcBorders>
              <w:bottom w:val="single" w:sz="8" w:color="E6E6E6"/>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w w:val="88"/>
              </w:rPr>
              <w:t>December 31, 2023</w:t>
            </w: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December 31, 2022</w:t>
            </w:r>
          </w:p>
        </w:tc>
      </w:tr>
      <w:tr>
        <w:trPr>
          <w:trHeight w:val="279"/>
        </w:trPr>
        <w:tc>
          <w:tcPr>
            <w:tcW w:w="4720" w:type="dxa"/>
            <w:vAlign w:val="bottom"/>
            <w:shd w:val="clear" w:color="auto" w:fill="E6E6E6"/>
          </w:tcPr>
          <w:p>
            <w:pPr>
              <w:ind w:left="280"/>
              <w:spacing w:after="0" w:line="278" w:lineRule="exact"/>
              <w:rPr>
                <w:sz w:val="20"/>
                <w:szCs w:val="20"/>
                <w:color w:val="auto"/>
              </w:rPr>
            </w:pPr>
            <w:r>
              <w:rPr>
                <w:rFonts w:ascii="Arial" w:cs="Arial" w:eastAsia="Arial" w:hAnsi="Arial"/>
                <w:sz w:val="20"/>
                <w:szCs w:val="20"/>
                <w:color w:val="auto"/>
              </w:rPr>
              <w:t xml:space="preserve">Right-of-use assets - operating leases, net </w:t>
            </w:r>
            <w:r>
              <w:rPr>
                <w:rFonts w:ascii="Arial" w:cs="Arial" w:eastAsia="Arial" w:hAnsi="Arial"/>
                <w:sz w:val="25"/>
                <w:szCs w:val="25"/>
                <w:color w:val="auto"/>
                <w:vertAlign w:val="superscript"/>
              </w:rPr>
              <w:t>(a)</w:t>
            </w:r>
          </w:p>
        </w:tc>
        <w:tc>
          <w:tcPr>
            <w:tcW w:w="440" w:type="dxa"/>
            <w:vAlign w:val="bottom"/>
            <w:shd w:val="clear" w:color="auto" w:fill="E6E6E6"/>
          </w:tcPr>
          <w:p>
            <w:pPr>
              <w:spacing w:after="0"/>
              <w:rPr>
                <w:sz w:val="24"/>
                <w:szCs w:val="24"/>
                <w:color w:val="auto"/>
              </w:rPr>
            </w:pPr>
          </w:p>
        </w:tc>
        <w:tc>
          <w:tcPr>
            <w:tcW w:w="1280" w:type="dxa"/>
            <w:vAlign w:val="bottom"/>
            <w:gridSpan w:val="2"/>
            <w:shd w:val="clear" w:color="auto" w:fill="E6E6E6"/>
          </w:tcPr>
          <w:p>
            <w:pPr>
              <w:ind w:left="1060"/>
              <w:spacing w:after="0"/>
              <w:rPr>
                <w:sz w:val="20"/>
                <w:szCs w:val="20"/>
                <w:color w:val="auto"/>
              </w:rPr>
            </w:pPr>
            <w:r>
              <w:rPr>
                <w:rFonts w:ascii="Arial" w:cs="Arial" w:eastAsia="Arial" w:hAnsi="Arial"/>
                <w:sz w:val="20"/>
                <w:szCs w:val="20"/>
                <w:color w:val="auto"/>
              </w:rPr>
              <w:t>$</w:t>
            </w:r>
          </w:p>
        </w:tc>
        <w:tc>
          <w:tcPr>
            <w:tcW w:w="1560" w:type="dxa"/>
            <w:vAlign w:val="bottom"/>
            <w:gridSpan w:val="3"/>
            <w:shd w:val="clear" w:color="auto" w:fill="E6E6E6"/>
          </w:tcPr>
          <w:p>
            <w:pPr>
              <w:jc w:val="right"/>
              <w:spacing w:after="0"/>
              <w:rPr>
                <w:sz w:val="20"/>
                <w:szCs w:val="20"/>
                <w:color w:val="auto"/>
              </w:rPr>
            </w:pPr>
            <w:r>
              <w:rPr>
                <w:rFonts w:ascii="Arial" w:cs="Arial" w:eastAsia="Arial" w:hAnsi="Arial"/>
                <w:sz w:val="20"/>
                <w:szCs w:val="20"/>
                <w:color w:val="auto"/>
              </w:rPr>
              <w:t>597</w:t>
            </w:r>
          </w:p>
        </w:tc>
        <w:tc>
          <w:tcPr>
            <w:tcW w:w="420" w:type="dxa"/>
            <w:vAlign w:val="bottom"/>
            <w:gridSpan w:val="4"/>
            <w:shd w:val="clear" w:color="auto" w:fill="E6E6E6"/>
          </w:tcPr>
          <w:p>
            <w:pPr>
              <w:jc w:val="right"/>
              <w:ind w:right="40"/>
              <w:spacing w:after="0"/>
              <w:rPr>
                <w:sz w:val="20"/>
                <w:szCs w:val="20"/>
                <w:color w:val="auto"/>
              </w:rPr>
            </w:pPr>
            <w:r>
              <w:rPr>
                <w:rFonts w:ascii="Arial" w:cs="Arial" w:eastAsia="Arial" w:hAnsi="Arial"/>
                <w:sz w:val="20"/>
                <w:szCs w:val="20"/>
                <w:color w:val="auto"/>
              </w:rPr>
              <w:t>$</w:t>
            </w:r>
          </w:p>
        </w:tc>
        <w:tc>
          <w:tcPr>
            <w:tcW w:w="440" w:type="dxa"/>
            <w:vAlign w:val="bottom"/>
            <w:shd w:val="clear" w:color="auto" w:fill="E6E6E6"/>
          </w:tcPr>
          <w:p>
            <w:pPr>
              <w:spacing w:after="0"/>
              <w:rPr>
                <w:sz w:val="24"/>
                <w:szCs w:val="24"/>
                <w:color w:val="auto"/>
              </w:rPr>
            </w:pPr>
          </w:p>
        </w:tc>
        <w:tc>
          <w:tcPr>
            <w:tcW w:w="1340" w:type="dxa"/>
            <w:vAlign w:val="bottom"/>
            <w:shd w:val="clear" w:color="auto" w:fill="E6E6E6"/>
          </w:tcPr>
          <w:p>
            <w:pPr>
              <w:jc w:val="right"/>
              <w:ind w:right="141"/>
              <w:spacing w:after="0"/>
              <w:rPr>
                <w:sz w:val="20"/>
                <w:szCs w:val="20"/>
                <w:color w:val="auto"/>
              </w:rPr>
            </w:pPr>
            <w:r>
              <w:rPr>
                <w:rFonts w:ascii="Arial" w:cs="Arial" w:eastAsia="Arial" w:hAnsi="Arial"/>
                <w:sz w:val="20"/>
                <w:szCs w:val="20"/>
                <w:color w:val="auto"/>
              </w:rPr>
              <w:t>527</w:t>
            </w:r>
          </w:p>
        </w:tc>
      </w:tr>
      <w:tr>
        <w:trPr>
          <w:trHeight w:val="184"/>
        </w:trPr>
        <w:tc>
          <w:tcPr>
            <w:tcW w:w="4720" w:type="dxa"/>
            <w:vAlign w:val="bottom"/>
            <w:tcBorders>
              <w:top w:val="single" w:sz="8" w:color="E6E6E6"/>
            </w:tcBorders>
          </w:tcPr>
          <w:p>
            <w:pPr>
              <w:spacing w:after="0"/>
              <w:rPr>
                <w:sz w:val="16"/>
                <w:szCs w:val="16"/>
                <w:color w:val="auto"/>
              </w:rPr>
            </w:pPr>
          </w:p>
        </w:tc>
        <w:tc>
          <w:tcPr>
            <w:tcW w:w="440" w:type="dxa"/>
            <w:vAlign w:val="bottom"/>
            <w:tcBorders>
              <w:top w:val="single" w:sz="8" w:color="E6E6E6"/>
            </w:tcBorders>
          </w:tcPr>
          <w:p>
            <w:pPr>
              <w:spacing w:after="0"/>
              <w:rPr>
                <w:sz w:val="16"/>
                <w:szCs w:val="16"/>
                <w:color w:val="auto"/>
              </w:rPr>
            </w:pPr>
          </w:p>
        </w:tc>
        <w:tc>
          <w:tcPr>
            <w:tcW w:w="1020" w:type="dxa"/>
            <w:vAlign w:val="bottom"/>
            <w:tcBorders>
              <w:top w:val="single" w:sz="8" w:color="E6E6E6"/>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 w:type="dxa"/>
            <w:vAlign w:val="bottom"/>
            <w:tcBorders>
              <w:top w:val="single" w:sz="8" w:color="E6E6E6"/>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r>
      <w:tr>
        <w:trPr>
          <w:trHeight w:val="299"/>
        </w:trPr>
        <w:tc>
          <w:tcPr>
            <w:tcW w:w="4720" w:type="dxa"/>
            <w:vAlign w:val="bottom"/>
            <w:shd w:val="clear" w:color="auto" w:fill="E6E6E6"/>
          </w:tcPr>
          <w:p>
            <w:pPr>
              <w:ind w:left="280"/>
              <w:spacing w:after="0"/>
              <w:rPr>
                <w:sz w:val="20"/>
                <w:szCs w:val="20"/>
                <w:color w:val="auto"/>
              </w:rPr>
            </w:pPr>
            <w:r>
              <w:rPr>
                <w:rFonts w:ascii="Arial" w:cs="Arial" w:eastAsia="Arial" w:hAnsi="Arial"/>
                <w:sz w:val="20"/>
                <w:szCs w:val="20"/>
                <w:color w:val="auto"/>
              </w:rPr>
              <w:t xml:space="preserve">Short-term lease liability - operating leases </w:t>
            </w:r>
            <w:r>
              <w:rPr>
                <w:rFonts w:ascii="Arial" w:cs="Arial" w:eastAsia="Arial" w:hAnsi="Arial"/>
                <w:sz w:val="25"/>
                <w:szCs w:val="25"/>
                <w:color w:val="auto"/>
                <w:vertAlign w:val="superscript"/>
              </w:rPr>
              <w:t>(b)</w:t>
            </w:r>
          </w:p>
        </w:tc>
        <w:tc>
          <w:tcPr>
            <w:tcW w:w="440" w:type="dxa"/>
            <w:vAlign w:val="bottom"/>
            <w:shd w:val="clear" w:color="auto" w:fill="E6E6E6"/>
          </w:tcPr>
          <w:p>
            <w:pPr>
              <w:spacing w:after="0"/>
              <w:rPr>
                <w:sz w:val="24"/>
                <w:szCs w:val="24"/>
                <w:color w:val="auto"/>
              </w:rPr>
            </w:pPr>
          </w:p>
        </w:tc>
        <w:tc>
          <w:tcPr>
            <w:tcW w:w="1280" w:type="dxa"/>
            <w:vAlign w:val="bottom"/>
            <w:gridSpan w:val="2"/>
            <w:shd w:val="clear" w:color="auto" w:fill="E6E6E6"/>
          </w:tcPr>
          <w:p>
            <w:pPr>
              <w:ind w:left="1060"/>
              <w:spacing w:after="0"/>
              <w:rPr>
                <w:sz w:val="20"/>
                <w:szCs w:val="20"/>
                <w:color w:val="auto"/>
              </w:rPr>
            </w:pPr>
            <w:r>
              <w:rPr>
                <w:rFonts w:ascii="Arial" w:cs="Arial" w:eastAsia="Arial" w:hAnsi="Arial"/>
                <w:sz w:val="20"/>
                <w:szCs w:val="20"/>
                <w:color w:val="auto"/>
              </w:rPr>
              <w:t>$</w:t>
            </w:r>
          </w:p>
        </w:tc>
        <w:tc>
          <w:tcPr>
            <w:tcW w:w="1560" w:type="dxa"/>
            <w:vAlign w:val="bottom"/>
            <w:gridSpan w:val="3"/>
            <w:shd w:val="clear" w:color="auto" w:fill="E6E6E6"/>
          </w:tcPr>
          <w:p>
            <w:pPr>
              <w:jc w:val="right"/>
              <w:spacing w:after="0"/>
              <w:rPr>
                <w:sz w:val="20"/>
                <w:szCs w:val="20"/>
                <w:color w:val="auto"/>
              </w:rPr>
            </w:pPr>
            <w:r>
              <w:rPr>
                <w:rFonts w:ascii="Arial" w:cs="Arial" w:eastAsia="Arial" w:hAnsi="Arial"/>
                <w:sz w:val="20"/>
                <w:szCs w:val="20"/>
                <w:color w:val="auto"/>
              </w:rPr>
              <w:t>7</w:t>
            </w:r>
          </w:p>
        </w:tc>
        <w:tc>
          <w:tcPr>
            <w:tcW w:w="420" w:type="dxa"/>
            <w:vAlign w:val="bottom"/>
            <w:gridSpan w:val="4"/>
            <w:shd w:val="clear" w:color="auto" w:fill="E6E6E6"/>
          </w:tcPr>
          <w:p>
            <w:pPr>
              <w:jc w:val="right"/>
              <w:ind w:right="40"/>
              <w:spacing w:after="0"/>
              <w:rPr>
                <w:sz w:val="20"/>
                <w:szCs w:val="20"/>
                <w:color w:val="auto"/>
              </w:rPr>
            </w:pPr>
            <w:r>
              <w:rPr>
                <w:rFonts w:ascii="Arial" w:cs="Arial" w:eastAsia="Arial" w:hAnsi="Arial"/>
                <w:sz w:val="20"/>
                <w:szCs w:val="20"/>
                <w:color w:val="auto"/>
              </w:rPr>
              <w:t>$</w:t>
            </w:r>
          </w:p>
        </w:tc>
        <w:tc>
          <w:tcPr>
            <w:tcW w:w="440" w:type="dxa"/>
            <w:vAlign w:val="bottom"/>
            <w:shd w:val="clear" w:color="auto" w:fill="E6E6E6"/>
          </w:tcPr>
          <w:p>
            <w:pPr>
              <w:spacing w:after="0"/>
              <w:rPr>
                <w:sz w:val="24"/>
                <w:szCs w:val="24"/>
                <w:color w:val="auto"/>
              </w:rPr>
            </w:pPr>
          </w:p>
        </w:tc>
        <w:tc>
          <w:tcPr>
            <w:tcW w:w="1340" w:type="dxa"/>
            <w:vAlign w:val="bottom"/>
            <w:shd w:val="clear" w:color="auto" w:fill="E6E6E6"/>
          </w:tcPr>
          <w:p>
            <w:pPr>
              <w:jc w:val="right"/>
              <w:ind w:right="141"/>
              <w:spacing w:after="0"/>
              <w:rPr>
                <w:sz w:val="20"/>
                <w:szCs w:val="20"/>
                <w:color w:val="auto"/>
              </w:rPr>
            </w:pPr>
            <w:r>
              <w:rPr>
                <w:rFonts w:ascii="Arial" w:cs="Arial" w:eastAsia="Arial" w:hAnsi="Arial"/>
                <w:sz w:val="20"/>
                <w:szCs w:val="20"/>
                <w:color w:val="auto"/>
              </w:rPr>
              <w:t>6</w:t>
            </w:r>
          </w:p>
        </w:tc>
      </w:tr>
      <w:tr>
        <w:trPr>
          <w:trHeight w:val="288"/>
        </w:trPr>
        <w:tc>
          <w:tcPr>
            <w:tcW w:w="4720" w:type="dxa"/>
            <w:vAlign w:val="bottom"/>
            <w:tcBorders>
              <w:bottom w:val="single" w:sz="8" w:color="E6E6E6"/>
            </w:tcBorders>
          </w:tcPr>
          <w:p>
            <w:pPr>
              <w:ind w:left="280"/>
              <w:spacing w:after="0"/>
              <w:rPr>
                <w:sz w:val="20"/>
                <w:szCs w:val="20"/>
                <w:color w:val="auto"/>
              </w:rPr>
            </w:pPr>
            <w:r>
              <w:rPr>
                <w:rFonts w:ascii="Arial" w:cs="Arial" w:eastAsia="Arial" w:hAnsi="Arial"/>
                <w:sz w:val="20"/>
                <w:szCs w:val="20"/>
                <w:color w:val="auto"/>
              </w:rPr>
              <w:t xml:space="preserve">Long-term lease liability - operating leases </w:t>
            </w:r>
            <w:r>
              <w:rPr>
                <w:rFonts w:ascii="Arial" w:cs="Arial" w:eastAsia="Arial" w:hAnsi="Arial"/>
                <w:sz w:val="25"/>
                <w:szCs w:val="25"/>
                <w:color w:val="auto"/>
                <w:vertAlign w:val="superscript"/>
              </w:rPr>
              <w:t>(a)</w:t>
            </w:r>
          </w:p>
        </w:tc>
        <w:tc>
          <w:tcPr>
            <w:tcW w:w="440" w:type="dxa"/>
            <w:vAlign w:val="bottom"/>
            <w:tcBorders>
              <w:bottom w:val="single" w:sz="8" w:color="E6E6E6"/>
            </w:tcBorders>
          </w:tcPr>
          <w:p>
            <w:pPr>
              <w:spacing w:after="0"/>
              <w:rPr>
                <w:sz w:val="24"/>
                <w:szCs w:val="24"/>
                <w:color w:val="auto"/>
              </w:rPr>
            </w:pPr>
          </w:p>
        </w:tc>
        <w:tc>
          <w:tcPr>
            <w:tcW w:w="1020" w:type="dxa"/>
            <w:vAlign w:val="bottom"/>
            <w:tcBorders>
              <w:bottom w:val="single" w:sz="8" w:color="E6E6E6"/>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627</w:t>
            </w: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548</w:t>
            </w:r>
          </w:p>
        </w:tc>
      </w:tr>
      <w:tr>
        <w:trPr>
          <w:trHeight w:val="298"/>
        </w:trPr>
        <w:tc>
          <w:tcPr>
            <w:tcW w:w="4720" w:type="dxa"/>
            <w:vAlign w:val="bottom"/>
            <w:shd w:val="clear" w:color="auto" w:fill="E6E6E6"/>
          </w:tcPr>
          <w:p>
            <w:pPr>
              <w:ind w:left="980"/>
              <w:spacing w:after="0"/>
              <w:rPr>
                <w:sz w:val="20"/>
                <w:szCs w:val="20"/>
                <w:color w:val="auto"/>
              </w:rPr>
            </w:pPr>
            <w:r>
              <w:rPr>
                <w:rFonts w:ascii="Arial" w:cs="Arial" w:eastAsia="Arial" w:hAnsi="Arial"/>
                <w:sz w:val="20"/>
                <w:szCs w:val="20"/>
                <w:b w:val="1"/>
                <w:bCs w:val="1"/>
                <w:color w:val="auto"/>
              </w:rPr>
              <w:t>Total lease liabilities</w:t>
            </w:r>
          </w:p>
        </w:tc>
        <w:tc>
          <w:tcPr>
            <w:tcW w:w="440" w:type="dxa"/>
            <w:vAlign w:val="bottom"/>
            <w:shd w:val="clear" w:color="auto" w:fill="E6E6E6"/>
          </w:tcPr>
          <w:p>
            <w:pPr>
              <w:spacing w:after="0"/>
              <w:rPr>
                <w:sz w:val="24"/>
                <w:szCs w:val="24"/>
                <w:color w:val="auto"/>
              </w:rPr>
            </w:pPr>
          </w:p>
        </w:tc>
        <w:tc>
          <w:tcPr>
            <w:tcW w:w="1280" w:type="dxa"/>
            <w:vAlign w:val="bottom"/>
            <w:gridSpan w:val="2"/>
            <w:shd w:val="clear" w:color="auto" w:fill="E6E6E6"/>
          </w:tcPr>
          <w:p>
            <w:pPr>
              <w:ind w:left="1060"/>
              <w:spacing w:after="0"/>
              <w:rPr>
                <w:sz w:val="20"/>
                <w:szCs w:val="20"/>
                <w:color w:val="auto"/>
              </w:rPr>
            </w:pPr>
            <w:r>
              <w:rPr>
                <w:rFonts w:ascii="Arial" w:cs="Arial" w:eastAsia="Arial" w:hAnsi="Arial"/>
                <w:sz w:val="20"/>
                <w:szCs w:val="20"/>
                <w:color w:val="auto"/>
              </w:rPr>
              <w:t>$</w:t>
            </w:r>
          </w:p>
        </w:tc>
        <w:tc>
          <w:tcPr>
            <w:tcW w:w="1560" w:type="dxa"/>
            <w:vAlign w:val="bottom"/>
            <w:gridSpan w:val="3"/>
            <w:shd w:val="clear" w:color="auto" w:fill="E6E6E6"/>
          </w:tcPr>
          <w:p>
            <w:pPr>
              <w:jc w:val="right"/>
              <w:spacing w:after="0"/>
              <w:rPr>
                <w:sz w:val="20"/>
                <w:szCs w:val="20"/>
                <w:color w:val="auto"/>
              </w:rPr>
            </w:pPr>
            <w:r>
              <w:rPr>
                <w:rFonts w:ascii="Arial" w:cs="Arial" w:eastAsia="Arial" w:hAnsi="Arial"/>
                <w:sz w:val="20"/>
                <w:szCs w:val="20"/>
                <w:color w:val="auto"/>
              </w:rPr>
              <w:t>634</w:t>
            </w:r>
          </w:p>
        </w:tc>
        <w:tc>
          <w:tcPr>
            <w:tcW w:w="420" w:type="dxa"/>
            <w:vAlign w:val="bottom"/>
            <w:gridSpan w:val="4"/>
            <w:shd w:val="clear" w:color="auto" w:fill="E6E6E6"/>
          </w:tcPr>
          <w:p>
            <w:pPr>
              <w:jc w:val="right"/>
              <w:ind w:right="40"/>
              <w:spacing w:after="0"/>
              <w:rPr>
                <w:sz w:val="20"/>
                <w:szCs w:val="20"/>
                <w:color w:val="auto"/>
              </w:rPr>
            </w:pPr>
            <w:r>
              <w:rPr>
                <w:rFonts w:ascii="Arial" w:cs="Arial" w:eastAsia="Arial" w:hAnsi="Arial"/>
                <w:sz w:val="20"/>
                <w:szCs w:val="20"/>
                <w:color w:val="auto"/>
              </w:rPr>
              <w:t>$</w:t>
            </w:r>
          </w:p>
        </w:tc>
        <w:tc>
          <w:tcPr>
            <w:tcW w:w="440" w:type="dxa"/>
            <w:vAlign w:val="bottom"/>
            <w:shd w:val="clear" w:color="auto" w:fill="E6E6E6"/>
          </w:tcPr>
          <w:p>
            <w:pPr>
              <w:spacing w:after="0"/>
              <w:rPr>
                <w:sz w:val="24"/>
                <w:szCs w:val="24"/>
                <w:color w:val="auto"/>
              </w:rPr>
            </w:pPr>
          </w:p>
        </w:tc>
        <w:tc>
          <w:tcPr>
            <w:tcW w:w="1340" w:type="dxa"/>
            <w:vAlign w:val="bottom"/>
            <w:shd w:val="clear" w:color="auto" w:fill="E6E6E6"/>
          </w:tcPr>
          <w:p>
            <w:pPr>
              <w:jc w:val="right"/>
              <w:ind w:right="141"/>
              <w:spacing w:after="0"/>
              <w:rPr>
                <w:sz w:val="20"/>
                <w:szCs w:val="20"/>
                <w:color w:val="auto"/>
              </w:rPr>
            </w:pPr>
            <w:r>
              <w:rPr>
                <w:rFonts w:ascii="Arial" w:cs="Arial" w:eastAsia="Arial" w:hAnsi="Arial"/>
                <w:sz w:val="20"/>
                <w:szCs w:val="20"/>
                <w:color w:val="auto"/>
              </w:rPr>
              <w:t>554</w:t>
            </w:r>
          </w:p>
        </w:tc>
      </w:tr>
      <w:tr>
        <w:trPr>
          <w:trHeight w:val="164"/>
        </w:trPr>
        <w:tc>
          <w:tcPr>
            <w:tcW w:w="4720" w:type="dxa"/>
            <w:vAlign w:val="bottom"/>
            <w:tcBorders>
              <w:top w:val="single" w:sz="8" w:color="E6E6E6"/>
            </w:tcBorders>
          </w:tcPr>
          <w:p>
            <w:pPr>
              <w:spacing w:after="0"/>
              <w:rPr>
                <w:sz w:val="14"/>
                <w:szCs w:val="14"/>
                <w:color w:val="auto"/>
              </w:rPr>
            </w:pPr>
          </w:p>
        </w:tc>
        <w:tc>
          <w:tcPr>
            <w:tcW w:w="440" w:type="dxa"/>
            <w:vAlign w:val="bottom"/>
            <w:tcBorders>
              <w:top w:val="single" w:sz="8" w:color="E6E6E6"/>
            </w:tcBorders>
          </w:tcPr>
          <w:p>
            <w:pPr>
              <w:spacing w:after="0"/>
              <w:rPr>
                <w:sz w:val="14"/>
                <w:szCs w:val="14"/>
                <w:color w:val="auto"/>
              </w:rPr>
            </w:pPr>
          </w:p>
        </w:tc>
        <w:tc>
          <w:tcPr>
            <w:tcW w:w="1020" w:type="dxa"/>
            <w:vAlign w:val="bottom"/>
            <w:tcBorders>
              <w:top w:val="single" w:sz="8" w:color="E6E6E6"/>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 w:type="dxa"/>
            <w:vAlign w:val="bottom"/>
            <w:tcBorders>
              <w:top w:val="single" w:sz="8" w:color="E6E6E6"/>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r>
      <w:tr>
        <w:trPr>
          <w:trHeight w:val="299"/>
        </w:trPr>
        <w:tc>
          <w:tcPr>
            <w:tcW w:w="4720" w:type="dxa"/>
            <w:vAlign w:val="bottom"/>
            <w:shd w:val="clear" w:color="auto" w:fill="E6E6E6"/>
          </w:tcPr>
          <w:p>
            <w:pPr>
              <w:ind w:left="280"/>
              <w:spacing w:after="0"/>
              <w:rPr>
                <w:sz w:val="20"/>
                <w:szCs w:val="20"/>
                <w:color w:val="auto"/>
              </w:rPr>
            </w:pPr>
            <w:r>
              <w:rPr>
                <w:rFonts w:ascii="Arial" w:cs="Arial" w:eastAsia="Arial" w:hAnsi="Arial"/>
                <w:sz w:val="20"/>
                <w:szCs w:val="20"/>
                <w:color w:val="auto"/>
                <w:w w:val="99"/>
              </w:rPr>
              <w:t>Weighted average remaining lease term (in years)</w:t>
            </w:r>
          </w:p>
        </w:tc>
        <w:tc>
          <w:tcPr>
            <w:tcW w:w="440" w:type="dxa"/>
            <w:vAlign w:val="bottom"/>
            <w:shd w:val="clear" w:color="auto" w:fill="E6E6E6"/>
          </w:tcPr>
          <w:p>
            <w:pPr>
              <w:spacing w:after="0"/>
              <w:rPr>
                <w:sz w:val="24"/>
                <w:szCs w:val="24"/>
                <w:color w:val="auto"/>
              </w:rPr>
            </w:pPr>
          </w:p>
        </w:tc>
        <w:tc>
          <w:tcPr>
            <w:tcW w:w="102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720" w:type="dxa"/>
            <w:vAlign w:val="bottom"/>
            <w:gridSpan w:val="4"/>
            <w:shd w:val="clear" w:color="auto" w:fill="E6E6E6"/>
          </w:tcPr>
          <w:p>
            <w:pPr>
              <w:jc w:val="right"/>
              <w:spacing w:after="0"/>
              <w:rPr>
                <w:sz w:val="20"/>
                <w:szCs w:val="20"/>
                <w:color w:val="auto"/>
              </w:rPr>
            </w:pPr>
            <w:r>
              <w:rPr>
                <w:rFonts w:ascii="Arial" w:cs="Arial" w:eastAsia="Arial" w:hAnsi="Arial"/>
                <w:sz w:val="20"/>
                <w:szCs w:val="20"/>
                <w:color w:val="auto"/>
              </w:rPr>
              <w:t>28</w:t>
            </w:r>
          </w:p>
        </w:tc>
        <w:tc>
          <w:tcPr>
            <w:tcW w:w="6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27</w:t>
            </w:r>
          </w:p>
        </w:tc>
      </w:tr>
      <w:tr>
        <w:trPr>
          <w:trHeight w:val="292"/>
        </w:trPr>
        <w:tc>
          <w:tcPr>
            <w:tcW w:w="4720" w:type="dxa"/>
            <w:vAlign w:val="bottom"/>
          </w:tcPr>
          <w:p>
            <w:pPr>
              <w:ind w:left="280"/>
              <w:spacing w:after="0"/>
              <w:rPr>
                <w:sz w:val="20"/>
                <w:szCs w:val="20"/>
                <w:color w:val="auto"/>
              </w:rPr>
            </w:pPr>
            <w:r>
              <w:rPr>
                <w:rFonts w:ascii="Arial" w:cs="Arial" w:eastAsia="Arial" w:hAnsi="Arial"/>
                <w:sz w:val="20"/>
                <w:szCs w:val="20"/>
                <w:color w:val="auto"/>
              </w:rPr>
              <w:t>Weighted average discount rate</w:t>
            </w: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gridSpan w:val="4"/>
          </w:tcPr>
          <w:p>
            <w:pPr>
              <w:jc w:val="right"/>
              <w:spacing w:after="0"/>
              <w:rPr>
                <w:sz w:val="20"/>
                <w:szCs w:val="20"/>
                <w:color w:val="auto"/>
              </w:rPr>
            </w:pPr>
            <w:r>
              <w:rPr>
                <w:rFonts w:ascii="Arial" w:cs="Arial" w:eastAsia="Arial" w:hAnsi="Arial"/>
                <w:sz w:val="20"/>
                <w:szCs w:val="20"/>
                <w:color w:val="auto"/>
              </w:rPr>
              <w:t>4.2 %</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4.1 %</w:t>
            </w:r>
          </w:p>
        </w:tc>
      </w:tr>
      <w:tr>
        <w:trPr>
          <w:trHeight w:val="200"/>
        </w:trPr>
        <w:tc>
          <w:tcPr>
            <w:tcW w:w="4720" w:type="dxa"/>
            <w:vAlign w:val="bottom"/>
            <w:shd w:val="clear" w:color="auto" w:fill="E6E6E6"/>
          </w:tcPr>
          <w:p>
            <w:pPr>
              <w:spacing w:after="0"/>
              <w:rPr>
                <w:sz w:val="17"/>
                <w:szCs w:val="17"/>
                <w:color w:val="auto"/>
              </w:rPr>
            </w:pPr>
          </w:p>
        </w:tc>
        <w:tc>
          <w:tcPr>
            <w:tcW w:w="440" w:type="dxa"/>
            <w:vAlign w:val="bottom"/>
            <w:shd w:val="clear" w:color="auto" w:fill="E6E6E6"/>
          </w:tcPr>
          <w:p>
            <w:pPr>
              <w:spacing w:after="0"/>
              <w:rPr>
                <w:sz w:val="17"/>
                <w:szCs w:val="17"/>
                <w:color w:val="auto"/>
              </w:rPr>
            </w:pPr>
          </w:p>
        </w:tc>
        <w:tc>
          <w:tcPr>
            <w:tcW w:w="102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1560" w:type="dxa"/>
            <w:vAlign w:val="bottom"/>
            <w:gridSpan w:val="3"/>
            <w:shd w:val="clear" w:color="auto" w:fill="E6E6E6"/>
          </w:tcPr>
          <w:p>
            <w:pPr>
              <w:spacing w:after="0"/>
              <w:rPr>
                <w:sz w:val="17"/>
                <w:szCs w:val="17"/>
                <w:color w:val="auto"/>
              </w:rPr>
            </w:pPr>
          </w:p>
        </w:tc>
        <w:tc>
          <w:tcPr>
            <w:tcW w:w="160" w:type="dxa"/>
            <w:vAlign w:val="bottom"/>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200" w:type="dxa"/>
            <w:vAlign w:val="bottom"/>
            <w:gridSpan w:val="2"/>
            <w:shd w:val="clear" w:color="auto" w:fill="E6E6E6"/>
          </w:tcPr>
          <w:p>
            <w:pPr>
              <w:spacing w:after="0"/>
              <w:rPr>
                <w:sz w:val="17"/>
                <w:szCs w:val="17"/>
                <w:color w:val="auto"/>
              </w:rPr>
            </w:pPr>
          </w:p>
        </w:tc>
        <w:tc>
          <w:tcPr>
            <w:tcW w:w="440" w:type="dxa"/>
            <w:vAlign w:val="bottom"/>
            <w:shd w:val="clear" w:color="auto" w:fill="E6E6E6"/>
          </w:tcPr>
          <w:p>
            <w:pPr>
              <w:spacing w:after="0"/>
              <w:rPr>
                <w:sz w:val="17"/>
                <w:szCs w:val="17"/>
                <w:color w:val="auto"/>
              </w:rPr>
            </w:pPr>
          </w:p>
        </w:tc>
        <w:tc>
          <w:tcPr>
            <w:tcW w:w="1340" w:type="dxa"/>
            <w:vAlign w:val="bottom"/>
            <w:shd w:val="clear" w:color="auto" w:fill="E6E6E6"/>
          </w:tcPr>
          <w:p>
            <w:pPr>
              <w:spacing w:after="0"/>
              <w:rPr>
                <w:sz w:val="17"/>
                <w:szCs w:val="17"/>
                <w:color w:val="auto"/>
              </w:rPr>
            </w:pPr>
          </w:p>
        </w:tc>
      </w:tr>
      <w:tr>
        <w:trPr>
          <w:trHeight w:val="286"/>
        </w:trPr>
        <w:tc>
          <w:tcPr>
            <w:tcW w:w="4720" w:type="dxa"/>
            <w:vAlign w:val="bottom"/>
          </w:tcPr>
          <w:p>
            <w:pPr>
              <w:ind w:left="280"/>
              <w:spacing w:after="0"/>
              <w:rPr>
                <w:sz w:val="20"/>
                <w:szCs w:val="20"/>
                <w:color w:val="auto"/>
              </w:rPr>
            </w:pPr>
            <w:r>
              <w:rPr>
                <w:rFonts w:ascii="Arial" w:cs="Arial" w:eastAsia="Arial" w:hAnsi="Arial"/>
                <w:sz w:val="20"/>
                <w:szCs w:val="20"/>
                <w:color w:val="auto"/>
              </w:rPr>
              <w:t>Cash paid for operating leases</w:t>
            </w:r>
          </w:p>
        </w:tc>
        <w:tc>
          <w:tcPr>
            <w:tcW w:w="440" w:type="dxa"/>
            <w:vAlign w:val="bottom"/>
          </w:tcPr>
          <w:p>
            <w:pPr>
              <w:spacing w:after="0"/>
              <w:rPr>
                <w:sz w:val="24"/>
                <w:szCs w:val="24"/>
                <w:color w:val="auto"/>
              </w:rPr>
            </w:pPr>
          </w:p>
        </w:tc>
        <w:tc>
          <w:tcPr>
            <w:tcW w:w="1280" w:type="dxa"/>
            <w:vAlign w:val="bottom"/>
            <w:gridSpan w:val="2"/>
          </w:tcPr>
          <w:p>
            <w:pPr>
              <w:ind w:left="1060"/>
              <w:spacing w:after="0"/>
              <w:rPr>
                <w:sz w:val="20"/>
                <w:szCs w:val="20"/>
                <w:color w:val="auto"/>
              </w:rPr>
            </w:pPr>
            <w:r>
              <w:rPr>
                <w:rFonts w:ascii="Arial" w:cs="Arial" w:eastAsia="Arial" w:hAnsi="Arial"/>
                <w:sz w:val="20"/>
                <w:szCs w:val="20"/>
                <w:color w:val="auto"/>
              </w:rPr>
              <w:t>$</w:t>
            </w:r>
          </w:p>
        </w:tc>
        <w:tc>
          <w:tcPr>
            <w:tcW w:w="1560" w:type="dxa"/>
            <w:vAlign w:val="bottom"/>
            <w:gridSpan w:val="3"/>
          </w:tcPr>
          <w:p>
            <w:pPr>
              <w:jc w:val="right"/>
              <w:spacing w:after="0"/>
              <w:rPr>
                <w:sz w:val="20"/>
                <w:szCs w:val="20"/>
                <w:color w:val="auto"/>
              </w:rPr>
            </w:pPr>
            <w:r>
              <w:rPr>
                <w:rFonts w:ascii="Arial" w:cs="Arial" w:eastAsia="Arial" w:hAnsi="Arial"/>
                <w:sz w:val="20"/>
                <w:szCs w:val="20"/>
                <w:color w:val="auto"/>
              </w:rPr>
              <w:t>30</w:t>
            </w:r>
          </w:p>
        </w:tc>
        <w:tc>
          <w:tcPr>
            <w:tcW w:w="420" w:type="dxa"/>
            <w:vAlign w:val="bottom"/>
            <w:gridSpan w:val="4"/>
          </w:tcPr>
          <w:p>
            <w:pPr>
              <w:jc w:val="right"/>
              <w:ind w:right="40"/>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24"/>
                <w:szCs w:val="24"/>
                <w:color w:val="auto"/>
              </w:rPr>
            </w:pPr>
          </w:p>
        </w:tc>
        <w:tc>
          <w:tcPr>
            <w:tcW w:w="1340" w:type="dxa"/>
            <w:vAlign w:val="bottom"/>
          </w:tcPr>
          <w:p>
            <w:pPr>
              <w:jc w:val="right"/>
              <w:ind w:right="141"/>
              <w:spacing w:after="0"/>
              <w:rPr>
                <w:sz w:val="20"/>
                <w:szCs w:val="20"/>
                <w:color w:val="auto"/>
              </w:rPr>
            </w:pPr>
            <w:r>
              <w:rPr>
                <w:rFonts w:ascii="Arial" w:cs="Arial" w:eastAsia="Arial" w:hAnsi="Arial"/>
                <w:sz w:val="20"/>
                <w:szCs w:val="20"/>
                <w:color w:val="auto"/>
              </w:rPr>
              <w:t>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2988945</wp:posOffset>
            </wp:positionH>
            <wp:positionV relativeFrom="paragraph">
              <wp:posOffset>-2815590</wp:posOffset>
            </wp:positionV>
            <wp:extent cx="350329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269">
                      <a:extLst>
                        <a:ext uri="{28A0092B-C50C-407E-A947-70E740481C1C}"/>
                      </a:extLst>
                    </a:blip>
                    <a:srcRect/>
                    <a:stretch>
                      <a:fillRect/>
                    </a:stretch>
                  </pic:blipFill>
                  <pic:spPr bwMode="auto">
                    <a:xfrm>
                      <a:off x="0" y="0"/>
                      <a:ext cx="3503295" cy="25400"/>
                    </a:xfrm>
                    <a:prstGeom prst="rect">
                      <a:avLst/>
                    </a:prstGeom>
                    <a:noFill/>
                  </pic:spPr>
                </pic:pic>
              </a:graphicData>
            </a:graphic>
          </wp:anchor>
        </w:drawing>
        <w:drawing>
          <wp:anchor simplePos="0" relativeHeight="251657728" behindDoc="1" locked="0" layoutInCell="0" allowOverlap="1">
            <wp:simplePos x="0" y="0"/>
            <wp:positionH relativeFrom="column">
              <wp:posOffset>2988945</wp:posOffset>
            </wp:positionH>
            <wp:positionV relativeFrom="paragraph">
              <wp:posOffset>-2436495</wp:posOffset>
            </wp:positionV>
            <wp:extent cx="350329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270">
                      <a:extLst>
                        <a:ext uri="{28A0092B-C50C-407E-A947-70E740481C1C}"/>
                      </a:extLst>
                    </a:blip>
                    <a:srcRect/>
                    <a:stretch>
                      <a:fillRect/>
                    </a:stretch>
                  </pic:blipFill>
                  <pic:spPr bwMode="auto">
                    <a:xfrm>
                      <a:off x="0" y="0"/>
                      <a:ext cx="3503295" cy="25400"/>
                    </a:xfrm>
                    <a:prstGeom prst="rect">
                      <a:avLst/>
                    </a:prstGeom>
                    <a:noFill/>
                  </pic:spPr>
                </pic:pic>
              </a:graphicData>
            </a:graphic>
          </wp:anchor>
        </w:drawing>
        <w:drawing>
          <wp:anchor simplePos="0" relativeHeight="251657728" behindDoc="1" locked="0" layoutInCell="0" allowOverlap="1">
            <wp:simplePos x="0" y="0"/>
            <wp:positionH relativeFrom="column">
              <wp:posOffset>2988945</wp:posOffset>
            </wp:positionH>
            <wp:positionV relativeFrom="paragraph">
              <wp:posOffset>-2259965</wp:posOffset>
            </wp:positionV>
            <wp:extent cx="3503295" cy="508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271">
                      <a:extLst>
                        <a:ext uri="{28A0092B-C50C-407E-A947-70E740481C1C}"/>
                      </a:extLst>
                    </a:blip>
                    <a:srcRect/>
                    <a:stretch>
                      <a:fillRect/>
                    </a:stretch>
                  </pic:blipFill>
                  <pic:spPr bwMode="auto">
                    <a:xfrm>
                      <a:off x="0" y="0"/>
                      <a:ext cx="3503295" cy="50800"/>
                    </a:xfrm>
                    <a:prstGeom prst="rect">
                      <a:avLst/>
                    </a:prstGeom>
                    <a:noFill/>
                  </pic:spPr>
                </pic:pic>
              </a:graphicData>
            </a:graphic>
          </wp:anchor>
        </w:drawing>
        <w:drawing>
          <wp:anchor simplePos="0" relativeHeight="251657728" behindDoc="1" locked="0" layoutInCell="0" allowOverlap="1">
            <wp:simplePos x="0" y="0"/>
            <wp:positionH relativeFrom="column">
              <wp:posOffset>5206365</wp:posOffset>
            </wp:positionH>
            <wp:positionV relativeFrom="paragraph">
              <wp:posOffset>-1700530</wp:posOffset>
            </wp:positionV>
            <wp:extent cx="128587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272">
                      <a:extLst>
                        <a:ext uri="{28A0092B-C50C-407E-A947-70E740481C1C}"/>
                      </a:extLst>
                    </a:blip>
                    <a:srcRect/>
                    <a:stretch>
                      <a:fillRect/>
                    </a:stretch>
                  </pic:blipFill>
                  <pic:spPr bwMode="auto">
                    <a:xfrm>
                      <a:off x="0" y="0"/>
                      <a:ext cx="1285875" cy="25400"/>
                    </a:xfrm>
                    <a:prstGeom prst="rect">
                      <a:avLst/>
                    </a:prstGeom>
                    <a:noFill/>
                  </pic:spPr>
                </pic:pic>
              </a:graphicData>
            </a:graphic>
          </wp:anchor>
        </w:drawing>
        <w:drawing>
          <wp:anchor simplePos="0" relativeHeight="251657728" behindDoc="1" locked="0" layoutInCell="0" allowOverlap="1">
            <wp:simplePos x="0" y="0"/>
            <wp:positionH relativeFrom="column">
              <wp:posOffset>3908425</wp:posOffset>
            </wp:positionH>
            <wp:positionV relativeFrom="paragraph">
              <wp:posOffset>-1510665</wp:posOffset>
            </wp:positionV>
            <wp:extent cx="2584450"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273">
                      <a:extLst>
                        <a:ext uri="{28A0092B-C50C-407E-A947-70E740481C1C}"/>
                      </a:extLst>
                    </a:blip>
                    <a:srcRect/>
                    <a:stretch>
                      <a:fillRect/>
                    </a:stretch>
                  </pic:blipFill>
                  <pic:spPr bwMode="auto">
                    <a:xfrm>
                      <a:off x="0" y="0"/>
                      <a:ext cx="2584450" cy="25400"/>
                    </a:xfrm>
                    <a:prstGeom prst="rect">
                      <a:avLst/>
                    </a:prstGeom>
                    <a:noFill/>
                  </pic:spPr>
                </pic:pic>
              </a:graphicData>
            </a:graphic>
          </wp:anchor>
        </w:drawing>
        <w:drawing>
          <wp:anchor simplePos="0" relativeHeight="251657728" behindDoc="1" locked="0" layoutInCell="0" allowOverlap="1">
            <wp:simplePos x="0" y="0"/>
            <wp:positionH relativeFrom="column">
              <wp:posOffset>3908425</wp:posOffset>
            </wp:positionH>
            <wp:positionV relativeFrom="paragraph">
              <wp:posOffset>-1008380</wp:posOffset>
            </wp:positionV>
            <wp:extent cx="2584450"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274">
                      <a:extLst>
                        <a:ext uri="{28A0092B-C50C-407E-A947-70E740481C1C}"/>
                      </a:extLst>
                    </a:blip>
                    <a:srcRect/>
                    <a:stretch>
                      <a:fillRect/>
                    </a:stretch>
                  </pic:blipFill>
                  <pic:spPr bwMode="auto">
                    <a:xfrm>
                      <a:off x="0" y="0"/>
                      <a:ext cx="2584450" cy="25400"/>
                    </a:xfrm>
                    <a:prstGeom prst="rect">
                      <a:avLst/>
                    </a:prstGeom>
                    <a:noFill/>
                  </pic:spPr>
                </pic:pic>
              </a:graphicData>
            </a:graphic>
          </wp:anchor>
        </w:drawing>
        <w:drawing>
          <wp:anchor simplePos="0" relativeHeight="251657728" behindDoc="1" locked="0" layoutInCell="0" allowOverlap="1">
            <wp:simplePos x="0" y="0"/>
            <wp:positionH relativeFrom="column">
              <wp:posOffset>3908425</wp:posOffset>
            </wp:positionH>
            <wp:positionV relativeFrom="paragraph">
              <wp:posOffset>-831850</wp:posOffset>
            </wp:positionV>
            <wp:extent cx="2584450" cy="508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275">
                      <a:extLst>
                        <a:ext uri="{28A0092B-C50C-407E-A947-70E740481C1C}"/>
                      </a:extLst>
                    </a:blip>
                    <a:srcRect/>
                    <a:stretch>
                      <a:fillRect/>
                    </a:stretch>
                  </pic:blipFill>
                  <pic:spPr bwMode="auto">
                    <a:xfrm>
                      <a:off x="0" y="0"/>
                      <a:ext cx="2584450" cy="508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-2540</wp:posOffset>
                </wp:positionH>
                <wp:positionV relativeFrom="paragraph">
                  <wp:posOffset>118110</wp:posOffset>
                </wp:positionV>
                <wp:extent cx="1259840" cy="0"/>
                <wp:wrapNone/>
                <wp:docPr id="348" name="Shape 3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598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48" o:spid="_x0000_s13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9.3pt" to="99pt,9.3pt" o:allowincell="f" strokecolor="#000000" strokeweight="1pt"/>
            </w:pict>
          </mc:Fallback>
        </mc:AlternateContent>
      </w:r>
    </w:p>
    <w:p>
      <w:pPr>
        <w:spacing w:after="0" w:line="244" w:lineRule="exact"/>
        <w:rPr>
          <w:sz w:val="20"/>
          <w:szCs w:val="20"/>
          <w:color w:val="auto"/>
        </w:rPr>
      </w:pPr>
    </w:p>
    <w:p>
      <w:pPr>
        <w:ind w:left="80" w:firstLine="5"/>
        <w:spacing w:after="0" w:line="208" w:lineRule="auto"/>
        <w:tabs>
          <w:tab w:leader="none" w:pos="297" w:val="left"/>
        </w:tabs>
        <w:numPr>
          <w:ilvl w:val="0"/>
          <w:numId w:val="84"/>
        </w:numPr>
        <w:rPr>
          <w:rFonts w:ascii="Arial" w:cs="Arial" w:eastAsia="Arial" w:hAnsi="Arial"/>
          <w:sz w:val="26"/>
          <w:szCs w:val="26"/>
          <w:color w:val="auto"/>
          <w:vertAlign w:val="superscript"/>
        </w:rPr>
      </w:pPr>
      <w:r>
        <w:rPr>
          <w:rFonts w:ascii="Arial" w:cs="Arial" w:eastAsia="Arial" w:hAnsi="Arial"/>
          <w:sz w:val="16"/>
          <w:szCs w:val="16"/>
          <w:color w:val="auto"/>
        </w:rPr>
        <w:t xml:space="preserve">Increases in right-of-use assets and long-term lease liabilities are primarily due to Drop Down Asset acquisitions, as further described in Note 3, </w:t>
      </w:r>
      <w:r>
        <w:rPr>
          <w:rFonts w:ascii="Arial" w:cs="Arial" w:eastAsia="Arial" w:hAnsi="Arial"/>
          <w:sz w:val="16"/>
          <w:szCs w:val="16"/>
          <w:b w:val="1"/>
          <w:bCs w:val="1"/>
          <w:i w:val="1"/>
          <w:iCs w:val="1"/>
          <w:color w:val="auto"/>
        </w:rPr>
        <w:t>Acquisitions and Dispositions</w:t>
      </w:r>
      <w:r>
        <w:rPr>
          <w:rFonts w:ascii="Arial" w:cs="Arial" w:eastAsia="Arial" w:hAnsi="Arial"/>
          <w:sz w:val="16"/>
          <w:szCs w:val="16"/>
          <w:color w:val="auto"/>
        </w:rPr>
        <w:t>.</w:t>
      </w:r>
    </w:p>
    <w:p>
      <w:pPr>
        <w:spacing w:after="0" w:line="70" w:lineRule="exact"/>
        <w:rPr>
          <w:rFonts w:ascii="Arial" w:cs="Arial" w:eastAsia="Arial" w:hAnsi="Arial"/>
          <w:sz w:val="26"/>
          <w:szCs w:val="26"/>
          <w:color w:val="auto"/>
          <w:vertAlign w:val="superscript"/>
        </w:rPr>
      </w:pPr>
    </w:p>
    <w:p>
      <w:pPr>
        <w:ind w:left="80" w:firstLine="5"/>
        <w:spacing w:after="0" w:line="236" w:lineRule="auto"/>
        <w:tabs>
          <w:tab w:leader="none" w:pos="279" w:val="left"/>
        </w:tabs>
        <w:numPr>
          <w:ilvl w:val="0"/>
          <w:numId w:val="84"/>
        </w:numPr>
        <w:rPr>
          <w:rFonts w:ascii="Arial" w:cs="Arial" w:eastAsia="Arial" w:hAnsi="Arial"/>
          <w:sz w:val="23"/>
          <w:szCs w:val="23"/>
          <w:color w:val="auto"/>
          <w:vertAlign w:val="superscript"/>
        </w:rPr>
      </w:pPr>
      <w:r>
        <w:rPr>
          <w:rFonts w:ascii="Arial" w:cs="Arial" w:eastAsia="Arial" w:hAnsi="Arial"/>
          <w:sz w:val="14"/>
          <w:szCs w:val="14"/>
          <w:color w:val="auto"/>
        </w:rPr>
        <w:t>Short-term lease liability balances are included within the accrued expenses and other current liabilities line item of the consolidated balance sheets as of December 31, 2023 and 2022.</w:t>
      </w:r>
    </w:p>
    <w:p>
      <w:pPr>
        <w:sectPr>
          <w:pgSz w:w="11880" w:h="15480" w:orient="portrait"/>
          <w:cols w:equalWidth="0" w:num="1">
            <w:col w:w="10200"/>
          </w:cols>
          <w:pgMar w:left="840" w:top="407"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122</w:t>
      </w:r>
    </w:p>
    <w:p>
      <w:pPr>
        <w:sectPr>
          <w:pgSz w:w="11880" w:h="15480" w:orient="portrait"/>
          <w:cols w:equalWidth="0" w:num="1">
            <w:col w:w="10200"/>
          </w:cols>
          <w:pgMar w:left="840" w:top="407" w:right="840" w:bottom="0" w:gutter="0" w:footer="0" w:header="0"/>
          <w:type w:val="continuous"/>
        </w:sectPr>
      </w:pPr>
    </w:p>
    <w:bookmarkStart w:id="124" w:name="page125"/>
    <w:bookmarkEnd w:id="124"/>
    <w:p>
      <w:pPr>
        <w:ind w:left="440"/>
        <w:spacing w:after="0"/>
        <w:rPr>
          <w:sz w:val="20"/>
          <w:szCs w:val="20"/>
          <w:color w:val="auto"/>
        </w:rPr>
      </w:pPr>
      <w:r>
        <w:rPr>
          <w:rFonts w:ascii="Arial" w:cs="Arial" w:eastAsia="Arial" w:hAnsi="Arial"/>
          <w:sz w:val="20"/>
          <w:szCs w:val="20"/>
          <w:color w:val="auto"/>
        </w:rPr>
        <w:t>Minimum future rental payments of operating lease liabilities as of December 31, 2023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8220" w:type="dxa"/>
            <w:vAlign w:val="bottom"/>
            <w:tcBorders>
              <w:bottom w:val="single" w:sz="8" w:color="E6E6E6"/>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421"/>
              <w:spacing w:after="0"/>
              <w:rPr>
                <w:sz w:val="20"/>
                <w:szCs w:val="20"/>
                <w:color w:val="auto"/>
              </w:rPr>
            </w:pPr>
            <w:r>
              <w:rPr>
                <w:rFonts w:ascii="Arial" w:cs="Arial" w:eastAsia="Arial" w:hAnsi="Arial"/>
                <w:sz w:val="18"/>
                <w:szCs w:val="18"/>
                <w:b w:val="1"/>
                <w:bCs w:val="1"/>
                <w:color w:val="auto"/>
              </w:rPr>
              <w:t>(In millions)</w:t>
            </w:r>
          </w:p>
        </w:tc>
      </w:tr>
      <w:tr>
        <w:trPr>
          <w:trHeight w:val="289"/>
        </w:trPr>
        <w:tc>
          <w:tcPr>
            <w:tcW w:w="8220" w:type="dxa"/>
            <w:vAlign w:val="bottom"/>
            <w:shd w:val="clear" w:color="auto" w:fill="E6E6E6"/>
          </w:tcPr>
          <w:p>
            <w:pPr>
              <w:ind w:left="280"/>
              <w:spacing w:after="0"/>
              <w:rPr>
                <w:sz w:val="20"/>
                <w:szCs w:val="20"/>
                <w:color w:val="auto"/>
              </w:rPr>
            </w:pPr>
            <w:r>
              <w:rPr>
                <w:rFonts w:ascii="Arial" w:cs="Arial" w:eastAsia="Arial" w:hAnsi="Arial"/>
                <w:sz w:val="20"/>
                <w:szCs w:val="20"/>
                <w:color w:val="auto"/>
              </w:rPr>
              <w:t>2024</w:t>
            </w:r>
          </w:p>
        </w:tc>
        <w:tc>
          <w:tcPr>
            <w:tcW w:w="340" w:type="dxa"/>
            <w:vAlign w:val="bottom"/>
            <w:shd w:val="clear" w:color="auto" w:fill="E6E6E6"/>
          </w:tcPr>
          <w:p>
            <w:pPr>
              <w:jc w:val="right"/>
              <w:ind w:right="81"/>
              <w:spacing w:after="0"/>
              <w:rPr>
                <w:sz w:val="20"/>
                <w:szCs w:val="20"/>
                <w:color w:val="auto"/>
              </w:rPr>
            </w:pPr>
            <w:r>
              <w:rPr>
                <w:rFonts w:ascii="Arial" w:cs="Arial" w:eastAsia="Arial" w:hAnsi="Arial"/>
                <w:sz w:val="20"/>
                <w:szCs w:val="20"/>
                <w:color w:val="auto"/>
              </w:rPr>
              <w:t>$</w:t>
            </w:r>
          </w:p>
        </w:tc>
        <w:tc>
          <w:tcPr>
            <w:tcW w:w="16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34</w:t>
            </w:r>
          </w:p>
        </w:tc>
      </w:tr>
      <w:tr>
        <w:trPr>
          <w:trHeight w:val="292"/>
        </w:trPr>
        <w:tc>
          <w:tcPr>
            <w:tcW w:w="8220" w:type="dxa"/>
            <w:vAlign w:val="bottom"/>
          </w:tcPr>
          <w:p>
            <w:pPr>
              <w:ind w:left="280"/>
              <w:spacing w:after="0"/>
              <w:rPr>
                <w:sz w:val="20"/>
                <w:szCs w:val="20"/>
                <w:color w:val="auto"/>
              </w:rPr>
            </w:pPr>
            <w:r>
              <w:rPr>
                <w:rFonts w:ascii="Arial" w:cs="Arial" w:eastAsia="Arial" w:hAnsi="Arial"/>
                <w:sz w:val="20"/>
                <w:szCs w:val="20"/>
                <w:color w:val="auto"/>
              </w:rPr>
              <w:t>2025</w:t>
            </w:r>
          </w:p>
        </w:tc>
        <w:tc>
          <w:tcPr>
            <w:tcW w:w="34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305"/>
        </w:trPr>
        <w:tc>
          <w:tcPr>
            <w:tcW w:w="8220" w:type="dxa"/>
            <w:vAlign w:val="bottom"/>
            <w:shd w:val="clear" w:color="auto" w:fill="E6E6E6"/>
          </w:tcPr>
          <w:p>
            <w:pPr>
              <w:ind w:left="280"/>
              <w:spacing w:after="0"/>
              <w:rPr>
                <w:sz w:val="20"/>
                <w:szCs w:val="20"/>
                <w:color w:val="auto"/>
              </w:rPr>
            </w:pPr>
            <w:r>
              <w:rPr>
                <w:rFonts w:ascii="Arial" w:cs="Arial" w:eastAsia="Arial" w:hAnsi="Arial"/>
                <w:sz w:val="20"/>
                <w:szCs w:val="20"/>
                <w:color w:val="auto"/>
              </w:rPr>
              <w:t>2026</w:t>
            </w:r>
          </w:p>
        </w:tc>
        <w:tc>
          <w:tcPr>
            <w:tcW w:w="340" w:type="dxa"/>
            <w:vAlign w:val="bottom"/>
            <w:shd w:val="clear" w:color="auto" w:fill="E6E6E6"/>
          </w:tcPr>
          <w:p>
            <w:pPr>
              <w:spacing w:after="0"/>
              <w:rPr>
                <w:sz w:val="24"/>
                <w:szCs w:val="24"/>
                <w:color w:val="auto"/>
              </w:rPr>
            </w:pPr>
          </w:p>
        </w:tc>
        <w:tc>
          <w:tcPr>
            <w:tcW w:w="16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35</w:t>
            </w:r>
          </w:p>
        </w:tc>
      </w:tr>
      <w:tr>
        <w:trPr>
          <w:trHeight w:val="292"/>
        </w:trPr>
        <w:tc>
          <w:tcPr>
            <w:tcW w:w="8220" w:type="dxa"/>
            <w:vAlign w:val="bottom"/>
          </w:tcPr>
          <w:p>
            <w:pPr>
              <w:ind w:left="280"/>
              <w:spacing w:after="0"/>
              <w:rPr>
                <w:sz w:val="20"/>
                <w:szCs w:val="20"/>
                <w:color w:val="auto"/>
              </w:rPr>
            </w:pPr>
            <w:r>
              <w:rPr>
                <w:rFonts w:ascii="Arial" w:cs="Arial" w:eastAsia="Arial" w:hAnsi="Arial"/>
                <w:sz w:val="20"/>
                <w:szCs w:val="20"/>
                <w:color w:val="auto"/>
              </w:rPr>
              <w:t>2027</w:t>
            </w:r>
          </w:p>
        </w:tc>
        <w:tc>
          <w:tcPr>
            <w:tcW w:w="34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305"/>
        </w:trPr>
        <w:tc>
          <w:tcPr>
            <w:tcW w:w="8220" w:type="dxa"/>
            <w:vAlign w:val="bottom"/>
            <w:shd w:val="clear" w:color="auto" w:fill="E6E6E6"/>
          </w:tcPr>
          <w:p>
            <w:pPr>
              <w:ind w:left="280"/>
              <w:spacing w:after="0"/>
              <w:rPr>
                <w:sz w:val="20"/>
                <w:szCs w:val="20"/>
                <w:color w:val="auto"/>
              </w:rPr>
            </w:pPr>
            <w:r>
              <w:rPr>
                <w:rFonts w:ascii="Arial" w:cs="Arial" w:eastAsia="Arial" w:hAnsi="Arial"/>
                <w:sz w:val="20"/>
                <w:szCs w:val="20"/>
                <w:color w:val="auto"/>
              </w:rPr>
              <w:t>2028</w:t>
            </w:r>
          </w:p>
        </w:tc>
        <w:tc>
          <w:tcPr>
            <w:tcW w:w="340" w:type="dxa"/>
            <w:vAlign w:val="bottom"/>
            <w:shd w:val="clear" w:color="auto" w:fill="E6E6E6"/>
          </w:tcPr>
          <w:p>
            <w:pPr>
              <w:spacing w:after="0"/>
              <w:rPr>
                <w:sz w:val="24"/>
                <w:szCs w:val="24"/>
                <w:color w:val="auto"/>
              </w:rPr>
            </w:pPr>
          </w:p>
        </w:tc>
        <w:tc>
          <w:tcPr>
            <w:tcW w:w="16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36</w:t>
            </w:r>
          </w:p>
        </w:tc>
      </w:tr>
      <w:tr>
        <w:trPr>
          <w:trHeight w:val="289"/>
        </w:trPr>
        <w:tc>
          <w:tcPr>
            <w:tcW w:w="8220" w:type="dxa"/>
            <w:vAlign w:val="bottom"/>
            <w:tcBorders>
              <w:bottom w:val="single" w:sz="8" w:color="E6E6E6"/>
            </w:tcBorders>
          </w:tcPr>
          <w:p>
            <w:pPr>
              <w:ind w:left="280"/>
              <w:spacing w:after="0"/>
              <w:rPr>
                <w:sz w:val="20"/>
                <w:szCs w:val="20"/>
                <w:color w:val="auto"/>
              </w:rPr>
            </w:pPr>
            <w:r>
              <w:rPr>
                <w:rFonts w:ascii="Arial" w:cs="Arial" w:eastAsia="Arial" w:hAnsi="Arial"/>
                <w:sz w:val="20"/>
                <w:szCs w:val="20"/>
                <w:color w:val="auto"/>
              </w:rPr>
              <w:t>Thereafter</w:t>
            </w:r>
          </w:p>
        </w:tc>
        <w:tc>
          <w:tcPr>
            <w:tcW w:w="3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980</w:t>
            </w:r>
          </w:p>
        </w:tc>
      </w:tr>
      <w:tr>
        <w:trPr>
          <w:trHeight w:val="288"/>
        </w:trPr>
        <w:tc>
          <w:tcPr>
            <w:tcW w:w="8220" w:type="dxa"/>
            <w:vAlign w:val="bottom"/>
            <w:shd w:val="clear" w:color="auto" w:fill="E6E6E6"/>
          </w:tcPr>
          <w:p>
            <w:pPr>
              <w:ind w:left="280"/>
              <w:spacing w:after="0"/>
              <w:rPr>
                <w:sz w:val="20"/>
                <w:szCs w:val="20"/>
                <w:color w:val="auto"/>
              </w:rPr>
            </w:pPr>
            <w:r>
              <w:rPr>
                <w:rFonts w:ascii="Arial" w:cs="Arial" w:eastAsia="Arial" w:hAnsi="Arial"/>
                <w:sz w:val="20"/>
                <w:szCs w:val="20"/>
                <w:color w:val="auto"/>
              </w:rPr>
              <w:t>Total lease payments</w:t>
            </w:r>
          </w:p>
        </w:tc>
        <w:tc>
          <w:tcPr>
            <w:tcW w:w="340" w:type="dxa"/>
            <w:vAlign w:val="bottom"/>
            <w:shd w:val="clear" w:color="auto" w:fill="E6E6E6"/>
          </w:tcPr>
          <w:p>
            <w:pPr>
              <w:spacing w:after="0"/>
              <w:rPr>
                <w:sz w:val="24"/>
                <w:szCs w:val="24"/>
                <w:color w:val="auto"/>
              </w:rPr>
            </w:pPr>
          </w:p>
        </w:tc>
        <w:tc>
          <w:tcPr>
            <w:tcW w:w="16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1,155</w:t>
            </w:r>
          </w:p>
        </w:tc>
      </w:tr>
      <w:tr>
        <w:trPr>
          <w:trHeight w:val="288"/>
        </w:trPr>
        <w:tc>
          <w:tcPr>
            <w:tcW w:w="8220" w:type="dxa"/>
            <w:vAlign w:val="bottom"/>
            <w:tcBorders>
              <w:bottom w:val="single" w:sz="8" w:color="E6E6E6"/>
            </w:tcBorders>
          </w:tcPr>
          <w:p>
            <w:pPr>
              <w:ind w:left="740"/>
              <w:spacing w:after="0"/>
              <w:rPr>
                <w:sz w:val="20"/>
                <w:szCs w:val="20"/>
                <w:color w:val="auto"/>
              </w:rPr>
            </w:pPr>
            <w:r>
              <w:rPr>
                <w:rFonts w:ascii="Arial" w:cs="Arial" w:eastAsia="Arial" w:hAnsi="Arial"/>
                <w:sz w:val="20"/>
                <w:szCs w:val="20"/>
                <w:color w:val="auto"/>
              </w:rPr>
              <w:t>Less imputed interest</w:t>
            </w:r>
          </w:p>
        </w:tc>
        <w:tc>
          <w:tcPr>
            <w:tcW w:w="3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(521)</w:t>
            </w:r>
          </w:p>
        </w:tc>
      </w:tr>
      <w:tr>
        <w:trPr>
          <w:trHeight w:val="298"/>
        </w:trPr>
        <w:tc>
          <w:tcPr>
            <w:tcW w:w="8220" w:type="dxa"/>
            <w:vAlign w:val="bottom"/>
            <w:tcBorders>
              <w:bottom w:val="single" w:sz="8" w:color="E6E6E6"/>
            </w:tcBorders>
            <w:shd w:val="clear" w:color="auto" w:fill="E6E6E6"/>
          </w:tcPr>
          <w:p>
            <w:pPr>
              <w:ind w:left="280"/>
              <w:spacing w:after="0"/>
              <w:rPr>
                <w:sz w:val="20"/>
                <w:szCs w:val="20"/>
                <w:color w:val="auto"/>
              </w:rPr>
            </w:pPr>
            <w:r>
              <w:rPr>
                <w:rFonts w:ascii="Arial" w:cs="Arial" w:eastAsia="Arial" w:hAnsi="Arial"/>
                <w:sz w:val="20"/>
                <w:szCs w:val="20"/>
                <w:b w:val="1"/>
                <w:bCs w:val="1"/>
                <w:color w:val="auto"/>
              </w:rPr>
              <w:t>Total lease liability - operating leases</w:t>
            </w:r>
          </w:p>
        </w:tc>
        <w:tc>
          <w:tcPr>
            <w:tcW w:w="340" w:type="dxa"/>
            <w:vAlign w:val="bottom"/>
            <w:tcBorders>
              <w:bottom w:val="single" w:sz="8" w:color="auto"/>
            </w:tcBorders>
            <w:shd w:val="clear" w:color="auto" w:fill="E6E6E6"/>
          </w:tcPr>
          <w:p>
            <w:pPr>
              <w:jc w:val="right"/>
              <w:ind w:right="81"/>
              <w:spacing w:after="0"/>
              <w:rPr>
                <w:sz w:val="20"/>
                <w:szCs w:val="20"/>
                <w:color w:val="auto"/>
              </w:rPr>
            </w:pPr>
            <w:r>
              <w:rPr>
                <w:rFonts w:ascii="Arial" w:cs="Arial" w:eastAsia="Arial" w:hAnsi="Arial"/>
                <w:sz w:val="20"/>
                <w:szCs w:val="20"/>
                <w:color w:val="auto"/>
              </w:rPr>
              <w:t>$</w:t>
            </w:r>
          </w:p>
        </w:tc>
        <w:tc>
          <w:tcPr>
            <w:tcW w:w="16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634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5206365</wp:posOffset>
            </wp:positionH>
            <wp:positionV relativeFrom="paragraph">
              <wp:posOffset>-1736725</wp:posOffset>
            </wp:positionV>
            <wp:extent cx="128587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276">
                      <a:extLst>
                        <a:ext uri="{28A0092B-C50C-407E-A947-70E740481C1C}"/>
                      </a:extLst>
                    </a:blip>
                    <a:srcRect/>
                    <a:stretch>
                      <a:fillRect/>
                    </a:stretch>
                  </pic:blipFill>
                  <pic:spPr bwMode="auto">
                    <a:xfrm>
                      <a:off x="0" y="0"/>
                      <a:ext cx="1285875" cy="25400"/>
                    </a:xfrm>
                    <a:prstGeom prst="rect">
                      <a:avLst/>
                    </a:prstGeom>
                    <a:noFill/>
                  </pic:spPr>
                </pic:pic>
              </a:graphicData>
            </a:graphic>
          </wp:anchor>
        </w:drawing>
        <w:drawing>
          <wp:anchor simplePos="0" relativeHeight="251657728" behindDoc="1" locked="0" layoutInCell="0" allowOverlap="1">
            <wp:simplePos x="0" y="0"/>
            <wp:positionH relativeFrom="column">
              <wp:posOffset>5206365</wp:posOffset>
            </wp:positionH>
            <wp:positionV relativeFrom="paragraph">
              <wp:posOffset>-599440</wp:posOffset>
            </wp:positionV>
            <wp:extent cx="128587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277">
                      <a:extLst>
                        <a:ext uri="{28A0092B-C50C-407E-A947-70E740481C1C}"/>
                      </a:extLst>
                    </a:blip>
                    <a:srcRect/>
                    <a:stretch>
                      <a:fillRect/>
                    </a:stretch>
                  </pic:blipFill>
                  <pic:spPr bwMode="auto">
                    <a:xfrm>
                      <a:off x="0" y="0"/>
                      <a:ext cx="1285875" cy="25400"/>
                    </a:xfrm>
                    <a:prstGeom prst="rect">
                      <a:avLst/>
                    </a:prstGeom>
                    <a:noFill/>
                  </pic:spPr>
                </pic:pic>
              </a:graphicData>
            </a:graphic>
          </wp:anchor>
        </w:drawing>
        <w:drawing>
          <wp:anchor simplePos="0" relativeHeight="251657728" behindDoc="1" locked="0" layoutInCell="0" allowOverlap="1">
            <wp:simplePos x="0" y="0"/>
            <wp:positionH relativeFrom="column">
              <wp:posOffset>5206365</wp:posOffset>
            </wp:positionH>
            <wp:positionV relativeFrom="paragraph">
              <wp:posOffset>-220345</wp:posOffset>
            </wp:positionV>
            <wp:extent cx="1285875"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278">
                      <a:extLst>
                        <a:ext uri="{28A0092B-C50C-407E-A947-70E740481C1C}"/>
                      </a:extLst>
                    </a:blip>
                    <a:srcRect/>
                    <a:stretch>
                      <a:fillRect/>
                    </a:stretch>
                  </pic:blipFill>
                  <pic:spPr bwMode="auto">
                    <a:xfrm>
                      <a:off x="0" y="0"/>
                      <a:ext cx="1285875" cy="25400"/>
                    </a:xfrm>
                    <a:prstGeom prst="rect">
                      <a:avLst/>
                    </a:prstGeom>
                    <a:noFill/>
                  </pic:spPr>
                </pic:pic>
              </a:graphicData>
            </a:graphic>
          </wp:anchor>
        </w:drawing>
        <w:drawing>
          <wp:anchor simplePos="0" relativeHeight="251657728" behindDoc="1" locked="0" layoutInCell="0" allowOverlap="1">
            <wp:simplePos x="0" y="0"/>
            <wp:positionH relativeFrom="column">
              <wp:posOffset>5206365</wp:posOffset>
            </wp:positionH>
            <wp:positionV relativeFrom="paragraph">
              <wp:posOffset>-43815</wp:posOffset>
            </wp:positionV>
            <wp:extent cx="1285875" cy="508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279">
                      <a:extLst>
                        <a:ext uri="{28A0092B-C50C-407E-A947-70E740481C1C}"/>
                      </a:extLst>
                    </a:blip>
                    <a:srcRect/>
                    <a:stretch>
                      <a:fillRect/>
                    </a:stretch>
                  </pic:blipFill>
                  <pic:spPr bwMode="auto">
                    <a:xfrm>
                      <a:off x="0" y="0"/>
                      <a:ext cx="1285875" cy="50800"/>
                    </a:xfrm>
                    <a:prstGeom prst="rect">
                      <a:avLst/>
                    </a:prstGeom>
                    <a:noFill/>
                  </pic:spPr>
                </pic:pic>
              </a:graphicData>
            </a:graphic>
          </wp:anchor>
        </w:drawing>
      </w:r>
    </w:p>
    <w:p>
      <w:pPr>
        <w:spacing w:after="0" w:line="166" w:lineRule="exact"/>
        <w:rPr>
          <w:sz w:val="20"/>
          <w:szCs w:val="20"/>
          <w:color w:val="auto"/>
        </w:rPr>
      </w:pPr>
    </w:p>
    <w:p>
      <w:pPr>
        <w:ind w:right="100" w:firstLine="448"/>
        <w:spacing w:after="0" w:line="280" w:lineRule="auto"/>
        <w:rPr>
          <w:sz w:val="20"/>
          <w:szCs w:val="20"/>
          <w:color w:val="auto"/>
        </w:rPr>
      </w:pPr>
      <w:r>
        <w:rPr>
          <w:rFonts w:ascii="Arial" w:cs="Arial" w:eastAsia="Arial" w:hAnsi="Arial"/>
          <w:sz w:val="20"/>
          <w:szCs w:val="20"/>
          <w:color w:val="auto"/>
        </w:rPr>
        <w:t>The Company is party to various land lease agreements with wholly-owned subsidiaries of CEG that are accounted for as operating leases. The following table summarizes the land lease agreements: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3077210</wp:posOffset>
                </wp:positionH>
                <wp:positionV relativeFrom="paragraph">
                  <wp:posOffset>40005</wp:posOffset>
                </wp:positionV>
                <wp:extent cx="1061085" cy="0"/>
                <wp:wrapNone/>
                <wp:docPr id="353" name="Shape 3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6108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53" o:spid="_x0000_s13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2.3pt,3.15pt" to="325.85pt,3.1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4185920</wp:posOffset>
                </wp:positionH>
                <wp:positionV relativeFrom="paragraph">
                  <wp:posOffset>40005</wp:posOffset>
                </wp:positionV>
                <wp:extent cx="1061720" cy="0"/>
                <wp:wrapNone/>
                <wp:docPr id="354" name="Shape 3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6172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54" o:spid="_x0000_s13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9.6pt,3.15pt" to="413.2pt,3.1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5294630</wp:posOffset>
                </wp:positionH>
                <wp:positionV relativeFrom="paragraph">
                  <wp:posOffset>40005</wp:posOffset>
                </wp:positionV>
                <wp:extent cx="1184910" cy="0"/>
                <wp:wrapNone/>
                <wp:docPr id="355" name="Shape 3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491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55" o:spid="_x0000_s13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6.9pt,3.15pt" to="510.2pt,3.15pt" o:allowincell="f" strokecolor="#000000" strokeweight="1pt"/>
            </w:pict>
          </mc:Fallback>
        </mc:AlternateConten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(In millions)</w:t>
            </w:r>
          </w:p>
        </w:tc>
        <w:tc>
          <w:tcPr>
            <w:tcW w:w="1680" w:type="dxa"/>
            <w:vAlign w:val="bottom"/>
            <w:gridSpan w:val="2"/>
          </w:tcPr>
          <w:p>
            <w:pPr>
              <w:jc w:val="right"/>
              <w:ind w:right="2"/>
              <w:spacing w:after="0"/>
              <w:rPr>
                <w:sz w:val="20"/>
                <w:szCs w:val="20"/>
                <w:color w:val="auto"/>
              </w:rPr>
            </w:pPr>
            <w:r>
              <w:rPr>
                <w:rFonts w:ascii="Arial" w:cs="Arial" w:eastAsia="Arial" w:hAnsi="Arial"/>
                <w:sz w:val="18"/>
                <w:szCs w:val="18"/>
                <w:b w:val="1"/>
                <w:bCs w:val="1"/>
                <w:color w:val="auto"/>
                <w:w w:val="90"/>
              </w:rPr>
              <w:t>Right-of-use assets,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122"/>
              <w:spacing w:after="0"/>
              <w:rPr>
                <w:sz w:val="20"/>
                <w:szCs w:val="20"/>
                <w:color w:val="auto"/>
              </w:rPr>
            </w:pPr>
            <w:r>
              <w:rPr>
                <w:rFonts w:ascii="Arial" w:cs="Arial" w:eastAsia="Arial" w:hAnsi="Arial"/>
                <w:sz w:val="18"/>
                <w:szCs w:val="18"/>
                <w:b w:val="1"/>
                <w:bCs w:val="1"/>
                <w:color w:val="auto"/>
                <w:w w:val="89"/>
              </w:rPr>
              <w:t>Long-term lease</w:t>
            </w:r>
          </w:p>
        </w:tc>
        <w:tc>
          <w:tcPr>
            <w:tcW w:w="80" w:type="dxa"/>
            <w:vAlign w:val="bottom"/>
          </w:tcPr>
          <w:p>
            <w:pPr>
              <w:spacing w:after="0"/>
              <w:rPr>
                <w:sz w:val="17"/>
                <w:szCs w:val="17"/>
                <w:color w:val="auto"/>
              </w:rPr>
            </w:pPr>
          </w:p>
        </w:tc>
        <w:tc>
          <w:tcPr>
            <w:tcW w:w="1860" w:type="dxa"/>
            <w:vAlign w:val="bottom"/>
            <w:vMerge w:val="restart"/>
          </w:tcPr>
          <w:p>
            <w:pPr>
              <w:jc w:val="right"/>
              <w:ind w:right="202"/>
              <w:spacing w:after="0"/>
              <w:rPr>
                <w:sz w:val="20"/>
                <w:szCs w:val="20"/>
                <w:color w:val="auto"/>
              </w:rPr>
            </w:pPr>
            <w:r>
              <w:rPr>
                <w:rFonts w:ascii="Arial" w:cs="Arial" w:eastAsia="Arial" w:hAnsi="Arial"/>
                <w:sz w:val="18"/>
                <w:szCs w:val="18"/>
                <w:b w:val="1"/>
                <w:bCs w:val="1"/>
                <w:color w:val="auto"/>
              </w:rPr>
              <w:t>Lease expiration</w:t>
            </w:r>
          </w:p>
        </w:tc>
        <w:tc>
          <w:tcPr>
            <w:tcW w:w="0" w:type="dxa"/>
            <w:vAlign w:val="bottom"/>
          </w:tcPr>
          <w:p>
            <w:pPr>
              <w:spacing w:after="0"/>
              <w:rPr>
                <w:sz w:val="1"/>
                <w:szCs w:val="1"/>
                <w:color w:val="auto"/>
              </w:rPr>
            </w:pPr>
          </w:p>
        </w:tc>
      </w:tr>
      <w:tr>
        <w:trPr>
          <w:trHeight w:val="238"/>
        </w:trPr>
        <w:tc>
          <w:tcPr>
            <w:tcW w:w="4840" w:type="dxa"/>
            <w:vAlign w:val="bottom"/>
            <w:tcBorders>
              <w:bottom w:val="single" w:sz="8" w:color="E6E6E6"/>
            </w:tcBorders>
            <w:vMerge w:val="continue"/>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622"/>
              <w:spacing w:after="0"/>
              <w:rPr>
                <w:sz w:val="20"/>
                <w:szCs w:val="20"/>
                <w:color w:val="auto"/>
              </w:rPr>
            </w:pPr>
            <w:r>
              <w:rPr>
                <w:rFonts w:ascii="Arial" w:cs="Arial" w:eastAsia="Arial" w:hAnsi="Arial"/>
                <w:sz w:val="18"/>
                <w:szCs w:val="18"/>
                <w:b w:val="1"/>
                <w:bCs w:val="1"/>
                <w:color w:val="auto"/>
              </w:rPr>
              <w:t>net</w:t>
            </w:r>
          </w:p>
        </w:tc>
        <w:tc>
          <w:tcPr>
            <w:tcW w:w="80" w:type="dxa"/>
            <w:vAlign w:val="bottom"/>
            <w:tcBorders>
              <w:bottom w:val="single" w:sz="8" w:color="E6E6E6"/>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82"/>
              <w:spacing w:after="0"/>
              <w:rPr>
                <w:sz w:val="20"/>
                <w:szCs w:val="20"/>
                <w:color w:val="auto"/>
              </w:rPr>
            </w:pPr>
            <w:r>
              <w:rPr>
                <w:rFonts w:ascii="Arial" w:cs="Arial" w:eastAsia="Arial" w:hAnsi="Arial"/>
                <w:sz w:val="18"/>
                <w:szCs w:val="18"/>
                <w:b w:val="1"/>
                <w:bCs w:val="1"/>
                <w:color w:val="auto"/>
              </w:rPr>
              <w:t>liabilities</w:t>
            </w:r>
          </w:p>
        </w:tc>
        <w:tc>
          <w:tcPr>
            <w:tcW w:w="80" w:type="dxa"/>
            <w:vAlign w:val="bottom"/>
            <w:tcBorders>
              <w:bottom w:val="single" w:sz="8" w:color="E6E6E6"/>
            </w:tcBorders>
          </w:tcPr>
          <w:p>
            <w:pPr>
              <w:spacing w:after="0"/>
              <w:rPr>
                <w:sz w:val="20"/>
                <w:szCs w:val="20"/>
                <w:color w:val="auto"/>
              </w:rPr>
            </w:pPr>
          </w:p>
        </w:tc>
        <w:tc>
          <w:tcPr>
            <w:tcW w:w="18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4840" w:type="dxa"/>
            <w:vAlign w:val="bottom"/>
            <w:shd w:val="clear" w:color="auto" w:fill="E6E6E6"/>
          </w:tcPr>
          <w:p>
            <w:pPr>
              <w:ind w:left="40"/>
              <w:spacing w:after="0"/>
              <w:rPr>
                <w:sz w:val="20"/>
                <w:szCs w:val="20"/>
                <w:color w:val="auto"/>
              </w:rPr>
            </w:pPr>
            <w:r>
              <w:rPr>
                <w:rFonts w:ascii="Arial" w:cs="Arial" w:eastAsia="Arial" w:hAnsi="Arial"/>
                <w:sz w:val="20"/>
                <w:szCs w:val="20"/>
                <w:b w:val="1"/>
                <w:bCs w:val="1"/>
                <w:color w:val="auto"/>
              </w:rPr>
              <w:t>As of December 31, 2023</w:t>
            </w:r>
          </w:p>
        </w:tc>
        <w:tc>
          <w:tcPr>
            <w:tcW w:w="440" w:type="dxa"/>
            <w:vAlign w:val="bottom"/>
            <w:shd w:val="clear" w:color="auto" w:fill="E6E6E6"/>
          </w:tcPr>
          <w:p>
            <w:pPr>
              <w:spacing w:after="0"/>
              <w:rPr>
                <w:sz w:val="24"/>
                <w:szCs w:val="24"/>
                <w:color w:val="auto"/>
              </w:rPr>
            </w:pPr>
          </w:p>
        </w:tc>
        <w:tc>
          <w:tcPr>
            <w:tcW w:w="124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48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186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4840" w:type="dxa"/>
            <w:vAlign w:val="bottom"/>
          </w:tcPr>
          <w:p>
            <w:pPr>
              <w:ind w:left="280"/>
              <w:spacing w:after="0"/>
              <w:rPr>
                <w:sz w:val="20"/>
                <w:szCs w:val="20"/>
                <w:color w:val="auto"/>
              </w:rPr>
            </w:pPr>
            <w:r>
              <w:rPr>
                <w:rFonts w:ascii="Arial" w:cs="Arial" w:eastAsia="Arial" w:hAnsi="Arial"/>
                <w:sz w:val="20"/>
                <w:szCs w:val="20"/>
                <w:color w:val="auto"/>
              </w:rPr>
              <w:t>Daggett 2</w:t>
            </w:r>
          </w:p>
        </w:tc>
        <w:tc>
          <w:tcPr>
            <w:tcW w:w="440" w:type="dxa"/>
            <w:vAlign w:val="bottom"/>
          </w:tcPr>
          <w:p>
            <w:pPr>
              <w:jc w:val="right"/>
              <w:ind w:right="184"/>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22</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23</w:t>
            </w:r>
          </w:p>
        </w:tc>
        <w:tc>
          <w:tcPr>
            <w:tcW w:w="8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20"/>
                <w:szCs w:val="20"/>
                <w:color w:val="auto"/>
              </w:rPr>
              <w:t>June 30, 2058</w:t>
            </w:r>
          </w:p>
        </w:tc>
        <w:tc>
          <w:tcPr>
            <w:tcW w:w="0" w:type="dxa"/>
            <w:vAlign w:val="bottom"/>
          </w:tcPr>
          <w:p>
            <w:pPr>
              <w:spacing w:after="0"/>
              <w:rPr>
                <w:sz w:val="1"/>
                <w:szCs w:val="1"/>
                <w:color w:val="auto"/>
              </w:rPr>
            </w:pPr>
          </w:p>
        </w:tc>
      </w:tr>
      <w:tr>
        <w:trPr>
          <w:trHeight w:val="305"/>
        </w:trPr>
        <w:tc>
          <w:tcPr>
            <w:tcW w:w="4840" w:type="dxa"/>
            <w:vAlign w:val="bottom"/>
            <w:shd w:val="clear" w:color="auto" w:fill="E6E6E6"/>
          </w:tcPr>
          <w:p>
            <w:pPr>
              <w:ind w:left="280"/>
              <w:spacing w:after="0"/>
              <w:rPr>
                <w:sz w:val="20"/>
                <w:szCs w:val="20"/>
                <w:color w:val="auto"/>
              </w:rPr>
            </w:pPr>
            <w:r>
              <w:rPr>
                <w:rFonts w:ascii="Arial" w:cs="Arial" w:eastAsia="Arial" w:hAnsi="Arial"/>
                <w:sz w:val="20"/>
                <w:szCs w:val="20"/>
                <w:color w:val="auto"/>
              </w:rPr>
              <w:t>Daggett 3</w:t>
            </w:r>
          </w:p>
        </w:tc>
        <w:tc>
          <w:tcPr>
            <w:tcW w:w="440" w:type="dxa"/>
            <w:vAlign w:val="bottom"/>
            <w:shd w:val="clear" w:color="auto" w:fill="E6E6E6"/>
          </w:tcPr>
          <w:p>
            <w:pPr>
              <w:spacing w:after="0"/>
              <w:rPr>
                <w:sz w:val="24"/>
                <w:szCs w:val="24"/>
                <w:color w:val="auto"/>
              </w:rPr>
            </w:pPr>
          </w:p>
        </w:tc>
        <w:tc>
          <w:tcPr>
            <w:tcW w:w="12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31</w:t>
            </w:r>
          </w:p>
        </w:tc>
        <w:tc>
          <w:tcPr>
            <w:tcW w:w="8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4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33</w:t>
            </w:r>
          </w:p>
        </w:tc>
        <w:tc>
          <w:tcPr>
            <w:tcW w:w="80" w:type="dxa"/>
            <w:vAlign w:val="bottom"/>
            <w:shd w:val="clear" w:color="auto" w:fill="E6E6E6"/>
          </w:tcPr>
          <w:p>
            <w:pPr>
              <w:spacing w:after="0"/>
              <w:rPr>
                <w:sz w:val="24"/>
                <w:szCs w:val="24"/>
                <w:color w:val="auto"/>
              </w:rPr>
            </w:pPr>
          </w:p>
        </w:tc>
        <w:tc>
          <w:tcPr>
            <w:tcW w:w="1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December 18, 2062</w:t>
            </w:r>
          </w:p>
        </w:tc>
        <w:tc>
          <w:tcPr>
            <w:tcW w:w="0" w:type="dxa"/>
            <w:vAlign w:val="bottom"/>
          </w:tcPr>
          <w:p>
            <w:pPr>
              <w:spacing w:after="0"/>
              <w:rPr>
                <w:sz w:val="1"/>
                <w:szCs w:val="1"/>
                <w:color w:val="auto"/>
              </w:rPr>
            </w:pPr>
          </w:p>
        </w:tc>
      </w:tr>
      <w:tr>
        <w:trPr>
          <w:trHeight w:val="292"/>
        </w:trPr>
        <w:tc>
          <w:tcPr>
            <w:tcW w:w="4840" w:type="dxa"/>
            <w:vAlign w:val="bottom"/>
          </w:tcPr>
          <w:p>
            <w:pPr>
              <w:ind w:left="280"/>
              <w:spacing w:after="0"/>
              <w:rPr>
                <w:sz w:val="20"/>
                <w:szCs w:val="20"/>
                <w:color w:val="auto"/>
              </w:rPr>
            </w:pPr>
            <w:r>
              <w:rPr>
                <w:rFonts w:ascii="Arial" w:cs="Arial" w:eastAsia="Arial" w:hAnsi="Arial"/>
                <w:sz w:val="20"/>
                <w:szCs w:val="20"/>
                <w:color w:val="auto"/>
              </w:rPr>
              <w:t>Mililani I</w:t>
            </w:r>
          </w:p>
        </w:tc>
        <w:tc>
          <w:tcPr>
            <w:tcW w:w="4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20</w:t>
            </w:r>
          </w:p>
        </w:tc>
        <w:tc>
          <w:tcPr>
            <w:tcW w:w="8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20"/>
                <w:szCs w:val="20"/>
                <w:color w:val="auto"/>
              </w:rPr>
              <w:t>March 31, 2057</w:t>
            </w:r>
          </w:p>
        </w:tc>
        <w:tc>
          <w:tcPr>
            <w:tcW w:w="0" w:type="dxa"/>
            <w:vAlign w:val="bottom"/>
          </w:tcPr>
          <w:p>
            <w:pPr>
              <w:spacing w:after="0"/>
              <w:rPr>
                <w:sz w:val="1"/>
                <w:szCs w:val="1"/>
                <w:color w:val="auto"/>
              </w:rPr>
            </w:pPr>
          </w:p>
        </w:tc>
      </w:tr>
      <w:tr>
        <w:trPr>
          <w:trHeight w:val="305"/>
        </w:trPr>
        <w:tc>
          <w:tcPr>
            <w:tcW w:w="4840" w:type="dxa"/>
            <w:vAlign w:val="bottom"/>
            <w:shd w:val="clear" w:color="auto" w:fill="E6E6E6"/>
          </w:tcPr>
          <w:p>
            <w:pPr>
              <w:ind w:left="280"/>
              <w:spacing w:after="0"/>
              <w:rPr>
                <w:sz w:val="20"/>
                <w:szCs w:val="20"/>
                <w:color w:val="auto"/>
              </w:rPr>
            </w:pPr>
            <w:r>
              <w:rPr>
                <w:rFonts w:ascii="Arial" w:cs="Arial" w:eastAsia="Arial" w:hAnsi="Arial"/>
                <w:sz w:val="20"/>
                <w:szCs w:val="20"/>
                <w:color w:val="auto"/>
              </w:rPr>
              <w:t xml:space="preserve">Oahu Solar </w:t>
            </w:r>
            <w:r>
              <w:rPr>
                <w:rFonts w:ascii="Arial" w:cs="Arial" w:eastAsia="Arial" w:hAnsi="Arial"/>
                <w:sz w:val="25"/>
                <w:szCs w:val="25"/>
                <w:color w:val="auto"/>
                <w:vertAlign w:val="superscript"/>
              </w:rPr>
              <w:t>(a)</w:t>
            </w:r>
          </w:p>
        </w:tc>
        <w:tc>
          <w:tcPr>
            <w:tcW w:w="440" w:type="dxa"/>
            <w:vAlign w:val="bottom"/>
            <w:shd w:val="clear" w:color="auto" w:fill="E6E6E6"/>
          </w:tcPr>
          <w:p>
            <w:pPr>
              <w:spacing w:after="0"/>
              <w:rPr>
                <w:sz w:val="24"/>
                <w:szCs w:val="24"/>
                <w:color w:val="auto"/>
              </w:rPr>
            </w:pPr>
          </w:p>
        </w:tc>
        <w:tc>
          <w:tcPr>
            <w:tcW w:w="12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17</w:t>
            </w:r>
          </w:p>
        </w:tc>
        <w:tc>
          <w:tcPr>
            <w:tcW w:w="8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4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20</w:t>
            </w:r>
          </w:p>
        </w:tc>
        <w:tc>
          <w:tcPr>
            <w:tcW w:w="80" w:type="dxa"/>
            <w:vAlign w:val="bottom"/>
            <w:shd w:val="clear" w:color="auto" w:fill="E6E6E6"/>
          </w:tcPr>
          <w:p>
            <w:pPr>
              <w:spacing w:after="0"/>
              <w:rPr>
                <w:sz w:val="24"/>
                <w:szCs w:val="24"/>
                <w:color w:val="auto"/>
              </w:rPr>
            </w:pPr>
          </w:p>
        </w:tc>
        <w:tc>
          <w:tcPr>
            <w:tcW w:w="1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August 1, 2057</w:t>
            </w:r>
          </w:p>
        </w:tc>
        <w:tc>
          <w:tcPr>
            <w:tcW w:w="0" w:type="dxa"/>
            <w:vAlign w:val="bottom"/>
          </w:tcPr>
          <w:p>
            <w:pPr>
              <w:spacing w:after="0"/>
              <w:rPr>
                <w:sz w:val="1"/>
                <w:szCs w:val="1"/>
                <w:color w:val="auto"/>
              </w:rPr>
            </w:pPr>
          </w:p>
        </w:tc>
      </w:tr>
      <w:tr>
        <w:trPr>
          <w:trHeight w:val="298"/>
        </w:trPr>
        <w:tc>
          <w:tcPr>
            <w:tcW w:w="4840" w:type="dxa"/>
            <w:vAlign w:val="bottom"/>
          </w:tcPr>
          <w:p>
            <w:pPr>
              <w:ind w:left="280"/>
              <w:spacing w:after="0"/>
              <w:rPr>
                <w:sz w:val="20"/>
                <w:szCs w:val="20"/>
                <w:color w:val="auto"/>
              </w:rPr>
            </w:pPr>
            <w:r>
              <w:rPr>
                <w:rFonts w:ascii="Arial" w:cs="Arial" w:eastAsia="Arial" w:hAnsi="Arial"/>
                <w:sz w:val="20"/>
                <w:szCs w:val="20"/>
                <w:color w:val="auto"/>
              </w:rPr>
              <w:t xml:space="preserve">Rosamond Central </w:t>
            </w:r>
            <w:r>
              <w:rPr>
                <w:rFonts w:ascii="Arial" w:cs="Arial" w:eastAsia="Arial" w:hAnsi="Arial"/>
                <w:sz w:val="25"/>
                <w:szCs w:val="25"/>
                <w:color w:val="auto"/>
                <w:vertAlign w:val="superscript"/>
              </w:rPr>
              <w:t>(a)</w:t>
            </w:r>
          </w:p>
        </w:tc>
        <w:tc>
          <w:tcPr>
            <w:tcW w:w="4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12</w:t>
            </w:r>
          </w:p>
        </w:tc>
        <w:tc>
          <w:tcPr>
            <w:tcW w:w="8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20"/>
                <w:szCs w:val="20"/>
                <w:color w:val="auto"/>
              </w:rPr>
              <w:t>March 31, 2056</w:t>
            </w:r>
          </w:p>
        </w:tc>
        <w:tc>
          <w:tcPr>
            <w:tcW w:w="0" w:type="dxa"/>
            <w:vAlign w:val="bottom"/>
          </w:tcPr>
          <w:p>
            <w:pPr>
              <w:spacing w:after="0"/>
              <w:rPr>
                <w:sz w:val="1"/>
                <w:szCs w:val="1"/>
                <w:color w:val="auto"/>
              </w:rPr>
            </w:pPr>
          </w:p>
        </w:tc>
      </w:tr>
      <w:tr>
        <w:trPr>
          <w:trHeight w:val="298"/>
        </w:trPr>
        <w:tc>
          <w:tcPr>
            <w:tcW w:w="4840" w:type="dxa"/>
            <w:vAlign w:val="bottom"/>
            <w:shd w:val="clear" w:color="auto" w:fill="E6E6E6"/>
          </w:tcPr>
          <w:p>
            <w:pPr>
              <w:ind w:left="40"/>
              <w:spacing w:after="0"/>
              <w:rPr>
                <w:sz w:val="20"/>
                <w:szCs w:val="20"/>
                <w:color w:val="auto"/>
              </w:rPr>
            </w:pPr>
            <w:r>
              <w:rPr>
                <w:rFonts w:ascii="Arial" w:cs="Arial" w:eastAsia="Arial" w:hAnsi="Arial"/>
                <w:sz w:val="20"/>
                <w:szCs w:val="20"/>
                <w:b w:val="1"/>
                <w:bCs w:val="1"/>
                <w:color w:val="auto"/>
              </w:rPr>
              <w:t>As of December 31, 2022</w:t>
            </w:r>
          </w:p>
        </w:tc>
        <w:tc>
          <w:tcPr>
            <w:tcW w:w="440" w:type="dxa"/>
            <w:vAlign w:val="bottom"/>
            <w:shd w:val="clear" w:color="auto" w:fill="E6E6E6"/>
          </w:tcPr>
          <w:p>
            <w:pPr>
              <w:spacing w:after="0"/>
              <w:rPr>
                <w:sz w:val="24"/>
                <w:szCs w:val="24"/>
                <w:color w:val="auto"/>
              </w:rPr>
            </w:pPr>
          </w:p>
        </w:tc>
        <w:tc>
          <w:tcPr>
            <w:tcW w:w="124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48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186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4840" w:type="dxa"/>
            <w:vAlign w:val="bottom"/>
          </w:tcPr>
          <w:p>
            <w:pPr>
              <w:ind w:left="280"/>
              <w:spacing w:after="0"/>
              <w:rPr>
                <w:sz w:val="20"/>
                <w:szCs w:val="20"/>
                <w:color w:val="auto"/>
              </w:rPr>
            </w:pPr>
            <w:r>
              <w:rPr>
                <w:rFonts w:ascii="Arial" w:cs="Arial" w:eastAsia="Arial" w:hAnsi="Arial"/>
                <w:sz w:val="20"/>
                <w:szCs w:val="20"/>
                <w:color w:val="auto"/>
              </w:rPr>
              <w:t>Mililani I</w:t>
            </w:r>
          </w:p>
        </w:tc>
        <w:tc>
          <w:tcPr>
            <w:tcW w:w="440" w:type="dxa"/>
            <w:vAlign w:val="bottom"/>
          </w:tcPr>
          <w:p>
            <w:pPr>
              <w:jc w:val="right"/>
              <w:ind w:right="184"/>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19</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20</w:t>
            </w:r>
          </w:p>
        </w:tc>
        <w:tc>
          <w:tcPr>
            <w:tcW w:w="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4840" w:type="dxa"/>
            <w:vAlign w:val="bottom"/>
            <w:shd w:val="clear" w:color="auto" w:fill="E6E6E6"/>
          </w:tcPr>
          <w:p>
            <w:pPr>
              <w:ind w:left="280"/>
              <w:spacing w:after="0"/>
              <w:rPr>
                <w:sz w:val="20"/>
                <w:szCs w:val="20"/>
                <w:color w:val="auto"/>
              </w:rPr>
            </w:pPr>
            <w:r>
              <w:rPr>
                <w:rFonts w:ascii="Arial" w:cs="Arial" w:eastAsia="Arial" w:hAnsi="Arial"/>
                <w:sz w:val="20"/>
                <w:szCs w:val="20"/>
                <w:color w:val="auto"/>
              </w:rPr>
              <w:t xml:space="preserve">Oahu Solar </w:t>
            </w:r>
            <w:r>
              <w:rPr>
                <w:rFonts w:ascii="Arial" w:cs="Arial" w:eastAsia="Arial" w:hAnsi="Arial"/>
                <w:sz w:val="25"/>
                <w:szCs w:val="25"/>
                <w:color w:val="auto"/>
                <w:vertAlign w:val="superscript"/>
              </w:rPr>
              <w:t>(a)</w:t>
            </w:r>
          </w:p>
        </w:tc>
        <w:tc>
          <w:tcPr>
            <w:tcW w:w="440" w:type="dxa"/>
            <w:vAlign w:val="bottom"/>
            <w:shd w:val="clear" w:color="auto" w:fill="E6E6E6"/>
          </w:tcPr>
          <w:p>
            <w:pPr>
              <w:spacing w:after="0"/>
              <w:rPr>
                <w:sz w:val="24"/>
                <w:szCs w:val="24"/>
                <w:color w:val="auto"/>
              </w:rPr>
            </w:pPr>
          </w:p>
        </w:tc>
        <w:tc>
          <w:tcPr>
            <w:tcW w:w="12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17</w:t>
            </w:r>
          </w:p>
        </w:tc>
        <w:tc>
          <w:tcPr>
            <w:tcW w:w="8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4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20</w:t>
            </w:r>
          </w:p>
        </w:tc>
        <w:tc>
          <w:tcPr>
            <w:tcW w:w="80" w:type="dxa"/>
            <w:vAlign w:val="bottom"/>
            <w:shd w:val="clear" w:color="auto" w:fill="E6E6E6"/>
          </w:tcPr>
          <w:p>
            <w:pPr>
              <w:spacing w:after="0"/>
              <w:rPr>
                <w:sz w:val="24"/>
                <w:szCs w:val="24"/>
                <w:color w:val="auto"/>
              </w:rPr>
            </w:pPr>
          </w:p>
        </w:tc>
        <w:tc>
          <w:tcPr>
            <w:tcW w:w="186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4840" w:type="dxa"/>
            <w:vAlign w:val="bottom"/>
          </w:tcPr>
          <w:p>
            <w:pPr>
              <w:ind w:left="280"/>
              <w:spacing w:after="0"/>
              <w:rPr>
                <w:sz w:val="20"/>
                <w:szCs w:val="20"/>
                <w:color w:val="auto"/>
              </w:rPr>
            </w:pPr>
            <w:r>
              <w:rPr>
                <w:rFonts w:ascii="Arial" w:cs="Arial" w:eastAsia="Arial" w:hAnsi="Arial"/>
                <w:sz w:val="20"/>
                <w:szCs w:val="20"/>
                <w:color w:val="auto"/>
              </w:rPr>
              <w:t xml:space="preserve">Rosamond Central </w:t>
            </w:r>
            <w:r>
              <w:rPr>
                <w:rFonts w:ascii="Arial" w:cs="Arial" w:eastAsia="Arial" w:hAnsi="Arial"/>
                <w:sz w:val="25"/>
                <w:szCs w:val="25"/>
                <w:color w:val="auto"/>
                <w:vertAlign w:val="superscript"/>
              </w:rPr>
              <w:t>(a)</w:t>
            </w:r>
          </w:p>
        </w:tc>
        <w:tc>
          <w:tcPr>
            <w:tcW w:w="4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12</w:t>
            </w:r>
          </w:p>
        </w:tc>
        <w:tc>
          <w:tcPr>
            <w:tcW w:w="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3064510</wp:posOffset>
            </wp:positionH>
            <wp:positionV relativeFrom="paragraph">
              <wp:posOffset>-1953260</wp:posOffset>
            </wp:positionV>
            <wp:extent cx="3427730" cy="254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280">
                      <a:extLst>
                        <a:ext uri="{28A0092B-C50C-407E-A947-70E740481C1C}"/>
                      </a:extLst>
                    </a:blip>
                    <a:srcRect/>
                    <a:stretch>
                      <a:fillRect/>
                    </a:stretch>
                  </pic:blipFill>
                  <pic:spPr bwMode="auto">
                    <a:xfrm>
                      <a:off x="0" y="0"/>
                      <a:ext cx="3427730" cy="254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-2540</wp:posOffset>
                </wp:positionH>
                <wp:positionV relativeFrom="paragraph">
                  <wp:posOffset>64770</wp:posOffset>
                </wp:positionV>
                <wp:extent cx="1259840" cy="0"/>
                <wp:wrapNone/>
                <wp:docPr id="357" name="Shape 3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598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57" o:spid="_x0000_s13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5.1pt" to="99pt,5.1pt" o:allowincell="f" strokecolor="#000000" strokeweight="1pt"/>
            </w:pict>
          </mc:Fallback>
        </mc:AlternateContent>
      </w:r>
    </w:p>
    <w:p>
      <w:pPr>
        <w:spacing w:after="0" w:line="126" w:lineRule="exact"/>
        <w:rPr>
          <w:sz w:val="20"/>
          <w:szCs w:val="20"/>
          <w:color w:val="auto"/>
        </w:rPr>
      </w:pPr>
    </w:p>
    <w:p>
      <w:pPr>
        <w:ind w:left="260" w:hanging="175"/>
        <w:spacing w:after="0"/>
        <w:tabs>
          <w:tab w:leader="none" w:pos="260" w:val="left"/>
        </w:tabs>
        <w:numPr>
          <w:ilvl w:val="0"/>
          <w:numId w:val="85"/>
        </w:numPr>
        <w:rPr>
          <w:rFonts w:ascii="Arial" w:cs="Arial" w:eastAsia="Arial" w:hAnsi="Arial"/>
          <w:sz w:val="21"/>
          <w:szCs w:val="21"/>
          <w:color w:val="auto"/>
          <w:vertAlign w:val="superscript"/>
        </w:rPr>
      </w:pPr>
      <w:r>
        <w:rPr>
          <w:rFonts w:ascii="Arial" w:cs="Arial" w:eastAsia="Arial" w:hAnsi="Arial"/>
          <w:sz w:val="14"/>
          <w:szCs w:val="14"/>
          <w:color w:val="auto"/>
        </w:rPr>
        <w:t>The Company has the ability to extend each of these leases for two additional five-year periods.</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Lessor</w:t>
      </w:r>
    </w:p>
    <w:p>
      <w:pPr>
        <w:spacing w:after="0" w:line="176" w:lineRule="exact"/>
        <w:rPr>
          <w:sz w:val="20"/>
          <w:szCs w:val="20"/>
          <w:color w:val="auto"/>
        </w:rPr>
      </w:pPr>
    </w:p>
    <w:p>
      <w:pPr>
        <w:jc w:val="both"/>
        <w:ind w:firstLine="448"/>
        <w:spacing w:after="0" w:line="287" w:lineRule="auto"/>
        <w:rPr>
          <w:sz w:val="20"/>
          <w:szCs w:val="20"/>
          <w:color w:val="auto"/>
        </w:rPr>
      </w:pPr>
      <w:r>
        <w:rPr>
          <w:rFonts w:ascii="Arial" w:cs="Arial" w:eastAsia="Arial" w:hAnsi="Arial"/>
          <w:sz w:val="18"/>
          <w:szCs w:val="18"/>
          <w:color w:val="auto"/>
        </w:rPr>
        <w:t xml:space="preserve">The majority of the Company’s revenue is obtained through PPAs or other contractual agreements that are accounted for as leases. These leases are comprised of both fixed payments and variable payments contingent upon volumes or performance metrics. The terms of the Company’s leases are further described in Item 2 — </w:t>
      </w:r>
      <w:r>
        <w:rPr>
          <w:rFonts w:ascii="Arial" w:cs="Arial" w:eastAsia="Arial" w:hAnsi="Arial"/>
          <w:sz w:val="18"/>
          <w:szCs w:val="18"/>
          <w:b w:val="1"/>
          <w:bCs w:val="1"/>
          <w:i w:val="1"/>
          <w:iCs w:val="1"/>
          <w:color w:val="auto"/>
        </w:rPr>
        <w:t>Properties</w:t>
      </w:r>
      <w:r>
        <w:rPr>
          <w:rFonts w:ascii="Arial" w:cs="Arial" w:eastAsia="Arial" w:hAnsi="Arial"/>
          <w:sz w:val="18"/>
          <w:szCs w:val="18"/>
          <w:color w:val="auto"/>
        </w:rPr>
        <w:t xml:space="preserve"> of this Form 10-K. Many of the leases have renewal options at the end of the lease term. Termination may be allowed under specific circumstances in the lease arrangements, such as under an event of default. All but one of the Company’s active leases are operating leases. This sales-type lease is further described below. Certain of these operating leases have both lease and non-lease components, and the Company allocates the transaction price to the components based on standalone selling prices.</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following amounts of energy, capacity and other revenue are related to the Company’s operating leases: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2650490</wp:posOffset>
                </wp:positionH>
                <wp:positionV relativeFrom="paragraph">
                  <wp:posOffset>83185</wp:posOffset>
                </wp:positionV>
                <wp:extent cx="1241425" cy="0"/>
                <wp:wrapNone/>
                <wp:docPr id="358" name="Shape 3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414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58" o:spid="_x0000_s13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8.7pt,6.55pt" to="306.45pt,6.5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3939540</wp:posOffset>
                </wp:positionH>
                <wp:positionV relativeFrom="paragraph">
                  <wp:posOffset>83185</wp:posOffset>
                </wp:positionV>
                <wp:extent cx="1241425" cy="0"/>
                <wp:wrapNone/>
                <wp:docPr id="359" name="Shape 3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414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59" o:spid="_x0000_s13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0.2pt,6.55pt" to="407.95pt,6.5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5228590</wp:posOffset>
                </wp:positionH>
                <wp:positionV relativeFrom="paragraph">
                  <wp:posOffset>83185</wp:posOffset>
                </wp:positionV>
                <wp:extent cx="1250950" cy="0"/>
                <wp:wrapNone/>
                <wp:docPr id="360" name="Shape 3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509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60" o:spid="_x0000_s13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1.7pt,6.55pt" to="510.2pt,6.55pt" o:allowincell="f" strokecolor="#000000" strokeweight="1pt"/>
            </w:pict>
          </mc:Fallback>
        </mc:AlternateConten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Conventional</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vMerge w:val="restart"/>
          </w:tcPr>
          <w:p>
            <w:pPr>
              <w:jc w:val="right"/>
              <w:ind w:right="404"/>
              <w:spacing w:after="0"/>
              <w:rPr>
                <w:sz w:val="20"/>
                <w:szCs w:val="20"/>
                <w:color w:val="auto"/>
              </w:rPr>
            </w:pPr>
            <w:r>
              <w:rPr>
                <w:rFonts w:ascii="Arial" w:cs="Arial" w:eastAsia="Arial" w:hAnsi="Arial"/>
                <w:sz w:val="18"/>
                <w:szCs w:val="18"/>
                <w:b w:val="1"/>
                <w:bCs w:val="1"/>
                <w:color w:val="auto"/>
              </w:rPr>
              <w:t>Renewables</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vMerge w:val="restart"/>
          </w:tcPr>
          <w:p>
            <w:pPr>
              <w:jc w:val="right"/>
              <w:ind w:right="66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8"/>
        </w:trPr>
        <w:tc>
          <w:tcPr>
            <w:tcW w:w="4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tcBorders>
              <w:bottom w:val="single" w:sz="8" w:color="auto"/>
            </w:tcBorders>
          </w:tcPr>
          <w:p>
            <w:pPr>
              <w:jc w:val="right"/>
              <w:ind w:right="25"/>
              <w:spacing w:after="0"/>
              <w:rPr>
                <w:sz w:val="20"/>
                <w:szCs w:val="20"/>
                <w:color w:val="auto"/>
              </w:rPr>
            </w:pPr>
            <w:r>
              <w:rPr>
                <w:rFonts w:ascii="Arial" w:cs="Arial" w:eastAsia="Arial" w:hAnsi="Arial"/>
                <w:sz w:val="18"/>
                <w:szCs w:val="18"/>
                <w:b w:val="1"/>
                <w:bCs w:val="1"/>
                <w:color w:val="auto"/>
              </w:rPr>
              <w:t>Generation</w:t>
            </w:r>
          </w:p>
        </w:tc>
        <w:tc>
          <w:tcPr>
            <w:tcW w:w="4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4200" w:type="dxa"/>
            <w:vAlign w:val="bottom"/>
            <w:gridSpan w:val="2"/>
          </w:tcPr>
          <w:p>
            <w:pPr>
              <w:ind w:left="40"/>
              <w:spacing w:after="0"/>
              <w:rPr>
                <w:sz w:val="20"/>
                <w:szCs w:val="20"/>
                <w:color w:val="auto"/>
              </w:rPr>
            </w:pPr>
            <w:r>
              <w:rPr>
                <w:rFonts w:ascii="Arial" w:cs="Arial" w:eastAsia="Arial" w:hAnsi="Arial"/>
                <w:sz w:val="20"/>
                <w:szCs w:val="20"/>
                <w:b w:val="1"/>
                <w:bCs w:val="1"/>
                <w:color w:val="auto"/>
              </w:rPr>
              <w:t>December 31, 2023</w:t>
            </w:r>
          </w:p>
        </w:tc>
        <w:tc>
          <w:tcPr>
            <w:tcW w:w="1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20" w:type="dxa"/>
            <w:vAlign w:val="bottom"/>
          </w:tcPr>
          <w:p>
            <w:pPr>
              <w:jc w:val="right"/>
              <w:ind w:right="404"/>
              <w:spacing w:after="0"/>
              <w:rPr>
                <w:sz w:val="20"/>
                <w:szCs w:val="20"/>
                <w:color w:val="auto"/>
              </w:rPr>
            </w:pPr>
            <w:r>
              <w:rPr>
                <w:rFonts w:ascii="Arial" w:cs="Arial" w:eastAsia="Arial" w:hAnsi="Arial"/>
                <w:sz w:val="18"/>
                <w:szCs w:val="18"/>
                <w:b w:val="1"/>
                <w:bCs w:val="1"/>
                <w:color w:val="auto"/>
              </w:rPr>
              <w:t>(In millions)</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5"/>
        </w:trPr>
        <w:tc>
          <w:tcPr>
            <w:tcW w:w="4200" w:type="dxa"/>
            <w:vAlign w:val="bottom"/>
            <w:gridSpan w:val="2"/>
            <w:shd w:val="clear" w:color="auto" w:fill="E6E6E6"/>
          </w:tcPr>
          <w:p>
            <w:pPr>
              <w:jc w:val="right"/>
              <w:ind w:right="160"/>
              <w:spacing w:after="0"/>
              <w:rPr>
                <w:sz w:val="20"/>
                <w:szCs w:val="20"/>
                <w:color w:val="auto"/>
              </w:rPr>
            </w:pPr>
            <w:r>
              <w:rPr>
                <w:rFonts w:ascii="Arial" w:cs="Arial" w:eastAsia="Arial" w:hAnsi="Arial"/>
                <w:sz w:val="20"/>
                <w:szCs w:val="20"/>
                <w:color w:val="auto"/>
                <w:w w:val="91"/>
              </w:rPr>
              <w:t xml:space="preserve">Energy revenue </w:t>
            </w:r>
            <w:r>
              <w:rPr>
                <w:rFonts w:ascii="Arial" w:cs="Arial" w:eastAsia="Arial" w:hAnsi="Arial"/>
                <w:sz w:val="20"/>
                <w:szCs w:val="20"/>
                <w:color w:val="BDBDBD"/>
                <w:w w:val="91"/>
              </w:rPr>
              <w:t>. . . . . . . . . . . . . . . . . . . . . . . . . . .</w:t>
            </w:r>
          </w:p>
        </w:tc>
        <w:tc>
          <w:tcPr>
            <w:tcW w:w="1520" w:type="dxa"/>
            <w:vAlign w:val="bottom"/>
            <w:shd w:val="clear" w:color="auto" w:fill="E6E6E6"/>
          </w:tcPr>
          <w:p>
            <w:pPr>
              <w:jc w:val="right"/>
              <w:ind w:right="1305"/>
              <w:spacing w:after="0"/>
              <w:rPr>
                <w:sz w:val="20"/>
                <w:szCs w:val="20"/>
                <w:color w:val="auto"/>
              </w:rPr>
            </w:pPr>
            <w:r>
              <w:rPr>
                <w:rFonts w:ascii="Arial" w:cs="Arial" w:eastAsia="Arial" w:hAnsi="Arial"/>
                <w:sz w:val="20"/>
                <w:szCs w:val="20"/>
                <w:color w:val="auto"/>
                <w:w w:val="89"/>
              </w:rPr>
              <w:t>$</w:t>
            </w:r>
          </w:p>
        </w:tc>
        <w:tc>
          <w:tcPr>
            <w:tcW w:w="4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w:t>
            </w:r>
          </w:p>
        </w:tc>
        <w:tc>
          <w:tcPr>
            <w:tcW w:w="420" w:type="dxa"/>
            <w:vAlign w:val="bottom"/>
            <w:gridSpan w:val="2"/>
            <w:shd w:val="clear" w:color="auto" w:fill="E6E6E6"/>
          </w:tcPr>
          <w:p>
            <w:pPr>
              <w:jc w:val="right"/>
              <w:ind w:right="180"/>
              <w:spacing w:after="0"/>
              <w:rPr>
                <w:sz w:val="20"/>
                <w:szCs w:val="20"/>
                <w:color w:val="auto"/>
              </w:rPr>
            </w:pPr>
            <w:r>
              <w:rPr>
                <w:rFonts w:ascii="Arial" w:cs="Arial" w:eastAsia="Arial" w:hAnsi="Arial"/>
                <w:sz w:val="20"/>
                <w:szCs w:val="20"/>
                <w:color w:val="auto"/>
              </w:rPr>
              <w:t>$</w:t>
            </w:r>
          </w:p>
        </w:tc>
        <w:tc>
          <w:tcPr>
            <w:tcW w:w="16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760</w:t>
            </w:r>
          </w:p>
        </w:tc>
        <w:tc>
          <w:tcPr>
            <w:tcW w:w="540" w:type="dxa"/>
            <w:vAlign w:val="bottom"/>
            <w:gridSpan w:val="2"/>
            <w:shd w:val="clear" w:color="auto" w:fill="E6E6E6"/>
          </w:tcPr>
          <w:p>
            <w:pPr>
              <w:jc w:val="right"/>
              <w:ind w:right="320"/>
              <w:spacing w:after="0"/>
              <w:rPr>
                <w:sz w:val="20"/>
                <w:szCs w:val="20"/>
                <w:color w:val="auto"/>
              </w:rPr>
            </w:pPr>
            <w:r>
              <w:rPr>
                <w:rFonts w:ascii="Arial" w:cs="Arial" w:eastAsia="Arial" w:hAnsi="Arial"/>
                <w:sz w:val="20"/>
                <w:szCs w:val="20"/>
                <w:color w:val="auto"/>
              </w:rPr>
              <w:t>$</w:t>
            </w:r>
          </w:p>
        </w:tc>
        <w:tc>
          <w:tcPr>
            <w:tcW w:w="15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764</w:t>
            </w:r>
          </w:p>
        </w:tc>
        <w:tc>
          <w:tcPr>
            <w:tcW w:w="0" w:type="dxa"/>
            <w:vAlign w:val="bottom"/>
          </w:tcPr>
          <w:p>
            <w:pPr>
              <w:spacing w:after="0"/>
              <w:rPr>
                <w:sz w:val="1"/>
                <w:szCs w:val="1"/>
                <w:color w:val="auto"/>
              </w:rPr>
            </w:pPr>
          </w:p>
        </w:tc>
      </w:tr>
      <w:tr>
        <w:trPr>
          <w:trHeight w:val="292"/>
        </w:trPr>
        <w:tc>
          <w:tcPr>
            <w:tcW w:w="4200" w:type="dxa"/>
            <w:vAlign w:val="bottom"/>
            <w:gridSpan w:val="2"/>
          </w:tcPr>
          <w:p>
            <w:pPr>
              <w:jc w:val="right"/>
              <w:ind w:right="160"/>
              <w:spacing w:after="0"/>
              <w:rPr>
                <w:sz w:val="20"/>
                <w:szCs w:val="20"/>
                <w:color w:val="auto"/>
              </w:rPr>
            </w:pPr>
            <w:r>
              <w:rPr>
                <w:rFonts w:ascii="Arial" w:cs="Arial" w:eastAsia="Arial" w:hAnsi="Arial"/>
                <w:sz w:val="20"/>
                <w:szCs w:val="20"/>
                <w:color w:val="auto"/>
                <w:w w:val="90"/>
              </w:rPr>
              <w:t xml:space="preserve">Capacity revenue </w:t>
            </w:r>
            <w:r>
              <w:rPr>
                <w:rFonts w:ascii="Arial" w:cs="Arial" w:eastAsia="Arial" w:hAnsi="Arial"/>
                <w:sz w:val="20"/>
                <w:szCs w:val="20"/>
                <w:color w:val="BDBDBD"/>
                <w:w w:val="90"/>
              </w:rPr>
              <w:t>. . . . . . . . . . . . . . . . . . . . . . . . . .</w:t>
            </w:r>
          </w:p>
        </w:tc>
        <w:tc>
          <w:tcPr>
            <w:tcW w:w="15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w w:val="89"/>
              </w:rPr>
              <w:t>249</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20</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269</w:t>
            </w:r>
          </w:p>
        </w:tc>
        <w:tc>
          <w:tcPr>
            <w:tcW w:w="0" w:type="dxa"/>
            <w:vAlign w:val="bottom"/>
          </w:tcPr>
          <w:p>
            <w:pPr>
              <w:spacing w:after="0"/>
              <w:rPr>
                <w:sz w:val="1"/>
                <w:szCs w:val="1"/>
                <w:color w:val="auto"/>
              </w:rPr>
            </w:pPr>
          </w:p>
        </w:tc>
      </w:tr>
      <w:tr>
        <w:trPr>
          <w:trHeight w:val="295"/>
        </w:trPr>
        <w:tc>
          <w:tcPr>
            <w:tcW w:w="4180" w:type="dxa"/>
            <w:vAlign w:val="bottom"/>
            <w:tcBorders>
              <w:bottom w:val="single" w:sz="8" w:color="E6E6E6"/>
            </w:tcBorders>
            <w:shd w:val="clear" w:color="auto" w:fill="E6E6E6"/>
          </w:tcPr>
          <w:p>
            <w:pPr>
              <w:jc w:val="right"/>
              <w:ind w:right="41"/>
              <w:spacing w:after="0"/>
              <w:rPr>
                <w:sz w:val="20"/>
                <w:szCs w:val="20"/>
                <w:color w:val="auto"/>
              </w:rPr>
            </w:pPr>
            <w:r>
              <w:rPr>
                <w:rFonts w:ascii="Arial" w:cs="Arial" w:eastAsia="Arial" w:hAnsi="Arial"/>
                <w:sz w:val="20"/>
                <w:szCs w:val="20"/>
                <w:color w:val="auto"/>
                <w:w w:val="89"/>
              </w:rPr>
              <w:t xml:space="preserve">Other revenue </w:t>
            </w:r>
            <w:r>
              <w:rPr>
                <w:rFonts w:ascii="Arial" w:cs="Arial" w:eastAsia="Arial" w:hAnsi="Arial"/>
                <w:sz w:val="25"/>
                <w:szCs w:val="25"/>
                <w:color w:val="auto"/>
                <w:w w:val="89"/>
                <w:vertAlign w:val="superscript"/>
              </w:rPr>
              <w:t>(a)</w:t>
            </w:r>
            <w:r>
              <w:rPr>
                <w:rFonts w:ascii="Arial" w:cs="Arial" w:eastAsia="Arial" w:hAnsi="Arial"/>
                <w:sz w:val="20"/>
                <w:szCs w:val="20"/>
                <w:color w:val="auto"/>
                <w:w w:val="89"/>
              </w:rPr>
              <w:t xml:space="preserve">  </w:t>
            </w:r>
            <w:r>
              <w:rPr>
                <w:rFonts w:ascii="Arial" w:cs="Arial" w:eastAsia="Arial" w:hAnsi="Arial"/>
                <w:sz w:val="20"/>
                <w:szCs w:val="20"/>
                <w:color w:val="BDBDBD"/>
                <w:w w:val="89"/>
              </w:rPr>
              <w:t>. . . . . . . . . . . . . . . . . . . . . . . . . .</w:t>
            </w:r>
          </w:p>
        </w:tc>
        <w:tc>
          <w:tcPr>
            <w:tcW w:w="20" w:type="dxa"/>
            <w:vAlign w:val="bottom"/>
            <w:tcBorders>
              <w:bottom w:val="single" w:sz="8" w:color="auto"/>
            </w:tcBorders>
            <w:shd w:val="clear" w:color="auto" w:fill="E6E6E6"/>
          </w:tcPr>
          <w:p>
            <w:pPr>
              <w:spacing w:after="0"/>
              <w:rPr>
                <w:sz w:val="24"/>
                <w:szCs w:val="24"/>
                <w:color w:val="auto"/>
              </w:rPr>
            </w:pPr>
          </w:p>
        </w:tc>
        <w:tc>
          <w:tcPr>
            <w:tcW w:w="1520" w:type="dxa"/>
            <w:vAlign w:val="bottom"/>
            <w:tcBorders>
              <w:bottom w:val="single" w:sz="8" w:color="auto"/>
            </w:tcBorders>
            <w:shd w:val="clear" w:color="auto" w:fill="E6E6E6"/>
          </w:tcPr>
          <w:p>
            <w:pPr>
              <w:spacing w:after="0"/>
              <w:rPr>
                <w:sz w:val="24"/>
                <w:szCs w:val="24"/>
                <w:color w:val="auto"/>
              </w:rPr>
            </w:pPr>
          </w:p>
        </w:tc>
        <w:tc>
          <w:tcPr>
            <w:tcW w:w="4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21</w:t>
            </w:r>
          </w:p>
        </w:tc>
        <w:tc>
          <w:tcPr>
            <w:tcW w:w="8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16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shd w:val="clear" w:color="auto" w:fill="E6E6E6"/>
          </w:tcPr>
          <w:p>
            <w:pPr>
              <w:spacing w:after="0"/>
              <w:rPr>
                <w:sz w:val="24"/>
                <w:szCs w:val="24"/>
                <w:color w:val="auto"/>
              </w:rPr>
            </w:pPr>
          </w:p>
        </w:tc>
        <w:tc>
          <w:tcPr>
            <w:tcW w:w="460" w:type="dxa"/>
            <w:vAlign w:val="bottom"/>
            <w:tcBorders>
              <w:bottom w:val="single" w:sz="8" w:color="auto"/>
            </w:tcBorders>
            <w:shd w:val="clear" w:color="auto" w:fill="E6E6E6"/>
          </w:tcPr>
          <w:p>
            <w:pPr>
              <w:spacing w:after="0"/>
              <w:rPr>
                <w:sz w:val="24"/>
                <w:szCs w:val="24"/>
                <w:color w:val="auto"/>
              </w:rPr>
            </w:pPr>
          </w:p>
        </w:tc>
        <w:tc>
          <w:tcPr>
            <w:tcW w:w="15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r>
        <w:trPr>
          <w:trHeight w:val="259"/>
        </w:trPr>
        <w:tc>
          <w:tcPr>
            <w:tcW w:w="4200" w:type="dxa"/>
            <w:vAlign w:val="bottom"/>
            <w:gridSpan w:val="2"/>
          </w:tcPr>
          <w:p>
            <w:pPr>
              <w:jc w:val="right"/>
              <w:ind w:right="160"/>
              <w:spacing w:after="0"/>
              <w:rPr>
                <w:sz w:val="20"/>
                <w:szCs w:val="20"/>
                <w:color w:val="auto"/>
              </w:rPr>
            </w:pPr>
            <w:r>
              <w:rPr>
                <w:rFonts w:ascii="Arial" w:cs="Arial" w:eastAsia="Arial" w:hAnsi="Arial"/>
                <w:sz w:val="20"/>
                <w:szCs w:val="20"/>
                <w:color w:val="auto"/>
                <w:w w:val="93"/>
              </w:rPr>
              <w:t xml:space="preserve">Operating revenues </w:t>
            </w:r>
            <w:r>
              <w:rPr>
                <w:rFonts w:ascii="Arial" w:cs="Arial" w:eastAsia="Arial" w:hAnsi="Arial"/>
                <w:sz w:val="20"/>
                <w:szCs w:val="20"/>
                <w:color w:val="BDBDBD"/>
                <w:w w:val="93"/>
              </w:rPr>
              <w:t>. . . . . . . . . . . . . . . . . . . . . . .</w:t>
            </w:r>
          </w:p>
        </w:tc>
        <w:tc>
          <w:tcPr>
            <w:tcW w:w="1520" w:type="dxa"/>
            <w:vAlign w:val="bottom"/>
          </w:tcPr>
          <w:p>
            <w:pPr>
              <w:jc w:val="right"/>
              <w:ind w:right="1305"/>
              <w:spacing w:after="0"/>
              <w:rPr>
                <w:sz w:val="20"/>
                <w:szCs w:val="20"/>
                <w:color w:val="auto"/>
              </w:rPr>
            </w:pPr>
            <w:r>
              <w:rPr>
                <w:rFonts w:ascii="Arial" w:cs="Arial" w:eastAsia="Arial" w:hAnsi="Arial"/>
                <w:sz w:val="20"/>
                <w:szCs w:val="20"/>
                <w:color w:val="auto"/>
                <w:w w:val="89"/>
              </w:rPr>
              <w:t>$</w:t>
            </w:r>
          </w:p>
        </w:tc>
        <w:tc>
          <w:tcPr>
            <w:tcW w:w="400" w:type="dxa"/>
            <w:vAlign w:val="bottom"/>
          </w:tcPr>
          <w:p>
            <w:pPr>
              <w:jc w:val="right"/>
              <w:spacing w:after="0"/>
              <w:rPr>
                <w:sz w:val="20"/>
                <w:szCs w:val="20"/>
                <w:color w:val="auto"/>
              </w:rPr>
            </w:pPr>
            <w:r>
              <w:rPr>
                <w:rFonts w:ascii="Arial" w:cs="Arial" w:eastAsia="Arial" w:hAnsi="Arial"/>
                <w:sz w:val="20"/>
                <w:szCs w:val="20"/>
                <w:color w:val="auto"/>
                <w:w w:val="89"/>
              </w:rPr>
              <w:t>274</w:t>
            </w:r>
          </w:p>
        </w:tc>
        <w:tc>
          <w:tcPr>
            <w:tcW w:w="42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620" w:type="dxa"/>
            <w:vAlign w:val="bottom"/>
          </w:tcPr>
          <w:p>
            <w:pPr>
              <w:jc w:val="right"/>
              <w:spacing w:after="0"/>
              <w:rPr>
                <w:sz w:val="20"/>
                <w:szCs w:val="20"/>
                <w:color w:val="auto"/>
              </w:rPr>
            </w:pPr>
            <w:r>
              <w:rPr>
                <w:rFonts w:ascii="Arial" w:cs="Arial" w:eastAsia="Arial" w:hAnsi="Arial"/>
                <w:sz w:val="20"/>
                <w:szCs w:val="20"/>
                <w:color w:val="auto"/>
              </w:rPr>
              <w:t>780</w:t>
            </w:r>
          </w:p>
        </w:tc>
        <w:tc>
          <w:tcPr>
            <w:tcW w:w="540" w:type="dxa"/>
            <w:vAlign w:val="bottom"/>
            <w:gridSpan w:val="2"/>
          </w:tcPr>
          <w:p>
            <w:pPr>
              <w:jc w:val="right"/>
              <w:ind w:right="320"/>
              <w:spacing w:after="0"/>
              <w:rPr>
                <w:sz w:val="20"/>
                <w:szCs w:val="20"/>
                <w:color w:val="auto"/>
              </w:rPr>
            </w:pPr>
            <w:r>
              <w:rPr>
                <w:rFonts w:ascii="Arial" w:cs="Arial" w:eastAsia="Arial" w:hAnsi="Arial"/>
                <w:sz w:val="20"/>
                <w:szCs w:val="20"/>
                <w:color w:val="auto"/>
              </w:rPr>
              <w:t>$</w:t>
            </w:r>
          </w:p>
        </w:tc>
        <w:tc>
          <w:tcPr>
            <w:tcW w:w="1500" w:type="dxa"/>
            <w:vAlign w:val="bottom"/>
          </w:tcPr>
          <w:p>
            <w:pPr>
              <w:jc w:val="right"/>
              <w:spacing w:after="0"/>
              <w:rPr>
                <w:sz w:val="20"/>
                <w:szCs w:val="20"/>
                <w:color w:val="auto"/>
              </w:rPr>
            </w:pPr>
            <w:r>
              <w:rPr>
                <w:rFonts w:ascii="Arial" w:cs="Arial" w:eastAsia="Arial" w:hAnsi="Arial"/>
                <w:sz w:val="20"/>
                <w:szCs w:val="20"/>
                <w:color w:val="auto"/>
              </w:rPr>
              <w:t>1,054</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2638425</wp:posOffset>
            </wp:positionH>
            <wp:positionV relativeFrom="paragraph">
              <wp:posOffset>-220345</wp:posOffset>
            </wp:positionV>
            <wp:extent cx="3854450"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281">
                      <a:extLst>
                        <a:ext uri="{28A0092B-C50C-407E-A947-70E740481C1C}"/>
                      </a:extLst>
                    </a:blip>
                    <a:srcRect/>
                    <a:stretch>
                      <a:fillRect/>
                    </a:stretch>
                  </pic:blipFill>
                  <pic:spPr bwMode="auto">
                    <a:xfrm>
                      <a:off x="0" y="0"/>
                      <a:ext cx="3854450" cy="254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-2540</wp:posOffset>
                </wp:positionH>
                <wp:positionV relativeFrom="paragraph">
                  <wp:posOffset>91440</wp:posOffset>
                </wp:positionV>
                <wp:extent cx="1259840" cy="0"/>
                <wp:wrapNone/>
                <wp:docPr id="362" name="Shape 3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598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62" o:spid="_x0000_s13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7.2pt" to="99pt,7.2pt" o:allowincell="f" strokecolor="#000000" strokeweight="1pt"/>
            </w:pict>
          </mc:Fallback>
        </mc:AlternateContent>
      </w:r>
    </w:p>
    <w:p>
      <w:pPr>
        <w:spacing w:after="0" w:line="201" w:lineRule="exact"/>
        <w:rPr>
          <w:sz w:val="20"/>
          <w:szCs w:val="20"/>
          <w:color w:val="auto"/>
        </w:rPr>
      </w:pPr>
    </w:p>
    <w:p>
      <w:pPr>
        <w:jc w:val="both"/>
        <w:ind w:left="80" w:firstLine="5"/>
        <w:spacing w:after="0" w:line="238" w:lineRule="auto"/>
        <w:tabs>
          <w:tab w:leader="none" w:pos="316" w:val="left"/>
        </w:tabs>
        <w:numPr>
          <w:ilvl w:val="0"/>
          <w:numId w:val="86"/>
        </w:numPr>
        <w:rPr>
          <w:rFonts w:ascii="Arial" w:cs="Arial" w:eastAsia="Arial" w:hAnsi="Arial"/>
          <w:sz w:val="25"/>
          <w:szCs w:val="25"/>
          <w:color w:val="auto"/>
          <w:vertAlign w:val="superscript"/>
        </w:rPr>
      </w:pPr>
      <w:r>
        <w:rPr>
          <w:rFonts w:ascii="Arial" w:cs="Arial" w:eastAsia="Arial" w:hAnsi="Arial"/>
          <w:sz w:val="15"/>
          <w:szCs w:val="15"/>
          <w:color w:val="auto"/>
        </w:rPr>
        <w:t>On May 31, 2023, the Marsh Landing Black Start addition reached commercial operations and the Company will receive an annual fixed fee over a five-year term under the related agreement. The agreement was determined to be a sales-type lease resulting in the Company recording a lease receivable of $21 million included in total operating revenues, offset by net investment costs of $13 million included in cost of operations, resulting in a net pre-tax profit of $8 million. The lease receivable is included in other current and non-current assets on the Company’s consolidated balance sheet.</w:t>
      </w:r>
    </w:p>
    <w:p>
      <w:pPr>
        <w:sectPr>
          <w:pgSz w:w="11880" w:h="15480" w:orient="portrait"/>
          <w:cols w:equalWidth="0" w:num="1">
            <w:col w:w="10200"/>
          </w:cols>
          <w:pgMar w:left="840" w:top="411"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123</w:t>
      </w:r>
    </w:p>
    <w:p>
      <w:pPr>
        <w:sectPr>
          <w:pgSz w:w="11880" w:h="15480" w:orient="portrait"/>
          <w:cols w:equalWidth="0" w:num="1">
            <w:col w:w="10200"/>
          </w:cols>
          <w:pgMar w:left="840" w:top="411" w:right="840" w:bottom="0" w:gutter="0" w:footer="0" w:header="0"/>
          <w:type w:val="continuous"/>
        </w:sectPr>
      </w:pPr>
    </w:p>
    <w:bookmarkStart w:id="125" w:name="page126"/>
    <w:bookmarkEnd w:id="125"/>
    <w:tbl>
      <w:tblPr>
        <w:tblLayout w:type="fixed"/>
        <w:tblInd w:w="0" w:type="dxa"/>
        <w:tblCellMar>
          <w:top w:w="0" w:type="dxa"/>
          <w:left w:w="0" w:type="dxa"/>
          <w:bottom w:w="0" w:type="dxa"/>
          <w:right w:w="0" w:type="dxa"/>
        </w:tblCellMar>
      </w:tblPr>
      <w:tr>
        <w:trPr>
          <w:trHeight w:val="207"/>
        </w:trPr>
        <w:tc>
          <w:tcPr>
            <w:tcW w:w="4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center"/>
              <w:ind w:right="164"/>
              <w:spacing w:after="0"/>
              <w:rPr>
                <w:sz w:val="20"/>
                <w:szCs w:val="20"/>
                <w:color w:val="auto"/>
              </w:rPr>
            </w:pPr>
            <w:r>
              <w:rPr>
                <w:rFonts w:ascii="Arial" w:cs="Arial" w:eastAsia="Arial" w:hAnsi="Arial"/>
                <w:sz w:val="18"/>
                <w:szCs w:val="18"/>
                <w:b w:val="1"/>
                <w:bCs w:val="1"/>
                <w:color w:val="auto"/>
                <w:w w:val="89"/>
              </w:rPr>
              <w:t>Conventional</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vMerge w:val="restart"/>
          </w:tcPr>
          <w:p>
            <w:pPr>
              <w:jc w:val="right"/>
              <w:ind w:right="184"/>
              <w:spacing w:after="0"/>
              <w:rPr>
                <w:sz w:val="20"/>
                <w:szCs w:val="20"/>
                <w:color w:val="auto"/>
              </w:rPr>
            </w:pPr>
            <w:r>
              <w:rPr>
                <w:rFonts w:ascii="Arial" w:cs="Arial" w:eastAsia="Arial" w:hAnsi="Arial"/>
                <w:sz w:val="18"/>
                <w:szCs w:val="18"/>
                <w:b w:val="1"/>
                <w:bCs w:val="1"/>
                <w:color w:val="auto"/>
                <w:w w:val="90"/>
              </w:rPr>
              <w:t>Renewables</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vMerge w:val="restart"/>
          </w:tcPr>
          <w:p>
            <w:pPr>
              <w:jc w:val="right"/>
              <w:ind w:right="203"/>
              <w:spacing w:after="0"/>
              <w:rPr>
                <w:sz w:val="20"/>
                <w:szCs w:val="20"/>
                <w:color w:val="auto"/>
              </w:rPr>
            </w:pPr>
            <w:r>
              <w:rPr>
                <w:rFonts w:ascii="Arial" w:cs="Arial" w:eastAsia="Arial" w:hAnsi="Arial"/>
                <w:sz w:val="18"/>
                <w:szCs w:val="18"/>
                <w:b w:val="1"/>
                <w:bCs w:val="1"/>
                <w:color w:val="auto"/>
              </w:rPr>
              <w:t>Thermal</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vMerge w:val="restart"/>
          </w:tcPr>
          <w:p>
            <w:pPr>
              <w:jc w:val="right"/>
              <w:ind w:right="343"/>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8"/>
        </w:trPr>
        <w:tc>
          <w:tcPr>
            <w:tcW w:w="4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64"/>
              <w:spacing w:after="0"/>
              <w:rPr>
                <w:sz w:val="20"/>
                <w:szCs w:val="20"/>
                <w:color w:val="auto"/>
              </w:rPr>
            </w:pPr>
            <w:r>
              <w:rPr>
                <w:rFonts w:ascii="Arial" w:cs="Arial" w:eastAsia="Arial" w:hAnsi="Arial"/>
                <w:sz w:val="18"/>
                <w:szCs w:val="18"/>
                <w:b w:val="1"/>
                <w:bCs w:val="1"/>
                <w:color w:val="auto"/>
                <w:w w:val="90"/>
              </w:rPr>
              <w:t>Generation</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180" w:type="dxa"/>
            <w:vAlign w:val="bottom"/>
          </w:tcPr>
          <w:p>
            <w:pPr>
              <w:jc w:val="right"/>
              <w:ind w:right="2421"/>
              <w:spacing w:after="0"/>
              <w:rPr>
                <w:sz w:val="20"/>
                <w:szCs w:val="20"/>
                <w:color w:val="auto"/>
              </w:rPr>
            </w:pPr>
            <w:r>
              <w:rPr>
                <w:rFonts w:ascii="Arial" w:cs="Arial" w:eastAsia="Arial" w:hAnsi="Arial"/>
                <w:sz w:val="20"/>
                <w:szCs w:val="20"/>
                <w:b w:val="1"/>
                <w:bCs w:val="1"/>
                <w:color w:val="auto"/>
                <w:w w:val="91"/>
              </w:rPr>
              <w:t>December 31, 2022</w:t>
            </w: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millions)</w:t>
            </w: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9"/>
        </w:trPr>
        <w:tc>
          <w:tcPr>
            <w:tcW w:w="4180" w:type="dxa"/>
            <w:vAlign w:val="bottom"/>
            <w:shd w:val="clear" w:color="auto" w:fill="E6E6E6"/>
          </w:tcPr>
          <w:p>
            <w:pPr>
              <w:jc w:val="right"/>
              <w:ind w:right="41"/>
              <w:spacing w:after="0"/>
              <w:rPr>
                <w:sz w:val="20"/>
                <w:szCs w:val="20"/>
                <w:color w:val="auto"/>
              </w:rPr>
            </w:pPr>
            <w:r>
              <w:rPr>
                <w:rFonts w:ascii="Arial" w:cs="Arial" w:eastAsia="Arial" w:hAnsi="Arial"/>
                <w:sz w:val="20"/>
                <w:szCs w:val="20"/>
                <w:color w:val="auto"/>
                <w:w w:val="91"/>
              </w:rPr>
              <w:t xml:space="preserve">Energy revenue </w:t>
            </w:r>
            <w:r>
              <w:rPr>
                <w:rFonts w:ascii="Arial" w:cs="Arial" w:eastAsia="Arial" w:hAnsi="Arial"/>
                <w:sz w:val="20"/>
                <w:szCs w:val="20"/>
                <w:color w:val="BDBDBD"/>
                <w:w w:val="91"/>
              </w:rPr>
              <w:t>. . . . . . . . . . . . . . . . . . . . . . . . . . .</w:t>
            </w:r>
          </w:p>
        </w:tc>
        <w:tc>
          <w:tcPr>
            <w:tcW w:w="240" w:type="dxa"/>
            <w:vAlign w:val="bottom"/>
            <w:shd w:val="clear" w:color="auto" w:fill="E6E6E6"/>
          </w:tcPr>
          <w:p>
            <w:pPr>
              <w:jc w:val="right"/>
              <w:ind w:right="1"/>
              <w:spacing w:after="0"/>
              <w:rPr>
                <w:sz w:val="20"/>
                <w:szCs w:val="20"/>
                <w:color w:val="auto"/>
              </w:rPr>
            </w:pPr>
            <w:r>
              <w:rPr>
                <w:rFonts w:ascii="Arial" w:cs="Arial" w:eastAsia="Arial" w:hAnsi="Arial"/>
                <w:sz w:val="20"/>
                <w:szCs w:val="20"/>
                <w:color w:val="auto"/>
              </w:rPr>
              <w:t>$</w:t>
            </w:r>
          </w:p>
        </w:tc>
        <w:tc>
          <w:tcPr>
            <w:tcW w:w="1480" w:type="dxa"/>
            <w:vAlign w:val="bottom"/>
            <w:shd w:val="clear" w:color="auto" w:fill="E6E6E6"/>
          </w:tcPr>
          <w:p>
            <w:pPr>
              <w:jc w:val="right"/>
              <w:ind w:right="4"/>
              <w:spacing w:after="0"/>
              <w:rPr>
                <w:sz w:val="20"/>
                <w:szCs w:val="20"/>
                <w:color w:val="auto"/>
              </w:rPr>
            </w:pPr>
            <w:r>
              <w:rPr>
                <w:rFonts w:ascii="Arial" w:cs="Arial" w:eastAsia="Arial" w:hAnsi="Arial"/>
                <w:sz w:val="20"/>
                <w:szCs w:val="20"/>
                <w:color w:val="auto"/>
              </w:rPr>
              <w:t>6</w:t>
            </w:r>
          </w:p>
        </w:tc>
        <w:tc>
          <w:tcPr>
            <w:tcW w:w="28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2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809</w:t>
            </w:r>
          </w:p>
        </w:tc>
        <w:tc>
          <w:tcPr>
            <w:tcW w:w="320" w:type="dxa"/>
            <w:vAlign w:val="bottom"/>
            <w:gridSpan w:val="2"/>
            <w:shd w:val="clear" w:color="auto" w:fill="E6E6E6"/>
          </w:tcPr>
          <w:p>
            <w:pPr>
              <w:jc w:val="right"/>
              <w:ind w:right="1"/>
              <w:spacing w:after="0"/>
              <w:rPr>
                <w:sz w:val="20"/>
                <w:szCs w:val="20"/>
                <w:color w:val="auto"/>
              </w:rPr>
            </w:pPr>
            <w:r>
              <w:rPr>
                <w:rFonts w:ascii="Arial" w:cs="Arial" w:eastAsia="Arial" w:hAnsi="Arial"/>
                <w:sz w:val="20"/>
                <w:szCs w:val="20"/>
                <w:color w:val="auto"/>
              </w:rPr>
              <w:t>$</w:t>
            </w:r>
          </w:p>
        </w:tc>
        <w:tc>
          <w:tcPr>
            <w:tcW w:w="10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w:t>
            </w:r>
          </w:p>
        </w:tc>
        <w:tc>
          <w:tcPr>
            <w:tcW w:w="400" w:type="dxa"/>
            <w:vAlign w:val="bottom"/>
            <w:gridSpan w:val="2"/>
            <w:shd w:val="clear" w:color="auto" w:fill="E6E6E6"/>
          </w:tcPr>
          <w:p>
            <w:pPr>
              <w:jc w:val="right"/>
              <w:ind w:right="81"/>
              <w:spacing w:after="0"/>
              <w:rPr>
                <w:sz w:val="20"/>
                <w:szCs w:val="20"/>
                <w:color w:val="auto"/>
              </w:rPr>
            </w:pPr>
            <w:r>
              <w:rPr>
                <w:rFonts w:ascii="Arial" w:cs="Arial" w:eastAsia="Arial" w:hAnsi="Arial"/>
                <w:sz w:val="20"/>
                <w:szCs w:val="20"/>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816</w:t>
            </w:r>
          </w:p>
        </w:tc>
        <w:tc>
          <w:tcPr>
            <w:tcW w:w="0" w:type="dxa"/>
            <w:vAlign w:val="bottom"/>
          </w:tcPr>
          <w:p>
            <w:pPr>
              <w:spacing w:after="0"/>
              <w:rPr>
                <w:sz w:val="1"/>
                <w:szCs w:val="1"/>
                <w:color w:val="auto"/>
              </w:rPr>
            </w:pPr>
          </w:p>
        </w:tc>
      </w:tr>
      <w:tr>
        <w:trPr>
          <w:trHeight w:val="288"/>
        </w:trPr>
        <w:tc>
          <w:tcPr>
            <w:tcW w:w="4180" w:type="dxa"/>
            <w:vAlign w:val="bottom"/>
            <w:tcBorders>
              <w:bottom w:val="single" w:sz="8" w:color="E6E6E6"/>
            </w:tcBorders>
          </w:tcPr>
          <w:p>
            <w:pPr>
              <w:jc w:val="right"/>
              <w:ind w:right="41"/>
              <w:spacing w:after="0"/>
              <w:rPr>
                <w:sz w:val="20"/>
                <w:szCs w:val="20"/>
                <w:color w:val="auto"/>
              </w:rPr>
            </w:pPr>
            <w:r>
              <w:rPr>
                <w:rFonts w:ascii="Arial" w:cs="Arial" w:eastAsia="Arial" w:hAnsi="Arial"/>
                <w:sz w:val="20"/>
                <w:szCs w:val="20"/>
                <w:color w:val="auto"/>
                <w:w w:val="90"/>
              </w:rPr>
              <w:t xml:space="preserve">Capacity revenue </w:t>
            </w:r>
            <w:r>
              <w:rPr>
                <w:rFonts w:ascii="Arial" w:cs="Arial" w:eastAsia="Arial" w:hAnsi="Arial"/>
                <w:sz w:val="20"/>
                <w:szCs w:val="20"/>
                <w:color w:val="BDBDBD"/>
                <w:w w:val="90"/>
              </w:rPr>
              <w:t>. . . . . . . . . . . . . . . . . . . . . . . . . .</w:t>
            </w: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4"/>
              <w:spacing w:after="0"/>
              <w:rPr>
                <w:sz w:val="20"/>
                <w:szCs w:val="20"/>
                <w:color w:val="auto"/>
              </w:rPr>
            </w:pPr>
            <w:r>
              <w:rPr>
                <w:rFonts w:ascii="Arial" w:cs="Arial" w:eastAsia="Arial" w:hAnsi="Arial"/>
                <w:sz w:val="20"/>
                <w:szCs w:val="20"/>
                <w:color w:val="auto"/>
              </w:rPr>
              <w:t>435</w:t>
            </w:r>
          </w:p>
        </w:tc>
        <w:tc>
          <w:tcPr>
            <w:tcW w:w="60" w:type="dxa"/>
            <w:vAlign w:val="bottom"/>
            <w:tcBorders>
              <w:bottom w:val="single" w:sz="8" w:color="E6E6E6"/>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E6E6E6"/>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435</w:t>
            </w:r>
          </w:p>
        </w:tc>
        <w:tc>
          <w:tcPr>
            <w:tcW w:w="0" w:type="dxa"/>
            <w:vAlign w:val="bottom"/>
          </w:tcPr>
          <w:p>
            <w:pPr>
              <w:spacing w:after="0"/>
              <w:rPr>
                <w:sz w:val="1"/>
                <w:szCs w:val="1"/>
                <w:color w:val="auto"/>
              </w:rPr>
            </w:pPr>
          </w:p>
        </w:tc>
      </w:tr>
      <w:tr>
        <w:trPr>
          <w:trHeight w:val="298"/>
        </w:trPr>
        <w:tc>
          <w:tcPr>
            <w:tcW w:w="4180" w:type="dxa"/>
            <w:vAlign w:val="bottom"/>
            <w:shd w:val="clear" w:color="auto" w:fill="E6E6E6"/>
          </w:tcPr>
          <w:p>
            <w:pPr>
              <w:jc w:val="right"/>
              <w:ind w:right="41"/>
              <w:spacing w:after="0"/>
              <w:rPr>
                <w:sz w:val="20"/>
                <w:szCs w:val="20"/>
                <w:color w:val="auto"/>
              </w:rPr>
            </w:pPr>
            <w:r>
              <w:rPr>
                <w:rFonts w:ascii="Arial" w:cs="Arial" w:eastAsia="Arial" w:hAnsi="Arial"/>
                <w:sz w:val="20"/>
                <w:szCs w:val="20"/>
                <w:color w:val="auto"/>
                <w:w w:val="93"/>
              </w:rPr>
              <w:t xml:space="preserve">Operating revenues </w:t>
            </w:r>
            <w:r>
              <w:rPr>
                <w:rFonts w:ascii="Arial" w:cs="Arial" w:eastAsia="Arial" w:hAnsi="Arial"/>
                <w:sz w:val="20"/>
                <w:szCs w:val="20"/>
                <w:color w:val="BDBDBD"/>
                <w:w w:val="93"/>
              </w:rPr>
              <w:t>. . . . . . . . . . . . . . . . . . . . . . .</w:t>
            </w:r>
          </w:p>
        </w:tc>
        <w:tc>
          <w:tcPr>
            <w:tcW w:w="240" w:type="dxa"/>
            <w:vAlign w:val="bottom"/>
            <w:shd w:val="clear" w:color="auto" w:fill="E6E6E6"/>
          </w:tcPr>
          <w:p>
            <w:pPr>
              <w:jc w:val="right"/>
              <w:ind w:right="1"/>
              <w:spacing w:after="0"/>
              <w:rPr>
                <w:sz w:val="20"/>
                <w:szCs w:val="20"/>
                <w:color w:val="auto"/>
              </w:rPr>
            </w:pPr>
            <w:r>
              <w:rPr>
                <w:rFonts w:ascii="Arial" w:cs="Arial" w:eastAsia="Arial" w:hAnsi="Arial"/>
                <w:sz w:val="20"/>
                <w:szCs w:val="20"/>
                <w:color w:val="auto"/>
              </w:rPr>
              <w:t>$</w:t>
            </w:r>
          </w:p>
        </w:tc>
        <w:tc>
          <w:tcPr>
            <w:tcW w:w="1480" w:type="dxa"/>
            <w:vAlign w:val="bottom"/>
            <w:shd w:val="clear" w:color="auto" w:fill="E6E6E6"/>
          </w:tcPr>
          <w:p>
            <w:pPr>
              <w:jc w:val="right"/>
              <w:ind w:right="4"/>
              <w:spacing w:after="0"/>
              <w:rPr>
                <w:sz w:val="20"/>
                <w:szCs w:val="20"/>
                <w:color w:val="auto"/>
              </w:rPr>
            </w:pPr>
            <w:r>
              <w:rPr>
                <w:rFonts w:ascii="Arial" w:cs="Arial" w:eastAsia="Arial" w:hAnsi="Arial"/>
                <w:sz w:val="20"/>
                <w:szCs w:val="20"/>
                <w:color w:val="auto"/>
              </w:rPr>
              <w:t>441</w:t>
            </w:r>
          </w:p>
        </w:tc>
        <w:tc>
          <w:tcPr>
            <w:tcW w:w="28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2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809</w:t>
            </w:r>
          </w:p>
        </w:tc>
        <w:tc>
          <w:tcPr>
            <w:tcW w:w="320" w:type="dxa"/>
            <w:vAlign w:val="bottom"/>
            <w:gridSpan w:val="2"/>
            <w:shd w:val="clear" w:color="auto" w:fill="E6E6E6"/>
          </w:tcPr>
          <w:p>
            <w:pPr>
              <w:jc w:val="right"/>
              <w:ind w:right="1"/>
              <w:spacing w:after="0"/>
              <w:rPr>
                <w:sz w:val="20"/>
                <w:szCs w:val="20"/>
                <w:color w:val="auto"/>
              </w:rPr>
            </w:pPr>
            <w:r>
              <w:rPr>
                <w:rFonts w:ascii="Arial" w:cs="Arial" w:eastAsia="Arial" w:hAnsi="Arial"/>
                <w:sz w:val="20"/>
                <w:szCs w:val="20"/>
                <w:color w:val="auto"/>
              </w:rPr>
              <w:t>$</w:t>
            </w:r>
          </w:p>
        </w:tc>
        <w:tc>
          <w:tcPr>
            <w:tcW w:w="10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w:t>
            </w:r>
          </w:p>
        </w:tc>
        <w:tc>
          <w:tcPr>
            <w:tcW w:w="400" w:type="dxa"/>
            <w:vAlign w:val="bottom"/>
            <w:gridSpan w:val="2"/>
            <w:shd w:val="clear" w:color="auto" w:fill="E6E6E6"/>
          </w:tcPr>
          <w:p>
            <w:pPr>
              <w:jc w:val="right"/>
              <w:ind w:right="81"/>
              <w:spacing w:after="0"/>
              <w:rPr>
                <w:sz w:val="20"/>
                <w:szCs w:val="20"/>
                <w:color w:val="auto"/>
              </w:rPr>
            </w:pPr>
            <w:r>
              <w:rPr>
                <w:rFonts w:ascii="Arial" w:cs="Arial" w:eastAsia="Arial" w:hAnsi="Arial"/>
                <w:sz w:val="20"/>
                <w:szCs w:val="20"/>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1,251</w:t>
            </w:r>
          </w:p>
        </w:tc>
        <w:tc>
          <w:tcPr>
            <w:tcW w:w="0" w:type="dxa"/>
            <w:vAlign w:val="bottom"/>
          </w:tcPr>
          <w:p>
            <w:pPr>
              <w:spacing w:after="0"/>
              <w:rPr>
                <w:sz w:val="1"/>
                <w:szCs w:val="1"/>
                <w:color w:val="auto"/>
              </w:rPr>
            </w:pPr>
          </w:p>
        </w:tc>
      </w:tr>
      <w:tr>
        <w:trPr>
          <w:trHeight w:val="239"/>
        </w:trPr>
        <w:tc>
          <w:tcPr>
            <w:tcW w:w="4180" w:type="dxa"/>
            <w:vAlign w:val="bottom"/>
            <w:tcBorders>
              <w:top w:val="single" w:sz="8" w:color="E6E6E6"/>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E6E6E6"/>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E6E6E6"/>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E6E6E6"/>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center"/>
              <w:ind w:right="164"/>
              <w:spacing w:after="0" w:line="205" w:lineRule="exact"/>
              <w:rPr>
                <w:sz w:val="20"/>
                <w:szCs w:val="20"/>
                <w:color w:val="auto"/>
              </w:rPr>
            </w:pPr>
            <w:r>
              <w:rPr>
                <w:rFonts w:ascii="Arial" w:cs="Arial" w:eastAsia="Arial" w:hAnsi="Arial"/>
                <w:sz w:val="18"/>
                <w:szCs w:val="18"/>
                <w:b w:val="1"/>
                <w:bCs w:val="1"/>
                <w:color w:val="auto"/>
                <w:w w:val="89"/>
              </w:rPr>
              <w:t>Conventional</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vMerge w:val="restart"/>
          </w:tcPr>
          <w:p>
            <w:pPr>
              <w:jc w:val="right"/>
              <w:ind w:right="184"/>
              <w:spacing w:after="0"/>
              <w:rPr>
                <w:sz w:val="20"/>
                <w:szCs w:val="20"/>
                <w:color w:val="auto"/>
              </w:rPr>
            </w:pPr>
            <w:r>
              <w:rPr>
                <w:rFonts w:ascii="Arial" w:cs="Arial" w:eastAsia="Arial" w:hAnsi="Arial"/>
                <w:sz w:val="18"/>
                <w:szCs w:val="18"/>
                <w:b w:val="1"/>
                <w:bCs w:val="1"/>
                <w:color w:val="auto"/>
                <w:w w:val="90"/>
              </w:rPr>
              <w:t>Renewables</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vMerge w:val="restart"/>
          </w:tcPr>
          <w:p>
            <w:pPr>
              <w:jc w:val="right"/>
              <w:ind w:right="203"/>
              <w:spacing w:after="0"/>
              <w:rPr>
                <w:sz w:val="20"/>
                <w:szCs w:val="20"/>
                <w:color w:val="auto"/>
              </w:rPr>
            </w:pPr>
            <w:r>
              <w:rPr>
                <w:rFonts w:ascii="Arial" w:cs="Arial" w:eastAsia="Arial" w:hAnsi="Arial"/>
                <w:sz w:val="18"/>
                <w:szCs w:val="18"/>
                <w:b w:val="1"/>
                <w:bCs w:val="1"/>
                <w:color w:val="auto"/>
              </w:rPr>
              <w:t>Thermal</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vMerge w:val="restart"/>
          </w:tcPr>
          <w:p>
            <w:pPr>
              <w:jc w:val="right"/>
              <w:ind w:right="343"/>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8"/>
        </w:trPr>
        <w:tc>
          <w:tcPr>
            <w:tcW w:w="4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64"/>
              <w:spacing w:after="0"/>
              <w:rPr>
                <w:sz w:val="20"/>
                <w:szCs w:val="20"/>
                <w:color w:val="auto"/>
              </w:rPr>
            </w:pPr>
            <w:r>
              <w:rPr>
                <w:rFonts w:ascii="Arial" w:cs="Arial" w:eastAsia="Arial" w:hAnsi="Arial"/>
                <w:sz w:val="18"/>
                <w:szCs w:val="18"/>
                <w:b w:val="1"/>
                <w:bCs w:val="1"/>
                <w:color w:val="auto"/>
                <w:w w:val="90"/>
              </w:rPr>
              <w:t>Generation</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4180" w:type="dxa"/>
            <w:vAlign w:val="bottom"/>
          </w:tcPr>
          <w:p>
            <w:pPr>
              <w:jc w:val="right"/>
              <w:ind w:right="2421"/>
              <w:spacing w:after="0"/>
              <w:rPr>
                <w:sz w:val="20"/>
                <w:szCs w:val="20"/>
                <w:color w:val="auto"/>
              </w:rPr>
            </w:pPr>
            <w:r>
              <w:rPr>
                <w:rFonts w:ascii="Arial" w:cs="Arial" w:eastAsia="Arial" w:hAnsi="Arial"/>
                <w:sz w:val="20"/>
                <w:szCs w:val="20"/>
                <w:b w:val="1"/>
                <w:bCs w:val="1"/>
                <w:color w:val="auto"/>
                <w:w w:val="91"/>
              </w:rPr>
              <w:t>December 31, 2021</w:t>
            </w: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millions)</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4180" w:type="dxa"/>
            <w:vAlign w:val="bottom"/>
            <w:shd w:val="clear" w:color="auto" w:fill="E6E6E6"/>
          </w:tcPr>
          <w:p>
            <w:pPr>
              <w:jc w:val="right"/>
              <w:ind w:right="41"/>
              <w:spacing w:after="0"/>
              <w:rPr>
                <w:sz w:val="20"/>
                <w:szCs w:val="20"/>
                <w:color w:val="auto"/>
              </w:rPr>
            </w:pPr>
            <w:r>
              <w:rPr>
                <w:rFonts w:ascii="Arial" w:cs="Arial" w:eastAsia="Arial" w:hAnsi="Arial"/>
                <w:sz w:val="20"/>
                <w:szCs w:val="20"/>
                <w:color w:val="auto"/>
                <w:w w:val="91"/>
              </w:rPr>
              <w:t xml:space="preserve">Energy revenue </w:t>
            </w:r>
            <w:r>
              <w:rPr>
                <w:rFonts w:ascii="Arial" w:cs="Arial" w:eastAsia="Arial" w:hAnsi="Arial"/>
                <w:sz w:val="20"/>
                <w:szCs w:val="20"/>
                <w:color w:val="BDBDBD"/>
                <w:w w:val="91"/>
              </w:rPr>
              <w:t>. . . . . . . . . . . . . . . . . . . . . . . . . . .</w:t>
            </w:r>
          </w:p>
        </w:tc>
        <w:tc>
          <w:tcPr>
            <w:tcW w:w="240" w:type="dxa"/>
            <w:vAlign w:val="bottom"/>
            <w:shd w:val="clear" w:color="auto" w:fill="E6E6E6"/>
          </w:tcPr>
          <w:p>
            <w:pPr>
              <w:jc w:val="right"/>
              <w:ind w:right="1"/>
              <w:spacing w:after="0"/>
              <w:rPr>
                <w:sz w:val="20"/>
                <w:szCs w:val="20"/>
                <w:color w:val="auto"/>
              </w:rPr>
            </w:pPr>
            <w:r>
              <w:rPr>
                <w:rFonts w:ascii="Arial" w:cs="Arial" w:eastAsia="Arial" w:hAnsi="Arial"/>
                <w:sz w:val="20"/>
                <w:szCs w:val="20"/>
                <w:color w:val="auto"/>
              </w:rPr>
              <w:t>$</w:t>
            </w:r>
          </w:p>
        </w:tc>
        <w:tc>
          <w:tcPr>
            <w:tcW w:w="1480" w:type="dxa"/>
            <w:vAlign w:val="bottom"/>
            <w:shd w:val="clear" w:color="auto" w:fill="E6E6E6"/>
          </w:tcPr>
          <w:p>
            <w:pPr>
              <w:jc w:val="right"/>
              <w:ind w:right="4"/>
              <w:spacing w:after="0"/>
              <w:rPr>
                <w:sz w:val="20"/>
                <w:szCs w:val="20"/>
                <w:color w:val="auto"/>
              </w:rPr>
            </w:pPr>
            <w:r>
              <w:rPr>
                <w:rFonts w:ascii="Arial" w:cs="Arial" w:eastAsia="Arial" w:hAnsi="Arial"/>
                <w:sz w:val="20"/>
                <w:szCs w:val="20"/>
                <w:color w:val="auto"/>
              </w:rPr>
              <w:t>9</w:t>
            </w:r>
          </w:p>
        </w:tc>
        <w:tc>
          <w:tcPr>
            <w:tcW w:w="28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2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716</w:t>
            </w:r>
          </w:p>
        </w:tc>
        <w:tc>
          <w:tcPr>
            <w:tcW w:w="320" w:type="dxa"/>
            <w:vAlign w:val="bottom"/>
            <w:gridSpan w:val="2"/>
            <w:shd w:val="clear" w:color="auto" w:fill="E6E6E6"/>
          </w:tcPr>
          <w:p>
            <w:pPr>
              <w:jc w:val="right"/>
              <w:ind w:right="1"/>
              <w:spacing w:after="0"/>
              <w:rPr>
                <w:sz w:val="20"/>
                <w:szCs w:val="20"/>
                <w:color w:val="auto"/>
              </w:rPr>
            </w:pPr>
            <w:r>
              <w:rPr>
                <w:rFonts w:ascii="Arial" w:cs="Arial" w:eastAsia="Arial" w:hAnsi="Arial"/>
                <w:sz w:val="20"/>
                <w:szCs w:val="20"/>
                <w:color w:val="auto"/>
              </w:rPr>
              <w:t>$</w:t>
            </w:r>
          </w:p>
        </w:tc>
        <w:tc>
          <w:tcPr>
            <w:tcW w:w="10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w:t>
            </w:r>
          </w:p>
        </w:tc>
        <w:tc>
          <w:tcPr>
            <w:tcW w:w="400" w:type="dxa"/>
            <w:vAlign w:val="bottom"/>
            <w:gridSpan w:val="2"/>
            <w:shd w:val="clear" w:color="auto" w:fill="E6E6E6"/>
          </w:tcPr>
          <w:p>
            <w:pPr>
              <w:jc w:val="right"/>
              <w:ind w:right="81"/>
              <w:spacing w:after="0"/>
              <w:rPr>
                <w:sz w:val="20"/>
                <w:szCs w:val="20"/>
                <w:color w:val="auto"/>
              </w:rPr>
            </w:pPr>
            <w:r>
              <w:rPr>
                <w:rFonts w:ascii="Arial" w:cs="Arial" w:eastAsia="Arial" w:hAnsi="Arial"/>
                <w:sz w:val="20"/>
                <w:szCs w:val="20"/>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727</w:t>
            </w:r>
          </w:p>
        </w:tc>
        <w:tc>
          <w:tcPr>
            <w:tcW w:w="0" w:type="dxa"/>
            <w:vAlign w:val="bottom"/>
          </w:tcPr>
          <w:p>
            <w:pPr>
              <w:spacing w:after="0"/>
              <w:rPr>
                <w:sz w:val="1"/>
                <w:szCs w:val="1"/>
                <w:color w:val="auto"/>
              </w:rPr>
            </w:pPr>
          </w:p>
        </w:tc>
      </w:tr>
      <w:tr>
        <w:trPr>
          <w:trHeight w:val="289"/>
        </w:trPr>
        <w:tc>
          <w:tcPr>
            <w:tcW w:w="4180" w:type="dxa"/>
            <w:vAlign w:val="bottom"/>
            <w:tcBorders>
              <w:bottom w:val="single" w:sz="8" w:color="E6E6E6"/>
            </w:tcBorders>
          </w:tcPr>
          <w:p>
            <w:pPr>
              <w:jc w:val="right"/>
              <w:ind w:right="41"/>
              <w:spacing w:after="0"/>
              <w:rPr>
                <w:sz w:val="20"/>
                <w:szCs w:val="20"/>
                <w:color w:val="auto"/>
              </w:rPr>
            </w:pPr>
            <w:r>
              <w:rPr>
                <w:rFonts w:ascii="Arial" w:cs="Arial" w:eastAsia="Arial" w:hAnsi="Arial"/>
                <w:sz w:val="20"/>
                <w:szCs w:val="20"/>
                <w:color w:val="auto"/>
                <w:w w:val="90"/>
              </w:rPr>
              <w:t xml:space="preserve">Capacity revenue </w:t>
            </w:r>
            <w:r>
              <w:rPr>
                <w:rFonts w:ascii="Arial" w:cs="Arial" w:eastAsia="Arial" w:hAnsi="Arial"/>
                <w:sz w:val="20"/>
                <w:szCs w:val="20"/>
                <w:color w:val="BDBDBD"/>
                <w:w w:val="90"/>
              </w:rPr>
              <w:t>. . . . . . . . . . . . . . . . . . . . . . . . . .</w:t>
            </w: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4"/>
              <w:spacing w:after="0"/>
              <w:rPr>
                <w:sz w:val="20"/>
                <w:szCs w:val="20"/>
                <w:color w:val="auto"/>
              </w:rPr>
            </w:pPr>
            <w:r>
              <w:rPr>
                <w:rFonts w:ascii="Arial" w:cs="Arial" w:eastAsia="Arial" w:hAnsi="Arial"/>
                <w:sz w:val="20"/>
                <w:szCs w:val="20"/>
                <w:color w:val="auto"/>
              </w:rPr>
              <w:t>455</w:t>
            </w:r>
          </w:p>
        </w:tc>
        <w:tc>
          <w:tcPr>
            <w:tcW w:w="60" w:type="dxa"/>
            <w:vAlign w:val="bottom"/>
            <w:tcBorders>
              <w:bottom w:val="single" w:sz="8" w:color="E6E6E6"/>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E6E6E6"/>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455</w:t>
            </w:r>
          </w:p>
        </w:tc>
        <w:tc>
          <w:tcPr>
            <w:tcW w:w="0" w:type="dxa"/>
            <w:vAlign w:val="bottom"/>
          </w:tcPr>
          <w:p>
            <w:pPr>
              <w:spacing w:after="0"/>
              <w:rPr>
                <w:sz w:val="1"/>
                <w:szCs w:val="1"/>
                <w:color w:val="auto"/>
              </w:rPr>
            </w:pPr>
          </w:p>
        </w:tc>
      </w:tr>
      <w:tr>
        <w:trPr>
          <w:trHeight w:val="298"/>
        </w:trPr>
        <w:tc>
          <w:tcPr>
            <w:tcW w:w="4180" w:type="dxa"/>
            <w:vAlign w:val="bottom"/>
            <w:tcBorders>
              <w:bottom w:val="single" w:sz="8" w:color="E6E6E6"/>
            </w:tcBorders>
            <w:shd w:val="clear" w:color="auto" w:fill="E6E6E6"/>
          </w:tcPr>
          <w:p>
            <w:pPr>
              <w:jc w:val="right"/>
              <w:ind w:right="41"/>
              <w:spacing w:after="0"/>
              <w:rPr>
                <w:sz w:val="20"/>
                <w:szCs w:val="20"/>
                <w:color w:val="auto"/>
              </w:rPr>
            </w:pPr>
            <w:r>
              <w:rPr>
                <w:rFonts w:ascii="Arial" w:cs="Arial" w:eastAsia="Arial" w:hAnsi="Arial"/>
                <w:sz w:val="20"/>
                <w:szCs w:val="20"/>
                <w:color w:val="auto"/>
                <w:w w:val="93"/>
              </w:rPr>
              <w:t xml:space="preserve">Operating revenues </w:t>
            </w:r>
            <w:r>
              <w:rPr>
                <w:rFonts w:ascii="Arial" w:cs="Arial" w:eastAsia="Arial" w:hAnsi="Arial"/>
                <w:sz w:val="20"/>
                <w:szCs w:val="20"/>
                <w:color w:val="BDBDBD"/>
                <w:w w:val="93"/>
              </w:rPr>
              <w:t>. . . . . . . . . . . . . . . . . . . . . . .</w:t>
            </w:r>
          </w:p>
        </w:tc>
        <w:tc>
          <w:tcPr>
            <w:tcW w:w="240" w:type="dxa"/>
            <w:vAlign w:val="bottom"/>
            <w:tcBorders>
              <w:bottom w:val="single" w:sz="8" w:color="auto"/>
            </w:tcBorders>
            <w:shd w:val="clear" w:color="auto" w:fill="E6E6E6"/>
          </w:tcPr>
          <w:p>
            <w:pPr>
              <w:jc w:val="right"/>
              <w:ind w:right="1"/>
              <w:spacing w:after="0"/>
              <w:rPr>
                <w:sz w:val="20"/>
                <w:szCs w:val="20"/>
                <w:color w:val="auto"/>
              </w:rPr>
            </w:pPr>
            <w:r>
              <w:rPr>
                <w:rFonts w:ascii="Arial" w:cs="Arial" w:eastAsia="Arial" w:hAnsi="Arial"/>
                <w:sz w:val="20"/>
                <w:szCs w:val="20"/>
                <w:color w:val="auto"/>
              </w:rPr>
              <w:t>$</w:t>
            </w:r>
          </w:p>
        </w:tc>
        <w:tc>
          <w:tcPr>
            <w:tcW w:w="1480" w:type="dxa"/>
            <w:vAlign w:val="bottom"/>
            <w:tcBorders>
              <w:bottom w:val="single" w:sz="8" w:color="auto"/>
            </w:tcBorders>
            <w:shd w:val="clear" w:color="auto" w:fill="E6E6E6"/>
          </w:tcPr>
          <w:p>
            <w:pPr>
              <w:jc w:val="right"/>
              <w:ind w:right="4"/>
              <w:spacing w:after="0"/>
              <w:rPr>
                <w:sz w:val="20"/>
                <w:szCs w:val="20"/>
                <w:color w:val="auto"/>
              </w:rPr>
            </w:pPr>
            <w:r>
              <w:rPr>
                <w:rFonts w:ascii="Arial" w:cs="Arial" w:eastAsia="Arial" w:hAnsi="Arial"/>
                <w:sz w:val="20"/>
                <w:szCs w:val="20"/>
                <w:color w:val="auto"/>
              </w:rPr>
              <w:t>464</w:t>
            </w:r>
          </w:p>
        </w:tc>
        <w:tc>
          <w:tcPr>
            <w:tcW w:w="6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2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716</w:t>
            </w:r>
          </w:p>
        </w:tc>
        <w:tc>
          <w:tcPr>
            <w:tcW w:w="6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jc w:val="right"/>
              <w:ind w:right="1"/>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w:t>
            </w:r>
          </w:p>
        </w:tc>
        <w:tc>
          <w:tcPr>
            <w:tcW w:w="8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jc w:val="right"/>
              <w:ind w:right="81"/>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1,182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3183890</wp:posOffset>
                </wp:positionH>
                <wp:positionV relativeFrom="page">
                  <wp:posOffset>300355</wp:posOffset>
                </wp:positionV>
                <wp:extent cx="1090295" cy="0"/>
                <wp:wrapNone/>
                <wp:docPr id="363" name="Shape 3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02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63" o:spid="_x0000_s138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50.7pt,23.65pt" to="336.55pt,23.65pt" o:allowincell="f" strokecolor="#000000" strokeweight="1pt">
                <w10:wrap anchorx="page" anchory="page"/>
              </v:line>
            </w:pict>
          </mc:Fallback>
        </mc:AlternateContent>
        <mc:AlternateContent>
          <mc:Choice Requires="wps">
            <w:drawing>
              <wp:anchor simplePos="0" relativeHeight="251657728" behindDoc="1" locked="0" layoutInCell="0" allowOverlap="1">
                <wp:simplePos x="0" y="0"/>
                <wp:positionH relativeFrom="page">
                  <wp:posOffset>4321175</wp:posOffset>
                </wp:positionH>
                <wp:positionV relativeFrom="page">
                  <wp:posOffset>300355</wp:posOffset>
                </wp:positionV>
                <wp:extent cx="1800860" cy="0"/>
                <wp:wrapNone/>
                <wp:docPr id="364" name="Shape 3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0086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64" o:spid="_x0000_s138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40.25pt,23.65pt" to="482.05pt,23.65pt" o:allowincell="f" strokecolor="#000000" strokeweight="1pt">
                <w10:wrap anchorx="page" anchory="page"/>
              </v:line>
            </w:pict>
          </mc:Fallback>
        </mc:AlternateContent>
        <mc:AlternateContent>
          <mc:Choice Requires="wps">
            <w:drawing>
              <wp:anchor simplePos="0" relativeHeight="251657728" behindDoc="1" locked="0" layoutInCell="0" allowOverlap="1">
                <wp:simplePos x="0" y="0"/>
                <wp:positionH relativeFrom="page">
                  <wp:posOffset>6169660</wp:posOffset>
                </wp:positionH>
                <wp:positionV relativeFrom="page">
                  <wp:posOffset>300355</wp:posOffset>
                </wp:positionV>
                <wp:extent cx="843280" cy="0"/>
                <wp:wrapNone/>
                <wp:docPr id="365" name="Shape 3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328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65" o:spid="_x0000_s139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85.8pt,23.65pt" to="552.2pt,23.65pt" o:allowincell="f" strokecolor="#000000" strokeweight="1pt">
                <w10:wrap anchorx="page" anchory="page"/>
              </v:line>
            </w:pict>
          </mc:Fallback>
        </mc:AlternateContent>
        <w:drawing>
          <wp:anchor simplePos="0" relativeHeight="251657728" behindDoc="1" locked="0" layoutInCell="0" allowOverlap="1">
            <wp:simplePos x="0" y="0"/>
            <wp:positionH relativeFrom="column">
              <wp:posOffset>2638425</wp:posOffset>
            </wp:positionH>
            <wp:positionV relativeFrom="paragraph">
              <wp:posOffset>-1449705</wp:posOffset>
            </wp:positionV>
            <wp:extent cx="3854450" cy="254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282">
                      <a:extLst>
                        <a:ext uri="{28A0092B-C50C-407E-A947-70E740481C1C}"/>
                      </a:extLst>
                    </a:blip>
                    <a:srcRect/>
                    <a:stretch>
                      <a:fillRect/>
                    </a:stretch>
                  </pic:blipFill>
                  <pic:spPr bwMode="auto">
                    <a:xfrm>
                      <a:off x="0" y="0"/>
                      <a:ext cx="3854450" cy="25400"/>
                    </a:xfrm>
                    <a:prstGeom prst="rect">
                      <a:avLst/>
                    </a:prstGeom>
                    <a:noFill/>
                  </pic:spPr>
                </pic:pic>
              </a:graphicData>
            </a:graphic>
          </wp:anchor>
        </w:drawing>
        <w:drawing>
          <wp:anchor simplePos="0" relativeHeight="251657728" behindDoc="1" locked="0" layoutInCell="0" allowOverlap="1">
            <wp:simplePos x="0" y="0"/>
            <wp:positionH relativeFrom="column">
              <wp:posOffset>2638425</wp:posOffset>
            </wp:positionH>
            <wp:positionV relativeFrom="paragraph">
              <wp:posOffset>-1272540</wp:posOffset>
            </wp:positionV>
            <wp:extent cx="3854450" cy="508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283">
                      <a:extLst>
                        <a:ext uri="{28A0092B-C50C-407E-A947-70E740481C1C}"/>
                      </a:extLst>
                    </a:blip>
                    <a:srcRect/>
                    <a:stretch>
                      <a:fillRect/>
                    </a:stretch>
                  </pic:blipFill>
                  <pic:spPr bwMode="auto">
                    <a:xfrm>
                      <a:off x="0" y="0"/>
                      <a:ext cx="3854450" cy="50800"/>
                    </a:xfrm>
                    <a:prstGeom prst="rect">
                      <a:avLst/>
                    </a:prstGeom>
                    <a:noFill/>
                  </pic:spPr>
                </pic:pic>
              </a:graphicData>
            </a:graphic>
          </wp:anchor>
        </w:drawing>
        <w:drawing>
          <wp:anchor simplePos="0" relativeHeight="251657728" behindDoc="1" locked="0" layoutInCell="0" allowOverlap="1">
            <wp:simplePos x="0" y="0"/>
            <wp:positionH relativeFrom="column">
              <wp:posOffset>2638425</wp:posOffset>
            </wp:positionH>
            <wp:positionV relativeFrom="paragraph">
              <wp:posOffset>-220345</wp:posOffset>
            </wp:positionV>
            <wp:extent cx="3854450" cy="254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284">
                      <a:extLst>
                        <a:ext uri="{28A0092B-C50C-407E-A947-70E740481C1C}"/>
                      </a:extLst>
                    </a:blip>
                    <a:srcRect/>
                    <a:stretch>
                      <a:fillRect/>
                    </a:stretch>
                  </pic:blipFill>
                  <pic:spPr bwMode="auto">
                    <a:xfrm>
                      <a:off x="0" y="0"/>
                      <a:ext cx="3854450" cy="25400"/>
                    </a:xfrm>
                    <a:prstGeom prst="rect">
                      <a:avLst/>
                    </a:prstGeom>
                    <a:noFill/>
                  </pic:spPr>
                </pic:pic>
              </a:graphicData>
            </a:graphic>
          </wp:anchor>
        </w:drawing>
        <w:drawing>
          <wp:anchor simplePos="0" relativeHeight="251657728" behindDoc="1" locked="0" layoutInCell="0" allowOverlap="1">
            <wp:simplePos x="0" y="0"/>
            <wp:positionH relativeFrom="column">
              <wp:posOffset>2638425</wp:posOffset>
            </wp:positionH>
            <wp:positionV relativeFrom="paragraph">
              <wp:posOffset>-43815</wp:posOffset>
            </wp:positionV>
            <wp:extent cx="3854450" cy="508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285">
                      <a:extLst>
                        <a:ext uri="{28A0092B-C50C-407E-A947-70E740481C1C}"/>
                      </a:extLst>
                    </a:blip>
                    <a:srcRect/>
                    <a:stretch>
                      <a:fillRect/>
                    </a:stretch>
                  </pic:blipFill>
                  <pic:spPr bwMode="auto">
                    <a:xfrm>
                      <a:off x="0" y="0"/>
                      <a:ext cx="3854450" cy="50800"/>
                    </a:xfrm>
                    <a:prstGeom prst="rect">
                      <a:avLst/>
                    </a:prstGeom>
                    <a:noFill/>
                  </pic:spPr>
                </pic:pic>
              </a:graphicData>
            </a:graphic>
          </wp:anchor>
        </w:drawing>
      </w:r>
    </w:p>
    <w:p>
      <w:pPr>
        <w:spacing w:after="0" w:line="166" w:lineRule="exact"/>
        <w:rPr>
          <w:sz w:val="20"/>
          <w:szCs w:val="20"/>
          <w:color w:val="auto"/>
        </w:rPr>
      </w:pPr>
    </w:p>
    <w:p>
      <w:pPr>
        <w:ind w:firstLine="448"/>
        <w:spacing w:after="0" w:line="280" w:lineRule="auto"/>
        <w:rPr>
          <w:sz w:val="20"/>
          <w:szCs w:val="20"/>
          <w:color w:val="auto"/>
        </w:rPr>
      </w:pPr>
      <w:r>
        <w:rPr>
          <w:rFonts w:ascii="Arial" w:cs="Arial" w:eastAsia="Arial" w:hAnsi="Arial"/>
          <w:sz w:val="20"/>
          <w:szCs w:val="20"/>
          <w:color w:val="auto"/>
        </w:rPr>
        <w:t>Minimum future rent payments for the remaining periods related to the Company’s operating leases as of December 31, 2023 were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8720" w:type="dxa"/>
            <w:vAlign w:val="bottom"/>
            <w:tcBorders>
              <w:bottom w:val="single" w:sz="8" w:color="E6E6E6"/>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b w:val="1"/>
                <w:bCs w:val="1"/>
                <w:color w:val="auto"/>
                <w:w w:val="92"/>
              </w:rPr>
              <w:t>(In millions)</w:t>
            </w:r>
          </w:p>
        </w:tc>
      </w:tr>
      <w:tr>
        <w:trPr>
          <w:trHeight w:val="289"/>
        </w:trPr>
        <w:tc>
          <w:tcPr>
            <w:tcW w:w="8720" w:type="dxa"/>
            <w:vAlign w:val="bottom"/>
            <w:shd w:val="clear" w:color="auto" w:fill="E6E6E6"/>
          </w:tcPr>
          <w:p>
            <w:pPr>
              <w:ind w:left="40"/>
              <w:spacing w:after="0"/>
              <w:rPr>
                <w:sz w:val="20"/>
                <w:szCs w:val="20"/>
                <w:color w:val="auto"/>
              </w:rPr>
            </w:pPr>
            <w:r>
              <w:rPr>
                <w:rFonts w:ascii="Arial" w:cs="Arial" w:eastAsia="Arial" w:hAnsi="Arial"/>
                <w:sz w:val="20"/>
                <w:szCs w:val="20"/>
                <w:color w:val="auto"/>
              </w:rPr>
              <w:t>2024</w:t>
            </w:r>
          </w:p>
        </w:tc>
        <w:tc>
          <w:tcPr>
            <w:tcW w:w="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2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146</w:t>
            </w:r>
          </w:p>
        </w:tc>
      </w:tr>
      <w:tr>
        <w:trPr>
          <w:trHeight w:val="292"/>
        </w:trPr>
        <w:tc>
          <w:tcPr>
            <w:tcW w:w="8720" w:type="dxa"/>
            <w:vAlign w:val="bottom"/>
          </w:tcPr>
          <w:p>
            <w:pPr>
              <w:ind w:left="40"/>
              <w:spacing w:after="0"/>
              <w:rPr>
                <w:sz w:val="20"/>
                <w:szCs w:val="20"/>
                <w:color w:val="auto"/>
              </w:rPr>
            </w:pPr>
            <w:r>
              <w:rPr>
                <w:rFonts w:ascii="Arial" w:cs="Arial" w:eastAsia="Arial" w:hAnsi="Arial"/>
                <w:sz w:val="20"/>
                <w:szCs w:val="20"/>
                <w:color w:val="auto"/>
              </w:rPr>
              <w:t>2025</w:t>
            </w: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147</w:t>
            </w:r>
          </w:p>
        </w:tc>
      </w:tr>
      <w:tr>
        <w:trPr>
          <w:trHeight w:val="305"/>
        </w:trPr>
        <w:tc>
          <w:tcPr>
            <w:tcW w:w="8720" w:type="dxa"/>
            <w:vAlign w:val="bottom"/>
            <w:shd w:val="clear" w:color="auto" w:fill="E6E6E6"/>
          </w:tcPr>
          <w:p>
            <w:pPr>
              <w:ind w:left="40"/>
              <w:spacing w:after="0"/>
              <w:rPr>
                <w:sz w:val="20"/>
                <w:szCs w:val="20"/>
                <w:color w:val="auto"/>
              </w:rPr>
            </w:pPr>
            <w:r>
              <w:rPr>
                <w:rFonts w:ascii="Arial" w:cs="Arial" w:eastAsia="Arial" w:hAnsi="Arial"/>
                <w:sz w:val="20"/>
                <w:szCs w:val="20"/>
                <w:color w:val="auto"/>
              </w:rPr>
              <w:t>2026</w:t>
            </w:r>
          </w:p>
        </w:tc>
        <w:tc>
          <w:tcPr>
            <w:tcW w:w="200" w:type="dxa"/>
            <w:vAlign w:val="bottom"/>
            <w:shd w:val="clear" w:color="auto" w:fill="E6E6E6"/>
          </w:tcPr>
          <w:p>
            <w:pPr>
              <w:spacing w:after="0"/>
              <w:rPr>
                <w:sz w:val="24"/>
                <w:szCs w:val="24"/>
                <w:color w:val="auto"/>
              </w:rPr>
            </w:pPr>
          </w:p>
        </w:tc>
        <w:tc>
          <w:tcPr>
            <w:tcW w:w="12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148</w:t>
            </w:r>
          </w:p>
        </w:tc>
      </w:tr>
      <w:tr>
        <w:trPr>
          <w:trHeight w:val="292"/>
        </w:trPr>
        <w:tc>
          <w:tcPr>
            <w:tcW w:w="8720" w:type="dxa"/>
            <w:vAlign w:val="bottom"/>
          </w:tcPr>
          <w:p>
            <w:pPr>
              <w:ind w:left="40"/>
              <w:spacing w:after="0"/>
              <w:rPr>
                <w:sz w:val="20"/>
                <w:szCs w:val="20"/>
                <w:color w:val="auto"/>
              </w:rPr>
            </w:pPr>
            <w:r>
              <w:rPr>
                <w:rFonts w:ascii="Arial" w:cs="Arial" w:eastAsia="Arial" w:hAnsi="Arial"/>
                <w:sz w:val="20"/>
                <w:szCs w:val="20"/>
                <w:color w:val="auto"/>
              </w:rPr>
              <w:t>2027</w:t>
            </w: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149</w:t>
            </w:r>
          </w:p>
        </w:tc>
      </w:tr>
      <w:tr>
        <w:trPr>
          <w:trHeight w:val="305"/>
        </w:trPr>
        <w:tc>
          <w:tcPr>
            <w:tcW w:w="8720" w:type="dxa"/>
            <w:vAlign w:val="bottom"/>
            <w:shd w:val="clear" w:color="auto" w:fill="E6E6E6"/>
          </w:tcPr>
          <w:p>
            <w:pPr>
              <w:ind w:left="40"/>
              <w:spacing w:after="0"/>
              <w:rPr>
                <w:sz w:val="20"/>
                <w:szCs w:val="20"/>
                <w:color w:val="auto"/>
              </w:rPr>
            </w:pPr>
            <w:r>
              <w:rPr>
                <w:rFonts w:ascii="Arial" w:cs="Arial" w:eastAsia="Arial" w:hAnsi="Arial"/>
                <w:sz w:val="20"/>
                <w:szCs w:val="20"/>
                <w:color w:val="auto"/>
              </w:rPr>
              <w:t>2028</w:t>
            </w:r>
          </w:p>
        </w:tc>
        <w:tc>
          <w:tcPr>
            <w:tcW w:w="200" w:type="dxa"/>
            <w:vAlign w:val="bottom"/>
            <w:shd w:val="clear" w:color="auto" w:fill="E6E6E6"/>
          </w:tcPr>
          <w:p>
            <w:pPr>
              <w:spacing w:after="0"/>
              <w:rPr>
                <w:sz w:val="24"/>
                <w:szCs w:val="24"/>
                <w:color w:val="auto"/>
              </w:rPr>
            </w:pPr>
          </w:p>
        </w:tc>
        <w:tc>
          <w:tcPr>
            <w:tcW w:w="12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150</w:t>
            </w:r>
          </w:p>
        </w:tc>
      </w:tr>
      <w:tr>
        <w:trPr>
          <w:trHeight w:val="288"/>
        </w:trPr>
        <w:tc>
          <w:tcPr>
            <w:tcW w:w="8720" w:type="dxa"/>
            <w:vAlign w:val="bottom"/>
            <w:tcBorders>
              <w:bottom w:val="single" w:sz="8" w:color="E6E6E6"/>
            </w:tcBorders>
          </w:tcPr>
          <w:p>
            <w:pPr>
              <w:ind w:left="40"/>
              <w:spacing w:after="0"/>
              <w:rPr>
                <w:sz w:val="20"/>
                <w:szCs w:val="20"/>
                <w:color w:val="auto"/>
              </w:rPr>
            </w:pPr>
            <w:r>
              <w:rPr>
                <w:rFonts w:ascii="Arial" w:cs="Arial" w:eastAsia="Arial" w:hAnsi="Arial"/>
                <w:sz w:val="20"/>
                <w:szCs w:val="20"/>
                <w:color w:val="auto"/>
              </w:rPr>
              <w:t>Thereafter</w:t>
            </w: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1,635</w:t>
            </w:r>
          </w:p>
        </w:tc>
      </w:tr>
      <w:tr>
        <w:trPr>
          <w:trHeight w:val="298"/>
        </w:trPr>
        <w:tc>
          <w:tcPr>
            <w:tcW w:w="8720" w:type="dxa"/>
            <w:vAlign w:val="bottom"/>
            <w:tcBorders>
              <w:bottom w:val="single" w:sz="8" w:color="E6E6E6"/>
            </w:tcBorders>
            <w:shd w:val="clear" w:color="auto" w:fill="E6E6E6"/>
          </w:tcPr>
          <w:p>
            <w:pPr>
              <w:ind w:left="540"/>
              <w:spacing w:after="0"/>
              <w:rPr>
                <w:sz w:val="20"/>
                <w:szCs w:val="20"/>
                <w:color w:val="auto"/>
              </w:rPr>
            </w:pPr>
            <w:r>
              <w:rPr>
                <w:rFonts w:ascii="Arial" w:cs="Arial" w:eastAsia="Arial" w:hAnsi="Arial"/>
                <w:sz w:val="20"/>
                <w:szCs w:val="20"/>
                <w:b w:val="1"/>
                <w:bCs w:val="1"/>
                <w:color w:val="auto"/>
              </w:rPr>
              <w:t>Total lease payments</w:t>
            </w:r>
          </w:p>
        </w:tc>
        <w:tc>
          <w:tcPr>
            <w:tcW w:w="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2,375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5528945</wp:posOffset>
            </wp:positionH>
            <wp:positionV relativeFrom="paragraph">
              <wp:posOffset>-1357630</wp:posOffset>
            </wp:positionV>
            <wp:extent cx="963930"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286">
                      <a:extLst>
                        <a:ext uri="{28A0092B-C50C-407E-A947-70E740481C1C}"/>
                      </a:extLst>
                    </a:blip>
                    <a:srcRect/>
                    <a:stretch>
                      <a:fillRect/>
                    </a:stretch>
                  </pic:blipFill>
                  <pic:spPr bwMode="auto">
                    <a:xfrm>
                      <a:off x="0" y="0"/>
                      <a:ext cx="963930" cy="25400"/>
                    </a:xfrm>
                    <a:prstGeom prst="rect">
                      <a:avLst/>
                    </a:prstGeom>
                    <a:noFill/>
                  </pic:spPr>
                </pic:pic>
              </a:graphicData>
            </a:graphic>
          </wp:anchor>
        </w:drawing>
        <w:drawing>
          <wp:anchor simplePos="0" relativeHeight="251657728" behindDoc="1" locked="0" layoutInCell="0" allowOverlap="1">
            <wp:simplePos x="0" y="0"/>
            <wp:positionH relativeFrom="column">
              <wp:posOffset>5528945</wp:posOffset>
            </wp:positionH>
            <wp:positionV relativeFrom="paragraph">
              <wp:posOffset>-220345</wp:posOffset>
            </wp:positionV>
            <wp:extent cx="963930" cy="254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287">
                      <a:extLst>
                        <a:ext uri="{28A0092B-C50C-407E-A947-70E740481C1C}"/>
                      </a:extLst>
                    </a:blip>
                    <a:srcRect/>
                    <a:stretch>
                      <a:fillRect/>
                    </a:stretch>
                  </pic:blipFill>
                  <pic:spPr bwMode="auto">
                    <a:xfrm>
                      <a:off x="0" y="0"/>
                      <a:ext cx="963930" cy="25400"/>
                    </a:xfrm>
                    <a:prstGeom prst="rect">
                      <a:avLst/>
                    </a:prstGeom>
                    <a:noFill/>
                  </pic:spPr>
                </pic:pic>
              </a:graphicData>
            </a:graphic>
          </wp:anchor>
        </w:drawing>
        <w:drawing>
          <wp:anchor simplePos="0" relativeHeight="251657728" behindDoc="1" locked="0" layoutInCell="0" allowOverlap="1">
            <wp:simplePos x="0" y="0"/>
            <wp:positionH relativeFrom="column">
              <wp:posOffset>5528945</wp:posOffset>
            </wp:positionH>
            <wp:positionV relativeFrom="paragraph">
              <wp:posOffset>-43815</wp:posOffset>
            </wp:positionV>
            <wp:extent cx="963930" cy="508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288">
                      <a:extLst>
                        <a:ext uri="{28A0092B-C50C-407E-A947-70E740481C1C}"/>
                      </a:extLst>
                    </a:blip>
                    <a:srcRect/>
                    <a:stretch>
                      <a:fillRect/>
                    </a:stretch>
                  </pic:blipFill>
                  <pic:spPr bwMode="auto">
                    <a:xfrm>
                      <a:off x="0" y="0"/>
                      <a:ext cx="963930" cy="50800"/>
                    </a:xfrm>
                    <a:prstGeom prst="rect">
                      <a:avLst/>
                    </a:prstGeom>
                    <a:noFill/>
                  </pic:spPr>
                </pic:pic>
              </a:graphicData>
            </a:graphic>
          </wp:anchor>
        </w:drawing>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20"/>
          <w:szCs w:val="20"/>
          <w:color w:val="auto"/>
        </w:rPr>
        <w:t>Property, plant and equipment, net related to the Company’s operating leases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6840" w:type="dxa"/>
            <w:vAlign w:val="bottom"/>
            <w:tcBorders>
              <w:bottom w:val="single" w:sz="8" w:color="E6E6E6"/>
            </w:tcBorders>
          </w:tcPr>
          <w:p>
            <w:pPr>
              <w:ind w:left="40"/>
              <w:spacing w:after="0"/>
              <w:rPr>
                <w:sz w:val="20"/>
                <w:szCs w:val="20"/>
                <w:color w:val="auto"/>
              </w:rPr>
            </w:pPr>
            <w:r>
              <w:rPr>
                <w:rFonts w:ascii="Arial" w:cs="Arial" w:eastAsia="Arial" w:hAnsi="Arial"/>
                <w:sz w:val="18"/>
                <w:szCs w:val="18"/>
                <w:b w:val="1"/>
                <w:bCs w:val="1"/>
                <w:color w:val="auto"/>
              </w:rPr>
              <w:t>(In millions)</w:t>
            </w:r>
          </w:p>
        </w:tc>
        <w:tc>
          <w:tcPr>
            <w:tcW w:w="164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8"/>
                <w:szCs w:val="18"/>
                <w:b w:val="1"/>
                <w:bCs w:val="1"/>
                <w:color w:val="auto"/>
                <w:w w:val="93"/>
              </w:rPr>
              <w:t>December 31, 2023</w:t>
            </w:r>
          </w:p>
        </w:tc>
        <w:tc>
          <w:tcPr>
            <w:tcW w:w="60" w:type="dxa"/>
            <w:vAlign w:val="bottom"/>
            <w:tcBorders>
              <w:bottom w:val="single" w:sz="8" w:color="E6E6E6"/>
            </w:tcBorders>
          </w:tcPr>
          <w:p>
            <w:pPr>
              <w:spacing w:after="0"/>
              <w:rPr>
                <w:sz w:val="21"/>
                <w:szCs w:val="21"/>
                <w:color w:val="auto"/>
              </w:rPr>
            </w:pPr>
          </w:p>
        </w:tc>
        <w:tc>
          <w:tcPr>
            <w:tcW w:w="166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8"/>
                <w:szCs w:val="18"/>
                <w:b w:val="1"/>
                <w:bCs w:val="1"/>
                <w:color w:val="auto"/>
                <w:w w:val="94"/>
              </w:rPr>
              <w:t>December 31, 2022</w:t>
            </w:r>
          </w:p>
        </w:tc>
      </w:tr>
      <w:tr>
        <w:trPr>
          <w:trHeight w:val="288"/>
        </w:trPr>
        <w:tc>
          <w:tcPr>
            <w:tcW w:w="6840" w:type="dxa"/>
            <w:vAlign w:val="bottom"/>
            <w:shd w:val="clear" w:color="auto" w:fill="E6E6E6"/>
          </w:tcPr>
          <w:p>
            <w:pPr>
              <w:ind w:left="40"/>
              <w:spacing w:after="0"/>
              <w:rPr>
                <w:sz w:val="20"/>
                <w:szCs w:val="20"/>
                <w:color w:val="auto"/>
              </w:rPr>
            </w:pPr>
            <w:r>
              <w:rPr>
                <w:rFonts w:ascii="Arial" w:cs="Arial" w:eastAsia="Arial" w:hAnsi="Arial"/>
                <w:sz w:val="20"/>
                <w:szCs w:val="20"/>
                <w:color w:val="auto"/>
              </w:rPr>
              <w:t>Property, plant and equipment</w:t>
            </w:r>
          </w:p>
        </w:tc>
        <w:tc>
          <w:tcPr>
            <w:tcW w:w="600" w:type="dxa"/>
            <w:vAlign w:val="bottom"/>
            <w:shd w:val="clear" w:color="auto" w:fill="E6E6E6"/>
          </w:tcPr>
          <w:p>
            <w:pPr>
              <w:jc w:val="right"/>
              <w:ind w:right="364"/>
              <w:spacing w:after="0"/>
              <w:rPr>
                <w:sz w:val="20"/>
                <w:szCs w:val="20"/>
                <w:color w:val="auto"/>
              </w:rPr>
            </w:pPr>
            <w:r>
              <w:rPr>
                <w:rFonts w:ascii="Arial" w:cs="Arial" w:eastAsia="Arial" w:hAnsi="Arial"/>
                <w:sz w:val="20"/>
                <w:szCs w:val="20"/>
                <w:color w:val="auto"/>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5,720</w:t>
            </w:r>
          </w:p>
        </w:tc>
        <w:tc>
          <w:tcPr>
            <w:tcW w:w="680" w:type="dxa"/>
            <w:vAlign w:val="bottom"/>
            <w:gridSpan w:val="2"/>
            <w:shd w:val="clear" w:color="auto" w:fill="E6E6E6"/>
          </w:tcPr>
          <w:p>
            <w:pPr>
              <w:jc w:val="right"/>
              <w:ind w:right="365"/>
              <w:spacing w:after="0"/>
              <w:rPr>
                <w:sz w:val="20"/>
                <w:szCs w:val="20"/>
                <w:color w:val="auto"/>
              </w:rPr>
            </w:pPr>
            <w:r>
              <w:rPr>
                <w:rFonts w:ascii="Arial" w:cs="Arial" w:eastAsia="Arial" w:hAnsi="Arial"/>
                <w:sz w:val="20"/>
                <w:szCs w:val="20"/>
                <w:color w:val="auto"/>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8,630</w:t>
            </w:r>
          </w:p>
        </w:tc>
      </w:tr>
      <w:tr>
        <w:trPr>
          <w:trHeight w:val="289"/>
        </w:trPr>
        <w:tc>
          <w:tcPr>
            <w:tcW w:w="6840" w:type="dxa"/>
            <w:vAlign w:val="bottom"/>
            <w:tcBorders>
              <w:bottom w:val="single" w:sz="8" w:color="E6E6E6"/>
            </w:tcBorders>
          </w:tcPr>
          <w:p>
            <w:pPr>
              <w:ind w:left="40"/>
              <w:spacing w:after="0"/>
              <w:rPr>
                <w:sz w:val="20"/>
                <w:szCs w:val="20"/>
                <w:color w:val="auto"/>
              </w:rPr>
            </w:pPr>
            <w:r>
              <w:rPr>
                <w:rFonts w:ascii="Arial" w:cs="Arial" w:eastAsia="Arial" w:hAnsi="Arial"/>
                <w:sz w:val="20"/>
                <w:szCs w:val="20"/>
                <w:color w:val="auto"/>
              </w:rPr>
              <w:t>Accumulated depreciation</w:t>
            </w:r>
          </w:p>
        </w:tc>
        <w:tc>
          <w:tcPr>
            <w:tcW w:w="6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(1,991)</w:t>
            </w:r>
          </w:p>
        </w:tc>
        <w:tc>
          <w:tcPr>
            <w:tcW w:w="60" w:type="dxa"/>
            <w:vAlign w:val="bottom"/>
            <w:tcBorders>
              <w:bottom w:val="single" w:sz="8" w:color="E6E6E6"/>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(2,855)</w:t>
            </w:r>
          </w:p>
        </w:tc>
      </w:tr>
      <w:tr>
        <w:trPr>
          <w:trHeight w:val="298"/>
        </w:trPr>
        <w:tc>
          <w:tcPr>
            <w:tcW w:w="68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20"/>
                <w:szCs w:val="20"/>
                <w:color w:val="auto"/>
              </w:rPr>
              <w:t>Net property, plant and equipment</w:t>
            </w:r>
          </w:p>
        </w:tc>
        <w:tc>
          <w:tcPr>
            <w:tcW w:w="600" w:type="dxa"/>
            <w:vAlign w:val="bottom"/>
            <w:tcBorders>
              <w:bottom w:val="single" w:sz="8" w:color="auto"/>
            </w:tcBorders>
            <w:shd w:val="clear" w:color="auto" w:fill="E6E6E6"/>
          </w:tcPr>
          <w:p>
            <w:pPr>
              <w:jc w:val="right"/>
              <w:ind w:right="364"/>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3,729</w:t>
            </w:r>
          </w:p>
        </w:tc>
        <w:tc>
          <w:tcPr>
            <w:tcW w:w="60" w:type="dxa"/>
            <w:vAlign w:val="bottom"/>
            <w:tcBorders>
              <w:bottom w:val="single" w:sz="8" w:color="E6E6E6"/>
            </w:tcBorders>
            <w:shd w:val="clear" w:color="auto" w:fill="E6E6E6"/>
          </w:tcPr>
          <w:p>
            <w:pPr>
              <w:spacing w:after="0"/>
              <w:rPr>
                <w:sz w:val="24"/>
                <w:szCs w:val="24"/>
                <w:color w:val="auto"/>
              </w:rPr>
            </w:pPr>
          </w:p>
        </w:tc>
        <w:tc>
          <w:tcPr>
            <w:tcW w:w="620" w:type="dxa"/>
            <w:vAlign w:val="bottom"/>
            <w:tcBorders>
              <w:bottom w:val="single" w:sz="8" w:color="auto"/>
            </w:tcBorders>
            <w:shd w:val="clear" w:color="auto" w:fill="E6E6E6"/>
          </w:tcPr>
          <w:p>
            <w:pPr>
              <w:jc w:val="right"/>
              <w:ind w:right="365"/>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5,775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4324985</wp:posOffset>
            </wp:positionH>
            <wp:positionV relativeFrom="paragraph">
              <wp:posOffset>-599440</wp:posOffset>
            </wp:positionV>
            <wp:extent cx="2167255"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289">
                      <a:extLst>
                        <a:ext uri="{28A0092B-C50C-407E-A947-70E740481C1C}"/>
                      </a:extLst>
                    </a:blip>
                    <a:srcRect/>
                    <a:stretch>
                      <a:fillRect/>
                    </a:stretch>
                  </pic:blipFill>
                  <pic:spPr bwMode="auto">
                    <a:xfrm>
                      <a:off x="0" y="0"/>
                      <a:ext cx="2167255" cy="2540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-220345</wp:posOffset>
            </wp:positionV>
            <wp:extent cx="2167255" cy="25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290">
                      <a:extLst>
                        <a:ext uri="{28A0092B-C50C-407E-A947-70E740481C1C}"/>
                      </a:extLst>
                    </a:blip>
                    <a:srcRect/>
                    <a:stretch>
                      <a:fillRect/>
                    </a:stretch>
                  </pic:blipFill>
                  <pic:spPr bwMode="auto">
                    <a:xfrm>
                      <a:off x="0" y="0"/>
                      <a:ext cx="2167255" cy="2540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-43815</wp:posOffset>
            </wp:positionV>
            <wp:extent cx="2167255" cy="508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291">
                      <a:extLst>
                        <a:ext uri="{28A0092B-C50C-407E-A947-70E740481C1C}"/>
                      </a:extLst>
                    </a:blip>
                    <a:srcRect/>
                    <a:stretch>
                      <a:fillRect/>
                    </a:stretch>
                  </pic:blipFill>
                  <pic:spPr bwMode="auto">
                    <a:xfrm>
                      <a:off x="0" y="0"/>
                      <a:ext cx="2167255" cy="50800"/>
                    </a:xfrm>
                    <a:prstGeom prst="rect">
                      <a:avLst/>
                    </a:prstGeom>
                    <a:noFill/>
                  </pic:spPr>
                </pic:pic>
              </a:graphicData>
            </a:graphic>
          </wp:anchor>
        </w:drawing>
      </w:r>
    </w:p>
    <w:p>
      <w:pPr>
        <w:sectPr>
          <w:pgSz w:w="11880" w:h="15480" w:orient="portrait"/>
          <w:cols w:equalWidth="0" w:num="1">
            <w:col w:w="10200"/>
          </w:cols>
          <w:pgMar w:left="840" w:top="482"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124</w:t>
      </w:r>
    </w:p>
    <w:p>
      <w:pPr>
        <w:sectPr>
          <w:pgSz w:w="11880" w:h="15480" w:orient="portrait"/>
          <w:cols w:equalWidth="0" w:num="1">
            <w:col w:w="10200"/>
          </w:cols>
          <w:pgMar w:left="840" w:top="482" w:right="840" w:bottom="0" w:gutter="0" w:footer="0" w:header="0"/>
          <w:type w:val="continuous"/>
        </w:sectPr>
      </w:pPr>
    </w:p>
    <w:bookmarkStart w:id="126" w:name="page127"/>
    <w:bookmarkEnd w:id="126"/>
    <w:tbl>
      <w:tblPr>
        <w:tblLayout w:type="fixed"/>
        <w:tblInd w:w="0" w:type="dxa"/>
        <w:tblCellMar>
          <w:top w:w="0" w:type="dxa"/>
          <w:left w:w="0" w:type="dxa"/>
          <w:bottom w:w="0" w:type="dxa"/>
          <w:right w:w="0" w:type="dxa"/>
        </w:tblCellMar>
      </w:tblPr>
      <w:tr>
        <w:trPr>
          <w:trHeight w:val="264"/>
        </w:trPr>
        <w:tc>
          <w:tcPr>
            <w:tcW w:w="6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w w:val="91"/>
              </w:rPr>
              <w:t>Schedule I</w:t>
            </w:r>
          </w:p>
        </w:tc>
        <w:tc>
          <w:tcPr>
            <w:tcW w:w="0" w:type="dxa"/>
            <w:vAlign w:val="bottom"/>
          </w:tcPr>
          <w:p>
            <w:pPr>
              <w:spacing w:after="0"/>
              <w:rPr>
                <w:sz w:val="1"/>
                <w:szCs w:val="1"/>
                <w:color w:val="auto"/>
              </w:rPr>
            </w:pPr>
          </w:p>
        </w:tc>
      </w:tr>
      <w:tr>
        <w:trPr>
          <w:trHeight w:val="418"/>
        </w:trPr>
        <w:tc>
          <w:tcPr>
            <w:tcW w:w="6520" w:type="dxa"/>
            <w:vAlign w:val="bottom"/>
            <w:gridSpan w:val="2"/>
          </w:tcPr>
          <w:p>
            <w:pPr>
              <w:jc w:val="right"/>
              <w:ind w:right="80"/>
              <w:spacing w:after="0"/>
              <w:rPr>
                <w:sz w:val="20"/>
                <w:szCs w:val="20"/>
                <w:color w:val="auto"/>
              </w:rPr>
            </w:pPr>
            <w:r>
              <w:rPr>
                <w:rFonts w:ascii="Arial" w:cs="Arial" w:eastAsia="Arial" w:hAnsi="Arial"/>
                <w:sz w:val="20"/>
                <w:szCs w:val="20"/>
                <w:b w:val="1"/>
                <w:bCs w:val="1"/>
                <w:color w:val="auto"/>
              </w:rPr>
              <w:t>Clearway Energy, Inc. (Parent)</w:t>
            </w: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280" w:type="dxa"/>
            <w:vAlign w:val="bottom"/>
            <w:gridSpan w:val="3"/>
          </w:tcPr>
          <w:p>
            <w:pPr>
              <w:jc w:val="center"/>
              <w:ind w:left="2822"/>
              <w:spacing w:after="0"/>
              <w:rPr>
                <w:sz w:val="20"/>
                <w:szCs w:val="20"/>
                <w:color w:val="auto"/>
              </w:rPr>
            </w:pPr>
            <w:r>
              <w:rPr>
                <w:rFonts w:ascii="Arial" w:cs="Arial" w:eastAsia="Arial" w:hAnsi="Arial"/>
                <w:sz w:val="20"/>
                <w:szCs w:val="20"/>
                <w:b w:val="1"/>
                <w:bCs w:val="1"/>
                <w:color w:val="auto"/>
                <w:w w:val="90"/>
              </w:rPr>
              <w:t>Condensed Financial Information of Registrant</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520" w:type="dxa"/>
            <w:vAlign w:val="bottom"/>
            <w:gridSpan w:val="2"/>
          </w:tcPr>
          <w:p>
            <w:pPr>
              <w:jc w:val="center"/>
              <w:ind w:left="3582"/>
              <w:spacing w:after="0"/>
              <w:rPr>
                <w:sz w:val="20"/>
                <w:szCs w:val="20"/>
                <w:color w:val="auto"/>
              </w:rPr>
            </w:pPr>
            <w:r>
              <w:rPr>
                <w:rFonts w:ascii="Arial" w:cs="Arial" w:eastAsia="Arial" w:hAnsi="Arial"/>
                <w:sz w:val="20"/>
                <w:szCs w:val="20"/>
                <w:b w:val="1"/>
                <w:bCs w:val="1"/>
                <w:color w:val="auto"/>
                <w:w w:val="88"/>
              </w:rPr>
              <w:t>Condensed Statements of Income</w:t>
            </w: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64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w w:val="98"/>
              </w:rPr>
              <w:t>Year ended December 31,</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480" w:type="dxa"/>
            <w:vAlign w:val="bottom"/>
            <w:tcBorders>
              <w:bottom w:val="single" w:sz="8" w:color="E6E6E6"/>
            </w:tcBorders>
          </w:tcPr>
          <w:p>
            <w:pPr>
              <w:jc w:val="right"/>
              <w:ind w:right="5502"/>
              <w:spacing w:after="0"/>
              <w:rPr>
                <w:sz w:val="20"/>
                <w:szCs w:val="20"/>
                <w:color w:val="auto"/>
              </w:rPr>
            </w:pPr>
            <w:r>
              <w:rPr>
                <w:rFonts w:ascii="Arial" w:cs="Arial" w:eastAsia="Arial" w:hAnsi="Arial"/>
                <w:sz w:val="16"/>
                <w:szCs w:val="16"/>
                <w:b w:val="1"/>
                <w:bCs w:val="1"/>
                <w:color w:val="auto"/>
                <w:w w:val="95"/>
              </w:rPr>
              <w:t>(In millions)</w:t>
            </w:r>
          </w:p>
        </w:tc>
        <w:tc>
          <w:tcPr>
            <w:tcW w:w="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E6E6E6"/>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6"/>
                <w:szCs w:val="16"/>
                <w:b w:val="1"/>
                <w:bCs w:val="1"/>
                <w:color w:val="auto"/>
              </w:rPr>
              <w:t>2022</w:t>
            </w:r>
          </w:p>
        </w:tc>
        <w:tc>
          <w:tcPr>
            <w:tcW w:w="60" w:type="dxa"/>
            <w:vAlign w:val="bottom"/>
            <w:tcBorders>
              <w:bottom w:val="single" w:sz="8" w:color="E6E6E6"/>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79"/>
        </w:trPr>
        <w:tc>
          <w:tcPr>
            <w:tcW w:w="64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w w:val="92"/>
              </w:rPr>
              <w:t xml:space="preserve">Total operating costs and expenses </w:t>
            </w:r>
            <w:r>
              <w:rPr>
                <w:rFonts w:ascii="Arial" w:cs="Arial" w:eastAsia="Arial" w:hAnsi="Arial"/>
                <w:sz w:val="20"/>
                <w:szCs w:val="20"/>
                <w:color w:val="BDBDBD"/>
                <w:w w:val="92"/>
              </w:rPr>
              <w:t>. . . . . . . . . . . . . . . . . . . . . . . . . . . . . . . . . .</w:t>
            </w:r>
          </w:p>
        </w:tc>
        <w:tc>
          <w:tcPr>
            <w:tcW w:w="40" w:type="dxa"/>
            <w:vAlign w:val="bottom"/>
            <w:tcBorders>
              <w:bottom w:val="single" w:sz="8" w:color="auto"/>
            </w:tcBorders>
            <w:shd w:val="clear" w:color="auto" w:fill="E6E6E6"/>
          </w:tcPr>
          <w:p>
            <w:pPr>
              <w:spacing w:after="0"/>
              <w:rPr>
                <w:sz w:val="24"/>
                <w:szCs w:val="24"/>
                <w:color w:val="auto"/>
              </w:rPr>
            </w:pPr>
          </w:p>
        </w:tc>
        <w:tc>
          <w:tcPr>
            <w:tcW w:w="760" w:type="dxa"/>
            <w:vAlign w:val="bottom"/>
            <w:tcBorders>
              <w:bottom w:val="single" w:sz="8" w:color="auto"/>
            </w:tcBorders>
            <w:shd w:val="clear" w:color="auto" w:fill="E6E6E6"/>
          </w:tcPr>
          <w:p>
            <w:pPr>
              <w:jc w:val="right"/>
              <w:ind w:right="547"/>
              <w:spacing w:after="0"/>
              <w:rPr>
                <w:sz w:val="20"/>
                <w:szCs w:val="20"/>
                <w:color w:val="auto"/>
              </w:rPr>
            </w:pPr>
            <w:r>
              <w:rPr>
                <w:rFonts w:ascii="Arial" w:cs="Arial" w:eastAsia="Arial" w:hAnsi="Arial"/>
                <w:sz w:val="20"/>
                <w:szCs w:val="20"/>
                <w:color w:val="auto"/>
                <w:w w:val="89"/>
              </w:rPr>
              <w:t>$</w:t>
            </w:r>
          </w:p>
        </w:tc>
        <w:tc>
          <w:tcPr>
            <w:tcW w:w="3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w:t>
            </w:r>
          </w:p>
        </w:tc>
        <w:tc>
          <w:tcPr>
            <w:tcW w:w="12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auto"/>
            </w:tcBorders>
            <w:shd w:val="clear" w:color="auto" w:fill="E6E6E6"/>
          </w:tcPr>
          <w:p>
            <w:pPr>
              <w:jc w:val="right"/>
              <w:ind w:right="41"/>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shd w:val="clear" w:color="auto" w:fill="E6E6E6"/>
          </w:tcPr>
          <w:p>
            <w:pPr>
              <w:jc w:val="right"/>
              <w:ind w:right="3"/>
              <w:spacing w:after="0"/>
              <w:rPr>
                <w:sz w:val="20"/>
                <w:szCs w:val="20"/>
                <w:color w:val="auto"/>
              </w:rPr>
            </w:pPr>
            <w:r>
              <w:rPr>
                <w:rFonts w:ascii="Arial" w:cs="Arial" w:eastAsia="Arial" w:hAnsi="Arial"/>
                <w:sz w:val="20"/>
                <w:szCs w:val="20"/>
                <w:color w:val="auto"/>
              </w:rPr>
              <w:t>2</w:t>
            </w:r>
          </w:p>
        </w:tc>
        <w:tc>
          <w:tcPr>
            <w:tcW w:w="6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78"/>
        </w:trPr>
        <w:tc>
          <w:tcPr>
            <w:tcW w:w="6480" w:type="dxa"/>
            <w:vAlign w:val="bottom"/>
            <w:tcBorders>
              <w:bottom w:val="single" w:sz="8" w:color="E6E6E6"/>
            </w:tcBorders>
          </w:tcPr>
          <w:p>
            <w:pPr>
              <w:jc w:val="right"/>
              <w:spacing w:after="0"/>
              <w:rPr>
                <w:sz w:val="20"/>
                <w:szCs w:val="20"/>
                <w:color w:val="auto"/>
              </w:rPr>
            </w:pPr>
            <w:r>
              <w:rPr>
                <w:rFonts w:ascii="Arial" w:cs="Arial" w:eastAsia="Arial" w:hAnsi="Arial"/>
                <w:sz w:val="20"/>
                <w:szCs w:val="20"/>
                <w:color w:val="auto"/>
                <w:w w:val="92"/>
              </w:rPr>
              <w:t xml:space="preserve">Equity in (losses) earnings of consolidated subsidiaries  </w:t>
            </w:r>
            <w:r>
              <w:rPr>
                <w:rFonts w:ascii="Arial" w:cs="Arial" w:eastAsia="Arial" w:hAnsi="Arial"/>
                <w:sz w:val="20"/>
                <w:szCs w:val="20"/>
                <w:color w:val="BDBDBD"/>
                <w:w w:val="92"/>
              </w:rPr>
              <w:t>. . . . . . . . . . . . . . . . . .</w:t>
            </w:r>
          </w:p>
        </w:tc>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w:t>
            </w:r>
          </w:p>
        </w:tc>
        <w:tc>
          <w:tcPr>
            <w:tcW w:w="120" w:type="dxa"/>
            <w:vAlign w:val="bottom"/>
            <w:tcBorders>
              <w:bottom w:val="single" w:sz="8" w:color="E6E6E6"/>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20"/>
                <w:szCs w:val="20"/>
                <w:color w:val="auto"/>
              </w:rPr>
              <w:t>1,282</w:t>
            </w:r>
          </w:p>
        </w:tc>
        <w:tc>
          <w:tcPr>
            <w:tcW w:w="60" w:type="dxa"/>
            <w:vAlign w:val="bottom"/>
            <w:tcBorders>
              <w:bottom w:val="single" w:sz="8" w:color="E6E6E6"/>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(63)</w:t>
            </w:r>
          </w:p>
        </w:tc>
        <w:tc>
          <w:tcPr>
            <w:tcW w:w="0" w:type="dxa"/>
            <w:vAlign w:val="bottom"/>
          </w:tcPr>
          <w:p>
            <w:pPr>
              <w:spacing w:after="0"/>
              <w:rPr>
                <w:sz w:val="1"/>
                <w:szCs w:val="1"/>
                <w:color w:val="auto"/>
              </w:rPr>
            </w:pPr>
          </w:p>
        </w:tc>
      </w:tr>
      <w:tr>
        <w:trPr>
          <w:trHeight w:val="278"/>
        </w:trPr>
        <w:tc>
          <w:tcPr>
            <w:tcW w:w="64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w w:val="93"/>
              </w:rPr>
              <w:t xml:space="preserve">Total other (expense) income, net </w:t>
            </w:r>
            <w:r>
              <w:rPr>
                <w:rFonts w:ascii="Arial" w:cs="Arial" w:eastAsia="Arial" w:hAnsi="Arial"/>
                <w:sz w:val="20"/>
                <w:szCs w:val="20"/>
                <w:color w:val="BDBDBD"/>
                <w:w w:val="93"/>
              </w:rPr>
              <w:t>. . . . . . . . . . . . . . . . . . . . . . . . . . . . . . . . . . .</w:t>
            </w:r>
          </w:p>
        </w:tc>
        <w:tc>
          <w:tcPr>
            <w:tcW w:w="40" w:type="dxa"/>
            <w:vAlign w:val="bottom"/>
            <w:tcBorders>
              <w:bottom w:val="single" w:sz="8" w:color="auto"/>
            </w:tcBorders>
            <w:shd w:val="clear" w:color="auto" w:fill="E6E6E6"/>
          </w:tcPr>
          <w:p>
            <w:pPr>
              <w:spacing w:after="0"/>
              <w:rPr>
                <w:sz w:val="24"/>
                <w:szCs w:val="24"/>
                <w:color w:val="auto"/>
              </w:rPr>
            </w:pPr>
          </w:p>
        </w:tc>
        <w:tc>
          <w:tcPr>
            <w:tcW w:w="760" w:type="dxa"/>
            <w:vAlign w:val="bottom"/>
            <w:tcBorders>
              <w:bottom w:val="single" w:sz="8" w:color="auto"/>
            </w:tcBorders>
            <w:shd w:val="clear" w:color="auto" w:fill="E6E6E6"/>
          </w:tcPr>
          <w:p>
            <w:pPr>
              <w:spacing w:after="0"/>
              <w:rPr>
                <w:sz w:val="24"/>
                <w:szCs w:val="24"/>
                <w:color w:val="auto"/>
              </w:rPr>
            </w:pPr>
          </w:p>
        </w:tc>
        <w:tc>
          <w:tcPr>
            <w:tcW w:w="3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(13)</w:t>
            </w:r>
          </w:p>
        </w:tc>
        <w:tc>
          <w:tcPr>
            <w:tcW w:w="12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auto"/>
            </w:tcBorders>
            <w:shd w:val="clear" w:color="auto" w:fill="E6E6E6"/>
          </w:tcPr>
          <w:p>
            <w:pPr>
              <w:spacing w:after="0"/>
              <w:rPr>
                <w:sz w:val="24"/>
                <w:szCs w:val="24"/>
                <w:color w:val="auto"/>
              </w:rPr>
            </w:pPr>
          </w:p>
        </w:tc>
        <w:tc>
          <w:tcPr>
            <w:tcW w:w="900" w:type="dxa"/>
            <w:vAlign w:val="bottom"/>
            <w:tcBorders>
              <w:bottom w:val="single" w:sz="8" w:color="auto"/>
            </w:tcBorders>
            <w:shd w:val="clear" w:color="auto" w:fill="E6E6E6"/>
          </w:tcPr>
          <w:p>
            <w:pPr>
              <w:jc w:val="right"/>
              <w:ind w:right="3"/>
              <w:spacing w:after="0"/>
              <w:rPr>
                <w:sz w:val="20"/>
                <w:szCs w:val="20"/>
                <w:color w:val="auto"/>
              </w:rPr>
            </w:pPr>
            <w:r>
              <w:rPr>
                <w:rFonts w:ascii="Arial" w:cs="Arial" w:eastAsia="Arial" w:hAnsi="Arial"/>
                <w:sz w:val="20"/>
                <w:szCs w:val="20"/>
                <w:color w:val="auto"/>
              </w:rPr>
              <w:t>1,282</w:t>
            </w:r>
          </w:p>
        </w:tc>
        <w:tc>
          <w:tcPr>
            <w:tcW w:w="6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(63)</w:t>
            </w:r>
          </w:p>
        </w:tc>
        <w:tc>
          <w:tcPr>
            <w:tcW w:w="0" w:type="dxa"/>
            <w:vAlign w:val="bottom"/>
          </w:tcPr>
          <w:p>
            <w:pPr>
              <w:spacing w:after="0"/>
              <w:rPr>
                <w:sz w:val="1"/>
                <w:szCs w:val="1"/>
                <w:color w:val="auto"/>
              </w:rPr>
            </w:pPr>
          </w:p>
        </w:tc>
      </w:tr>
      <w:tr>
        <w:trPr>
          <w:trHeight w:val="282"/>
        </w:trPr>
        <w:tc>
          <w:tcPr>
            <w:tcW w:w="652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w w:val="90"/>
              </w:rPr>
              <w:t xml:space="preserve">(Loss) Income Before Income Taxes </w:t>
            </w:r>
            <w:r>
              <w:rPr>
                <w:rFonts w:ascii="Arial" w:cs="Arial" w:eastAsia="Arial" w:hAnsi="Arial"/>
                <w:sz w:val="20"/>
                <w:szCs w:val="20"/>
                <w:b w:val="1"/>
                <w:bCs w:val="1"/>
                <w:color w:val="BDBDBD"/>
                <w:w w:val="90"/>
              </w:rPr>
              <w:t>. . . . . . . . . . . . . . . . . . . . . . . . . . . . . . . . .</w:t>
            </w:r>
          </w:p>
        </w:tc>
        <w:tc>
          <w:tcPr>
            <w:tcW w:w="7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20"/>
                <w:szCs w:val="20"/>
                <w:color w:val="auto"/>
              </w:rPr>
              <w:t>(14)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ind w:right="3"/>
              <w:spacing w:after="0"/>
              <w:rPr>
                <w:sz w:val="20"/>
                <w:szCs w:val="20"/>
                <w:color w:val="auto"/>
              </w:rPr>
            </w:pPr>
            <w:r>
              <w:rPr>
                <w:rFonts w:ascii="Arial" w:cs="Arial" w:eastAsia="Arial" w:hAnsi="Arial"/>
                <w:sz w:val="20"/>
                <w:szCs w:val="20"/>
                <w:color w:val="auto"/>
              </w:rPr>
              <w:t>1,280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(65)</w:t>
            </w:r>
          </w:p>
        </w:tc>
        <w:tc>
          <w:tcPr>
            <w:tcW w:w="0" w:type="dxa"/>
            <w:vAlign w:val="bottom"/>
          </w:tcPr>
          <w:p>
            <w:pPr>
              <w:spacing w:after="0"/>
              <w:rPr>
                <w:sz w:val="1"/>
                <w:szCs w:val="1"/>
                <w:color w:val="auto"/>
              </w:rPr>
            </w:pPr>
          </w:p>
        </w:tc>
      </w:tr>
      <w:tr>
        <w:trPr>
          <w:trHeight w:val="295"/>
        </w:trPr>
        <w:tc>
          <w:tcPr>
            <w:tcW w:w="64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w w:val="91"/>
              </w:rPr>
              <w:t xml:space="preserve">Income tax expense  </w:t>
            </w:r>
            <w:r>
              <w:rPr>
                <w:rFonts w:ascii="Arial" w:cs="Arial" w:eastAsia="Arial" w:hAnsi="Arial"/>
                <w:sz w:val="20"/>
                <w:szCs w:val="20"/>
                <w:color w:val="BDBDBD"/>
                <w:w w:val="91"/>
              </w:rPr>
              <w:t>. . . . . . . . . . . . . . . . . . . . . . . . . . . . . . . . . . . . . . . . . . . . . .</w:t>
            </w:r>
          </w:p>
        </w:tc>
        <w:tc>
          <w:tcPr>
            <w:tcW w:w="40" w:type="dxa"/>
            <w:vAlign w:val="bottom"/>
            <w:tcBorders>
              <w:bottom w:val="single" w:sz="8" w:color="auto"/>
            </w:tcBorders>
            <w:shd w:val="clear" w:color="auto" w:fill="E6E6E6"/>
          </w:tcPr>
          <w:p>
            <w:pPr>
              <w:spacing w:after="0"/>
              <w:rPr>
                <w:sz w:val="24"/>
                <w:szCs w:val="24"/>
                <w:color w:val="auto"/>
              </w:rPr>
            </w:pPr>
          </w:p>
        </w:tc>
        <w:tc>
          <w:tcPr>
            <w:tcW w:w="760" w:type="dxa"/>
            <w:vAlign w:val="bottom"/>
            <w:tcBorders>
              <w:bottom w:val="single" w:sz="8" w:color="auto"/>
            </w:tcBorders>
            <w:shd w:val="clear" w:color="auto" w:fill="E6E6E6"/>
          </w:tcPr>
          <w:p>
            <w:pPr>
              <w:spacing w:after="0"/>
              <w:rPr>
                <w:sz w:val="24"/>
                <w:szCs w:val="24"/>
                <w:color w:val="auto"/>
              </w:rPr>
            </w:pPr>
          </w:p>
        </w:tc>
        <w:tc>
          <w:tcPr>
            <w:tcW w:w="3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2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auto"/>
            </w:tcBorders>
            <w:shd w:val="clear" w:color="auto" w:fill="E6E6E6"/>
          </w:tcPr>
          <w:p>
            <w:pPr>
              <w:spacing w:after="0"/>
              <w:rPr>
                <w:sz w:val="24"/>
                <w:szCs w:val="24"/>
                <w:color w:val="auto"/>
              </w:rPr>
            </w:pPr>
          </w:p>
        </w:tc>
        <w:tc>
          <w:tcPr>
            <w:tcW w:w="900" w:type="dxa"/>
            <w:vAlign w:val="bottom"/>
            <w:tcBorders>
              <w:bottom w:val="single" w:sz="8" w:color="auto"/>
            </w:tcBorders>
            <w:shd w:val="clear" w:color="auto" w:fill="E6E6E6"/>
          </w:tcPr>
          <w:p>
            <w:pPr>
              <w:jc w:val="right"/>
              <w:ind w:right="3"/>
              <w:spacing w:after="0"/>
              <w:rPr>
                <w:sz w:val="20"/>
                <w:szCs w:val="20"/>
                <w:color w:val="auto"/>
              </w:rPr>
            </w:pPr>
            <w:r>
              <w:rPr>
                <w:rFonts w:ascii="Arial" w:cs="Arial" w:eastAsia="Arial" w:hAnsi="Arial"/>
                <w:sz w:val="20"/>
                <w:szCs w:val="20"/>
                <w:color w:val="auto"/>
              </w:rPr>
              <w:t>220</w:t>
            </w:r>
          </w:p>
        </w:tc>
        <w:tc>
          <w:tcPr>
            <w:tcW w:w="6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10</w:t>
            </w:r>
          </w:p>
        </w:tc>
        <w:tc>
          <w:tcPr>
            <w:tcW w:w="0" w:type="dxa"/>
            <w:vAlign w:val="bottom"/>
          </w:tcPr>
          <w:p>
            <w:pPr>
              <w:spacing w:after="0"/>
              <w:rPr>
                <w:sz w:val="1"/>
                <w:szCs w:val="1"/>
                <w:color w:val="auto"/>
              </w:rPr>
            </w:pPr>
          </w:p>
        </w:tc>
      </w:tr>
      <w:tr>
        <w:trPr>
          <w:trHeight w:val="282"/>
        </w:trPr>
        <w:tc>
          <w:tcPr>
            <w:tcW w:w="652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w w:val="90"/>
              </w:rPr>
              <w:t xml:space="preserve">Net (Loss) Income </w:t>
            </w:r>
            <w:r>
              <w:rPr>
                <w:rFonts w:ascii="Arial" w:cs="Arial" w:eastAsia="Arial" w:hAnsi="Arial"/>
                <w:sz w:val="20"/>
                <w:szCs w:val="20"/>
                <w:b w:val="1"/>
                <w:bCs w:val="1"/>
                <w:color w:val="BDBDBD"/>
                <w:w w:val="90"/>
              </w:rPr>
              <w:t>. . . . . . . . . . . . . . . . . . . . . . . . . . . . . . . . . . . . . . . . . . . . . . . .</w:t>
            </w:r>
          </w:p>
        </w:tc>
        <w:tc>
          <w:tcPr>
            <w:tcW w:w="7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20"/>
                <w:szCs w:val="20"/>
                <w:color w:val="auto"/>
              </w:rPr>
              <w:t>(14)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ind w:right="3"/>
              <w:spacing w:after="0"/>
              <w:rPr>
                <w:sz w:val="20"/>
                <w:szCs w:val="20"/>
                <w:color w:val="auto"/>
              </w:rPr>
            </w:pPr>
            <w:r>
              <w:rPr>
                <w:rFonts w:ascii="Arial" w:cs="Arial" w:eastAsia="Arial" w:hAnsi="Arial"/>
                <w:sz w:val="20"/>
                <w:szCs w:val="20"/>
                <w:color w:val="auto"/>
              </w:rPr>
              <w:t>1,060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(75)</w:t>
            </w:r>
          </w:p>
        </w:tc>
        <w:tc>
          <w:tcPr>
            <w:tcW w:w="0" w:type="dxa"/>
            <w:vAlign w:val="bottom"/>
          </w:tcPr>
          <w:p>
            <w:pPr>
              <w:spacing w:after="0"/>
              <w:rPr>
                <w:sz w:val="1"/>
                <w:szCs w:val="1"/>
                <w:color w:val="auto"/>
              </w:rPr>
            </w:pPr>
          </w:p>
        </w:tc>
      </w:tr>
      <w:tr>
        <w:trPr>
          <w:trHeight w:val="227"/>
        </w:trPr>
        <w:tc>
          <w:tcPr>
            <w:tcW w:w="6520" w:type="dxa"/>
            <w:vAlign w:val="bottom"/>
            <w:gridSpan w:val="2"/>
            <w:shd w:val="clear" w:color="auto" w:fill="E6E6E6"/>
          </w:tcPr>
          <w:p>
            <w:pPr>
              <w:ind w:left="180"/>
              <w:spacing w:after="0" w:line="228" w:lineRule="exact"/>
              <w:rPr>
                <w:sz w:val="20"/>
                <w:szCs w:val="20"/>
                <w:color w:val="auto"/>
              </w:rPr>
            </w:pPr>
            <w:r>
              <w:rPr>
                <w:rFonts w:ascii="Arial" w:cs="Arial" w:eastAsia="Arial" w:hAnsi="Arial"/>
                <w:sz w:val="20"/>
                <w:szCs w:val="20"/>
                <w:color w:val="auto"/>
              </w:rPr>
              <w:t>Less: Net (loss) income attributable to noncontrolling interests and</w:t>
            </w:r>
          </w:p>
        </w:tc>
        <w:tc>
          <w:tcPr>
            <w:tcW w:w="760" w:type="dxa"/>
            <w:vAlign w:val="bottom"/>
            <w:shd w:val="clear" w:color="auto" w:fill="E6E6E6"/>
          </w:tcPr>
          <w:p>
            <w:pPr>
              <w:spacing w:after="0"/>
              <w:rPr>
                <w:sz w:val="19"/>
                <w:szCs w:val="19"/>
                <w:color w:val="auto"/>
              </w:rPr>
            </w:pPr>
          </w:p>
        </w:tc>
        <w:tc>
          <w:tcPr>
            <w:tcW w:w="38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(93)</w:t>
            </w:r>
          </w:p>
        </w:tc>
        <w:tc>
          <w:tcPr>
            <w:tcW w:w="120" w:type="dxa"/>
            <w:vAlign w:val="bottom"/>
            <w:shd w:val="clear" w:color="auto" w:fill="E6E6E6"/>
          </w:tcPr>
          <w:p>
            <w:pPr>
              <w:spacing w:after="0"/>
              <w:rPr>
                <w:sz w:val="19"/>
                <w:szCs w:val="19"/>
                <w:color w:val="auto"/>
              </w:rPr>
            </w:pPr>
          </w:p>
        </w:tc>
        <w:tc>
          <w:tcPr>
            <w:tcW w:w="280" w:type="dxa"/>
            <w:vAlign w:val="bottom"/>
            <w:shd w:val="clear" w:color="auto" w:fill="E6E6E6"/>
          </w:tcPr>
          <w:p>
            <w:pPr>
              <w:spacing w:after="0"/>
              <w:rPr>
                <w:sz w:val="19"/>
                <w:szCs w:val="19"/>
                <w:color w:val="auto"/>
              </w:rPr>
            </w:pPr>
          </w:p>
        </w:tc>
        <w:tc>
          <w:tcPr>
            <w:tcW w:w="900" w:type="dxa"/>
            <w:vAlign w:val="bottom"/>
            <w:vMerge w:val="restart"/>
            <w:shd w:val="clear" w:color="auto" w:fill="E6E6E6"/>
          </w:tcPr>
          <w:p>
            <w:pPr>
              <w:jc w:val="right"/>
              <w:ind w:right="3"/>
              <w:spacing w:after="0"/>
              <w:rPr>
                <w:sz w:val="20"/>
                <w:szCs w:val="20"/>
                <w:color w:val="auto"/>
              </w:rPr>
            </w:pPr>
            <w:r>
              <w:rPr>
                <w:rFonts w:ascii="Arial" w:cs="Arial" w:eastAsia="Arial" w:hAnsi="Arial"/>
                <w:sz w:val="20"/>
                <w:szCs w:val="20"/>
                <w:color w:val="auto"/>
              </w:rPr>
              <w:t>478</w:t>
            </w:r>
          </w:p>
        </w:tc>
        <w:tc>
          <w:tcPr>
            <w:tcW w:w="6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94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(126)</w:t>
            </w:r>
          </w:p>
        </w:tc>
        <w:tc>
          <w:tcPr>
            <w:tcW w:w="0" w:type="dxa"/>
            <w:vAlign w:val="bottom"/>
          </w:tcPr>
          <w:p>
            <w:pPr>
              <w:spacing w:after="0"/>
              <w:rPr>
                <w:sz w:val="1"/>
                <w:szCs w:val="1"/>
                <w:color w:val="auto"/>
              </w:rPr>
            </w:pPr>
          </w:p>
        </w:tc>
      </w:tr>
      <w:tr>
        <w:trPr>
          <w:trHeight w:val="262"/>
        </w:trPr>
        <w:tc>
          <w:tcPr>
            <w:tcW w:w="64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w w:val="95"/>
              </w:rPr>
              <w:t xml:space="preserve">redeemable noncontrolling interests </w:t>
            </w:r>
            <w:r>
              <w:rPr>
                <w:rFonts w:ascii="Arial" w:cs="Arial" w:eastAsia="Arial" w:hAnsi="Arial"/>
                <w:sz w:val="20"/>
                <w:szCs w:val="20"/>
                <w:color w:val="BDBDBD"/>
                <w:w w:val="95"/>
              </w:rPr>
              <w:t>. . . . . . . . . . . . . . . . . . . . . . . . . . . . . . . .</w:t>
            </w:r>
          </w:p>
        </w:tc>
        <w:tc>
          <w:tcPr>
            <w:tcW w:w="40" w:type="dxa"/>
            <w:vAlign w:val="bottom"/>
            <w:tcBorders>
              <w:bottom w:val="single" w:sz="8" w:color="auto"/>
            </w:tcBorders>
            <w:shd w:val="clear" w:color="auto" w:fill="E6E6E6"/>
          </w:tcPr>
          <w:p>
            <w:pPr>
              <w:spacing w:after="0"/>
              <w:rPr>
                <w:sz w:val="22"/>
                <w:szCs w:val="22"/>
                <w:color w:val="auto"/>
              </w:rPr>
            </w:pPr>
          </w:p>
        </w:tc>
        <w:tc>
          <w:tcPr>
            <w:tcW w:w="760" w:type="dxa"/>
            <w:vAlign w:val="bottom"/>
            <w:tcBorders>
              <w:bottom w:val="single" w:sz="8" w:color="auto"/>
            </w:tcBorders>
            <w:shd w:val="clear" w:color="auto" w:fill="E6E6E6"/>
          </w:tcPr>
          <w:p>
            <w:pPr>
              <w:spacing w:after="0"/>
              <w:rPr>
                <w:sz w:val="22"/>
                <w:szCs w:val="22"/>
                <w:color w:val="auto"/>
              </w:rPr>
            </w:pPr>
          </w:p>
        </w:tc>
        <w:tc>
          <w:tcPr>
            <w:tcW w:w="380" w:type="dxa"/>
            <w:vAlign w:val="bottom"/>
            <w:tcBorders>
              <w:bottom w:val="single" w:sz="8" w:color="auto"/>
            </w:tcBorders>
            <w:vMerge w:val="continue"/>
            <w:shd w:val="clear" w:color="auto" w:fill="E6E6E6"/>
          </w:tcPr>
          <w:p>
            <w:pPr>
              <w:spacing w:after="0"/>
              <w:rPr>
                <w:sz w:val="22"/>
                <w:szCs w:val="22"/>
                <w:color w:val="auto"/>
              </w:rPr>
            </w:pPr>
          </w:p>
        </w:tc>
        <w:tc>
          <w:tcPr>
            <w:tcW w:w="120" w:type="dxa"/>
            <w:vAlign w:val="bottom"/>
            <w:tcBorders>
              <w:bottom w:val="single" w:sz="8" w:color="E6E6E6"/>
            </w:tcBorders>
            <w:shd w:val="clear" w:color="auto" w:fill="E6E6E6"/>
          </w:tcPr>
          <w:p>
            <w:pPr>
              <w:spacing w:after="0"/>
              <w:rPr>
                <w:sz w:val="22"/>
                <w:szCs w:val="22"/>
                <w:color w:val="auto"/>
              </w:rPr>
            </w:pPr>
          </w:p>
        </w:tc>
        <w:tc>
          <w:tcPr>
            <w:tcW w:w="280" w:type="dxa"/>
            <w:vAlign w:val="bottom"/>
            <w:tcBorders>
              <w:bottom w:val="single" w:sz="8" w:color="auto"/>
            </w:tcBorders>
            <w:shd w:val="clear" w:color="auto" w:fill="E6E6E6"/>
          </w:tcPr>
          <w:p>
            <w:pPr>
              <w:spacing w:after="0"/>
              <w:rPr>
                <w:sz w:val="22"/>
                <w:szCs w:val="22"/>
                <w:color w:val="auto"/>
              </w:rPr>
            </w:pPr>
          </w:p>
        </w:tc>
        <w:tc>
          <w:tcPr>
            <w:tcW w:w="900" w:type="dxa"/>
            <w:vAlign w:val="bottom"/>
            <w:tcBorders>
              <w:bottom w:val="single" w:sz="8" w:color="auto"/>
            </w:tcBorders>
            <w:vMerge w:val="continue"/>
            <w:shd w:val="clear" w:color="auto" w:fill="E6E6E6"/>
          </w:tcPr>
          <w:p>
            <w:pPr>
              <w:spacing w:after="0"/>
              <w:rPr>
                <w:sz w:val="22"/>
                <w:szCs w:val="22"/>
                <w:color w:val="auto"/>
              </w:rPr>
            </w:pPr>
          </w:p>
        </w:tc>
        <w:tc>
          <w:tcPr>
            <w:tcW w:w="60" w:type="dxa"/>
            <w:vAlign w:val="bottom"/>
            <w:tcBorders>
              <w:bottom w:val="single" w:sz="8" w:color="E6E6E6"/>
            </w:tcBorders>
            <w:shd w:val="clear" w:color="auto" w:fill="E6E6E6"/>
          </w:tcPr>
          <w:p>
            <w:pPr>
              <w:spacing w:after="0"/>
              <w:rPr>
                <w:sz w:val="22"/>
                <w:szCs w:val="22"/>
                <w:color w:val="auto"/>
              </w:rPr>
            </w:pPr>
          </w:p>
        </w:tc>
        <w:tc>
          <w:tcPr>
            <w:tcW w:w="240" w:type="dxa"/>
            <w:vAlign w:val="bottom"/>
            <w:tcBorders>
              <w:bottom w:val="single" w:sz="8" w:color="auto"/>
            </w:tcBorders>
            <w:shd w:val="clear" w:color="auto" w:fill="E6E6E6"/>
          </w:tcPr>
          <w:p>
            <w:pPr>
              <w:spacing w:after="0"/>
              <w:rPr>
                <w:sz w:val="22"/>
                <w:szCs w:val="22"/>
                <w:color w:val="auto"/>
              </w:rPr>
            </w:pPr>
          </w:p>
        </w:tc>
        <w:tc>
          <w:tcPr>
            <w:tcW w:w="940" w:type="dxa"/>
            <w:vAlign w:val="bottom"/>
            <w:tcBorders>
              <w:bottom w:val="single" w:sz="8" w:color="auto"/>
            </w:tcBorders>
            <w:vMerge w:val="continue"/>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520" w:type="dxa"/>
            <w:vAlign w:val="bottom"/>
            <w:gridSpan w:val="2"/>
          </w:tcPr>
          <w:p>
            <w:pPr>
              <w:jc w:val="right"/>
              <w:ind w:right="80"/>
              <w:spacing w:after="0"/>
              <w:rPr>
                <w:sz w:val="20"/>
                <w:szCs w:val="20"/>
                <w:color w:val="auto"/>
              </w:rPr>
            </w:pPr>
            <w:r>
              <w:rPr>
                <w:rFonts w:ascii="Arial" w:cs="Arial" w:eastAsia="Arial" w:hAnsi="Arial"/>
                <w:sz w:val="20"/>
                <w:szCs w:val="20"/>
                <w:b w:val="1"/>
                <w:bCs w:val="1"/>
                <w:color w:val="auto"/>
                <w:w w:val="92"/>
              </w:rPr>
              <w:t xml:space="preserve">Net Income Attributable to Clearway Energy, Inc. </w:t>
            </w:r>
            <w:r>
              <w:rPr>
                <w:rFonts w:ascii="Arial" w:cs="Arial" w:eastAsia="Arial" w:hAnsi="Arial"/>
                <w:sz w:val="20"/>
                <w:szCs w:val="20"/>
                <w:b w:val="1"/>
                <w:bCs w:val="1"/>
                <w:color w:val="BDBDBD"/>
                <w:w w:val="92"/>
              </w:rPr>
              <w:t>. . . . . . . . . . . . . . . . . . . . .</w:t>
            </w:r>
          </w:p>
        </w:tc>
        <w:tc>
          <w:tcPr>
            <w:tcW w:w="760" w:type="dxa"/>
            <w:vAlign w:val="bottom"/>
          </w:tcPr>
          <w:p>
            <w:pPr>
              <w:jc w:val="right"/>
              <w:ind w:right="547"/>
              <w:spacing w:after="0"/>
              <w:rPr>
                <w:sz w:val="20"/>
                <w:szCs w:val="20"/>
                <w:color w:val="auto"/>
              </w:rPr>
            </w:pPr>
            <w:r>
              <w:rPr>
                <w:rFonts w:ascii="Arial" w:cs="Arial" w:eastAsia="Arial" w:hAnsi="Arial"/>
                <w:sz w:val="20"/>
                <w:szCs w:val="20"/>
                <w:color w:val="auto"/>
                <w:w w:val="89"/>
              </w:rPr>
              <w:t>$</w:t>
            </w:r>
          </w:p>
        </w:tc>
        <w:tc>
          <w:tcPr>
            <w:tcW w:w="380" w:type="dxa"/>
            <w:vAlign w:val="bottom"/>
          </w:tcPr>
          <w:p>
            <w:pPr>
              <w:jc w:val="right"/>
              <w:spacing w:after="0"/>
              <w:rPr>
                <w:sz w:val="20"/>
                <w:szCs w:val="20"/>
                <w:color w:val="auto"/>
              </w:rPr>
            </w:pPr>
            <w:r>
              <w:rPr>
                <w:rFonts w:ascii="Arial" w:cs="Arial" w:eastAsia="Arial" w:hAnsi="Arial"/>
                <w:sz w:val="20"/>
                <w:szCs w:val="20"/>
                <w:color w:val="auto"/>
              </w:rPr>
              <w:t>79</w:t>
            </w:r>
          </w:p>
        </w:tc>
        <w:tc>
          <w:tcPr>
            <w:tcW w:w="400" w:type="dxa"/>
            <w:vAlign w:val="bottom"/>
            <w:gridSpan w:val="2"/>
          </w:tcPr>
          <w:p>
            <w:pPr>
              <w:jc w:val="right"/>
              <w:ind w:right="41"/>
              <w:spacing w:after="0"/>
              <w:rPr>
                <w:sz w:val="20"/>
                <w:szCs w:val="20"/>
                <w:color w:val="auto"/>
              </w:rPr>
            </w:pPr>
            <w:r>
              <w:rPr>
                <w:rFonts w:ascii="Arial" w:cs="Arial" w:eastAsia="Arial" w:hAnsi="Arial"/>
                <w:sz w:val="20"/>
                <w:szCs w:val="20"/>
                <w:color w:val="auto"/>
              </w:rPr>
              <w:t>$</w:t>
            </w:r>
          </w:p>
        </w:tc>
        <w:tc>
          <w:tcPr>
            <w:tcW w:w="900" w:type="dxa"/>
            <w:vAlign w:val="bottom"/>
          </w:tcPr>
          <w:p>
            <w:pPr>
              <w:jc w:val="right"/>
              <w:ind w:right="3"/>
              <w:spacing w:after="0"/>
              <w:rPr>
                <w:sz w:val="20"/>
                <w:szCs w:val="20"/>
                <w:color w:val="auto"/>
              </w:rPr>
            </w:pPr>
            <w:r>
              <w:rPr>
                <w:rFonts w:ascii="Arial" w:cs="Arial" w:eastAsia="Arial" w:hAnsi="Arial"/>
                <w:sz w:val="20"/>
                <w:szCs w:val="20"/>
                <w:color w:val="auto"/>
              </w:rPr>
              <w:t>582</w:t>
            </w:r>
          </w:p>
        </w:tc>
        <w:tc>
          <w:tcPr>
            <w:tcW w:w="3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51</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4107180</wp:posOffset>
            </wp:positionH>
            <wp:positionV relativeFrom="paragraph">
              <wp:posOffset>-1670685</wp:posOffset>
            </wp:positionV>
            <wp:extent cx="2385060" cy="254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292">
                      <a:extLst>
                        <a:ext uri="{28A0092B-C50C-407E-A947-70E740481C1C}"/>
                      </a:extLst>
                    </a:blip>
                    <a:srcRect/>
                    <a:stretch>
                      <a:fillRect/>
                    </a:stretch>
                  </pic:blipFill>
                  <pic:spPr bwMode="auto">
                    <a:xfrm>
                      <a:off x="0" y="0"/>
                      <a:ext cx="2385060" cy="25400"/>
                    </a:xfrm>
                    <a:prstGeom prst="rect">
                      <a:avLst/>
                    </a:prstGeom>
                    <a:noFill/>
                  </pic:spPr>
                </pic:pic>
              </a:graphicData>
            </a:graphic>
          </wp:anchor>
        </w:drawing>
        <w:drawing>
          <wp:anchor simplePos="0" relativeHeight="251657728" behindDoc="1" locked="0" layoutInCell="0" allowOverlap="1">
            <wp:simplePos x="0" y="0"/>
            <wp:positionH relativeFrom="column">
              <wp:posOffset>4107180</wp:posOffset>
            </wp:positionH>
            <wp:positionV relativeFrom="paragraph">
              <wp:posOffset>-1480820</wp:posOffset>
            </wp:positionV>
            <wp:extent cx="2385060"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293">
                      <a:extLst>
                        <a:ext uri="{28A0092B-C50C-407E-A947-70E740481C1C}"/>
                      </a:extLst>
                    </a:blip>
                    <a:srcRect/>
                    <a:stretch>
                      <a:fillRect/>
                    </a:stretch>
                  </pic:blipFill>
                  <pic:spPr bwMode="auto">
                    <a:xfrm>
                      <a:off x="0" y="0"/>
                      <a:ext cx="2385060" cy="25400"/>
                    </a:xfrm>
                    <a:prstGeom prst="rect">
                      <a:avLst/>
                    </a:prstGeom>
                    <a:noFill/>
                  </pic:spPr>
                </pic:pic>
              </a:graphicData>
            </a:graphic>
          </wp:anchor>
        </w:drawing>
        <w:drawing>
          <wp:anchor simplePos="0" relativeHeight="251657728" behindDoc="1" locked="0" layoutInCell="0" allowOverlap="1">
            <wp:simplePos x="0" y="0"/>
            <wp:positionH relativeFrom="column">
              <wp:posOffset>4107180</wp:posOffset>
            </wp:positionH>
            <wp:positionV relativeFrom="paragraph">
              <wp:posOffset>-1291590</wp:posOffset>
            </wp:positionV>
            <wp:extent cx="2385060" cy="254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294">
                      <a:extLst>
                        <a:ext uri="{28A0092B-C50C-407E-A947-70E740481C1C}"/>
                      </a:extLst>
                    </a:blip>
                    <a:srcRect/>
                    <a:stretch>
                      <a:fillRect/>
                    </a:stretch>
                  </pic:blipFill>
                  <pic:spPr bwMode="auto">
                    <a:xfrm>
                      <a:off x="0" y="0"/>
                      <a:ext cx="2385060" cy="25400"/>
                    </a:xfrm>
                    <a:prstGeom prst="rect">
                      <a:avLst/>
                    </a:prstGeom>
                    <a:noFill/>
                  </pic:spPr>
                </pic:pic>
              </a:graphicData>
            </a:graphic>
          </wp:anchor>
        </w:drawing>
        <w:drawing>
          <wp:anchor simplePos="0" relativeHeight="251657728" behindDoc="1" locked="0" layoutInCell="0" allowOverlap="1">
            <wp:simplePos x="0" y="0"/>
            <wp:positionH relativeFrom="column">
              <wp:posOffset>4107180</wp:posOffset>
            </wp:positionH>
            <wp:positionV relativeFrom="paragraph">
              <wp:posOffset>-1101725</wp:posOffset>
            </wp:positionV>
            <wp:extent cx="2385060" cy="254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295">
                      <a:extLst>
                        <a:ext uri="{28A0092B-C50C-407E-A947-70E740481C1C}"/>
                      </a:extLst>
                    </a:blip>
                    <a:srcRect/>
                    <a:stretch>
                      <a:fillRect/>
                    </a:stretch>
                  </pic:blipFill>
                  <pic:spPr bwMode="auto">
                    <a:xfrm>
                      <a:off x="0" y="0"/>
                      <a:ext cx="2385060" cy="25400"/>
                    </a:xfrm>
                    <a:prstGeom prst="rect">
                      <a:avLst/>
                    </a:prstGeom>
                    <a:noFill/>
                  </pic:spPr>
                </pic:pic>
              </a:graphicData>
            </a:graphic>
          </wp:anchor>
        </w:drawing>
        <w:drawing>
          <wp:anchor simplePos="0" relativeHeight="251657728" behindDoc="1" locked="0" layoutInCell="0" allowOverlap="1">
            <wp:simplePos x="0" y="0"/>
            <wp:positionH relativeFrom="column">
              <wp:posOffset>4107180</wp:posOffset>
            </wp:positionH>
            <wp:positionV relativeFrom="paragraph">
              <wp:posOffset>-722630</wp:posOffset>
            </wp:positionV>
            <wp:extent cx="2385060" cy="254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296">
                      <a:extLst>
                        <a:ext uri="{28A0092B-C50C-407E-A947-70E740481C1C}"/>
                      </a:extLst>
                    </a:blip>
                    <a:srcRect/>
                    <a:stretch>
                      <a:fillRect/>
                    </a:stretch>
                  </pic:blipFill>
                  <pic:spPr bwMode="auto">
                    <a:xfrm>
                      <a:off x="0" y="0"/>
                      <a:ext cx="2385060" cy="25400"/>
                    </a:xfrm>
                    <a:prstGeom prst="rect">
                      <a:avLst/>
                    </a:prstGeom>
                    <a:noFill/>
                  </pic:spPr>
                </pic:pic>
              </a:graphicData>
            </a:graphic>
          </wp:anchor>
        </w:drawing>
        <w:drawing>
          <wp:anchor simplePos="0" relativeHeight="251657728" behindDoc="1" locked="0" layoutInCell="0" allowOverlap="1">
            <wp:simplePos x="0" y="0"/>
            <wp:positionH relativeFrom="column">
              <wp:posOffset>4107180</wp:posOffset>
            </wp:positionH>
            <wp:positionV relativeFrom="paragraph">
              <wp:posOffset>-220345</wp:posOffset>
            </wp:positionV>
            <wp:extent cx="2385060" cy="254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297">
                      <a:extLst>
                        <a:ext uri="{28A0092B-C50C-407E-A947-70E740481C1C}"/>
                      </a:extLst>
                    </a:blip>
                    <a:srcRect/>
                    <a:stretch>
                      <a:fillRect/>
                    </a:stretch>
                  </pic:blipFill>
                  <pic:spPr bwMode="auto">
                    <a:xfrm>
                      <a:off x="0" y="0"/>
                      <a:ext cx="2385060" cy="25400"/>
                    </a:xfrm>
                    <a:prstGeom prst="rect">
                      <a:avLst/>
                    </a:prstGeom>
                    <a:noFill/>
                  </pic:spPr>
                </pic:pic>
              </a:graphicData>
            </a:graphic>
          </wp:anchor>
        </w:drawing>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condensed financial statements.</w:t>
      </w:r>
    </w:p>
    <w:p>
      <w:pPr>
        <w:sectPr>
          <w:pgSz w:w="11880" w:h="15480" w:orient="portrait"/>
          <w:cols w:equalWidth="0" w:num="1">
            <w:col w:w="10200"/>
          </w:cols>
          <w:pgMar w:left="840" w:top="404"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125</w:t>
      </w:r>
    </w:p>
    <w:p>
      <w:pPr>
        <w:sectPr>
          <w:pgSz w:w="11880" w:h="15480" w:orient="portrait"/>
          <w:cols w:equalWidth="0" w:num="1">
            <w:col w:w="10200"/>
          </w:cols>
          <w:pgMar w:left="840" w:top="404" w:right="840" w:bottom="0" w:gutter="0" w:footer="0" w:header="0"/>
          <w:type w:val="continuous"/>
        </w:sectPr>
      </w:pPr>
    </w:p>
    <w:bookmarkStart w:id="127" w:name="page128"/>
    <w:bookmarkEnd w:id="127"/>
    <w:tbl>
      <w:tblPr>
        <w:tblLayout w:type="fixed"/>
        <w:tblInd w:w="0" w:type="dxa"/>
        <w:tblCellMar>
          <w:top w:w="0" w:type="dxa"/>
          <w:left w:w="0" w:type="dxa"/>
          <w:bottom w:w="0" w:type="dxa"/>
          <w:right w:w="0" w:type="dxa"/>
        </w:tblCellMar>
      </w:tblPr>
      <w:tr>
        <w:trPr>
          <w:trHeight w:val="264"/>
        </w:trPr>
        <w:tc>
          <w:tcPr>
            <w:tcW w:w="7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Schedule I</w:t>
            </w:r>
          </w:p>
        </w:tc>
        <w:tc>
          <w:tcPr>
            <w:tcW w:w="0" w:type="dxa"/>
            <w:vAlign w:val="bottom"/>
          </w:tcPr>
          <w:p>
            <w:pPr>
              <w:spacing w:after="0"/>
              <w:rPr>
                <w:sz w:val="1"/>
                <w:szCs w:val="1"/>
                <w:color w:val="auto"/>
              </w:rPr>
            </w:pPr>
          </w:p>
        </w:tc>
      </w:tr>
      <w:tr>
        <w:trPr>
          <w:trHeight w:val="418"/>
        </w:trPr>
        <w:tc>
          <w:tcPr>
            <w:tcW w:w="7620" w:type="dxa"/>
            <w:vAlign w:val="bottom"/>
          </w:tcPr>
          <w:p>
            <w:pPr>
              <w:ind w:left="3760"/>
              <w:spacing w:after="0"/>
              <w:rPr>
                <w:sz w:val="20"/>
                <w:szCs w:val="20"/>
                <w:color w:val="auto"/>
              </w:rPr>
            </w:pPr>
            <w:r>
              <w:rPr>
                <w:rFonts w:ascii="Arial" w:cs="Arial" w:eastAsia="Arial" w:hAnsi="Arial"/>
                <w:sz w:val="20"/>
                <w:szCs w:val="20"/>
                <w:b w:val="1"/>
                <w:bCs w:val="1"/>
                <w:color w:val="auto"/>
              </w:rPr>
              <w:t>Clearway Energy, Inc. (Parent)</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620" w:type="dxa"/>
            <w:vAlign w:val="bottom"/>
          </w:tcPr>
          <w:p>
            <w:pPr>
              <w:ind w:left="3980"/>
              <w:spacing w:after="0"/>
              <w:rPr>
                <w:sz w:val="20"/>
                <w:szCs w:val="20"/>
                <w:color w:val="auto"/>
              </w:rPr>
            </w:pPr>
            <w:r>
              <w:rPr>
                <w:rFonts w:ascii="Arial" w:cs="Arial" w:eastAsia="Arial" w:hAnsi="Arial"/>
                <w:sz w:val="20"/>
                <w:szCs w:val="20"/>
                <w:b w:val="1"/>
                <w:bCs w:val="1"/>
                <w:color w:val="auto"/>
              </w:rPr>
              <w:t>Condensed Balance Sheets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7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63"/>
              <w:spacing w:after="0"/>
              <w:rPr>
                <w:sz w:val="20"/>
                <w:szCs w:val="20"/>
                <w:color w:val="auto"/>
              </w:rPr>
            </w:pPr>
            <w:r>
              <w:rPr>
                <w:rFonts w:ascii="Arial" w:cs="Arial" w:eastAsia="Arial" w:hAnsi="Arial"/>
                <w:sz w:val="16"/>
                <w:szCs w:val="16"/>
                <w:b w:val="1"/>
                <w:bCs w:val="1"/>
                <w:color w:val="auto"/>
                <w:w w:val="88"/>
              </w:rPr>
              <w:t>December 31,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62"/>
              <w:spacing w:after="0"/>
              <w:rPr>
                <w:sz w:val="20"/>
                <w:szCs w:val="20"/>
                <w:color w:val="auto"/>
              </w:rPr>
            </w:pPr>
            <w:r>
              <w:rPr>
                <w:rFonts w:ascii="Arial" w:cs="Arial" w:eastAsia="Arial" w:hAnsi="Arial"/>
                <w:sz w:val="16"/>
                <w:szCs w:val="16"/>
                <w:b w:val="1"/>
                <w:bCs w:val="1"/>
                <w:color w:val="auto"/>
                <w:w w:val="86"/>
              </w:rPr>
              <w:t>December 31,</w:t>
            </w:r>
          </w:p>
        </w:tc>
        <w:tc>
          <w:tcPr>
            <w:tcW w:w="0" w:type="dxa"/>
            <w:vAlign w:val="bottom"/>
          </w:tcPr>
          <w:p>
            <w:pPr>
              <w:spacing w:after="0"/>
              <w:rPr>
                <w:sz w:val="1"/>
                <w:szCs w:val="1"/>
                <w:color w:val="auto"/>
              </w:rPr>
            </w:pPr>
          </w:p>
        </w:tc>
      </w:tr>
      <w:tr>
        <w:trPr>
          <w:trHeight w:val="260"/>
        </w:trPr>
        <w:tc>
          <w:tcPr>
            <w:tcW w:w="76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63"/>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61"/>
        </w:trPr>
        <w:tc>
          <w:tcPr>
            <w:tcW w:w="7620" w:type="dxa"/>
            <w:vAlign w:val="bottom"/>
          </w:tcPr>
          <w:p>
            <w:pPr>
              <w:ind w:left="3440"/>
              <w:spacing w:after="0"/>
              <w:rPr>
                <w:sz w:val="20"/>
                <w:szCs w:val="20"/>
                <w:color w:val="auto"/>
              </w:rPr>
            </w:pPr>
            <w:r>
              <w:rPr>
                <w:rFonts w:ascii="Arial" w:cs="Arial" w:eastAsia="Arial" w:hAnsi="Arial"/>
                <w:sz w:val="20"/>
                <w:szCs w:val="20"/>
                <w:b w:val="1"/>
                <w:bCs w:val="1"/>
                <w:color w:val="auto"/>
              </w:rPr>
              <w:t>ASSETS</w:t>
            </w:r>
          </w:p>
        </w:tc>
        <w:tc>
          <w:tcPr>
            <w:tcW w:w="160" w:type="dxa"/>
            <w:vAlign w:val="bottom"/>
          </w:tcPr>
          <w:p>
            <w:pPr>
              <w:spacing w:after="0"/>
              <w:rPr>
                <w:sz w:val="22"/>
                <w:szCs w:val="22"/>
                <w:color w:val="auto"/>
              </w:rPr>
            </w:pPr>
          </w:p>
        </w:tc>
        <w:tc>
          <w:tcPr>
            <w:tcW w:w="2420" w:type="dxa"/>
            <w:vAlign w:val="bottom"/>
            <w:gridSpan w:val="5"/>
          </w:tcPr>
          <w:p>
            <w:pPr>
              <w:jc w:val="right"/>
              <w:ind w:right="762"/>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90"/>
        </w:trPr>
        <w:tc>
          <w:tcPr>
            <w:tcW w:w="7620" w:type="dxa"/>
            <w:vAlign w:val="bottom"/>
          </w:tcPr>
          <w:p>
            <w:pPr>
              <w:ind w:left="60"/>
              <w:spacing w:after="0"/>
              <w:rPr>
                <w:sz w:val="20"/>
                <w:szCs w:val="20"/>
                <w:color w:val="auto"/>
              </w:rPr>
            </w:pPr>
            <w:r>
              <w:rPr>
                <w:rFonts w:ascii="Arial" w:cs="Arial" w:eastAsia="Arial" w:hAnsi="Arial"/>
                <w:sz w:val="20"/>
                <w:szCs w:val="20"/>
                <w:b w:val="1"/>
                <w:bCs w:val="1"/>
                <w:color w:val="auto"/>
              </w:rPr>
              <w:t>Current Assets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7620" w:type="dxa"/>
            <w:vAlign w:val="bottom"/>
            <w:shd w:val="clear" w:color="auto" w:fill="E6E6E6"/>
          </w:tcPr>
          <w:p>
            <w:pPr>
              <w:ind w:left="180"/>
              <w:spacing w:after="0"/>
              <w:rPr>
                <w:sz w:val="20"/>
                <w:szCs w:val="20"/>
                <w:color w:val="auto"/>
              </w:rPr>
            </w:pPr>
            <w:r>
              <w:rPr>
                <w:rFonts w:ascii="Arial" w:cs="Arial" w:eastAsia="Arial" w:hAnsi="Arial"/>
                <w:sz w:val="20"/>
                <w:szCs w:val="20"/>
                <w:color w:val="auto"/>
                <w:w w:val="90"/>
              </w:rPr>
              <w:t xml:space="preserve">Accounts receivable — affiliates </w:t>
            </w:r>
            <w:r>
              <w:rPr>
                <w:rFonts w:ascii="Arial" w:cs="Arial" w:eastAsia="Arial" w:hAnsi="Arial"/>
                <w:sz w:val="20"/>
                <w:szCs w:val="20"/>
                <w:color w:val="BDBDBD"/>
                <w:w w:val="90"/>
              </w:rPr>
              <w:t>. . . . . . . . . . . . . . . . . . . . . . . . . . . . . . . . . . . . . . . . . . . . . . . .</w:t>
            </w:r>
          </w:p>
        </w:tc>
        <w:tc>
          <w:tcPr>
            <w:tcW w:w="1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1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w:t>
            </w:r>
          </w:p>
        </w:tc>
        <w:tc>
          <w:tcPr>
            <w:tcW w:w="240" w:type="dxa"/>
            <w:vAlign w:val="bottom"/>
            <w:gridSpan w:val="3"/>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0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92"/>
        </w:trPr>
        <w:tc>
          <w:tcPr>
            <w:tcW w:w="7620" w:type="dxa"/>
            <w:vAlign w:val="bottom"/>
          </w:tcPr>
          <w:p>
            <w:pPr>
              <w:ind w:left="180"/>
              <w:spacing w:after="0"/>
              <w:rPr>
                <w:sz w:val="20"/>
                <w:szCs w:val="20"/>
                <w:color w:val="auto"/>
              </w:rPr>
            </w:pPr>
            <w:r>
              <w:rPr>
                <w:rFonts w:ascii="Arial" w:cs="Arial" w:eastAsia="Arial" w:hAnsi="Arial"/>
                <w:sz w:val="20"/>
                <w:szCs w:val="20"/>
                <w:color w:val="auto"/>
                <w:w w:val="91"/>
              </w:rPr>
              <w:t xml:space="preserve">Note receivable — Clearway Energy Operating LLC  </w:t>
            </w:r>
            <w:r>
              <w:rPr>
                <w:rFonts w:ascii="Arial" w:cs="Arial" w:eastAsia="Arial" w:hAnsi="Arial"/>
                <w:sz w:val="20"/>
                <w:szCs w:val="20"/>
                <w:color w:val="BDBDBD"/>
                <w:w w:val="91"/>
              </w:rPr>
              <w:t>. . . . . . . . . . . . . . . . . . . . . . . . . . . . . . .</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305"/>
        </w:trPr>
        <w:tc>
          <w:tcPr>
            <w:tcW w:w="7620" w:type="dxa"/>
            <w:vAlign w:val="bottom"/>
            <w:shd w:val="clear" w:color="auto" w:fill="E6E6E6"/>
          </w:tcPr>
          <w:p>
            <w:pPr>
              <w:ind w:left="180"/>
              <w:spacing w:after="0"/>
              <w:rPr>
                <w:sz w:val="20"/>
                <w:szCs w:val="20"/>
                <w:color w:val="auto"/>
              </w:rPr>
            </w:pPr>
            <w:r>
              <w:rPr>
                <w:rFonts w:ascii="Arial" w:cs="Arial" w:eastAsia="Arial" w:hAnsi="Arial"/>
                <w:sz w:val="20"/>
                <w:szCs w:val="20"/>
                <w:color w:val="auto"/>
                <w:w w:val="89"/>
              </w:rPr>
              <w:t xml:space="preserve">Other current assets </w:t>
            </w:r>
            <w:r>
              <w:rPr>
                <w:rFonts w:ascii="Arial" w:cs="Arial" w:eastAsia="Arial" w:hAnsi="Arial"/>
                <w:sz w:val="20"/>
                <w:szCs w:val="20"/>
                <w:color w:val="BDBDBD"/>
                <w:w w:val="89"/>
              </w:rPr>
              <w:t>. . . . . . . . . . . . . . . . . . . . . . . . . . . . . . . . . . . . . . . . . . . . . . . . . . . . . . . . . .</w:t>
            </w:r>
          </w:p>
        </w:tc>
        <w:tc>
          <w:tcPr>
            <w:tcW w:w="160" w:type="dxa"/>
            <w:vAlign w:val="bottom"/>
            <w:shd w:val="clear" w:color="auto" w:fill="E6E6E6"/>
          </w:tcPr>
          <w:p>
            <w:pPr>
              <w:spacing w:after="0"/>
              <w:rPr>
                <w:sz w:val="24"/>
                <w:szCs w:val="24"/>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13</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7"/>
        </w:trPr>
        <w:tc>
          <w:tcPr>
            <w:tcW w:w="7620" w:type="dxa"/>
            <w:vAlign w:val="bottom"/>
          </w:tcPr>
          <w:p>
            <w:pPr>
              <w:ind w:left="60"/>
              <w:spacing w:after="0"/>
              <w:rPr>
                <w:sz w:val="20"/>
                <w:szCs w:val="20"/>
                <w:color w:val="auto"/>
              </w:rPr>
            </w:pPr>
            <w:r>
              <w:rPr>
                <w:rFonts w:ascii="Arial" w:cs="Arial" w:eastAsia="Arial" w:hAnsi="Arial"/>
                <w:sz w:val="20"/>
                <w:szCs w:val="20"/>
                <w:b w:val="1"/>
                <w:bCs w:val="1"/>
                <w:color w:val="auto"/>
              </w:rPr>
              <w:t>Other Assets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762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20"/>
                <w:szCs w:val="20"/>
                <w:color w:val="auto"/>
                <w:w w:val="91"/>
              </w:rPr>
              <w:t xml:space="preserve">Investment in consolidated subsidiaries </w:t>
            </w:r>
            <w:r>
              <w:rPr>
                <w:rFonts w:ascii="Arial" w:cs="Arial" w:eastAsia="Arial" w:hAnsi="Arial"/>
                <w:sz w:val="20"/>
                <w:szCs w:val="20"/>
                <w:color w:val="BDBDBD"/>
                <w:w w:val="91"/>
              </w:rPr>
              <w:t>. . . . . . . . . . . . . . . . . . . . . . . . . . . . . . . . . . . . . . . . . .</w:t>
            </w:r>
          </w:p>
        </w:tc>
        <w:tc>
          <w:tcPr>
            <w:tcW w:w="160" w:type="dxa"/>
            <w:vAlign w:val="bottom"/>
            <w:tcBorders>
              <w:bottom w:val="single" w:sz="8" w:color="auto"/>
            </w:tcBorders>
            <w:shd w:val="clear" w:color="auto" w:fill="E6E6E6"/>
          </w:tcPr>
          <w:p>
            <w:pPr>
              <w:spacing w:after="0"/>
              <w:rPr>
                <w:sz w:val="24"/>
                <w:szCs w:val="24"/>
                <w:color w:val="auto"/>
              </w:rPr>
            </w:pPr>
          </w:p>
        </w:tc>
        <w:tc>
          <w:tcPr>
            <w:tcW w:w="11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5,106</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140" w:type="dxa"/>
            <w:vAlign w:val="bottom"/>
            <w:tcBorders>
              <w:bottom w:val="single" w:sz="8" w:color="auto"/>
            </w:tcBorders>
            <w:shd w:val="clear" w:color="auto" w:fill="E6E6E6"/>
          </w:tcPr>
          <w:p>
            <w:pPr>
              <w:spacing w:after="0"/>
              <w:rPr>
                <w:sz w:val="24"/>
                <w:szCs w:val="24"/>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4,161</w:t>
            </w:r>
          </w:p>
        </w:tc>
        <w:tc>
          <w:tcPr>
            <w:tcW w:w="0" w:type="dxa"/>
            <w:vAlign w:val="bottom"/>
          </w:tcPr>
          <w:p>
            <w:pPr>
              <w:spacing w:after="0"/>
              <w:rPr>
                <w:sz w:val="1"/>
                <w:szCs w:val="1"/>
                <w:color w:val="auto"/>
              </w:rPr>
            </w:pPr>
          </w:p>
        </w:tc>
      </w:tr>
      <w:tr>
        <w:trPr>
          <w:trHeight w:val="280"/>
        </w:trPr>
        <w:tc>
          <w:tcPr>
            <w:tcW w:w="7620" w:type="dxa"/>
            <w:vAlign w:val="bottom"/>
          </w:tcPr>
          <w:p>
            <w:pPr>
              <w:ind w:left="60"/>
              <w:spacing w:after="0"/>
              <w:rPr>
                <w:sz w:val="20"/>
                <w:szCs w:val="20"/>
                <w:color w:val="auto"/>
              </w:rPr>
            </w:pPr>
            <w:r>
              <w:rPr>
                <w:rFonts w:ascii="Arial" w:cs="Arial" w:eastAsia="Arial" w:hAnsi="Arial"/>
                <w:sz w:val="20"/>
                <w:szCs w:val="20"/>
                <w:b w:val="1"/>
                <w:bCs w:val="1"/>
                <w:color w:val="auto"/>
                <w:w w:val="89"/>
              </w:rPr>
              <w:t xml:space="preserve">Total Assets </w:t>
            </w:r>
            <w:r>
              <w:rPr>
                <w:rFonts w:ascii="Arial" w:cs="Arial" w:eastAsia="Arial" w:hAnsi="Arial"/>
                <w:sz w:val="20"/>
                <w:szCs w:val="20"/>
                <w:b w:val="1"/>
                <w:bCs w:val="1"/>
                <w:color w:val="BDBDBD"/>
                <w:w w:val="89"/>
              </w:rPr>
              <w:t>. . . . . . . . . . . . . . . . . . . . . . . . . . . . . . . . . . . . . . . . . . . . . . . . . . . . . . . . . . . . . . . . .</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5,123</w:t>
            </w:r>
          </w:p>
        </w:tc>
        <w:tc>
          <w:tcPr>
            <w:tcW w:w="24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4,165</w:t>
            </w:r>
          </w:p>
        </w:tc>
        <w:tc>
          <w:tcPr>
            <w:tcW w:w="0" w:type="dxa"/>
            <w:vAlign w:val="bottom"/>
          </w:tcPr>
          <w:p>
            <w:pPr>
              <w:spacing w:after="0"/>
              <w:rPr>
                <w:sz w:val="1"/>
                <w:szCs w:val="1"/>
                <w:color w:val="auto"/>
              </w:rPr>
            </w:pPr>
          </w:p>
        </w:tc>
      </w:tr>
      <w:tr>
        <w:trPr>
          <w:trHeight w:val="254"/>
        </w:trPr>
        <w:tc>
          <w:tcPr>
            <w:tcW w:w="7620" w:type="dxa"/>
            <w:vAlign w:val="bottom"/>
            <w:tcBorders>
              <w:top w:val="single" w:sz="8" w:color="E6E6E6"/>
            </w:tcBorders>
            <w:shd w:val="clear" w:color="auto" w:fill="E6E6E6"/>
          </w:tcPr>
          <w:p>
            <w:pPr>
              <w:ind w:left="1660"/>
              <w:spacing w:after="0"/>
              <w:rPr>
                <w:sz w:val="20"/>
                <w:szCs w:val="20"/>
                <w:color w:val="auto"/>
              </w:rPr>
            </w:pPr>
            <w:r>
              <w:rPr>
                <w:rFonts w:ascii="Arial" w:cs="Arial" w:eastAsia="Arial" w:hAnsi="Arial"/>
                <w:sz w:val="20"/>
                <w:szCs w:val="20"/>
                <w:b w:val="1"/>
                <w:bCs w:val="1"/>
                <w:color w:val="auto"/>
              </w:rPr>
              <w:t>LIABILITIES AND STOCKHOLDERS’ EQUITY</w:t>
            </w:r>
          </w:p>
        </w:tc>
        <w:tc>
          <w:tcPr>
            <w:tcW w:w="160" w:type="dxa"/>
            <w:vAlign w:val="bottom"/>
            <w:tcBorders>
              <w:top w:val="single" w:sz="8" w:color="auto"/>
            </w:tcBorders>
            <w:shd w:val="clear" w:color="auto" w:fill="E6E6E6"/>
          </w:tcPr>
          <w:p>
            <w:pPr>
              <w:spacing w:after="0"/>
              <w:rPr>
                <w:sz w:val="22"/>
                <w:szCs w:val="22"/>
                <w:color w:val="auto"/>
              </w:rPr>
            </w:pPr>
          </w:p>
        </w:tc>
        <w:tc>
          <w:tcPr>
            <w:tcW w:w="1100" w:type="dxa"/>
            <w:vAlign w:val="bottom"/>
            <w:tcBorders>
              <w:top w:val="single" w:sz="8" w:color="auto"/>
            </w:tcBorders>
            <w:shd w:val="clear" w:color="auto" w:fill="E6E6E6"/>
          </w:tcPr>
          <w:p>
            <w:pPr>
              <w:spacing w:after="0"/>
              <w:rPr>
                <w:sz w:val="22"/>
                <w:szCs w:val="22"/>
                <w:color w:val="auto"/>
              </w:rPr>
            </w:pPr>
          </w:p>
        </w:tc>
        <w:tc>
          <w:tcPr>
            <w:tcW w:w="80" w:type="dxa"/>
            <w:vAlign w:val="bottom"/>
            <w:tcBorders>
              <w:top w:val="single" w:sz="8" w:color="E6E6E6"/>
            </w:tcBorders>
            <w:shd w:val="clear" w:color="auto" w:fill="E6E6E6"/>
          </w:tcPr>
          <w:p>
            <w:pPr>
              <w:spacing w:after="0"/>
              <w:rPr>
                <w:sz w:val="22"/>
                <w:szCs w:val="22"/>
                <w:color w:val="auto"/>
              </w:rPr>
            </w:pPr>
          </w:p>
        </w:tc>
        <w:tc>
          <w:tcPr>
            <w:tcW w:w="20" w:type="dxa"/>
            <w:vAlign w:val="bottom"/>
            <w:tcBorders>
              <w:top w:val="single" w:sz="8" w:color="E6E6E6"/>
            </w:tcBorders>
            <w:shd w:val="clear" w:color="auto" w:fill="E6E6E6"/>
          </w:tcPr>
          <w:p>
            <w:pPr>
              <w:spacing w:after="0"/>
              <w:rPr>
                <w:sz w:val="22"/>
                <w:szCs w:val="22"/>
                <w:color w:val="auto"/>
              </w:rPr>
            </w:pPr>
          </w:p>
        </w:tc>
        <w:tc>
          <w:tcPr>
            <w:tcW w:w="140" w:type="dxa"/>
            <w:vAlign w:val="bottom"/>
            <w:tcBorders>
              <w:top w:val="single" w:sz="8" w:color="auto"/>
            </w:tcBorders>
            <w:shd w:val="clear" w:color="auto" w:fill="E6E6E6"/>
          </w:tcPr>
          <w:p>
            <w:pPr>
              <w:spacing w:after="0"/>
              <w:rPr>
                <w:sz w:val="22"/>
                <w:szCs w:val="22"/>
                <w:color w:val="auto"/>
              </w:rPr>
            </w:pPr>
          </w:p>
        </w:tc>
        <w:tc>
          <w:tcPr>
            <w:tcW w:w="1080" w:type="dxa"/>
            <w:vAlign w:val="bottom"/>
            <w:tcBorders>
              <w:top w:val="single" w:sz="8" w:color="auto"/>
            </w:tcBorders>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7620" w:type="dxa"/>
            <w:vAlign w:val="bottom"/>
          </w:tcPr>
          <w:p>
            <w:pPr>
              <w:ind w:left="60"/>
              <w:spacing w:after="0"/>
              <w:rPr>
                <w:sz w:val="20"/>
                <w:szCs w:val="20"/>
                <w:color w:val="auto"/>
              </w:rPr>
            </w:pPr>
            <w:r>
              <w:rPr>
                <w:rFonts w:ascii="Arial" w:cs="Arial" w:eastAsia="Arial" w:hAnsi="Arial"/>
                <w:sz w:val="20"/>
                <w:szCs w:val="20"/>
                <w:b w:val="1"/>
                <w:bCs w:val="1"/>
                <w:color w:val="auto"/>
              </w:rPr>
              <w:t>Current Liabilities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7620" w:type="dxa"/>
            <w:vAlign w:val="bottom"/>
            <w:shd w:val="clear" w:color="auto" w:fill="E6E6E6"/>
          </w:tcPr>
          <w:p>
            <w:pPr>
              <w:ind w:left="280"/>
              <w:spacing w:after="0"/>
              <w:rPr>
                <w:sz w:val="20"/>
                <w:szCs w:val="20"/>
                <w:color w:val="auto"/>
              </w:rPr>
            </w:pPr>
            <w:r>
              <w:rPr>
                <w:rFonts w:ascii="Arial" w:cs="Arial" w:eastAsia="Arial" w:hAnsi="Arial"/>
                <w:sz w:val="20"/>
                <w:szCs w:val="20"/>
                <w:color w:val="auto"/>
                <w:w w:val="91"/>
              </w:rPr>
              <w:t xml:space="preserve">Other current liabilities </w:t>
            </w:r>
            <w:r>
              <w:rPr>
                <w:rFonts w:ascii="Arial" w:cs="Arial" w:eastAsia="Arial" w:hAnsi="Arial"/>
                <w:sz w:val="20"/>
                <w:szCs w:val="20"/>
                <w:color w:val="BDBDBD"/>
                <w:w w:val="91"/>
              </w:rPr>
              <w:t>. . . . . . . . . . . . . . . . . . . . . . . . . . . . . . . . . . . . . . . . . . . . . . . . . . . . . .</w:t>
            </w:r>
          </w:p>
        </w:tc>
        <w:tc>
          <w:tcPr>
            <w:tcW w:w="1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1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240" w:type="dxa"/>
            <w:vAlign w:val="bottom"/>
            <w:gridSpan w:val="3"/>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0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19</w:t>
            </w:r>
          </w:p>
        </w:tc>
        <w:tc>
          <w:tcPr>
            <w:tcW w:w="0" w:type="dxa"/>
            <w:vAlign w:val="bottom"/>
          </w:tcPr>
          <w:p>
            <w:pPr>
              <w:spacing w:after="0"/>
              <w:rPr>
                <w:sz w:val="1"/>
                <w:szCs w:val="1"/>
                <w:color w:val="auto"/>
              </w:rPr>
            </w:pPr>
          </w:p>
        </w:tc>
      </w:tr>
      <w:tr>
        <w:trPr>
          <w:trHeight w:val="277"/>
        </w:trPr>
        <w:tc>
          <w:tcPr>
            <w:tcW w:w="7620" w:type="dxa"/>
            <w:vAlign w:val="bottom"/>
          </w:tcPr>
          <w:p>
            <w:pPr>
              <w:ind w:left="60"/>
              <w:spacing w:after="0"/>
              <w:rPr>
                <w:sz w:val="20"/>
                <w:szCs w:val="20"/>
                <w:color w:val="auto"/>
              </w:rPr>
            </w:pPr>
            <w:r>
              <w:rPr>
                <w:rFonts w:ascii="Arial" w:cs="Arial" w:eastAsia="Arial" w:hAnsi="Arial"/>
                <w:sz w:val="20"/>
                <w:szCs w:val="20"/>
                <w:b w:val="1"/>
                <w:bCs w:val="1"/>
                <w:color w:val="auto"/>
              </w:rPr>
              <w:t>Other Liabilities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7620" w:type="dxa"/>
            <w:vAlign w:val="bottom"/>
            <w:shd w:val="clear" w:color="auto" w:fill="E6E6E6"/>
          </w:tcPr>
          <w:p>
            <w:pPr>
              <w:ind w:left="280"/>
              <w:spacing w:after="0"/>
              <w:rPr>
                <w:sz w:val="20"/>
                <w:szCs w:val="20"/>
                <w:color w:val="auto"/>
              </w:rPr>
            </w:pPr>
            <w:r>
              <w:rPr>
                <w:rFonts w:ascii="Arial" w:cs="Arial" w:eastAsia="Arial" w:hAnsi="Arial"/>
                <w:sz w:val="20"/>
                <w:szCs w:val="20"/>
                <w:color w:val="auto"/>
                <w:w w:val="90"/>
              </w:rPr>
              <w:t xml:space="preserve">Deferred income taxes </w:t>
            </w:r>
            <w:r>
              <w:rPr>
                <w:rFonts w:ascii="Arial" w:cs="Arial" w:eastAsia="Arial" w:hAnsi="Arial"/>
                <w:sz w:val="20"/>
                <w:szCs w:val="20"/>
                <w:color w:val="BDBDBD"/>
                <w:w w:val="90"/>
              </w:rPr>
              <w:t>. . . . . . . . . . . . . . . . . . . . . . . . . . . . . . . . . . . . . . . . . . . . . . . . . . . . . . .</w:t>
            </w:r>
          </w:p>
        </w:tc>
        <w:tc>
          <w:tcPr>
            <w:tcW w:w="160" w:type="dxa"/>
            <w:vAlign w:val="bottom"/>
            <w:shd w:val="clear" w:color="auto" w:fill="E6E6E6"/>
          </w:tcPr>
          <w:p>
            <w:pPr>
              <w:spacing w:after="0"/>
              <w:rPr>
                <w:sz w:val="24"/>
                <w:szCs w:val="24"/>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125</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115</w:t>
            </w:r>
          </w:p>
        </w:tc>
        <w:tc>
          <w:tcPr>
            <w:tcW w:w="0" w:type="dxa"/>
            <w:vAlign w:val="bottom"/>
          </w:tcPr>
          <w:p>
            <w:pPr>
              <w:spacing w:after="0"/>
              <w:rPr>
                <w:sz w:val="1"/>
                <w:szCs w:val="1"/>
                <w:color w:val="auto"/>
              </w:rPr>
            </w:pPr>
          </w:p>
        </w:tc>
      </w:tr>
      <w:tr>
        <w:trPr>
          <w:trHeight w:val="288"/>
        </w:trPr>
        <w:tc>
          <w:tcPr>
            <w:tcW w:w="7620" w:type="dxa"/>
            <w:vAlign w:val="bottom"/>
            <w:tcBorders>
              <w:bottom w:val="single" w:sz="8" w:color="E6E6E6"/>
            </w:tcBorders>
          </w:tcPr>
          <w:p>
            <w:pPr>
              <w:ind w:left="280"/>
              <w:spacing w:after="0"/>
              <w:rPr>
                <w:sz w:val="20"/>
                <w:szCs w:val="20"/>
                <w:color w:val="auto"/>
              </w:rPr>
            </w:pPr>
            <w:r>
              <w:rPr>
                <w:rFonts w:ascii="Arial" w:cs="Arial" w:eastAsia="Arial" w:hAnsi="Arial"/>
                <w:sz w:val="20"/>
                <w:szCs w:val="20"/>
                <w:color w:val="auto"/>
                <w:w w:val="90"/>
              </w:rPr>
              <w:t xml:space="preserve">Other non-current liabilities </w:t>
            </w:r>
            <w:r>
              <w:rPr>
                <w:rFonts w:ascii="Arial" w:cs="Arial" w:eastAsia="Arial" w:hAnsi="Arial"/>
                <w:sz w:val="20"/>
                <w:szCs w:val="20"/>
                <w:color w:val="BDBDBD"/>
                <w:w w:val="90"/>
              </w:rPr>
              <w:t>. . . . . . . . . . . . . . . . . . . . . . . . . . . . . . . . . . . . . . . . . . . . . . . . . . .</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w:t>
            </w:r>
          </w:p>
        </w:tc>
        <w:tc>
          <w:tcPr>
            <w:tcW w:w="8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97"/>
        </w:trPr>
        <w:tc>
          <w:tcPr>
            <w:tcW w:w="76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b w:val="1"/>
                <w:bCs w:val="1"/>
                <w:color w:val="auto"/>
                <w:w w:val="90"/>
              </w:rPr>
              <w:t xml:space="preserve">Total Liabilities </w:t>
            </w:r>
            <w:r>
              <w:rPr>
                <w:rFonts w:ascii="Arial" w:cs="Arial" w:eastAsia="Arial" w:hAnsi="Arial"/>
                <w:sz w:val="20"/>
                <w:szCs w:val="20"/>
                <w:b w:val="1"/>
                <w:bCs w:val="1"/>
                <w:color w:val="BDBDBD"/>
                <w:w w:val="90"/>
              </w:rPr>
              <w:t>. . . . . . . . . . . . . . . . . . . . . . . . . . . . . . . . . . . . . . . . . . . . . . . . . . . . . . . . . . . . . .</w:t>
            </w:r>
          </w:p>
        </w:tc>
        <w:tc>
          <w:tcPr>
            <w:tcW w:w="160" w:type="dxa"/>
            <w:vAlign w:val="bottom"/>
            <w:tcBorders>
              <w:bottom w:val="single" w:sz="8" w:color="auto"/>
            </w:tcBorders>
            <w:shd w:val="clear" w:color="auto" w:fill="E6E6E6"/>
          </w:tcPr>
          <w:p>
            <w:pPr>
              <w:spacing w:after="0"/>
              <w:rPr>
                <w:sz w:val="24"/>
                <w:szCs w:val="24"/>
                <w:color w:val="auto"/>
              </w:rPr>
            </w:pPr>
          </w:p>
        </w:tc>
        <w:tc>
          <w:tcPr>
            <w:tcW w:w="11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129</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140" w:type="dxa"/>
            <w:vAlign w:val="bottom"/>
            <w:tcBorders>
              <w:bottom w:val="single" w:sz="8" w:color="auto"/>
            </w:tcBorders>
            <w:shd w:val="clear" w:color="auto" w:fill="E6E6E6"/>
          </w:tcPr>
          <w:p>
            <w:pPr>
              <w:spacing w:after="0"/>
              <w:rPr>
                <w:sz w:val="24"/>
                <w:szCs w:val="24"/>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139</w:t>
            </w:r>
          </w:p>
        </w:tc>
        <w:tc>
          <w:tcPr>
            <w:tcW w:w="0" w:type="dxa"/>
            <w:vAlign w:val="bottom"/>
          </w:tcPr>
          <w:p>
            <w:pPr>
              <w:spacing w:after="0"/>
              <w:rPr>
                <w:sz w:val="1"/>
                <w:szCs w:val="1"/>
                <w:color w:val="auto"/>
              </w:rPr>
            </w:pPr>
          </w:p>
        </w:tc>
      </w:tr>
      <w:tr>
        <w:trPr>
          <w:trHeight w:val="241"/>
        </w:trPr>
        <w:tc>
          <w:tcPr>
            <w:tcW w:w="7620" w:type="dxa"/>
            <w:vAlign w:val="bottom"/>
          </w:tcPr>
          <w:p>
            <w:pPr>
              <w:ind w:left="60"/>
              <w:spacing w:after="0"/>
              <w:rPr>
                <w:sz w:val="20"/>
                <w:szCs w:val="20"/>
                <w:color w:val="auto"/>
              </w:rPr>
            </w:pPr>
            <w:r>
              <w:rPr>
                <w:rFonts w:ascii="Arial" w:cs="Arial" w:eastAsia="Arial" w:hAnsi="Arial"/>
                <w:sz w:val="20"/>
                <w:szCs w:val="20"/>
                <w:b w:val="1"/>
                <w:bCs w:val="1"/>
                <w:color w:val="auto"/>
              </w:rPr>
              <w:t>Commitments and Contingencies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7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7620" w:type="dxa"/>
            <w:vAlign w:val="bottom"/>
            <w:shd w:val="clear" w:color="auto" w:fill="E6E6E6"/>
          </w:tcPr>
          <w:p>
            <w:pPr>
              <w:ind w:left="60"/>
              <w:spacing w:after="0"/>
              <w:rPr>
                <w:sz w:val="20"/>
                <w:szCs w:val="20"/>
                <w:color w:val="auto"/>
              </w:rPr>
            </w:pPr>
            <w:r>
              <w:rPr>
                <w:rFonts w:ascii="Arial" w:cs="Arial" w:eastAsia="Arial" w:hAnsi="Arial"/>
                <w:sz w:val="20"/>
                <w:szCs w:val="20"/>
                <w:b w:val="1"/>
                <w:bCs w:val="1"/>
                <w:color w:val="auto"/>
              </w:rPr>
              <w:t>Stockholders’ Equity</w:t>
            </w:r>
          </w:p>
        </w:tc>
        <w:tc>
          <w:tcPr>
            <w:tcW w:w="160" w:type="dxa"/>
            <w:vAlign w:val="bottom"/>
            <w:shd w:val="clear" w:color="auto" w:fill="E6E6E6"/>
          </w:tcPr>
          <w:p>
            <w:pPr>
              <w:spacing w:after="0"/>
              <w:rPr>
                <w:sz w:val="24"/>
                <w:szCs w:val="24"/>
                <w:color w:val="auto"/>
              </w:rPr>
            </w:pPr>
          </w:p>
        </w:tc>
        <w:tc>
          <w:tcPr>
            <w:tcW w:w="110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108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7620" w:type="dxa"/>
            <w:vAlign w:val="bottom"/>
          </w:tcPr>
          <w:p>
            <w:pPr>
              <w:ind w:left="180"/>
              <w:spacing w:after="0"/>
              <w:rPr>
                <w:sz w:val="20"/>
                <w:szCs w:val="20"/>
                <w:color w:val="auto"/>
              </w:rPr>
            </w:pPr>
            <w:r>
              <w:rPr>
                <w:rFonts w:ascii="Arial" w:cs="Arial" w:eastAsia="Arial" w:hAnsi="Arial"/>
                <w:sz w:val="20"/>
                <w:szCs w:val="20"/>
                <w:color w:val="auto"/>
                <w:w w:val="89"/>
              </w:rPr>
              <w:t xml:space="preserve">Preferred stock, $0.01 par value; 10,000,000 shares authorized; none issued  </w:t>
            </w:r>
            <w:r>
              <w:rPr>
                <w:rFonts w:ascii="Arial" w:cs="Arial" w:eastAsia="Arial" w:hAnsi="Arial"/>
                <w:sz w:val="20"/>
                <w:szCs w:val="20"/>
                <w:color w:val="BDBDBD"/>
                <w:w w:val="89"/>
              </w:rPr>
              <w:t>. . . . . . . . . . . . .</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7"/>
        </w:trPr>
        <w:tc>
          <w:tcPr>
            <w:tcW w:w="7620" w:type="dxa"/>
            <w:vAlign w:val="bottom"/>
            <w:shd w:val="clear" w:color="auto" w:fill="E6E6E6"/>
          </w:tcPr>
          <w:p>
            <w:pPr>
              <w:ind w:left="180"/>
              <w:spacing w:after="0"/>
              <w:rPr>
                <w:sz w:val="20"/>
                <w:szCs w:val="20"/>
                <w:color w:val="auto"/>
              </w:rPr>
            </w:pPr>
            <w:r>
              <w:rPr>
                <w:rFonts w:ascii="Arial" w:cs="Arial" w:eastAsia="Arial" w:hAnsi="Arial"/>
                <w:sz w:val="20"/>
                <w:szCs w:val="20"/>
                <w:color w:val="auto"/>
                <w:w w:val="96"/>
              </w:rPr>
              <w:t>Class A, Class B, Class C and Class D common stock, $0.01 par value; 3,000,000,000</w:t>
            </w:r>
          </w:p>
        </w:tc>
        <w:tc>
          <w:tcPr>
            <w:tcW w:w="160" w:type="dxa"/>
            <w:vAlign w:val="bottom"/>
            <w:shd w:val="clear" w:color="auto" w:fill="E6E6E6"/>
          </w:tcPr>
          <w:p>
            <w:pPr>
              <w:spacing w:after="0"/>
              <w:rPr>
                <w:sz w:val="20"/>
                <w:szCs w:val="20"/>
                <w:color w:val="auto"/>
              </w:rPr>
            </w:pPr>
          </w:p>
        </w:tc>
        <w:tc>
          <w:tcPr>
            <w:tcW w:w="1100" w:type="dxa"/>
            <w:vAlign w:val="bottom"/>
            <w:shd w:val="clear" w:color="auto" w:fill="E6E6E6"/>
          </w:tcPr>
          <w:p>
            <w:pPr>
              <w:spacing w:after="0"/>
              <w:rPr>
                <w:sz w:val="20"/>
                <w:szCs w:val="20"/>
                <w:color w:val="auto"/>
              </w:rPr>
            </w:pPr>
          </w:p>
        </w:tc>
        <w:tc>
          <w:tcPr>
            <w:tcW w:w="8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1080" w:type="dxa"/>
            <w:vAlign w:val="bottom"/>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7620" w:type="dxa"/>
            <w:vAlign w:val="bottom"/>
            <w:shd w:val="clear" w:color="auto" w:fill="E6E6E6"/>
          </w:tcPr>
          <w:p>
            <w:pPr>
              <w:ind w:left="180"/>
              <w:spacing w:after="0" w:line="199" w:lineRule="exact"/>
              <w:rPr>
                <w:sz w:val="20"/>
                <w:szCs w:val="20"/>
                <w:color w:val="auto"/>
              </w:rPr>
            </w:pPr>
            <w:r>
              <w:rPr>
                <w:rFonts w:ascii="Arial" w:cs="Arial" w:eastAsia="Arial" w:hAnsi="Arial"/>
                <w:sz w:val="20"/>
                <w:szCs w:val="20"/>
                <w:color w:val="auto"/>
                <w:w w:val="89"/>
              </w:rPr>
              <w:t>shares authorized (Class A 500,000,000, Class B 500,000,000, Class C 1,000,000,000, Class</w:t>
            </w:r>
          </w:p>
        </w:tc>
        <w:tc>
          <w:tcPr>
            <w:tcW w:w="160" w:type="dxa"/>
            <w:vAlign w:val="bottom"/>
            <w:shd w:val="clear" w:color="auto" w:fill="E6E6E6"/>
          </w:tcPr>
          <w:p>
            <w:pPr>
              <w:spacing w:after="0"/>
              <w:rPr>
                <w:sz w:val="17"/>
                <w:szCs w:val="17"/>
                <w:color w:val="auto"/>
              </w:rPr>
            </w:pPr>
          </w:p>
        </w:tc>
        <w:tc>
          <w:tcPr>
            <w:tcW w:w="110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108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620" w:type="dxa"/>
            <w:vAlign w:val="bottom"/>
            <w:shd w:val="clear" w:color="auto" w:fill="E6E6E6"/>
          </w:tcPr>
          <w:p>
            <w:pPr>
              <w:ind w:left="180"/>
              <w:spacing w:after="0" w:line="199" w:lineRule="exact"/>
              <w:rPr>
                <w:sz w:val="20"/>
                <w:szCs w:val="20"/>
                <w:color w:val="auto"/>
              </w:rPr>
            </w:pPr>
            <w:r>
              <w:rPr>
                <w:rFonts w:ascii="Arial" w:cs="Arial" w:eastAsia="Arial" w:hAnsi="Arial"/>
                <w:sz w:val="20"/>
                <w:szCs w:val="20"/>
                <w:color w:val="auto"/>
                <w:w w:val="90"/>
              </w:rPr>
              <w:t>D 1,000,000,000); 202,080,794 shares issued and outstanding (Class A 34,613,853, Class B</w:t>
            </w:r>
          </w:p>
        </w:tc>
        <w:tc>
          <w:tcPr>
            <w:tcW w:w="160" w:type="dxa"/>
            <w:vAlign w:val="bottom"/>
            <w:shd w:val="clear" w:color="auto" w:fill="E6E6E6"/>
          </w:tcPr>
          <w:p>
            <w:pPr>
              <w:spacing w:after="0"/>
              <w:rPr>
                <w:sz w:val="17"/>
                <w:szCs w:val="17"/>
                <w:color w:val="auto"/>
              </w:rPr>
            </w:pPr>
          </w:p>
        </w:tc>
        <w:tc>
          <w:tcPr>
            <w:tcW w:w="110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108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620" w:type="dxa"/>
            <w:vAlign w:val="bottom"/>
            <w:shd w:val="clear" w:color="auto" w:fill="E6E6E6"/>
          </w:tcPr>
          <w:p>
            <w:pPr>
              <w:ind w:left="180"/>
              <w:spacing w:after="0" w:line="199" w:lineRule="exact"/>
              <w:rPr>
                <w:sz w:val="20"/>
                <w:szCs w:val="20"/>
                <w:color w:val="auto"/>
              </w:rPr>
            </w:pPr>
            <w:r>
              <w:rPr>
                <w:rFonts w:ascii="Arial" w:cs="Arial" w:eastAsia="Arial" w:hAnsi="Arial"/>
                <w:sz w:val="20"/>
                <w:szCs w:val="20"/>
                <w:color w:val="auto"/>
              </w:rPr>
              <w:t>42,738,750, Class C 82,391,441, Class D 42,336,750) at December 31, 2023 and</w:t>
            </w:r>
          </w:p>
        </w:tc>
        <w:tc>
          <w:tcPr>
            <w:tcW w:w="160" w:type="dxa"/>
            <w:vAlign w:val="bottom"/>
            <w:shd w:val="clear" w:color="auto" w:fill="E6E6E6"/>
          </w:tcPr>
          <w:p>
            <w:pPr>
              <w:spacing w:after="0"/>
              <w:rPr>
                <w:sz w:val="17"/>
                <w:szCs w:val="17"/>
                <w:color w:val="auto"/>
              </w:rPr>
            </w:pPr>
          </w:p>
        </w:tc>
        <w:tc>
          <w:tcPr>
            <w:tcW w:w="110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108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620" w:type="dxa"/>
            <w:vAlign w:val="bottom"/>
            <w:shd w:val="clear" w:color="auto" w:fill="E6E6E6"/>
          </w:tcPr>
          <w:p>
            <w:pPr>
              <w:ind w:left="180"/>
              <w:spacing w:after="0" w:line="199" w:lineRule="exact"/>
              <w:rPr>
                <w:sz w:val="20"/>
                <w:szCs w:val="20"/>
                <w:color w:val="auto"/>
              </w:rPr>
            </w:pPr>
            <w:r>
              <w:rPr>
                <w:rFonts w:ascii="Arial" w:cs="Arial" w:eastAsia="Arial" w:hAnsi="Arial"/>
                <w:sz w:val="20"/>
                <w:szCs w:val="20"/>
                <w:color w:val="auto"/>
                <w:w w:val="90"/>
              </w:rPr>
              <w:t>201,972,813 shares issued and outstanding (Class A 34,613,853, Class B 42,738,750, Class</w:t>
            </w:r>
          </w:p>
        </w:tc>
        <w:tc>
          <w:tcPr>
            <w:tcW w:w="160" w:type="dxa"/>
            <w:vAlign w:val="bottom"/>
            <w:shd w:val="clear" w:color="auto" w:fill="E6E6E6"/>
          </w:tcPr>
          <w:p>
            <w:pPr>
              <w:spacing w:after="0"/>
              <w:rPr>
                <w:sz w:val="17"/>
                <w:szCs w:val="17"/>
                <w:color w:val="auto"/>
              </w:rPr>
            </w:pPr>
          </w:p>
        </w:tc>
        <w:tc>
          <w:tcPr>
            <w:tcW w:w="110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1</w:t>
            </w:r>
          </w:p>
        </w:tc>
        <w:tc>
          <w:tcPr>
            <w:tcW w:w="8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108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72"/>
        </w:trPr>
        <w:tc>
          <w:tcPr>
            <w:tcW w:w="7620" w:type="dxa"/>
            <w:vAlign w:val="bottom"/>
            <w:shd w:val="clear" w:color="auto" w:fill="E6E6E6"/>
          </w:tcPr>
          <w:p>
            <w:pPr>
              <w:ind w:left="180"/>
              <w:spacing w:after="0"/>
              <w:rPr>
                <w:sz w:val="20"/>
                <w:szCs w:val="20"/>
                <w:color w:val="auto"/>
              </w:rPr>
            </w:pPr>
            <w:r>
              <w:rPr>
                <w:rFonts w:ascii="Arial" w:cs="Arial" w:eastAsia="Arial" w:hAnsi="Arial"/>
                <w:sz w:val="20"/>
                <w:szCs w:val="20"/>
                <w:color w:val="auto"/>
                <w:w w:val="90"/>
              </w:rPr>
              <w:t xml:space="preserve">C 82,283,460, Class D 42,336,750) at December 31, 2022  </w:t>
            </w:r>
            <w:r>
              <w:rPr>
                <w:rFonts w:ascii="Arial" w:cs="Arial" w:eastAsia="Arial" w:hAnsi="Arial"/>
                <w:sz w:val="20"/>
                <w:szCs w:val="20"/>
                <w:color w:val="BDBDBD"/>
                <w:w w:val="90"/>
              </w:rPr>
              <w:t>. . . . . . . . . . . . . . . . . . . . . . . . . . .</w:t>
            </w:r>
          </w:p>
        </w:tc>
        <w:tc>
          <w:tcPr>
            <w:tcW w:w="160" w:type="dxa"/>
            <w:vAlign w:val="bottom"/>
            <w:shd w:val="clear" w:color="auto" w:fill="E6E6E6"/>
          </w:tcPr>
          <w:p>
            <w:pPr>
              <w:spacing w:after="0"/>
              <w:rPr>
                <w:sz w:val="23"/>
                <w:szCs w:val="23"/>
                <w:color w:val="auto"/>
              </w:rPr>
            </w:pPr>
          </w:p>
        </w:tc>
        <w:tc>
          <w:tcPr>
            <w:tcW w:w="1100" w:type="dxa"/>
            <w:vAlign w:val="bottom"/>
            <w:vMerge w:val="continue"/>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140" w:type="dxa"/>
            <w:vAlign w:val="bottom"/>
            <w:shd w:val="clear" w:color="auto" w:fill="E6E6E6"/>
          </w:tcPr>
          <w:p>
            <w:pPr>
              <w:spacing w:after="0"/>
              <w:rPr>
                <w:sz w:val="23"/>
                <w:szCs w:val="23"/>
                <w:color w:val="auto"/>
              </w:rPr>
            </w:pPr>
          </w:p>
        </w:tc>
        <w:tc>
          <w:tcPr>
            <w:tcW w:w="1080" w:type="dxa"/>
            <w:vAlign w:val="bottom"/>
            <w:vMerge w:val="continue"/>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92"/>
        </w:trPr>
        <w:tc>
          <w:tcPr>
            <w:tcW w:w="7620" w:type="dxa"/>
            <w:vAlign w:val="bottom"/>
          </w:tcPr>
          <w:p>
            <w:pPr>
              <w:ind w:left="180"/>
              <w:spacing w:after="0"/>
              <w:rPr>
                <w:sz w:val="20"/>
                <w:szCs w:val="20"/>
                <w:color w:val="auto"/>
              </w:rPr>
            </w:pPr>
            <w:r>
              <w:rPr>
                <w:rFonts w:ascii="Arial" w:cs="Arial" w:eastAsia="Arial" w:hAnsi="Arial"/>
                <w:sz w:val="20"/>
                <w:szCs w:val="20"/>
                <w:color w:val="auto"/>
                <w:w w:val="92"/>
              </w:rPr>
              <w:t xml:space="preserve">Additional paid-in capital </w:t>
            </w:r>
            <w:r>
              <w:rPr>
                <w:rFonts w:ascii="Arial" w:cs="Arial" w:eastAsia="Arial" w:hAnsi="Arial"/>
                <w:sz w:val="20"/>
                <w:szCs w:val="20"/>
                <w:color w:val="BDBDBD"/>
                <w:w w:val="92"/>
              </w:rPr>
              <w:t>. . . . . . . . . . . . . . . . . . . . . . . . . . . . . . . . . . . . . . . . . . . . . . . . . . . . .</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1,732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1,761</w:t>
            </w:r>
          </w:p>
        </w:tc>
        <w:tc>
          <w:tcPr>
            <w:tcW w:w="0" w:type="dxa"/>
            <w:vAlign w:val="bottom"/>
          </w:tcPr>
          <w:p>
            <w:pPr>
              <w:spacing w:after="0"/>
              <w:rPr>
                <w:sz w:val="1"/>
                <w:szCs w:val="1"/>
                <w:color w:val="auto"/>
              </w:rPr>
            </w:pPr>
          </w:p>
        </w:tc>
      </w:tr>
      <w:tr>
        <w:trPr>
          <w:trHeight w:val="305"/>
        </w:trPr>
        <w:tc>
          <w:tcPr>
            <w:tcW w:w="7620" w:type="dxa"/>
            <w:vAlign w:val="bottom"/>
            <w:shd w:val="clear" w:color="auto" w:fill="E6E6E6"/>
          </w:tcPr>
          <w:p>
            <w:pPr>
              <w:ind w:left="180"/>
              <w:spacing w:after="0"/>
              <w:rPr>
                <w:sz w:val="20"/>
                <w:szCs w:val="20"/>
                <w:color w:val="auto"/>
              </w:rPr>
            </w:pPr>
            <w:r>
              <w:rPr>
                <w:rFonts w:ascii="Arial" w:cs="Arial" w:eastAsia="Arial" w:hAnsi="Arial"/>
                <w:sz w:val="20"/>
                <w:szCs w:val="20"/>
                <w:color w:val="auto"/>
                <w:w w:val="90"/>
              </w:rPr>
              <w:t xml:space="preserve">Retained earnings  </w:t>
            </w:r>
            <w:r>
              <w:rPr>
                <w:rFonts w:ascii="Arial" w:cs="Arial" w:eastAsia="Arial" w:hAnsi="Arial"/>
                <w:sz w:val="20"/>
                <w:szCs w:val="20"/>
                <w:color w:val="BDBDBD"/>
                <w:w w:val="90"/>
              </w:rPr>
              <w:t>. . . . . . . . . . . . . . . . . . . . . . . . . . . . . . . . . . . . . . . . . . . . . . . . . . . . . . . . . . .</w:t>
            </w:r>
          </w:p>
        </w:tc>
        <w:tc>
          <w:tcPr>
            <w:tcW w:w="160" w:type="dxa"/>
            <w:vAlign w:val="bottom"/>
            <w:shd w:val="clear" w:color="auto" w:fill="E6E6E6"/>
          </w:tcPr>
          <w:p>
            <w:pPr>
              <w:spacing w:after="0"/>
              <w:rPr>
                <w:sz w:val="24"/>
                <w:szCs w:val="24"/>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361</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463</w:t>
            </w:r>
          </w:p>
        </w:tc>
        <w:tc>
          <w:tcPr>
            <w:tcW w:w="0" w:type="dxa"/>
            <w:vAlign w:val="bottom"/>
          </w:tcPr>
          <w:p>
            <w:pPr>
              <w:spacing w:after="0"/>
              <w:rPr>
                <w:sz w:val="1"/>
                <w:szCs w:val="1"/>
                <w:color w:val="auto"/>
              </w:rPr>
            </w:pPr>
          </w:p>
        </w:tc>
      </w:tr>
      <w:tr>
        <w:trPr>
          <w:trHeight w:val="292"/>
        </w:trPr>
        <w:tc>
          <w:tcPr>
            <w:tcW w:w="7620" w:type="dxa"/>
            <w:vAlign w:val="bottom"/>
          </w:tcPr>
          <w:p>
            <w:pPr>
              <w:ind w:left="180"/>
              <w:spacing w:after="0"/>
              <w:rPr>
                <w:sz w:val="20"/>
                <w:szCs w:val="20"/>
                <w:color w:val="auto"/>
              </w:rPr>
            </w:pPr>
            <w:r>
              <w:rPr>
                <w:rFonts w:ascii="Arial" w:cs="Arial" w:eastAsia="Arial" w:hAnsi="Arial"/>
                <w:sz w:val="20"/>
                <w:szCs w:val="20"/>
                <w:color w:val="auto"/>
                <w:w w:val="90"/>
              </w:rPr>
              <w:t xml:space="preserve">Accumulated other comprehensive income </w:t>
            </w:r>
            <w:r>
              <w:rPr>
                <w:rFonts w:ascii="Arial" w:cs="Arial" w:eastAsia="Arial" w:hAnsi="Arial"/>
                <w:sz w:val="20"/>
                <w:szCs w:val="20"/>
                <w:color w:val="BDBDBD"/>
                <w:w w:val="90"/>
              </w:rPr>
              <w:t>. . . . . . . . . . . . . . . . . . . . . . . . . . . . . . . . . . . . . . . .</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9</w:t>
            </w:r>
          </w:p>
        </w:tc>
        <w:tc>
          <w:tcPr>
            <w:tcW w:w="0" w:type="dxa"/>
            <w:vAlign w:val="bottom"/>
          </w:tcPr>
          <w:p>
            <w:pPr>
              <w:spacing w:after="0"/>
              <w:rPr>
                <w:sz w:val="1"/>
                <w:szCs w:val="1"/>
                <w:color w:val="auto"/>
              </w:rPr>
            </w:pPr>
          </w:p>
        </w:tc>
      </w:tr>
      <w:tr>
        <w:trPr>
          <w:trHeight w:val="313"/>
        </w:trPr>
        <w:tc>
          <w:tcPr>
            <w:tcW w:w="762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20"/>
                <w:szCs w:val="20"/>
                <w:color w:val="auto"/>
                <w:w w:val="91"/>
              </w:rPr>
              <w:t xml:space="preserve">Noncontrolling interest </w:t>
            </w:r>
            <w:r>
              <w:rPr>
                <w:rFonts w:ascii="Arial" w:cs="Arial" w:eastAsia="Arial" w:hAnsi="Arial"/>
                <w:sz w:val="20"/>
                <w:szCs w:val="20"/>
                <w:color w:val="BDBDBD"/>
                <w:w w:val="91"/>
              </w:rPr>
              <w:t>. . . . . . . . . . . . . . . . . . . . . . . . . . . . . . . . . . . . . . . . . . . . . . . . . . . . . . .</w:t>
            </w:r>
          </w:p>
        </w:tc>
        <w:tc>
          <w:tcPr>
            <w:tcW w:w="160" w:type="dxa"/>
            <w:vAlign w:val="bottom"/>
            <w:tcBorders>
              <w:bottom w:val="single" w:sz="8" w:color="auto"/>
            </w:tcBorders>
            <w:shd w:val="clear" w:color="auto" w:fill="E6E6E6"/>
          </w:tcPr>
          <w:p>
            <w:pPr>
              <w:spacing w:after="0"/>
              <w:rPr>
                <w:sz w:val="24"/>
                <w:szCs w:val="24"/>
                <w:color w:val="auto"/>
              </w:rPr>
            </w:pPr>
          </w:p>
        </w:tc>
        <w:tc>
          <w:tcPr>
            <w:tcW w:w="11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2,893</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140" w:type="dxa"/>
            <w:vAlign w:val="bottom"/>
            <w:tcBorders>
              <w:bottom w:val="single" w:sz="8" w:color="auto"/>
            </w:tcBorders>
            <w:shd w:val="clear" w:color="auto" w:fill="E6E6E6"/>
          </w:tcPr>
          <w:p>
            <w:pPr>
              <w:spacing w:after="0"/>
              <w:rPr>
                <w:sz w:val="24"/>
                <w:szCs w:val="24"/>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1,792</w:t>
            </w:r>
          </w:p>
        </w:tc>
        <w:tc>
          <w:tcPr>
            <w:tcW w:w="0" w:type="dxa"/>
            <w:vAlign w:val="bottom"/>
          </w:tcPr>
          <w:p>
            <w:pPr>
              <w:spacing w:after="0"/>
              <w:rPr>
                <w:sz w:val="1"/>
                <w:szCs w:val="1"/>
                <w:color w:val="auto"/>
              </w:rPr>
            </w:pPr>
          </w:p>
        </w:tc>
      </w:tr>
      <w:tr>
        <w:trPr>
          <w:trHeight w:val="260"/>
        </w:trPr>
        <w:tc>
          <w:tcPr>
            <w:tcW w:w="7620" w:type="dxa"/>
            <w:vAlign w:val="bottom"/>
            <w:tcBorders>
              <w:bottom w:val="single" w:sz="8" w:color="E6E6E6"/>
            </w:tcBorders>
          </w:tcPr>
          <w:p>
            <w:pPr>
              <w:ind w:left="60"/>
              <w:spacing w:after="0"/>
              <w:rPr>
                <w:sz w:val="20"/>
                <w:szCs w:val="20"/>
                <w:color w:val="auto"/>
              </w:rPr>
            </w:pPr>
            <w:r>
              <w:rPr>
                <w:rFonts w:ascii="Arial" w:cs="Arial" w:eastAsia="Arial" w:hAnsi="Arial"/>
                <w:sz w:val="20"/>
                <w:szCs w:val="20"/>
                <w:b w:val="1"/>
                <w:bCs w:val="1"/>
                <w:color w:val="auto"/>
                <w:w w:val="90"/>
              </w:rPr>
              <w:t xml:space="preserve">Total Stockholders’ Equity </w:t>
            </w:r>
            <w:r>
              <w:rPr>
                <w:rFonts w:ascii="Arial" w:cs="Arial" w:eastAsia="Arial" w:hAnsi="Arial"/>
                <w:sz w:val="20"/>
                <w:szCs w:val="20"/>
                <w:b w:val="1"/>
                <w:bCs w:val="1"/>
                <w:color w:val="BDBDBD"/>
                <w:w w:val="90"/>
              </w:rPr>
              <w:t>. . . . . . . . . . . . . . . . . . . . . . . . . . . . . . . . . . . . . . . . . . . . . . . . . . . .</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4,994</w:t>
            </w:r>
          </w:p>
        </w:tc>
        <w:tc>
          <w:tcPr>
            <w:tcW w:w="8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4,026</w:t>
            </w:r>
          </w:p>
        </w:tc>
        <w:tc>
          <w:tcPr>
            <w:tcW w:w="0" w:type="dxa"/>
            <w:vAlign w:val="bottom"/>
          </w:tcPr>
          <w:p>
            <w:pPr>
              <w:spacing w:after="0"/>
              <w:rPr>
                <w:sz w:val="1"/>
                <w:szCs w:val="1"/>
                <w:color w:val="auto"/>
              </w:rPr>
            </w:pPr>
          </w:p>
        </w:tc>
      </w:tr>
      <w:tr>
        <w:trPr>
          <w:trHeight w:val="298"/>
        </w:trPr>
        <w:tc>
          <w:tcPr>
            <w:tcW w:w="76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b w:val="1"/>
                <w:bCs w:val="1"/>
                <w:color w:val="auto"/>
                <w:w w:val="91"/>
              </w:rPr>
              <w:t xml:space="preserve">Total Liabilities and Stockholders’ Equity </w:t>
            </w:r>
            <w:r>
              <w:rPr>
                <w:rFonts w:ascii="Arial" w:cs="Arial" w:eastAsia="Arial" w:hAnsi="Arial"/>
                <w:sz w:val="20"/>
                <w:szCs w:val="20"/>
                <w:b w:val="1"/>
                <w:bCs w:val="1"/>
                <w:color w:val="BDBDBD"/>
                <w:w w:val="91"/>
              </w:rPr>
              <w:t>. . . . . . . . . . . . . . . . . . . . . . . . . . . . . . . . . . . . . . .</w:t>
            </w:r>
          </w:p>
        </w:tc>
        <w:tc>
          <w:tcPr>
            <w:tcW w:w="1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5,123</w:t>
            </w:r>
          </w:p>
        </w:tc>
        <w:tc>
          <w:tcPr>
            <w:tcW w:w="100" w:type="dxa"/>
            <w:vAlign w:val="bottom"/>
            <w:tcBorders>
              <w:bottom w:val="single" w:sz="8" w:color="E6E6E6"/>
            </w:tcBorders>
            <w:gridSpan w:val="2"/>
            <w:shd w:val="clear" w:color="auto" w:fill="E6E6E6"/>
          </w:tcPr>
          <w:p>
            <w:pPr>
              <w:spacing w:after="0"/>
              <w:rPr>
                <w:sz w:val="24"/>
                <w:szCs w:val="24"/>
                <w:color w:val="auto"/>
              </w:rPr>
            </w:pPr>
          </w:p>
        </w:tc>
        <w:tc>
          <w:tcPr>
            <w:tcW w:w="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w w:val="89"/>
              </w:rPr>
              <w:t>$</w:t>
            </w: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4,165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4832350</wp:posOffset>
            </wp:positionH>
            <wp:positionV relativeFrom="paragraph">
              <wp:posOffset>-4049395</wp:posOffset>
            </wp:positionV>
            <wp:extent cx="1655445" cy="254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298">
                      <a:extLst>
                        <a:ext uri="{28A0092B-C50C-407E-A947-70E740481C1C}"/>
                      </a:extLst>
                    </a:blip>
                    <a:srcRect/>
                    <a:stretch>
                      <a:fillRect/>
                    </a:stretch>
                  </pic:blipFill>
                  <pic:spPr bwMode="auto">
                    <a:xfrm>
                      <a:off x="0" y="0"/>
                      <a:ext cx="1655445" cy="25400"/>
                    </a:xfrm>
                    <a:prstGeom prst="rect">
                      <a:avLst/>
                    </a:prstGeom>
                    <a:noFill/>
                  </pic:spPr>
                </pic:pic>
              </a:graphicData>
            </a:graphic>
          </wp:anchor>
        </w:drawing>
        <w:drawing>
          <wp:anchor simplePos="0" relativeHeight="251657728" behindDoc="1" locked="0" layoutInCell="0" allowOverlap="1">
            <wp:simplePos x="0" y="0"/>
            <wp:positionH relativeFrom="column">
              <wp:posOffset>4832350</wp:posOffset>
            </wp:positionH>
            <wp:positionV relativeFrom="paragraph">
              <wp:posOffset>-3872230</wp:posOffset>
            </wp:positionV>
            <wp:extent cx="1655445" cy="508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299">
                      <a:extLst>
                        <a:ext uri="{28A0092B-C50C-407E-A947-70E740481C1C}"/>
                      </a:extLst>
                    </a:blip>
                    <a:srcRect/>
                    <a:stretch>
                      <a:fillRect/>
                    </a:stretch>
                  </pic:blipFill>
                  <pic:spPr bwMode="auto">
                    <a:xfrm>
                      <a:off x="0" y="0"/>
                      <a:ext cx="1655445" cy="50800"/>
                    </a:xfrm>
                    <a:prstGeom prst="rect">
                      <a:avLst/>
                    </a:prstGeom>
                    <a:noFill/>
                  </pic:spPr>
                </pic:pic>
              </a:graphicData>
            </a:graphic>
          </wp:anchor>
        </w:drawing>
        <w:drawing>
          <wp:anchor simplePos="0" relativeHeight="251657728" behindDoc="1" locked="0" layoutInCell="0" allowOverlap="1">
            <wp:simplePos x="0" y="0"/>
            <wp:positionH relativeFrom="column">
              <wp:posOffset>4832350</wp:posOffset>
            </wp:positionH>
            <wp:positionV relativeFrom="paragraph">
              <wp:posOffset>-2750820</wp:posOffset>
            </wp:positionV>
            <wp:extent cx="1655445" cy="254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00">
                      <a:extLst>
                        <a:ext uri="{28A0092B-C50C-407E-A947-70E740481C1C}"/>
                      </a:extLst>
                    </a:blip>
                    <a:srcRect/>
                    <a:stretch>
                      <a:fillRect/>
                    </a:stretch>
                  </pic:blipFill>
                  <pic:spPr bwMode="auto">
                    <a:xfrm>
                      <a:off x="0" y="0"/>
                      <a:ext cx="1655445" cy="25400"/>
                    </a:xfrm>
                    <a:prstGeom prst="rect">
                      <a:avLst/>
                    </a:prstGeom>
                    <a:noFill/>
                  </pic:spPr>
                </pic:pic>
              </a:graphicData>
            </a:graphic>
          </wp:anchor>
        </w:drawing>
        <w:drawing>
          <wp:anchor simplePos="0" relativeHeight="251657728" behindDoc="1" locked="0" layoutInCell="0" allowOverlap="1">
            <wp:simplePos x="0" y="0"/>
            <wp:positionH relativeFrom="column">
              <wp:posOffset>4832350</wp:posOffset>
            </wp:positionH>
            <wp:positionV relativeFrom="paragraph">
              <wp:posOffset>-2561590</wp:posOffset>
            </wp:positionV>
            <wp:extent cx="1655445" cy="254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01">
                      <a:extLst>
                        <a:ext uri="{28A0092B-C50C-407E-A947-70E740481C1C}"/>
                      </a:extLst>
                    </a:blip>
                    <a:srcRect/>
                    <a:stretch>
                      <a:fillRect/>
                    </a:stretch>
                  </pic:blipFill>
                  <pic:spPr bwMode="auto">
                    <a:xfrm>
                      <a:off x="0" y="0"/>
                      <a:ext cx="1655445" cy="25400"/>
                    </a:xfrm>
                    <a:prstGeom prst="rect">
                      <a:avLst/>
                    </a:prstGeom>
                    <a:noFill/>
                  </pic:spPr>
                </pic:pic>
              </a:graphicData>
            </a:graphic>
          </wp:anchor>
        </w:drawing>
        <w:drawing>
          <wp:anchor simplePos="0" relativeHeight="251657728" behindDoc="1" locked="0" layoutInCell="0" allowOverlap="1">
            <wp:simplePos x="0" y="0"/>
            <wp:positionH relativeFrom="column">
              <wp:posOffset>4832350</wp:posOffset>
            </wp:positionH>
            <wp:positionV relativeFrom="paragraph">
              <wp:posOffset>-410210</wp:posOffset>
            </wp:positionV>
            <wp:extent cx="1655445" cy="254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02">
                      <a:extLst>
                        <a:ext uri="{28A0092B-C50C-407E-A947-70E740481C1C}"/>
                      </a:extLst>
                    </a:blip>
                    <a:srcRect/>
                    <a:stretch>
                      <a:fillRect/>
                    </a:stretch>
                  </pic:blipFill>
                  <pic:spPr bwMode="auto">
                    <a:xfrm>
                      <a:off x="0" y="0"/>
                      <a:ext cx="1655445" cy="25400"/>
                    </a:xfrm>
                    <a:prstGeom prst="rect">
                      <a:avLst/>
                    </a:prstGeom>
                    <a:noFill/>
                  </pic:spPr>
                </pic:pic>
              </a:graphicData>
            </a:graphic>
          </wp:anchor>
        </w:drawing>
        <w:drawing>
          <wp:anchor simplePos="0" relativeHeight="251657728" behindDoc="1" locked="0" layoutInCell="0" allowOverlap="1">
            <wp:simplePos x="0" y="0"/>
            <wp:positionH relativeFrom="column">
              <wp:posOffset>4832350</wp:posOffset>
            </wp:positionH>
            <wp:positionV relativeFrom="paragraph">
              <wp:posOffset>-220345</wp:posOffset>
            </wp:positionV>
            <wp:extent cx="1655445" cy="254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03">
                      <a:extLst>
                        <a:ext uri="{28A0092B-C50C-407E-A947-70E740481C1C}"/>
                      </a:extLst>
                    </a:blip>
                    <a:srcRect/>
                    <a:stretch>
                      <a:fillRect/>
                    </a:stretch>
                  </pic:blipFill>
                  <pic:spPr bwMode="auto">
                    <a:xfrm>
                      <a:off x="0" y="0"/>
                      <a:ext cx="1655445" cy="25400"/>
                    </a:xfrm>
                    <a:prstGeom prst="rect">
                      <a:avLst/>
                    </a:prstGeom>
                    <a:noFill/>
                  </pic:spPr>
                </pic:pic>
              </a:graphicData>
            </a:graphic>
          </wp:anchor>
        </w:drawing>
        <w:drawing>
          <wp:anchor simplePos="0" relativeHeight="251657728" behindDoc="1" locked="0" layoutInCell="0" allowOverlap="1">
            <wp:simplePos x="0" y="0"/>
            <wp:positionH relativeFrom="column">
              <wp:posOffset>4832350</wp:posOffset>
            </wp:positionH>
            <wp:positionV relativeFrom="paragraph">
              <wp:posOffset>-43815</wp:posOffset>
            </wp:positionV>
            <wp:extent cx="1655445" cy="508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04">
                      <a:extLst>
                        <a:ext uri="{28A0092B-C50C-407E-A947-70E740481C1C}"/>
                      </a:extLst>
                    </a:blip>
                    <a:srcRect/>
                    <a:stretch>
                      <a:fillRect/>
                    </a:stretch>
                  </pic:blipFill>
                  <pic:spPr bwMode="auto">
                    <a:xfrm>
                      <a:off x="0" y="0"/>
                      <a:ext cx="1655445" cy="50800"/>
                    </a:xfrm>
                    <a:prstGeom prst="rect">
                      <a:avLst/>
                    </a:prstGeom>
                    <a:noFill/>
                  </pic:spPr>
                </pic:pic>
              </a:graphicData>
            </a:graphic>
          </wp:anchor>
        </w:drawing>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condensed financial statements.</w:t>
      </w:r>
    </w:p>
    <w:p>
      <w:pPr>
        <w:sectPr>
          <w:pgSz w:w="11880" w:h="15480" w:orient="portrait"/>
          <w:cols w:equalWidth="0" w:num="1">
            <w:col w:w="10200"/>
          </w:cols>
          <w:pgMar w:left="840" w:top="404"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126</w:t>
      </w:r>
    </w:p>
    <w:p>
      <w:pPr>
        <w:sectPr>
          <w:pgSz w:w="11880" w:h="15480" w:orient="portrait"/>
          <w:cols w:equalWidth="0" w:num="1">
            <w:col w:w="10200"/>
          </w:cols>
          <w:pgMar w:left="840" w:top="404" w:right="840" w:bottom="0" w:gutter="0" w:footer="0" w:header="0"/>
          <w:type w:val="continuous"/>
        </w:sectPr>
      </w:pPr>
    </w:p>
    <w:bookmarkStart w:id="128" w:name="page129"/>
    <w:bookmarkEnd w:id="128"/>
    <w:tbl>
      <w:tblPr>
        <w:tblLayout w:type="fixed"/>
        <w:tblInd w:w="0" w:type="dxa"/>
        <w:tblCellMar>
          <w:top w:w="0" w:type="dxa"/>
          <w:left w:w="0" w:type="dxa"/>
          <w:bottom w:w="0" w:type="dxa"/>
          <w:right w:w="0" w:type="dxa"/>
        </w:tblCellMar>
      </w:tblPr>
      <w:tr>
        <w:trPr>
          <w:trHeight w:val="264"/>
        </w:trPr>
        <w:tc>
          <w:tcPr>
            <w:tcW w:w="6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gridSpan w:val="2"/>
          </w:tcPr>
          <w:p>
            <w:pPr>
              <w:ind w:left="60"/>
              <w:spacing w:after="0"/>
              <w:rPr>
                <w:sz w:val="20"/>
                <w:szCs w:val="20"/>
                <w:color w:val="auto"/>
              </w:rPr>
            </w:pPr>
            <w:r>
              <w:rPr>
                <w:rFonts w:ascii="Arial" w:cs="Arial" w:eastAsia="Arial" w:hAnsi="Arial"/>
                <w:sz w:val="20"/>
                <w:szCs w:val="20"/>
                <w:b w:val="1"/>
                <w:bCs w:val="1"/>
                <w:color w:val="auto"/>
                <w:w w:val="85"/>
              </w:rPr>
              <w:t>Schedule I</w:t>
            </w:r>
          </w:p>
        </w:tc>
      </w:tr>
      <w:tr>
        <w:trPr>
          <w:trHeight w:val="418"/>
        </w:trPr>
        <w:tc>
          <w:tcPr>
            <w:tcW w:w="6480" w:type="dxa"/>
            <w:vAlign w:val="bottom"/>
          </w:tcPr>
          <w:p>
            <w:pPr>
              <w:jc w:val="center"/>
              <w:ind w:left="3581"/>
              <w:spacing w:after="0"/>
              <w:rPr>
                <w:sz w:val="20"/>
                <w:szCs w:val="20"/>
                <w:color w:val="auto"/>
              </w:rPr>
            </w:pPr>
            <w:r>
              <w:rPr>
                <w:rFonts w:ascii="Arial" w:cs="Arial" w:eastAsia="Arial" w:hAnsi="Arial"/>
                <w:sz w:val="20"/>
                <w:szCs w:val="20"/>
                <w:b w:val="1"/>
                <w:bCs w:val="1"/>
                <w:color w:val="auto"/>
                <w:w w:val="93"/>
              </w:rPr>
              <w:t>Clearway Energy, Inc. (Parent)</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8"/>
        </w:trPr>
        <w:tc>
          <w:tcPr>
            <w:tcW w:w="6780" w:type="dxa"/>
            <w:vAlign w:val="bottom"/>
            <w:gridSpan w:val="2"/>
          </w:tcPr>
          <w:p>
            <w:pPr>
              <w:jc w:val="center"/>
              <w:ind w:left="3281"/>
              <w:spacing w:after="0"/>
              <w:rPr>
                <w:sz w:val="20"/>
                <w:szCs w:val="20"/>
                <w:color w:val="auto"/>
              </w:rPr>
            </w:pPr>
            <w:r>
              <w:rPr>
                <w:rFonts w:ascii="Arial" w:cs="Arial" w:eastAsia="Arial" w:hAnsi="Arial"/>
                <w:sz w:val="20"/>
                <w:szCs w:val="20"/>
                <w:b w:val="1"/>
                <w:bCs w:val="1"/>
                <w:color w:val="auto"/>
                <w:w w:val="86"/>
              </w:rPr>
              <w:t>Condensed Statements of Cash Flows</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7"/>
        </w:trPr>
        <w:tc>
          <w:tcPr>
            <w:tcW w:w="64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jc w:val="center"/>
              <w:ind w:left="543"/>
              <w:spacing w:after="0"/>
              <w:rPr>
                <w:sz w:val="20"/>
                <w:szCs w:val="20"/>
                <w:color w:val="auto"/>
              </w:rPr>
            </w:pPr>
            <w:r>
              <w:rPr>
                <w:rFonts w:ascii="Arial" w:cs="Arial" w:eastAsia="Arial" w:hAnsi="Arial"/>
                <w:sz w:val="16"/>
                <w:szCs w:val="16"/>
                <w:b w:val="1"/>
                <w:bCs w:val="1"/>
                <w:color w:val="auto"/>
                <w:w w:val="89"/>
              </w:rPr>
              <w:t>Year ended December 31,</w:t>
            </w: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64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23"/>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83"/>
              <w:spacing w:after="0"/>
              <w:rPr>
                <w:sz w:val="20"/>
                <w:szCs w:val="20"/>
                <w:color w:val="auto"/>
              </w:rPr>
            </w:pPr>
            <w:r>
              <w:rPr>
                <w:rFonts w:ascii="Arial" w:cs="Arial" w:eastAsia="Arial" w:hAnsi="Arial"/>
                <w:sz w:val="16"/>
                <w:szCs w:val="16"/>
                <w:b w:val="1"/>
                <w:bCs w:val="1"/>
                <w:color w:val="auto"/>
                <w:w w:val="89"/>
              </w:rPr>
              <w:t>2022</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20"/>
                <w:szCs w:val="20"/>
                <w:color w:val="auto"/>
              </w:rPr>
            </w:pPr>
          </w:p>
        </w:tc>
      </w:tr>
      <w:tr>
        <w:trPr>
          <w:trHeight w:val="280"/>
        </w:trPr>
        <w:tc>
          <w:tcPr>
            <w:tcW w:w="6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center"/>
              <w:ind w:right="83"/>
              <w:spacing w:after="0"/>
              <w:rPr>
                <w:sz w:val="20"/>
                <w:szCs w:val="20"/>
                <w:color w:val="auto"/>
              </w:rPr>
            </w:pPr>
            <w:r>
              <w:rPr>
                <w:rFonts w:ascii="Arial" w:cs="Arial" w:eastAsia="Arial" w:hAnsi="Arial"/>
                <w:sz w:val="16"/>
                <w:szCs w:val="16"/>
                <w:b w:val="1"/>
                <w:bCs w:val="1"/>
                <w:color w:val="auto"/>
                <w:w w:val="93"/>
              </w:rPr>
              <w:t>(In millions)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2"/>
        </w:trPr>
        <w:tc>
          <w:tcPr>
            <w:tcW w:w="6480" w:type="dxa"/>
            <w:vAlign w:val="bottom"/>
            <w:shd w:val="clear" w:color="auto" w:fill="E6E6E6"/>
          </w:tcPr>
          <w:p>
            <w:pPr>
              <w:jc w:val="right"/>
              <w:spacing w:after="0"/>
              <w:rPr>
                <w:sz w:val="20"/>
                <w:szCs w:val="20"/>
                <w:color w:val="auto"/>
              </w:rPr>
            </w:pPr>
            <w:r>
              <w:rPr>
                <w:rFonts w:ascii="Arial" w:cs="Arial" w:eastAsia="Arial" w:hAnsi="Arial"/>
                <w:sz w:val="20"/>
                <w:szCs w:val="20"/>
                <w:b w:val="1"/>
                <w:bCs w:val="1"/>
                <w:color w:val="auto"/>
                <w:w w:val="90"/>
              </w:rPr>
              <w:t xml:space="preserve">Net Cash Used in Operating Activities </w:t>
            </w:r>
            <w:r>
              <w:rPr>
                <w:rFonts w:ascii="Arial" w:cs="Arial" w:eastAsia="Arial" w:hAnsi="Arial"/>
                <w:sz w:val="20"/>
                <w:szCs w:val="20"/>
                <w:b w:val="1"/>
                <w:bCs w:val="1"/>
                <w:color w:val="BDBDBD"/>
                <w:w w:val="90"/>
              </w:rPr>
              <w:t>. . . . . . . . . . . . . . . . . . . . . . . . . . . . . . .</w:t>
            </w:r>
          </w:p>
        </w:tc>
        <w:tc>
          <w:tcPr>
            <w:tcW w:w="300" w:type="dxa"/>
            <w:vAlign w:val="bottom"/>
            <w:shd w:val="clear" w:color="auto" w:fill="E6E6E6"/>
          </w:tcPr>
          <w:p>
            <w:pPr>
              <w:jc w:val="right"/>
              <w:ind w:right="41"/>
              <w:spacing w:after="0"/>
              <w:rPr>
                <w:sz w:val="20"/>
                <w:szCs w:val="20"/>
                <w:color w:val="auto"/>
              </w:rPr>
            </w:pPr>
            <w:r>
              <w:rPr>
                <w:rFonts w:ascii="Arial" w:cs="Arial" w:eastAsia="Arial" w:hAnsi="Arial"/>
                <w:sz w:val="20"/>
                <w:szCs w:val="20"/>
                <w:color w:val="auto"/>
              </w:rPr>
              <w:t>$</w:t>
            </w:r>
          </w:p>
        </w:tc>
        <w:tc>
          <w:tcPr>
            <w:tcW w:w="8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(31)</w:t>
            </w:r>
          </w:p>
        </w:tc>
        <w:tc>
          <w:tcPr>
            <w:tcW w:w="240" w:type="dxa"/>
            <w:vAlign w:val="bottom"/>
            <w:gridSpan w:val="2"/>
            <w:shd w:val="clear" w:color="auto" w:fill="E6E6E6"/>
          </w:tcPr>
          <w:p>
            <w:pPr>
              <w:jc w:val="right"/>
              <w:ind w:right="20"/>
              <w:spacing w:after="0"/>
              <w:rPr>
                <w:sz w:val="20"/>
                <w:szCs w:val="20"/>
                <w:color w:val="auto"/>
              </w:rPr>
            </w:pPr>
            <w:r>
              <w:rPr>
                <w:rFonts w:ascii="Arial" w:cs="Arial" w:eastAsia="Arial" w:hAnsi="Arial"/>
                <w:sz w:val="20"/>
                <w:szCs w:val="20"/>
                <w:color w:val="auto"/>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(10)</w:t>
            </w:r>
          </w:p>
        </w:tc>
        <w:tc>
          <w:tcPr>
            <w:tcW w:w="320" w:type="dxa"/>
            <w:vAlign w:val="bottom"/>
            <w:gridSpan w:val="2"/>
            <w:shd w:val="clear" w:color="auto" w:fill="E6E6E6"/>
          </w:tcPr>
          <w:p>
            <w:pPr>
              <w:jc w:val="right"/>
              <w:ind w:right="100"/>
              <w:spacing w:after="0"/>
              <w:rPr>
                <w:sz w:val="20"/>
                <w:szCs w:val="20"/>
                <w:color w:val="auto"/>
              </w:rPr>
            </w:pPr>
            <w:r>
              <w:rPr>
                <w:rFonts w:ascii="Arial" w:cs="Arial" w:eastAsia="Arial" w:hAnsi="Arial"/>
                <w:sz w:val="20"/>
                <w:szCs w:val="20"/>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w:t>
            </w:r>
          </w:p>
        </w:tc>
        <w:tc>
          <w:tcPr>
            <w:tcW w:w="20" w:type="dxa"/>
            <w:vAlign w:val="bottom"/>
          </w:tcPr>
          <w:p>
            <w:pPr>
              <w:spacing w:after="0"/>
              <w:rPr>
                <w:sz w:val="24"/>
                <w:szCs w:val="24"/>
                <w:color w:val="auto"/>
              </w:rPr>
            </w:pPr>
          </w:p>
        </w:tc>
      </w:tr>
      <w:tr>
        <w:trPr>
          <w:trHeight w:val="277"/>
        </w:trPr>
        <w:tc>
          <w:tcPr>
            <w:tcW w:w="6480" w:type="dxa"/>
            <w:vAlign w:val="bottom"/>
          </w:tcPr>
          <w:p>
            <w:pPr>
              <w:ind w:left="40"/>
              <w:spacing w:after="0"/>
              <w:rPr>
                <w:sz w:val="20"/>
                <w:szCs w:val="20"/>
                <w:color w:val="auto"/>
              </w:rPr>
            </w:pPr>
            <w:r>
              <w:rPr>
                <w:rFonts w:ascii="Arial" w:cs="Arial" w:eastAsia="Arial" w:hAnsi="Arial"/>
                <w:sz w:val="20"/>
                <w:szCs w:val="20"/>
                <w:b w:val="1"/>
                <w:bCs w:val="1"/>
                <w:color w:val="auto"/>
              </w:rPr>
              <w:t>Cash Flows from Investing Activities</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0"/>
        </w:trPr>
        <w:tc>
          <w:tcPr>
            <w:tcW w:w="6480" w:type="dxa"/>
            <w:vAlign w:val="bottom"/>
            <w:shd w:val="clear" w:color="auto" w:fill="E6E6E6"/>
          </w:tcPr>
          <w:p>
            <w:pPr>
              <w:jc w:val="right"/>
              <w:spacing w:after="0"/>
              <w:rPr>
                <w:sz w:val="20"/>
                <w:szCs w:val="20"/>
                <w:color w:val="auto"/>
              </w:rPr>
            </w:pPr>
            <w:r>
              <w:rPr>
                <w:rFonts w:ascii="Arial" w:cs="Arial" w:eastAsia="Arial" w:hAnsi="Arial"/>
                <w:sz w:val="20"/>
                <w:szCs w:val="20"/>
                <w:color w:val="auto"/>
                <w:w w:val="93"/>
              </w:rPr>
              <w:t xml:space="preserve">Investments in consolidated affiliates </w:t>
            </w:r>
            <w:r>
              <w:rPr>
                <w:rFonts w:ascii="Arial" w:cs="Arial" w:eastAsia="Arial" w:hAnsi="Arial"/>
                <w:sz w:val="20"/>
                <w:szCs w:val="20"/>
                <w:color w:val="BDBDBD"/>
                <w:w w:val="93"/>
              </w:rPr>
              <w:t>. . . . . . . . . . . . . . . . . . . . . . . . . . . . . . . .</w:t>
            </w:r>
          </w:p>
        </w:tc>
        <w:tc>
          <w:tcPr>
            <w:tcW w:w="300" w:type="dxa"/>
            <w:vAlign w:val="bottom"/>
            <w:shd w:val="clear" w:color="auto" w:fill="E6E6E6"/>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w:t>
            </w:r>
          </w:p>
        </w:tc>
        <w:tc>
          <w:tcPr>
            <w:tcW w:w="20" w:type="dxa"/>
            <w:vAlign w:val="bottom"/>
          </w:tcPr>
          <w:p>
            <w:pPr>
              <w:spacing w:after="0"/>
              <w:rPr>
                <w:sz w:val="24"/>
                <w:szCs w:val="24"/>
                <w:color w:val="auto"/>
              </w:rPr>
            </w:pPr>
          </w:p>
        </w:tc>
      </w:tr>
      <w:tr>
        <w:trPr>
          <w:trHeight w:val="278"/>
        </w:trPr>
        <w:tc>
          <w:tcPr>
            <w:tcW w:w="6480" w:type="dxa"/>
            <w:vAlign w:val="bottom"/>
          </w:tcPr>
          <w:p>
            <w:pPr>
              <w:jc w:val="right"/>
              <w:spacing w:after="0"/>
              <w:rPr>
                <w:sz w:val="20"/>
                <w:szCs w:val="20"/>
                <w:color w:val="auto"/>
              </w:rPr>
            </w:pPr>
            <w:r>
              <w:rPr>
                <w:rFonts w:ascii="Arial" w:cs="Arial" w:eastAsia="Arial" w:hAnsi="Arial"/>
                <w:sz w:val="20"/>
                <w:szCs w:val="20"/>
                <w:color w:val="auto"/>
                <w:w w:val="94"/>
              </w:rPr>
              <w:t xml:space="preserve">Cash advances for notes receivable — affiliate </w:t>
            </w:r>
            <w:r>
              <w:rPr>
                <w:rFonts w:ascii="Arial" w:cs="Arial" w:eastAsia="Arial" w:hAnsi="Arial"/>
                <w:sz w:val="20"/>
                <w:szCs w:val="20"/>
                <w:color w:val="BDBDBD"/>
                <w:w w:val="94"/>
              </w:rPr>
              <w:t>. . . . . . . . . . . . . . . . . . . . . . . .</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w:t>
            </w:r>
          </w:p>
        </w:tc>
        <w:tc>
          <w:tcPr>
            <w:tcW w:w="20" w:type="dxa"/>
            <w:vAlign w:val="bottom"/>
          </w:tcPr>
          <w:p>
            <w:pPr>
              <w:spacing w:after="0"/>
              <w:rPr>
                <w:sz w:val="24"/>
                <w:szCs w:val="24"/>
                <w:color w:val="auto"/>
              </w:rPr>
            </w:pPr>
          </w:p>
        </w:tc>
      </w:tr>
      <w:tr>
        <w:trPr>
          <w:trHeight w:val="299"/>
        </w:trPr>
        <w:tc>
          <w:tcPr>
            <w:tcW w:w="64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w w:val="94"/>
              </w:rPr>
              <w:t xml:space="preserve">Cash received from notes receivable — affiliate </w:t>
            </w:r>
            <w:r>
              <w:rPr>
                <w:rFonts w:ascii="Arial" w:cs="Arial" w:eastAsia="Arial" w:hAnsi="Arial"/>
                <w:sz w:val="20"/>
                <w:szCs w:val="20"/>
                <w:color w:val="BDBDBD"/>
                <w:w w:val="94"/>
              </w:rPr>
              <w:t>. . . . . . . . . . . . . . . . . . . . . . .</w:t>
            </w:r>
          </w:p>
        </w:tc>
        <w:tc>
          <w:tcPr>
            <w:tcW w:w="300" w:type="dxa"/>
            <w:vAlign w:val="bottom"/>
            <w:tcBorders>
              <w:bottom w:val="single" w:sz="8" w:color="auto"/>
            </w:tcBorders>
            <w:shd w:val="clear" w:color="auto" w:fill="E6E6E6"/>
          </w:tcPr>
          <w:p>
            <w:pPr>
              <w:spacing w:after="0"/>
              <w:rPr>
                <w:sz w:val="24"/>
                <w:szCs w:val="24"/>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w:t>
            </w:r>
          </w:p>
        </w:tc>
        <w:tc>
          <w:tcPr>
            <w:tcW w:w="8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w:t>
            </w:r>
          </w:p>
        </w:tc>
        <w:tc>
          <w:tcPr>
            <w:tcW w:w="8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spacing w:after="0"/>
              <w:rPr>
                <w:sz w:val="24"/>
                <w:szCs w:val="24"/>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w:t>
            </w:r>
          </w:p>
        </w:tc>
        <w:tc>
          <w:tcPr>
            <w:tcW w:w="20" w:type="dxa"/>
            <w:vAlign w:val="bottom"/>
          </w:tcPr>
          <w:p>
            <w:pPr>
              <w:spacing w:after="0"/>
              <w:rPr>
                <w:sz w:val="24"/>
                <w:szCs w:val="24"/>
                <w:color w:val="auto"/>
              </w:rPr>
            </w:pPr>
          </w:p>
        </w:tc>
      </w:tr>
      <w:tr>
        <w:trPr>
          <w:trHeight w:val="249"/>
        </w:trPr>
        <w:tc>
          <w:tcPr>
            <w:tcW w:w="6480" w:type="dxa"/>
            <w:vAlign w:val="bottom"/>
          </w:tcPr>
          <w:p>
            <w:pPr>
              <w:jc w:val="right"/>
              <w:spacing w:after="0"/>
              <w:rPr>
                <w:sz w:val="20"/>
                <w:szCs w:val="20"/>
                <w:color w:val="auto"/>
              </w:rPr>
            </w:pPr>
            <w:r>
              <w:rPr>
                <w:rFonts w:ascii="Arial" w:cs="Arial" w:eastAsia="Arial" w:hAnsi="Arial"/>
                <w:sz w:val="20"/>
                <w:szCs w:val="20"/>
                <w:b w:val="1"/>
                <w:bCs w:val="1"/>
                <w:color w:val="BDBDBD"/>
                <w:w w:val="96"/>
              </w:rPr>
              <w:t>. . . . . . . . . . . . . . . . . . . .</w:t>
            </w:r>
            <w:r>
              <w:rPr>
                <w:rFonts w:ascii="Arial" w:cs="Arial" w:eastAsia="Arial" w:hAnsi="Arial"/>
                <w:sz w:val="20"/>
                <w:szCs w:val="20"/>
                <w:b w:val="1"/>
                <w:bCs w:val="1"/>
                <w:color w:val="000000"/>
                <w:w w:val="96"/>
              </w:rPr>
              <w:t>NetCashProvidedby(Usedin)InvestingActivities</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w:t>
            </w:r>
          </w:p>
        </w:tc>
        <w:tc>
          <w:tcPr>
            <w:tcW w:w="20" w:type="dxa"/>
            <w:vAlign w:val="bottom"/>
          </w:tcPr>
          <w:p>
            <w:pPr>
              <w:spacing w:after="0"/>
              <w:rPr>
                <w:sz w:val="21"/>
                <w:szCs w:val="21"/>
                <w:color w:val="auto"/>
              </w:rPr>
            </w:pPr>
          </w:p>
        </w:tc>
      </w:tr>
      <w:tr>
        <w:trPr>
          <w:trHeight w:val="289"/>
        </w:trPr>
        <w:tc>
          <w:tcPr>
            <w:tcW w:w="6480" w:type="dxa"/>
            <w:vAlign w:val="bottom"/>
            <w:shd w:val="clear" w:color="auto" w:fill="E6E6E6"/>
          </w:tcPr>
          <w:p>
            <w:pPr>
              <w:ind w:left="40"/>
              <w:spacing w:after="0"/>
              <w:rPr>
                <w:sz w:val="20"/>
                <w:szCs w:val="20"/>
                <w:color w:val="auto"/>
              </w:rPr>
            </w:pPr>
            <w:r>
              <w:rPr>
                <w:rFonts w:ascii="Arial" w:cs="Arial" w:eastAsia="Arial" w:hAnsi="Arial"/>
                <w:sz w:val="20"/>
                <w:szCs w:val="20"/>
                <w:b w:val="1"/>
                <w:bCs w:val="1"/>
                <w:color w:val="auto"/>
              </w:rPr>
              <w:t>Cash Flows from Financing Activities</w:t>
            </w:r>
          </w:p>
        </w:tc>
        <w:tc>
          <w:tcPr>
            <w:tcW w:w="300" w:type="dxa"/>
            <w:vAlign w:val="bottom"/>
            <w:shd w:val="clear" w:color="auto" w:fill="E6E6E6"/>
          </w:tcPr>
          <w:p>
            <w:pPr>
              <w:spacing w:after="0"/>
              <w:rPr>
                <w:sz w:val="24"/>
                <w:szCs w:val="24"/>
                <w:color w:val="auto"/>
              </w:rPr>
            </w:pPr>
          </w:p>
        </w:tc>
        <w:tc>
          <w:tcPr>
            <w:tcW w:w="88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02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c>
          <w:tcPr>
            <w:tcW w:w="20" w:type="dxa"/>
            <w:vAlign w:val="bottom"/>
          </w:tcPr>
          <w:p>
            <w:pPr>
              <w:spacing w:after="0"/>
              <w:rPr>
                <w:sz w:val="24"/>
                <w:szCs w:val="24"/>
                <w:color w:val="auto"/>
              </w:rPr>
            </w:pPr>
          </w:p>
        </w:tc>
      </w:tr>
      <w:tr>
        <w:trPr>
          <w:trHeight w:val="278"/>
        </w:trPr>
        <w:tc>
          <w:tcPr>
            <w:tcW w:w="6480" w:type="dxa"/>
            <w:vAlign w:val="bottom"/>
          </w:tcPr>
          <w:p>
            <w:pPr>
              <w:jc w:val="right"/>
              <w:spacing w:after="0"/>
              <w:rPr>
                <w:sz w:val="20"/>
                <w:szCs w:val="20"/>
                <w:color w:val="auto"/>
              </w:rPr>
            </w:pPr>
            <w:r>
              <w:rPr>
                <w:rFonts w:ascii="Arial" w:cs="Arial" w:eastAsia="Arial" w:hAnsi="Arial"/>
                <w:sz w:val="20"/>
                <w:szCs w:val="20"/>
                <w:color w:val="auto"/>
                <w:w w:val="95"/>
              </w:rPr>
              <w:t xml:space="preserve">Cash received from Clearway Energy LLC for tax-related distributions </w:t>
            </w:r>
            <w:r>
              <w:rPr>
                <w:rFonts w:ascii="Arial" w:cs="Arial" w:eastAsia="Arial" w:hAnsi="Arial"/>
                <w:sz w:val="20"/>
                <w:szCs w:val="20"/>
                <w:color w:val="BDBDBD"/>
                <w:w w:val="95"/>
              </w:rPr>
              <w:t>. . . . .</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r>
      <w:tr>
        <w:trPr>
          <w:trHeight w:val="289"/>
        </w:trPr>
        <w:tc>
          <w:tcPr>
            <w:tcW w:w="6480" w:type="dxa"/>
            <w:vAlign w:val="bottom"/>
            <w:shd w:val="clear" w:color="auto" w:fill="E6E6E6"/>
          </w:tcPr>
          <w:p>
            <w:pPr>
              <w:jc w:val="right"/>
              <w:spacing w:after="0"/>
              <w:rPr>
                <w:sz w:val="20"/>
                <w:szCs w:val="20"/>
                <w:color w:val="auto"/>
              </w:rPr>
            </w:pPr>
            <w:r>
              <w:rPr>
                <w:rFonts w:ascii="Arial" w:cs="Arial" w:eastAsia="Arial" w:hAnsi="Arial"/>
                <w:sz w:val="20"/>
                <w:szCs w:val="20"/>
                <w:color w:val="auto"/>
                <w:w w:val="95"/>
              </w:rPr>
              <w:t xml:space="preserve">Cash received from Clearway Energy LLC for the payment of dividends  </w:t>
            </w:r>
            <w:r>
              <w:rPr>
                <w:rFonts w:ascii="Arial" w:cs="Arial" w:eastAsia="Arial" w:hAnsi="Arial"/>
                <w:sz w:val="20"/>
                <w:szCs w:val="20"/>
                <w:color w:val="BDBDBD"/>
                <w:w w:val="95"/>
              </w:rPr>
              <w:t>. . .</w:t>
            </w:r>
          </w:p>
        </w:tc>
        <w:tc>
          <w:tcPr>
            <w:tcW w:w="300" w:type="dxa"/>
            <w:vAlign w:val="bottom"/>
            <w:shd w:val="clear" w:color="auto" w:fill="E6E6E6"/>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180</w:t>
            </w:r>
          </w:p>
        </w:tc>
        <w:tc>
          <w:tcPr>
            <w:tcW w:w="8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167</w:t>
            </w:r>
          </w:p>
        </w:tc>
        <w:tc>
          <w:tcPr>
            <w:tcW w:w="8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155</w:t>
            </w:r>
          </w:p>
        </w:tc>
        <w:tc>
          <w:tcPr>
            <w:tcW w:w="20" w:type="dxa"/>
            <w:vAlign w:val="bottom"/>
          </w:tcPr>
          <w:p>
            <w:pPr>
              <w:spacing w:after="0"/>
              <w:rPr>
                <w:sz w:val="24"/>
                <w:szCs w:val="24"/>
                <w:color w:val="auto"/>
              </w:rPr>
            </w:pPr>
          </w:p>
        </w:tc>
      </w:tr>
      <w:tr>
        <w:trPr>
          <w:trHeight w:val="274"/>
        </w:trPr>
        <w:tc>
          <w:tcPr>
            <w:tcW w:w="6480" w:type="dxa"/>
            <w:vAlign w:val="bottom"/>
            <w:tcBorders>
              <w:bottom w:val="single" w:sz="8" w:color="E6E6E6"/>
            </w:tcBorders>
          </w:tcPr>
          <w:p>
            <w:pPr>
              <w:jc w:val="right"/>
              <w:spacing w:after="0"/>
              <w:rPr>
                <w:sz w:val="20"/>
                <w:szCs w:val="20"/>
                <w:color w:val="auto"/>
              </w:rPr>
            </w:pPr>
            <w:r>
              <w:rPr>
                <w:rFonts w:ascii="Arial" w:cs="Arial" w:eastAsia="Arial" w:hAnsi="Arial"/>
                <w:sz w:val="20"/>
                <w:szCs w:val="20"/>
                <w:color w:val="auto"/>
                <w:w w:val="94"/>
              </w:rPr>
              <w:t xml:space="preserve">Payment of dividends </w:t>
            </w:r>
            <w:r>
              <w:rPr>
                <w:rFonts w:ascii="Arial" w:cs="Arial" w:eastAsia="Arial" w:hAnsi="Arial"/>
                <w:sz w:val="20"/>
                <w:szCs w:val="20"/>
                <w:color w:val="BDBDBD"/>
                <w:w w:val="94"/>
              </w:rPr>
              <w:t>. . . . . . . . . . . . . . . . . . . . . . . . . . . . . . . . . . . . . . . . . . . .</w:t>
            </w:r>
          </w:p>
        </w:tc>
        <w:tc>
          <w:tcPr>
            <w:tcW w:w="3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(180)</w:t>
            </w:r>
          </w:p>
        </w:tc>
        <w:tc>
          <w:tcPr>
            <w:tcW w:w="80" w:type="dxa"/>
            <w:vAlign w:val="bottom"/>
            <w:tcBorders>
              <w:bottom w:val="single" w:sz="8" w:color="E6E6E6"/>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(167)</w:t>
            </w:r>
          </w:p>
        </w:tc>
        <w:tc>
          <w:tcPr>
            <w:tcW w:w="80" w:type="dxa"/>
            <w:vAlign w:val="bottom"/>
            <w:tcBorders>
              <w:bottom w:val="single" w:sz="8" w:color="E6E6E6"/>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(155)</w:t>
            </w:r>
          </w:p>
        </w:tc>
        <w:tc>
          <w:tcPr>
            <w:tcW w:w="20" w:type="dxa"/>
            <w:vAlign w:val="bottom"/>
          </w:tcPr>
          <w:p>
            <w:pPr>
              <w:spacing w:after="0"/>
              <w:rPr>
                <w:sz w:val="23"/>
                <w:szCs w:val="23"/>
                <w:color w:val="auto"/>
              </w:rPr>
            </w:pPr>
          </w:p>
        </w:tc>
      </w:tr>
      <w:tr>
        <w:trPr>
          <w:trHeight w:val="274"/>
        </w:trPr>
        <w:tc>
          <w:tcPr>
            <w:tcW w:w="6480" w:type="dxa"/>
            <w:vAlign w:val="bottom"/>
            <w:shd w:val="clear" w:color="auto" w:fill="E6E6E6"/>
          </w:tcPr>
          <w:p>
            <w:pPr>
              <w:jc w:val="right"/>
              <w:spacing w:after="0"/>
              <w:rPr>
                <w:sz w:val="20"/>
                <w:szCs w:val="20"/>
                <w:color w:val="auto"/>
              </w:rPr>
            </w:pPr>
            <w:r>
              <w:rPr>
                <w:rFonts w:ascii="Arial" w:cs="Arial" w:eastAsia="Arial" w:hAnsi="Arial"/>
                <w:sz w:val="20"/>
                <w:szCs w:val="20"/>
                <w:b w:val="1"/>
                <w:bCs w:val="1"/>
                <w:color w:val="BDBDBD"/>
                <w:w w:val="95"/>
              </w:rPr>
              <w:t>. . . . . . . . . . . . . . . . . . . . . . . . . . .</w:t>
            </w:r>
            <w:r>
              <w:rPr>
                <w:rFonts w:ascii="Arial" w:cs="Arial" w:eastAsia="Arial" w:hAnsi="Arial"/>
                <w:sz w:val="20"/>
                <w:szCs w:val="20"/>
                <w:b w:val="1"/>
                <w:bCs w:val="1"/>
                <w:color w:val="000000"/>
                <w:w w:val="95"/>
              </w:rPr>
              <w:t>NetCashProvidedbyFinancingActivities</w:t>
            </w:r>
          </w:p>
        </w:tc>
        <w:tc>
          <w:tcPr>
            <w:tcW w:w="300" w:type="dxa"/>
            <w:vAlign w:val="bottom"/>
            <w:shd w:val="clear" w:color="auto" w:fill="E6E6E6"/>
          </w:tcPr>
          <w:p>
            <w:pPr>
              <w:spacing w:after="0"/>
              <w:rPr>
                <w:sz w:val="23"/>
                <w:szCs w:val="23"/>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30</w:t>
            </w:r>
          </w:p>
        </w:tc>
        <w:tc>
          <w:tcPr>
            <w:tcW w:w="80" w:type="dxa"/>
            <w:vAlign w:val="bottom"/>
            <w:shd w:val="clear" w:color="auto" w:fill="E6E6E6"/>
          </w:tcPr>
          <w:p>
            <w:pPr>
              <w:spacing w:after="0"/>
              <w:rPr>
                <w:sz w:val="23"/>
                <w:szCs w:val="23"/>
                <w:color w:val="auto"/>
              </w:rPr>
            </w:pPr>
          </w:p>
        </w:tc>
        <w:tc>
          <w:tcPr>
            <w:tcW w:w="160" w:type="dxa"/>
            <w:vAlign w:val="bottom"/>
            <w:shd w:val="clear" w:color="auto" w:fill="E6E6E6"/>
          </w:tcPr>
          <w:p>
            <w:pPr>
              <w:spacing w:after="0"/>
              <w:rPr>
                <w:sz w:val="23"/>
                <w:szCs w:val="23"/>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w:t>
            </w:r>
          </w:p>
        </w:tc>
        <w:tc>
          <w:tcPr>
            <w:tcW w:w="80" w:type="dxa"/>
            <w:vAlign w:val="bottom"/>
            <w:shd w:val="clear" w:color="auto" w:fill="E6E6E6"/>
          </w:tcPr>
          <w:p>
            <w:pPr>
              <w:spacing w:after="0"/>
              <w:rPr>
                <w:sz w:val="23"/>
                <w:szCs w:val="23"/>
                <w:color w:val="auto"/>
              </w:rPr>
            </w:pPr>
          </w:p>
        </w:tc>
        <w:tc>
          <w:tcPr>
            <w:tcW w:w="240" w:type="dxa"/>
            <w:vAlign w:val="bottom"/>
            <w:shd w:val="clear" w:color="auto" w:fill="E6E6E6"/>
          </w:tcPr>
          <w:p>
            <w:pPr>
              <w:spacing w:after="0"/>
              <w:rPr>
                <w:sz w:val="23"/>
                <w:szCs w:val="23"/>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3"/>
                <w:szCs w:val="23"/>
                <w:color w:val="auto"/>
              </w:rPr>
            </w:pPr>
          </w:p>
        </w:tc>
      </w:tr>
      <w:tr>
        <w:trPr>
          <w:trHeight w:val="278"/>
        </w:trPr>
        <w:tc>
          <w:tcPr>
            <w:tcW w:w="6480" w:type="dxa"/>
            <w:vAlign w:val="bottom"/>
          </w:tcPr>
          <w:p>
            <w:pPr>
              <w:jc w:val="right"/>
              <w:spacing w:after="0"/>
              <w:rPr>
                <w:sz w:val="20"/>
                <w:szCs w:val="20"/>
                <w:color w:val="auto"/>
              </w:rPr>
            </w:pPr>
            <w:r>
              <w:rPr>
                <w:rFonts w:ascii="Arial" w:cs="Arial" w:eastAsia="Arial" w:hAnsi="Arial"/>
                <w:sz w:val="20"/>
                <w:szCs w:val="20"/>
                <w:b w:val="1"/>
                <w:bCs w:val="1"/>
                <w:color w:val="auto"/>
                <w:w w:val="89"/>
              </w:rPr>
              <w:t xml:space="preserve">Net Change in Cash </w:t>
            </w:r>
            <w:r>
              <w:rPr>
                <w:rFonts w:ascii="Arial" w:cs="Arial" w:eastAsia="Arial" w:hAnsi="Arial"/>
                <w:sz w:val="20"/>
                <w:szCs w:val="20"/>
                <w:b w:val="1"/>
                <w:bCs w:val="1"/>
                <w:color w:val="BDBDBD"/>
                <w:w w:val="89"/>
              </w:rPr>
              <w:t>. . . . . . . . . . . . . . . . . . . . . . . . . . . . . . . . . . . . . . . . . . . . . . .</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r>
      <w:tr>
        <w:trPr>
          <w:trHeight w:val="299"/>
        </w:trPr>
        <w:tc>
          <w:tcPr>
            <w:tcW w:w="64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b w:val="1"/>
                <w:bCs w:val="1"/>
                <w:color w:val="auto"/>
                <w:w w:val="89"/>
              </w:rPr>
              <w:t xml:space="preserve">Cash at Beginning of Period </w:t>
            </w:r>
            <w:r>
              <w:rPr>
                <w:rFonts w:ascii="Arial" w:cs="Arial" w:eastAsia="Arial" w:hAnsi="Arial"/>
                <w:sz w:val="20"/>
                <w:szCs w:val="20"/>
                <w:b w:val="1"/>
                <w:bCs w:val="1"/>
                <w:color w:val="BDBDBD"/>
                <w:w w:val="89"/>
              </w:rPr>
              <w:t>. . . . . . . . . . . . . . . . . . . . . . . . . . . . . . . . . . . . . . . .</w:t>
            </w:r>
          </w:p>
        </w:tc>
        <w:tc>
          <w:tcPr>
            <w:tcW w:w="300" w:type="dxa"/>
            <w:vAlign w:val="bottom"/>
            <w:tcBorders>
              <w:bottom w:val="single" w:sz="8" w:color="auto"/>
            </w:tcBorders>
            <w:shd w:val="clear" w:color="auto" w:fill="E6E6E6"/>
          </w:tcPr>
          <w:p>
            <w:pPr>
              <w:spacing w:after="0"/>
              <w:rPr>
                <w:sz w:val="24"/>
                <w:szCs w:val="24"/>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spacing w:after="0"/>
              <w:rPr>
                <w:sz w:val="24"/>
                <w:szCs w:val="24"/>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4"/>
                <w:szCs w:val="24"/>
                <w:color w:val="auto"/>
              </w:rPr>
            </w:pPr>
          </w:p>
        </w:tc>
      </w:tr>
      <w:tr>
        <w:trPr>
          <w:trHeight w:val="225"/>
        </w:trPr>
        <w:tc>
          <w:tcPr>
            <w:tcW w:w="6480" w:type="dxa"/>
            <w:vAlign w:val="bottom"/>
          </w:tcPr>
          <w:p>
            <w:pPr>
              <w:jc w:val="right"/>
              <w:spacing w:after="0" w:line="225" w:lineRule="exact"/>
              <w:rPr>
                <w:sz w:val="20"/>
                <w:szCs w:val="20"/>
                <w:color w:val="auto"/>
              </w:rPr>
            </w:pPr>
            <w:r>
              <w:rPr>
                <w:rFonts w:ascii="Arial" w:cs="Arial" w:eastAsia="Arial" w:hAnsi="Arial"/>
                <w:sz w:val="20"/>
                <w:szCs w:val="20"/>
                <w:b w:val="1"/>
                <w:bCs w:val="1"/>
                <w:color w:val="BDBDBD"/>
                <w:w w:val="94"/>
              </w:rPr>
              <w:t>. . . . . . . . . . . . . . . . . . . . . . . . . . . . . . . . . . . . . . . . . . . . .</w:t>
            </w:r>
            <w:r>
              <w:rPr>
                <w:rFonts w:ascii="Arial" w:cs="Arial" w:eastAsia="Arial" w:hAnsi="Arial"/>
                <w:sz w:val="20"/>
                <w:szCs w:val="20"/>
                <w:b w:val="1"/>
                <w:bCs w:val="1"/>
                <w:color w:val="000000"/>
                <w:w w:val="94"/>
              </w:rPr>
              <w:t>CashatEndofPeriod</w:t>
            </w:r>
          </w:p>
        </w:tc>
        <w:tc>
          <w:tcPr>
            <w:tcW w:w="300" w:type="dxa"/>
            <w:vAlign w:val="bottom"/>
          </w:tcPr>
          <w:p>
            <w:pPr>
              <w:jc w:val="right"/>
              <w:ind w:right="41"/>
              <w:spacing w:after="0" w:line="225" w:lineRule="exact"/>
              <w:rPr>
                <w:sz w:val="20"/>
                <w:szCs w:val="20"/>
                <w:color w:val="auto"/>
              </w:rPr>
            </w:pPr>
            <w:r>
              <w:rPr>
                <w:rFonts w:ascii="Arial" w:cs="Arial" w:eastAsia="Arial" w:hAnsi="Arial"/>
                <w:sz w:val="20"/>
                <w:szCs w:val="20"/>
                <w:color w:val="auto"/>
              </w:rPr>
              <w:t>$</w:t>
            </w:r>
          </w:p>
        </w:tc>
        <w:tc>
          <w:tcPr>
            <w:tcW w:w="88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240" w:type="dxa"/>
            <w:vAlign w:val="bottom"/>
            <w:gridSpan w:val="2"/>
          </w:tcPr>
          <w:p>
            <w:pPr>
              <w:jc w:val="right"/>
              <w:ind w:right="20"/>
              <w:spacing w:after="0" w:line="225" w:lineRule="exact"/>
              <w:rPr>
                <w:sz w:val="20"/>
                <w:szCs w:val="20"/>
                <w:color w:val="auto"/>
              </w:rPr>
            </w:pPr>
            <w:r>
              <w:rPr>
                <w:rFonts w:ascii="Arial" w:cs="Arial" w:eastAsia="Arial" w:hAnsi="Arial"/>
                <w:sz w:val="20"/>
                <w:szCs w:val="20"/>
                <w:color w:val="auto"/>
              </w:rPr>
              <w:t>$</w:t>
            </w:r>
          </w:p>
        </w:tc>
        <w:tc>
          <w:tcPr>
            <w:tcW w:w="102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320" w:type="dxa"/>
            <w:vAlign w:val="bottom"/>
            <w:gridSpan w:val="2"/>
          </w:tcPr>
          <w:p>
            <w:pPr>
              <w:jc w:val="right"/>
              <w:ind w:right="100"/>
              <w:spacing w:after="0" w:line="225" w:lineRule="exact"/>
              <w:rPr>
                <w:sz w:val="20"/>
                <w:szCs w:val="20"/>
                <w:color w:val="auto"/>
              </w:rPr>
            </w:pPr>
            <w:r>
              <w:rPr>
                <w:rFonts w:ascii="Arial" w:cs="Arial" w:eastAsia="Arial" w:hAnsi="Arial"/>
                <w:sz w:val="20"/>
                <w:szCs w:val="20"/>
                <w:color w:val="auto"/>
              </w:rPr>
              <w:t>$</w:t>
            </w:r>
          </w:p>
        </w:tc>
        <w:tc>
          <w:tcPr>
            <w:tcW w:w="940" w:type="dxa"/>
            <w:vAlign w:val="bottom"/>
            <w:gridSpan w:val="2"/>
          </w:tcPr>
          <w:p>
            <w:pPr>
              <w:jc w:val="right"/>
              <w:ind w:right="100"/>
              <w:spacing w:after="0" w:line="225" w:lineRule="exact"/>
              <w:rPr>
                <w:sz w:val="20"/>
                <w:szCs w:val="20"/>
                <w:color w:val="auto"/>
              </w:rPr>
            </w:pPr>
            <w:r>
              <w:rPr>
                <w:rFonts w:ascii="Arial" w:cs="Arial" w:eastAsia="Arial" w:hAnsi="Arial"/>
                <w:sz w:val="20"/>
                <w:szCs w:val="20"/>
                <w:color w:val="auto"/>
              </w:rPr>
              <w:t>—</w:t>
            </w:r>
          </w:p>
        </w:tc>
      </w:tr>
      <w:tr>
        <w:trPr>
          <w:trHeight w:val="20"/>
        </w:trPr>
        <w:tc>
          <w:tcPr>
            <w:tcW w:w="6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4104005</wp:posOffset>
            </wp:positionH>
            <wp:positionV relativeFrom="paragraph">
              <wp:posOffset>-1651635</wp:posOffset>
            </wp:positionV>
            <wp:extent cx="2366010" cy="254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05">
                      <a:extLst>
                        <a:ext uri="{28A0092B-C50C-407E-A947-70E740481C1C}"/>
                      </a:extLst>
                    </a:blip>
                    <a:srcRect/>
                    <a:stretch>
                      <a:fillRect/>
                    </a:stretch>
                  </pic:blipFill>
                  <pic:spPr bwMode="auto">
                    <a:xfrm>
                      <a:off x="0" y="0"/>
                      <a:ext cx="2366010" cy="25400"/>
                    </a:xfrm>
                    <a:prstGeom prst="rect">
                      <a:avLst/>
                    </a:prstGeom>
                    <a:noFill/>
                  </pic:spPr>
                </pic:pic>
              </a:graphicData>
            </a:graphic>
          </wp:anchor>
        </w:drawing>
        <w:drawing>
          <wp:anchor simplePos="0" relativeHeight="251657728" behindDoc="1" locked="0" layoutInCell="0" allowOverlap="1">
            <wp:simplePos x="0" y="0"/>
            <wp:positionH relativeFrom="column">
              <wp:posOffset>4104005</wp:posOffset>
            </wp:positionH>
            <wp:positionV relativeFrom="paragraph">
              <wp:posOffset>-751205</wp:posOffset>
            </wp:positionV>
            <wp:extent cx="2366010" cy="254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06">
                      <a:extLst>
                        <a:ext uri="{28A0092B-C50C-407E-A947-70E740481C1C}"/>
                      </a:extLst>
                    </a:blip>
                    <a:srcRect/>
                    <a:stretch>
                      <a:fillRect/>
                    </a:stretch>
                  </pic:blipFill>
                  <pic:spPr bwMode="auto">
                    <a:xfrm>
                      <a:off x="0" y="0"/>
                      <a:ext cx="2366010" cy="25400"/>
                    </a:xfrm>
                    <a:prstGeom prst="rect">
                      <a:avLst/>
                    </a:prstGeom>
                    <a:noFill/>
                  </pic:spPr>
                </pic:pic>
              </a:graphicData>
            </a:graphic>
          </wp:anchor>
        </w:drawing>
        <w:drawing>
          <wp:anchor simplePos="0" relativeHeight="251657728" behindDoc="1" locked="0" layoutInCell="0" allowOverlap="1">
            <wp:simplePos x="0" y="0"/>
            <wp:positionH relativeFrom="column">
              <wp:posOffset>4104005</wp:posOffset>
            </wp:positionH>
            <wp:positionV relativeFrom="paragraph">
              <wp:posOffset>-210820</wp:posOffset>
            </wp:positionV>
            <wp:extent cx="2366010" cy="25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07">
                      <a:extLst>
                        <a:ext uri="{28A0092B-C50C-407E-A947-70E740481C1C}"/>
                      </a:extLst>
                    </a:blip>
                    <a:srcRect/>
                    <a:stretch>
                      <a:fillRect/>
                    </a:stretch>
                  </pic:blipFill>
                  <pic:spPr bwMode="auto">
                    <a:xfrm>
                      <a:off x="0" y="0"/>
                      <a:ext cx="2366010" cy="25400"/>
                    </a:xfrm>
                    <a:prstGeom prst="rect">
                      <a:avLst/>
                    </a:prstGeom>
                    <a:noFill/>
                  </pic:spPr>
                </pic:pic>
              </a:graphicData>
            </a:graphic>
          </wp:anchor>
        </w:drawing>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See accompanying notes to condensed financial statements.</w:t>
      </w:r>
    </w:p>
    <w:p>
      <w:pPr>
        <w:sectPr>
          <w:pgSz w:w="11880" w:h="15480" w:orient="portrait"/>
          <w:cols w:equalWidth="0" w:num="1">
            <w:col w:w="10180"/>
          </w:cols>
          <w:pgMar w:left="860" w:top="404"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127</w:t>
      </w:r>
    </w:p>
    <w:p>
      <w:pPr>
        <w:sectPr>
          <w:pgSz w:w="11880" w:h="15480" w:orient="portrait"/>
          <w:cols w:equalWidth="0" w:num="1">
            <w:col w:w="10180"/>
          </w:cols>
          <w:pgMar w:left="860" w:top="404" w:right="840" w:bottom="0" w:gutter="0" w:footer="0" w:header="0"/>
          <w:type w:val="continuous"/>
        </w:sectPr>
      </w:pPr>
    </w:p>
    <w:bookmarkStart w:id="129" w:name="page130"/>
    <w:bookmarkEnd w:id="129"/>
    <w:p>
      <w:pPr>
        <w:jc w:val="right"/>
        <w:spacing w:after="0"/>
        <w:rPr>
          <w:sz w:val="20"/>
          <w:szCs w:val="20"/>
          <w:color w:val="auto"/>
        </w:rPr>
      </w:pPr>
      <w:r>
        <w:rPr>
          <w:rFonts w:ascii="Arial" w:cs="Arial" w:eastAsia="Arial" w:hAnsi="Arial"/>
          <w:sz w:val="20"/>
          <w:szCs w:val="20"/>
          <w:b w:val="1"/>
          <w:bCs w:val="1"/>
          <w:color w:val="auto"/>
        </w:rPr>
        <w:t>Schedule I</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Clearway Energy, Inc. (Parent)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 Background and Basis of Presentation</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Background</w:t>
      </w:r>
    </w:p>
    <w:p>
      <w:pPr>
        <w:spacing w:after="0" w:line="196" w:lineRule="exact"/>
        <w:rPr>
          <w:sz w:val="20"/>
          <w:szCs w:val="20"/>
          <w:color w:val="auto"/>
        </w:rPr>
      </w:pPr>
    </w:p>
    <w:p>
      <w:pPr>
        <w:jc w:val="both"/>
        <w:ind w:firstLine="448"/>
        <w:spacing w:after="0" w:line="289" w:lineRule="auto"/>
        <w:rPr>
          <w:sz w:val="20"/>
          <w:szCs w:val="20"/>
          <w:color w:val="auto"/>
        </w:rPr>
      </w:pPr>
      <w:r>
        <w:rPr>
          <w:rFonts w:ascii="Arial" w:cs="Arial" w:eastAsia="Arial" w:hAnsi="Arial"/>
          <w:sz w:val="18"/>
          <w:szCs w:val="18"/>
          <w:color w:val="auto"/>
        </w:rPr>
        <w:t>Clearway Energy, Inc., together with its consolidated subsidiaries, or the Company, is a publicly-traded energy infrastructure investor with a focus on investments in clean energy and owner of modern, sustainable and long-term contracted assets across North America. The Company is sponsored by GIP and TotalEnergies through the portfolio company, Clearway Energy Group LLC, or CEG, which is equally owned by GIP and TotalEnergies. GIP is an independent infrastructure fund manager that makes equity and debt investments in infrastructure assets and businesses. TotalEnergies is a global multi-energy company. CEG is a leading developer of renewable energy infrastructure in the U.S.</w:t>
      </w:r>
    </w:p>
    <w:p>
      <w:pPr>
        <w:spacing w:after="0" w:line="116" w:lineRule="exact"/>
        <w:rPr>
          <w:sz w:val="20"/>
          <w:szCs w:val="20"/>
          <w:color w:val="auto"/>
        </w:rPr>
      </w:pPr>
    </w:p>
    <w:p>
      <w:pPr>
        <w:jc w:val="both"/>
        <w:ind w:firstLine="448"/>
        <w:spacing w:after="0" w:line="255" w:lineRule="auto"/>
        <w:rPr>
          <w:sz w:val="20"/>
          <w:szCs w:val="20"/>
          <w:color w:val="auto"/>
        </w:rPr>
      </w:pPr>
      <w:r>
        <w:rPr>
          <w:rFonts w:ascii="Arial" w:cs="Arial" w:eastAsia="Arial" w:hAnsi="Arial"/>
          <w:sz w:val="20"/>
          <w:szCs w:val="20"/>
          <w:color w:val="auto"/>
        </w:rPr>
        <w:t>The Company is one of the largest renewable energy owners in the U.S. with approximately 6,000 net MW of installed wind, solar and energy storage projects. The Company’s approximately 8,500 net MW of assets includes approximately 2,500 net MW of environmentally-sound, highly efficient natural gas-fired generation facilities. Through this environmentally-sound, diversified and primarily contracted portfolio, the Company endeavors to provide its investors with stable and growing dividend income. The majority of the Company’s revenues are derived from long-term contractual arrangements for the output or capacity from these assets.</w:t>
      </w:r>
    </w:p>
    <w:p>
      <w:pPr>
        <w:spacing w:after="0" w:line="146" w:lineRule="exact"/>
        <w:rPr>
          <w:sz w:val="20"/>
          <w:szCs w:val="20"/>
          <w:color w:val="auto"/>
        </w:rPr>
      </w:pPr>
    </w:p>
    <w:p>
      <w:pPr>
        <w:jc w:val="both"/>
        <w:ind w:firstLine="448"/>
        <w:spacing w:after="0" w:line="257" w:lineRule="auto"/>
        <w:rPr>
          <w:sz w:val="20"/>
          <w:szCs w:val="20"/>
          <w:color w:val="auto"/>
        </w:rPr>
      </w:pPr>
      <w:r>
        <w:rPr>
          <w:rFonts w:ascii="Arial" w:cs="Arial" w:eastAsia="Arial" w:hAnsi="Arial"/>
          <w:sz w:val="20"/>
          <w:szCs w:val="20"/>
          <w:color w:val="auto"/>
        </w:rPr>
        <w:t>The Company consolidates the results of Clearway Energy LLC through its controlling interest, with CEG’s interest shown as noncontrolling interest in the financial statements. The holders of the Company’s outstanding shares of Class A and Class C common stock are entitled to dividends as declared. CEG receives its distributions from Clearway Energy LLC through its ownership of Clearway Energy LLC Class B and Class D units. From time to time, CEG may also hold shares of the Company’s Class A and/or Class C common stock.</w:t>
      </w:r>
    </w:p>
    <w:p>
      <w:pPr>
        <w:spacing w:after="0" w:line="142" w:lineRule="exact"/>
        <w:rPr>
          <w:sz w:val="20"/>
          <w:szCs w:val="20"/>
          <w:color w:val="auto"/>
        </w:rPr>
      </w:pPr>
    </w:p>
    <w:p>
      <w:pPr>
        <w:jc w:val="both"/>
        <w:ind w:firstLine="448"/>
        <w:spacing w:after="0" w:line="280" w:lineRule="auto"/>
        <w:rPr>
          <w:sz w:val="20"/>
          <w:szCs w:val="20"/>
          <w:color w:val="auto"/>
        </w:rPr>
      </w:pPr>
      <w:r>
        <w:rPr>
          <w:rFonts w:ascii="Arial" w:cs="Arial" w:eastAsia="Arial" w:hAnsi="Arial"/>
          <w:sz w:val="20"/>
          <w:szCs w:val="20"/>
          <w:color w:val="auto"/>
        </w:rPr>
        <w:t>As of December 31, 2023, the Company owned 57.90% of the economic interests of Clearway Energy LLC, with CEG owning 42.10% of the economic interests of Clearway Energy LLC.</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of Presentation</w:t>
      </w:r>
    </w:p>
    <w:p>
      <w:pPr>
        <w:spacing w:after="0" w:line="196" w:lineRule="exact"/>
        <w:rPr>
          <w:sz w:val="20"/>
          <w:szCs w:val="20"/>
          <w:color w:val="auto"/>
        </w:rPr>
      </w:pPr>
    </w:p>
    <w:p>
      <w:pPr>
        <w:jc w:val="both"/>
        <w:ind w:firstLine="448"/>
        <w:spacing w:after="0" w:line="273" w:lineRule="auto"/>
        <w:rPr>
          <w:sz w:val="20"/>
          <w:szCs w:val="20"/>
          <w:color w:val="auto"/>
        </w:rPr>
      </w:pPr>
      <w:r>
        <w:rPr>
          <w:rFonts w:ascii="Arial" w:cs="Arial" w:eastAsia="Arial" w:hAnsi="Arial"/>
          <w:sz w:val="19"/>
          <w:szCs w:val="19"/>
          <w:color w:val="auto"/>
        </w:rPr>
        <w:t>The condensed parent-only company financial statements have been prepared in accordance with Rule 12-04 of Regulation S-X, as the restricted net assets of Clearway Energy, Inc.’s subsidiaries exceed 25% of the consolidated net assets of Clearway Energy, Inc. The parent’s 100% investment in its subsidiaries has been recorded using the equity basis of accounting in the accompanying condensed parent-only financial statements. These statements should be read in conjunction with the consolidated financial statements and notes thereto of Clearway Energy, Inc.</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 — Long-Term Debt</w:t>
      </w:r>
    </w:p>
    <w:p>
      <w:pPr>
        <w:spacing w:after="0" w:line="192" w:lineRule="exact"/>
        <w:rPr>
          <w:sz w:val="20"/>
          <w:szCs w:val="20"/>
          <w:color w:val="auto"/>
        </w:rPr>
      </w:pPr>
    </w:p>
    <w:p>
      <w:pPr>
        <w:jc w:val="both"/>
        <w:ind w:firstLine="448"/>
        <w:spacing w:after="0" w:line="284" w:lineRule="auto"/>
        <w:rPr>
          <w:sz w:val="20"/>
          <w:szCs w:val="20"/>
          <w:color w:val="auto"/>
        </w:rPr>
      </w:pPr>
      <w:r>
        <w:rPr>
          <w:rFonts w:ascii="Arial" w:cs="Arial" w:eastAsia="Arial" w:hAnsi="Arial"/>
          <w:sz w:val="20"/>
          <w:szCs w:val="20"/>
          <w:color w:val="auto"/>
        </w:rPr>
        <w:t xml:space="preserve">For a discussion of Clearway Energy, Inc.’s financing arrangements, see Note 10, </w:t>
      </w:r>
      <w:r>
        <w:rPr>
          <w:rFonts w:ascii="Arial" w:cs="Arial" w:eastAsia="Arial" w:hAnsi="Arial"/>
          <w:sz w:val="20"/>
          <w:szCs w:val="20"/>
          <w:b w:val="1"/>
          <w:bCs w:val="1"/>
          <w:i w:val="1"/>
          <w:iCs w:val="1"/>
          <w:color w:val="auto"/>
        </w:rPr>
        <w:t>Long-term Debt,</w:t>
      </w:r>
      <w:r>
        <w:rPr>
          <w:rFonts w:ascii="Arial" w:cs="Arial" w:eastAsia="Arial" w:hAnsi="Arial"/>
          <w:sz w:val="20"/>
          <w:szCs w:val="20"/>
          <w:color w:val="auto"/>
        </w:rPr>
        <w:t xml:space="preserve"> to the Company’s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3 — Commitments, Contingencies and Guarantees</w:t>
      </w:r>
    </w:p>
    <w:p>
      <w:pPr>
        <w:spacing w:after="0" w:line="192" w:lineRule="exact"/>
        <w:rPr>
          <w:sz w:val="20"/>
          <w:szCs w:val="20"/>
          <w:color w:val="auto"/>
        </w:rPr>
      </w:pPr>
    </w:p>
    <w:p>
      <w:pPr>
        <w:jc w:val="both"/>
        <w:ind w:firstLine="448"/>
        <w:spacing w:after="0" w:line="311" w:lineRule="auto"/>
        <w:rPr>
          <w:sz w:val="20"/>
          <w:szCs w:val="20"/>
          <w:color w:val="auto"/>
        </w:rPr>
      </w:pPr>
      <w:r>
        <w:rPr>
          <w:rFonts w:ascii="Arial" w:cs="Arial" w:eastAsia="Arial" w:hAnsi="Arial"/>
          <w:sz w:val="19"/>
          <w:szCs w:val="19"/>
          <w:color w:val="auto"/>
        </w:rPr>
        <w:t xml:space="preserve">See Note 14, </w:t>
      </w:r>
      <w:r>
        <w:rPr>
          <w:rFonts w:ascii="Arial" w:cs="Arial" w:eastAsia="Arial" w:hAnsi="Arial"/>
          <w:sz w:val="19"/>
          <w:szCs w:val="19"/>
          <w:b w:val="1"/>
          <w:bCs w:val="1"/>
          <w:i w:val="1"/>
          <w:iCs w:val="1"/>
          <w:color w:val="auto"/>
        </w:rPr>
        <w:t>Income Taxes,</w:t>
      </w:r>
      <w:r>
        <w:rPr>
          <w:rFonts w:ascii="Arial" w:cs="Arial" w:eastAsia="Arial" w:hAnsi="Arial"/>
          <w:sz w:val="19"/>
          <w:szCs w:val="19"/>
          <w:color w:val="auto"/>
        </w:rPr>
        <w:t xml:space="preserve"> and Note 16, </w:t>
      </w:r>
      <w:r>
        <w:rPr>
          <w:rFonts w:ascii="Arial" w:cs="Arial" w:eastAsia="Arial" w:hAnsi="Arial"/>
          <w:sz w:val="19"/>
          <w:szCs w:val="19"/>
          <w:b w:val="1"/>
          <w:bCs w:val="1"/>
          <w:i w:val="1"/>
          <w:iCs w:val="1"/>
          <w:color w:val="auto"/>
        </w:rPr>
        <w:t>Commitments and Contingencies,</w:t>
      </w:r>
      <w:r>
        <w:rPr>
          <w:rFonts w:ascii="Arial" w:cs="Arial" w:eastAsia="Arial" w:hAnsi="Arial"/>
          <w:sz w:val="19"/>
          <w:szCs w:val="19"/>
          <w:color w:val="auto"/>
        </w:rPr>
        <w:t xml:space="preserve"> to the Company’s consolidated financial statements for a detailed discussion of Clearway Energy, Inc.’s commitments and contingencies.</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4 — Dividends</w:t>
      </w:r>
    </w:p>
    <w:p>
      <w:pPr>
        <w:spacing w:after="0" w:line="195" w:lineRule="exact"/>
        <w:rPr>
          <w:sz w:val="20"/>
          <w:szCs w:val="20"/>
          <w:color w:val="auto"/>
        </w:rPr>
      </w:pPr>
    </w:p>
    <w:p>
      <w:pPr>
        <w:jc w:val="both"/>
        <w:ind w:firstLine="448"/>
        <w:spacing w:after="0" w:line="280" w:lineRule="auto"/>
        <w:rPr>
          <w:sz w:val="20"/>
          <w:szCs w:val="20"/>
          <w:color w:val="auto"/>
        </w:rPr>
      </w:pPr>
      <w:r>
        <w:rPr>
          <w:rFonts w:ascii="Arial" w:cs="Arial" w:eastAsia="Arial" w:hAnsi="Arial"/>
          <w:sz w:val="20"/>
          <w:szCs w:val="20"/>
          <w:color w:val="auto"/>
        </w:rPr>
        <w:t>Cash distributions paid to Clearway Energy, Inc. by its subsidiary, Clearway Energy LLC, were $180 million, $167 million and $155 million for the years ended December 31, 2023, 2022, and 2021, respectively.</w:t>
      </w:r>
    </w:p>
    <w:p>
      <w:pPr>
        <w:sectPr>
          <w:pgSz w:w="11880" w:h="15480" w:orient="portrait"/>
          <w:cols w:equalWidth="0" w:num="1">
            <w:col w:w="10200"/>
          </w:cols>
          <w:pgMar w:left="840" w:top="404"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128</w:t>
      </w:r>
    </w:p>
    <w:p>
      <w:pPr>
        <w:sectPr>
          <w:pgSz w:w="11880" w:h="15480" w:orient="portrait"/>
          <w:cols w:equalWidth="0" w:num="1">
            <w:col w:w="10200"/>
          </w:cols>
          <w:pgMar w:left="840" w:top="404" w:right="840" w:bottom="0" w:gutter="0" w:footer="0" w:header="0"/>
          <w:type w:val="continuous"/>
        </w:sectPr>
      </w:pPr>
    </w:p>
    <w:bookmarkStart w:id="130" w:name="page131"/>
    <w:bookmarkEnd w:id="130"/>
    <w:p>
      <w:pPr>
        <w:jc w:val="center"/>
        <w:spacing w:after="0"/>
        <w:rPr>
          <w:sz w:val="20"/>
          <w:szCs w:val="20"/>
          <w:color w:val="auto"/>
        </w:rPr>
      </w:pPr>
      <w:r>
        <w:rPr>
          <w:rFonts w:ascii="Arial" w:cs="Arial" w:eastAsia="Arial" w:hAnsi="Arial"/>
          <w:sz w:val="20"/>
          <w:szCs w:val="20"/>
          <w:b w:val="1"/>
          <w:bCs w:val="1"/>
          <w:color w:val="auto"/>
        </w:rPr>
        <w:t>SCHEDULE II. VALUATION AND QUALIFYING ACCOUNTS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 the Years Ended December 31, 2023, 2022, and 2021</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54"/>
              <w:spacing w:after="0"/>
              <w:rPr>
                <w:sz w:val="20"/>
                <w:szCs w:val="20"/>
                <w:color w:val="auto"/>
              </w:rPr>
            </w:pPr>
            <w:r>
              <w:rPr>
                <w:rFonts w:ascii="Arial" w:cs="Arial" w:eastAsia="Arial" w:hAnsi="Arial"/>
                <w:sz w:val="16"/>
                <w:szCs w:val="16"/>
                <w:b w:val="1"/>
                <w:bCs w:val="1"/>
                <w:color w:val="auto"/>
                <w:w w:val="87"/>
              </w:rPr>
              <w:t>Balance at</w:t>
            </w:r>
          </w:p>
        </w:tc>
        <w:tc>
          <w:tcPr>
            <w:tcW w:w="80" w:type="dxa"/>
            <w:vAlign w:val="bottom"/>
          </w:tcPr>
          <w:p>
            <w:pPr>
              <w:spacing w:after="0"/>
              <w:rPr>
                <w:sz w:val="16"/>
                <w:szCs w:val="16"/>
                <w:color w:val="auto"/>
              </w:rPr>
            </w:pPr>
          </w:p>
        </w:tc>
        <w:tc>
          <w:tcPr>
            <w:tcW w:w="10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Charged to</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vMerge w:val="restart"/>
          </w:tcPr>
          <w:p>
            <w:pPr>
              <w:jc w:val="center"/>
              <w:ind w:right="113"/>
              <w:spacing w:after="0"/>
              <w:rPr>
                <w:sz w:val="20"/>
                <w:szCs w:val="20"/>
                <w:color w:val="auto"/>
              </w:rPr>
            </w:pPr>
            <w:r>
              <w:rPr>
                <w:rFonts w:ascii="Arial" w:cs="Arial" w:eastAsia="Arial" w:hAnsi="Arial"/>
                <w:sz w:val="16"/>
                <w:szCs w:val="16"/>
                <w:b w:val="1"/>
                <w:bCs w:val="1"/>
                <w:color w:val="auto"/>
                <w:w w:val="92"/>
              </w:rPr>
              <w:t>Charged to</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restart"/>
          </w:tcPr>
          <w:p>
            <w:pPr>
              <w:jc w:val="right"/>
              <w:ind w:right="113"/>
              <w:spacing w:after="0"/>
              <w:rPr>
                <w:sz w:val="20"/>
                <w:szCs w:val="20"/>
                <w:color w:val="auto"/>
              </w:rPr>
            </w:pPr>
            <w:r>
              <w:rPr>
                <w:rFonts w:ascii="Arial" w:cs="Arial" w:eastAsia="Arial" w:hAnsi="Arial"/>
                <w:sz w:val="16"/>
                <w:szCs w:val="16"/>
                <w:b w:val="1"/>
                <w:bCs w:val="1"/>
                <w:color w:val="auto"/>
                <w:w w:val="92"/>
              </w:rPr>
              <w:t>Balance at</w:t>
            </w:r>
          </w:p>
        </w:tc>
        <w:tc>
          <w:tcPr>
            <w:tcW w:w="0" w:type="dxa"/>
            <w:vAlign w:val="bottom"/>
          </w:tcPr>
          <w:p>
            <w:pPr>
              <w:spacing w:after="0"/>
              <w:rPr>
                <w:sz w:val="1"/>
                <w:szCs w:val="1"/>
                <w:color w:val="auto"/>
              </w:rPr>
            </w:pPr>
          </w:p>
        </w:tc>
      </w:tr>
      <w:tr>
        <w:trPr>
          <w:trHeight w:val="159"/>
        </w:trPr>
        <w:tc>
          <w:tcPr>
            <w:tcW w:w="55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(In millions)</w:t>
            </w:r>
          </w:p>
        </w:tc>
        <w:tc>
          <w:tcPr>
            <w:tcW w:w="1020" w:type="dxa"/>
            <w:vAlign w:val="bottom"/>
            <w:gridSpan w:val="2"/>
          </w:tcPr>
          <w:p>
            <w:pPr>
              <w:jc w:val="center"/>
              <w:spacing w:after="0" w:line="159" w:lineRule="exact"/>
              <w:rPr>
                <w:sz w:val="20"/>
                <w:szCs w:val="20"/>
                <w:color w:val="auto"/>
              </w:rPr>
            </w:pPr>
            <w:r>
              <w:rPr>
                <w:rFonts w:ascii="Arial" w:cs="Arial" w:eastAsia="Arial" w:hAnsi="Arial"/>
                <w:sz w:val="16"/>
                <w:szCs w:val="16"/>
                <w:b w:val="1"/>
                <w:bCs w:val="1"/>
                <w:color w:val="auto"/>
                <w:w w:val="87"/>
              </w:rPr>
              <w:t>Beginning of</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ind w:right="74"/>
              <w:spacing w:after="0" w:line="159" w:lineRule="exact"/>
              <w:rPr>
                <w:sz w:val="20"/>
                <w:szCs w:val="20"/>
                <w:color w:val="auto"/>
              </w:rPr>
            </w:pPr>
            <w:r>
              <w:rPr>
                <w:rFonts w:ascii="Arial" w:cs="Arial" w:eastAsia="Arial" w:hAnsi="Arial"/>
                <w:sz w:val="16"/>
                <w:szCs w:val="16"/>
                <w:b w:val="1"/>
                <w:bCs w:val="1"/>
                <w:color w:val="auto"/>
                <w:w w:val="85"/>
              </w:rPr>
              <w:t>Costs and</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5540" w:type="dxa"/>
            <w:vAlign w:val="bottom"/>
            <w:tcBorders>
              <w:bottom w:val="single" w:sz="8" w:color="E6E6E6"/>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54"/>
              <w:spacing w:after="0"/>
              <w:rPr>
                <w:sz w:val="20"/>
                <w:szCs w:val="20"/>
                <w:color w:val="auto"/>
              </w:rPr>
            </w:pPr>
            <w:r>
              <w:rPr>
                <w:rFonts w:ascii="Arial" w:cs="Arial" w:eastAsia="Arial" w:hAnsi="Arial"/>
                <w:sz w:val="16"/>
                <w:szCs w:val="16"/>
                <w:b w:val="1"/>
                <w:bCs w:val="1"/>
                <w:color w:val="auto"/>
                <w:w w:val="92"/>
              </w:rPr>
              <w:t>Period</w:t>
            </w:r>
          </w:p>
        </w:tc>
        <w:tc>
          <w:tcPr>
            <w:tcW w:w="80" w:type="dxa"/>
            <w:vAlign w:val="bottom"/>
            <w:tcBorders>
              <w:bottom w:val="single" w:sz="8" w:color="E6E6E6"/>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74"/>
              <w:spacing w:after="0"/>
              <w:rPr>
                <w:sz w:val="20"/>
                <w:szCs w:val="20"/>
                <w:color w:val="auto"/>
              </w:rPr>
            </w:pPr>
            <w:r>
              <w:rPr>
                <w:rFonts w:ascii="Arial" w:cs="Arial" w:eastAsia="Arial" w:hAnsi="Arial"/>
                <w:sz w:val="16"/>
                <w:szCs w:val="16"/>
                <w:b w:val="1"/>
                <w:bCs w:val="1"/>
                <w:color w:val="auto"/>
                <w:w w:val="82"/>
              </w:rPr>
              <w:t>Expenses</w:t>
            </w:r>
          </w:p>
        </w:tc>
        <w:tc>
          <w:tcPr>
            <w:tcW w:w="80" w:type="dxa"/>
            <w:vAlign w:val="bottom"/>
            <w:tcBorders>
              <w:bottom w:val="single" w:sz="8" w:color="E6E6E6"/>
            </w:tcBorders>
          </w:tcPr>
          <w:p>
            <w:pPr>
              <w:spacing w:after="0"/>
              <w:rPr>
                <w:sz w:val="18"/>
                <w:szCs w:val="18"/>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8"/>
              </w:rPr>
              <w:t>Other Accounts</w:t>
            </w:r>
          </w:p>
        </w:tc>
        <w:tc>
          <w:tcPr>
            <w:tcW w:w="80" w:type="dxa"/>
            <w:vAlign w:val="bottom"/>
            <w:tcBorders>
              <w:bottom w:val="single" w:sz="8" w:color="E6E6E6"/>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8"/>
              </w:rPr>
              <w:t>End of Period</w:t>
            </w:r>
          </w:p>
        </w:tc>
        <w:tc>
          <w:tcPr>
            <w:tcW w:w="0" w:type="dxa"/>
            <w:vAlign w:val="bottom"/>
          </w:tcPr>
          <w:p>
            <w:pPr>
              <w:spacing w:after="0"/>
              <w:rPr>
                <w:sz w:val="1"/>
                <w:szCs w:val="1"/>
                <w:color w:val="auto"/>
              </w:rPr>
            </w:pPr>
          </w:p>
        </w:tc>
      </w:tr>
      <w:tr>
        <w:trPr>
          <w:trHeight w:val="274"/>
        </w:trPr>
        <w:tc>
          <w:tcPr>
            <w:tcW w:w="5540" w:type="dxa"/>
            <w:vAlign w:val="bottom"/>
            <w:shd w:val="clear" w:color="auto" w:fill="E6E6E6"/>
          </w:tcPr>
          <w:p>
            <w:pPr>
              <w:ind w:left="40"/>
              <w:spacing w:after="0"/>
              <w:rPr>
                <w:sz w:val="20"/>
                <w:szCs w:val="20"/>
                <w:color w:val="auto"/>
              </w:rPr>
            </w:pPr>
            <w:r>
              <w:rPr>
                <w:rFonts w:ascii="Arial" w:cs="Arial" w:eastAsia="Arial" w:hAnsi="Arial"/>
                <w:sz w:val="18"/>
                <w:szCs w:val="18"/>
                <w:b w:val="1"/>
                <w:bCs w:val="1"/>
                <w:color w:val="auto"/>
                <w:w w:val="95"/>
              </w:rPr>
              <w:t>Income tax valuation allowance, deducted from deferred tax assets</w:t>
            </w:r>
          </w:p>
        </w:tc>
        <w:tc>
          <w:tcPr>
            <w:tcW w:w="140" w:type="dxa"/>
            <w:vAlign w:val="bottom"/>
            <w:shd w:val="clear" w:color="auto" w:fill="E6E6E6"/>
          </w:tcPr>
          <w:p>
            <w:pPr>
              <w:spacing w:after="0"/>
              <w:rPr>
                <w:sz w:val="23"/>
                <w:szCs w:val="23"/>
                <w:color w:val="auto"/>
              </w:rPr>
            </w:pPr>
          </w:p>
        </w:tc>
        <w:tc>
          <w:tcPr>
            <w:tcW w:w="88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160" w:type="dxa"/>
            <w:vAlign w:val="bottom"/>
            <w:shd w:val="clear" w:color="auto" w:fill="E6E6E6"/>
          </w:tcPr>
          <w:p>
            <w:pPr>
              <w:spacing w:after="0"/>
              <w:rPr>
                <w:sz w:val="23"/>
                <w:szCs w:val="23"/>
                <w:color w:val="auto"/>
              </w:rPr>
            </w:pPr>
          </w:p>
        </w:tc>
        <w:tc>
          <w:tcPr>
            <w:tcW w:w="86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200" w:type="dxa"/>
            <w:vAlign w:val="bottom"/>
            <w:shd w:val="clear" w:color="auto" w:fill="E6E6E6"/>
          </w:tcPr>
          <w:p>
            <w:pPr>
              <w:spacing w:after="0"/>
              <w:rPr>
                <w:sz w:val="23"/>
                <w:szCs w:val="23"/>
                <w:color w:val="auto"/>
              </w:rPr>
            </w:pPr>
          </w:p>
        </w:tc>
        <w:tc>
          <w:tcPr>
            <w:tcW w:w="106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160" w:type="dxa"/>
            <w:vAlign w:val="bottom"/>
            <w:shd w:val="clear" w:color="auto" w:fill="E6E6E6"/>
          </w:tcPr>
          <w:p>
            <w:pPr>
              <w:spacing w:after="0"/>
              <w:rPr>
                <w:sz w:val="23"/>
                <w:szCs w:val="23"/>
                <w:color w:val="auto"/>
              </w:rPr>
            </w:pPr>
          </w:p>
        </w:tc>
        <w:tc>
          <w:tcPr>
            <w:tcW w:w="960" w:type="dxa"/>
            <w:vAlign w:val="bottom"/>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5540" w:type="dxa"/>
            <w:vAlign w:val="bottom"/>
          </w:tcPr>
          <w:p>
            <w:pPr>
              <w:ind w:left="40"/>
              <w:spacing w:after="0"/>
              <w:rPr>
                <w:sz w:val="20"/>
                <w:szCs w:val="20"/>
                <w:color w:val="auto"/>
              </w:rPr>
            </w:pPr>
            <w:r>
              <w:rPr>
                <w:rFonts w:ascii="Arial" w:cs="Arial" w:eastAsia="Arial" w:hAnsi="Arial"/>
                <w:sz w:val="18"/>
                <w:szCs w:val="18"/>
                <w:color w:val="auto"/>
                <w:w w:val="90"/>
              </w:rPr>
              <w:t xml:space="preserve">Year Ended December 31, 2023  </w:t>
            </w:r>
            <w:r>
              <w:rPr>
                <w:rFonts w:ascii="Arial" w:cs="Arial" w:eastAsia="Arial" w:hAnsi="Arial"/>
                <w:sz w:val="18"/>
                <w:szCs w:val="18"/>
                <w:color w:val="BDBDBD"/>
                <w:w w:val="90"/>
              </w:rPr>
              <w:t>. . . . . . . . . . . . . . . . . . . . . . . . . . . . . . . . . .</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6"/>
        </w:trPr>
        <w:tc>
          <w:tcPr>
            <w:tcW w:w="5540" w:type="dxa"/>
            <w:vAlign w:val="bottom"/>
            <w:shd w:val="clear" w:color="auto" w:fill="E6E6E6"/>
          </w:tcPr>
          <w:p>
            <w:pPr>
              <w:ind w:left="40"/>
              <w:spacing w:after="0"/>
              <w:rPr>
                <w:sz w:val="20"/>
                <w:szCs w:val="20"/>
                <w:color w:val="auto"/>
              </w:rPr>
            </w:pPr>
            <w:r>
              <w:rPr>
                <w:rFonts w:ascii="Arial" w:cs="Arial" w:eastAsia="Arial" w:hAnsi="Arial"/>
                <w:sz w:val="18"/>
                <w:szCs w:val="18"/>
                <w:color w:val="auto"/>
                <w:w w:val="90"/>
              </w:rPr>
              <w:t xml:space="preserve">Year Ended December 31, 2022  </w:t>
            </w:r>
            <w:r>
              <w:rPr>
                <w:rFonts w:ascii="Arial" w:cs="Arial" w:eastAsia="Arial" w:hAnsi="Arial"/>
                <w:sz w:val="18"/>
                <w:szCs w:val="18"/>
                <w:color w:val="BDBDBD"/>
                <w:w w:val="90"/>
              </w:rPr>
              <w:t>. . . . . . . . . . . . . . . . . . . . . . . . . . . . . . . . . .</w:t>
            </w:r>
          </w:p>
        </w:tc>
        <w:tc>
          <w:tcPr>
            <w:tcW w:w="140" w:type="dxa"/>
            <w:vAlign w:val="bottom"/>
            <w:shd w:val="clear" w:color="auto" w:fill="E6E6E6"/>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060" w:type="dxa"/>
            <w:vAlign w:val="bottom"/>
            <w:shd w:val="clear" w:color="auto" w:fill="E6E6E6"/>
          </w:tcPr>
          <w:p>
            <w:pPr>
              <w:ind w:left="800"/>
              <w:spacing w:after="0"/>
              <w:rPr>
                <w:sz w:val="20"/>
                <w:szCs w:val="20"/>
                <w:color w:val="auto"/>
              </w:rPr>
            </w:pPr>
            <w:r>
              <w:rPr>
                <w:rFonts w:ascii="Arial" w:cs="Arial" w:eastAsia="Arial" w:hAnsi="Arial"/>
                <w:sz w:val="18"/>
                <w:szCs w:val="18"/>
                <w:color w:val="auto"/>
              </w:rPr>
              <w:t>—</w:t>
            </w:r>
          </w:p>
        </w:tc>
        <w:tc>
          <w:tcPr>
            <w:tcW w:w="8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84"/>
        </w:trPr>
        <w:tc>
          <w:tcPr>
            <w:tcW w:w="5540" w:type="dxa"/>
            <w:vAlign w:val="bottom"/>
          </w:tcPr>
          <w:p>
            <w:pPr>
              <w:ind w:left="40"/>
              <w:spacing w:after="0"/>
              <w:rPr>
                <w:sz w:val="20"/>
                <w:szCs w:val="20"/>
                <w:color w:val="auto"/>
              </w:rPr>
            </w:pPr>
            <w:r>
              <w:rPr>
                <w:rFonts w:ascii="Arial" w:cs="Arial" w:eastAsia="Arial" w:hAnsi="Arial"/>
                <w:sz w:val="18"/>
                <w:szCs w:val="18"/>
                <w:color w:val="auto"/>
                <w:w w:val="90"/>
              </w:rPr>
              <w:t xml:space="preserve">Year Ended December 31, 2021  </w:t>
            </w:r>
            <w:r>
              <w:rPr>
                <w:rFonts w:ascii="Arial" w:cs="Arial" w:eastAsia="Arial" w:hAnsi="Arial"/>
                <w:sz w:val="18"/>
                <w:szCs w:val="18"/>
                <w:color w:val="BDBDBD"/>
                <w:w w:val="90"/>
              </w:rPr>
              <w:t>. . . . . . . . . . . . . . . . . . . . . . . . . . . . . . . . . .</w:t>
            </w: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-751840</wp:posOffset>
            </wp:positionV>
            <wp:extent cx="2992120" cy="254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08">
                      <a:extLst>
                        <a:ext uri="{28A0092B-C50C-407E-A947-70E740481C1C}"/>
                      </a:extLst>
                    </a:blip>
                    <a:srcRect/>
                    <a:stretch>
                      <a:fillRect/>
                    </a:stretch>
                  </pic:blipFill>
                  <pic:spPr bwMode="auto">
                    <a:xfrm>
                      <a:off x="0" y="0"/>
                      <a:ext cx="2992120" cy="25400"/>
                    </a:xfrm>
                    <a:prstGeom prst="rect">
                      <a:avLst/>
                    </a:prstGeom>
                    <a:noFill/>
                  </pic:spPr>
                </pic:pic>
              </a:graphicData>
            </a:graphic>
          </wp:anchor>
        </w:drawing>
      </w:r>
    </w:p>
    <w:p>
      <w:pPr>
        <w:sectPr>
          <w:pgSz w:w="11880" w:h="15480" w:orient="portrait"/>
          <w:cols w:equalWidth="0" w:num="1">
            <w:col w:w="10200"/>
          </w:cols>
          <w:pgMar w:left="840" w:top="404"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129</w:t>
      </w:r>
    </w:p>
    <w:p>
      <w:pPr>
        <w:sectPr>
          <w:pgSz w:w="11880" w:h="15480" w:orient="portrait"/>
          <w:cols w:equalWidth="0" w:num="1">
            <w:col w:w="10200"/>
          </w:cols>
          <w:pgMar w:left="840" w:top="404" w:right="840" w:bottom="0" w:gutter="0" w:footer="0" w:header="0"/>
          <w:type w:val="continuous"/>
        </w:sectPr>
      </w:pPr>
    </w:p>
    <w:bookmarkStart w:id="131" w:name="page132"/>
    <w:bookmarkEnd w:id="131"/>
    <w:tbl>
      <w:tblPr>
        <w:tblLayout w:type="fixed"/>
        <w:tblInd w:w="0" w:type="dxa"/>
        <w:tblCellMar>
          <w:top w:w="0" w:type="dxa"/>
          <w:left w:w="0" w:type="dxa"/>
          <w:bottom w:w="0" w:type="dxa"/>
          <w:right w:w="0" w:type="dxa"/>
        </w:tblCellMar>
      </w:tblPr>
      <w:tr>
        <w:trPr>
          <w:trHeight w:val="264"/>
        </w:trPr>
        <w:tc>
          <w:tcPr>
            <w:tcW w:w="780" w:type="dxa"/>
            <w:vAlign w:val="bottom"/>
          </w:tcPr>
          <w:p>
            <w:pPr>
              <w:spacing w:after="0"/>
              <w:rPr>
                <w:sz w:val="22"/>
                <w:szCs w:val="22"/>
                <w:color w:val="auto"/>
              </w:rPr>
            </w:pPr>
          </w:p>
        </w:tc>
        <w:tc>
          <w:tcPr>
            <w:tcW w:w="5300" w:type="dxa"/>
            <w:vAlign w:val="bottom"/>
          </w:tcPr>
          <w:p>
            <w:pPr>
              <w:ind w:left="3480"/>
              <w:spacing w:after="0"/>
              <w:rPr>
                <w:sz w:val="20"/>
                <w:szCs w:val="20"/>
                <w:color w:val="auto"/>
              </w:rPr>
            </w:pPr>
            <w:r>
              <w:rPr>
                <w:rFonts w:ascii="Arial" w:cs="Arial" w:eastAsia="Arial" w:hAnsi="Arial"/>
                <w:sz w:val="20"/>
                <w:szCs w:val="20"/>
                <w:b w:val="1"/>
                <w:bCs w:val="1"/>
                <w:color w:val="auto"/>
              </w:rPr>
              <w:t>EXHIBIT INDEX</w:t>
            </w:r>
          </w:p>
        </w:tc>
      </w:tr>
      <w:tr>
        <w:trPr>
          <w:trHeight w:val="294"/>
        </w:trPr>
        <w:tc>
          <w:tcPr>
            <w:tcW w:w="78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5300" w:type="dxa"/>
            <w:vAlign w:val="bottom"/>
          </w:tcPr>
          <w:p>
            <w:pPr>
              <w:ind w:left="140"/>
              <w:spacing w:after="0"/>
              <w:rPr>
                <w:sz w:val="20"/>
                <w:szCs w:val="20"/>
                <w:color w:val="auto"/>
              </w:rPr>
            </w:pPr>
            <w:r>
              <w:rPr>
                <w:rFonts w:ascii="Arial" w:cs="Arial" w:eastAsia="Arial" w:hAnsi="Arial"/>
                <w:sz w:val="18"/>
                <w:szCs w:val="18"/>
                <w:b w:val="1"/>
                <w:bCs w:val="1"/>
                <w:color w:val="auto"/>
              </w:rPr>
              <w:t>Description</w:t>
            </w:r>
          </w:p>
        </w:tc>
      </w:tr>
      <w:tr>
        <w:trPr>
          <w:trHeight w:val="233"/>
        </w:trPr>
        <w:tc>
          <w:tcPr>
            <w:tcW w:w="780" w:type="dxa"/>
            <w:vAlign w:val="bottom"/>
          </w:tcPr>
          <w:p>
            <w:pPr>
              <w:spacing w:after="0"/>
              <w:rPr>
                <w:sz w:val="20"/>
                <w:szCs w:val="20"/>
                <w:color w:val="auto"/>
              </w:rPr>
            </w:pPr>
            <w:r>
              <w:rPr>
                <w:rFonts w:ascii="Arial" w:cs="Arial" w:eastAsia="Arial" w:hAnsi="Arial"/>
                <w:sz w:val="18"/>
                <w:szCs w:val="18"/>
                <w:color w:val="auto"/>
              </w:rPr>
              <w:t>2.3</w:t>
            </w:r>
          </w:p>
        </w:tc>
        <w:tc>
          <w:tcPr>
            <w:tcW w:w="5300" w:type="dxa"/>
            <w:vAlign w:val="bottom"/>
          </w:tcPr>
          <w:p>
            <w:pPr>
              <w:ind w:left="140"/>
              <w:spacing w:after="0"/>
              <w:rPr>
                <w:sz w:val="20"/>
                <w:szCs w:val="20"/>
                <w:color w:val="auto"/>
              </w:rPr>
            </w:pPr>
            <w:r>
              <w:rPr>
                <w:rFonts w:ascii="Arial" w:cs="Arial" w:eastAsia="Arial" w:hAnsi="Arial"/>
                <w:sz w:val="18"/>
                <w:szCs w:val="18"/>
                <w:color w:val="auto"/>
                <w:w w:val="89"/>
              </w:rPr>
              <w:t>Purchase and Sale Agreement, dated as of November 19, 2020, by and</w:t>
            </w:r>
          </w:p>
        </w:tc>
      </w:tr>
      <w:tr>
        <w:trPr>
          <w:trHeight w:val="179"/>
        </w:trPr>
        <w:tc>
          <w:tcPr>
            <w:tcW w:w="780" w:type="dxa"/>
            <w:vAlign w:val="bottom"/>
          </w:tcPr>
          <w:p>
            <w:pPr>
              <w:spacing w:after="0"/>
              <w:rPr>
                <w:sz w:val="15"/>
                <w:szCs w:val="15"/>
                <w:color w:val="auto"/>
              </w:rPr>
            </w:pPr>
          </w:p>
        </w:tc>
        <w:tc>
          <w:tcPr>
            <w:tcW w:w="5300" w:type="dxa"/>
            <w:vAlign w:val="bottom"/>
          </w:tcPr>
          <w:p>
            <w:pPr>
              <w:ind w:left="140"/>
              <w:spacing w:after="0" w:line="179" w:lineRule="exact"/>
              <w:rPr>
                <w:sz w:val="20"/>
                <w:szCs w:val="20"/>
                <w:color w:val="auto"/>
              </w:rPr>
            </w:pPr>
            <w:r>
              <w:rPr>
                <w:rFonts w:ascii="Arial" w:cs="Arial" w:eastAsia="Arial" w:hAnsi="Arial"/>
                <w:sz w:val="18"/>
                <w:szCs w:val="18"/>
                <w:color w:val="auto"/>
                <w:w w:val="96"/>
              </w:rPr>
              <w:t>between NRG Solar Sunrise LLC and Clearway AC Solar Holdings</w:t>
            </w:r>
          </w:p>
        </w:tc>
      </w:tr>
      <w:tr>
        <w:trPr>
          <w:trHeight w:val="234"/>
        </w:trPr>
        <w:tc>
          <w:tcPr>
            <w:tcW w:w="780" w:type="dxa"/>
            <w:vAlign w:val="bottom"/>
          </w:tcPr>
          <w:p>
            <w:pPr>
              <w:spacing w:after="0"/>
              <w:rPr>
                <w:sz w:val="20"/>
                <w:szCs w:val="20"/>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rPr>
              <w:t>LLC.</w:t>
            </w:r>
          </w:p>
        </w:tc>
      </w:tr>
      <w:tr>
        <w:trPr>
          <w:trHeight w:val="228"/>
        </w:trPr>
        <w:tc>
          <w:tcPr>
            <w:tcW w:w="780" w:type="dxa"/>
            <w:vAlign w:val="bottom"/>
          </w:tcPr>
          <w:p>
            <w:pPr>
              <w:spacing w:after="0"/>
              <w:rPr>
                <w:sz w:val="20"/>
                <w:szCs w:val="20"/>
                <w:color w:val="auto"/>
              </w:rPr>
            </w:pPr>
            <w:r>
              <w:rPr>
                <w:rFonts w:ascii="Arial" w:cs="Arial" w:eastAsia="Arial" w:hAnsi="Arial"/>
                <w:sz w:val="18"/>
                <w:szCs w:val="18"/>
                <w:color w:val="auto"/>
              </w:rPr>
              <w:t>3.1</w:t>
            </w:r>
          </w:p>
        </w:tc>
        <w:tc>
          <w:tcPr>
            <w:tcW w:w="5300" w:type="dxa"/>
            <w:vAlign w:val="bottom"/>
          </w:tcPr>
          <w:p>
            <w:pPr>
              <w:ind w:left="140"/>
              <w:spacing w:after="0"/>
              <w:rPr>
                <w:sz w:val="20"/>
                <w:szCs w:val="20"/>
                <w:color w:val="auto"/>
              </w:rPr>
            </w:pPr>
            <w:r>
              <w:rPr>
                <w:rFonts w:ascii="Arial" w:cs="Arial" w:eastAsia="Arial" w:hAnsi="Arial"/>
                <w:sz w:val="18"/>
                <w:szCs w:val="18"/>
                <w:color w:val="auto"/>
                <w:w w:val="95"/>
              </w:rPr>
              <w:t>Amended  and  Restated  Certificate  of  Incorporation  of  Clearway</w:t>
            </w:r>
          </w:p>
        </w:tc>
      </w:tr>
      <w:tr>
        <w:trPr>
          <w:trHeight w:val="234"/>
        </w:trPr>
        <w:tc>
          <w:tcPr>
            <w:tcW w:w="780" w:type="dxa"/>
            <w:vAlign w:val="bottom"/>
          </w:tcPr>
          <w:p>
            <w:pPr>
              <w:spacing w:after="0"/>
              <w:rPr>
                <w:sz w:val="20"/>
                <w:szCs w:val="20"/>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rPr>
              <w:t>Energy, Inc.</w:t>
            </w:r>
          </w:p>
        </w:tc>
      </w:tr>
      <w:tr>
        <w:trPr>
          <w:trHeight w:val="407"/>
        </w:trPr>
        <w:tc>
          <w:tcPr>
            <w:tcW w:w="780" w:type="dxa"/>
            <w:vAlign w:val="bottom"/>
          </w:tcPr>
          <w:p>
            <w:pPr>
              <w:spacing w:after="0"/>
              <w:rPr>
                <w:sz w:val="20"/>
                <w:szCs w:val="20"/>
                <w:color w:val="auto"/>
              </w:rPr>
            </w:pPr>
            <w:r>
              <w:rPr>
                <w:rFonts w:ascii="Arial" w:cs="Arial" w:eastAsia="Arial" w:hAnsi="Arial"/>
                <w:sz w:val="18"/>
                <w:szCs w:val="18"/>
                <w:color w:val="auto"/>
              </w:rPr>
              <w:t>3.2</w:t>
            </w:r>
          </w:p>
        </w:tc>
        <w:tc>
          <w:tcPr>
            <w:tcW w:w="5300" w:type="dxa"/>
            <w:vAlign w:val="bottom"/>
          </w:tcPr>
          <w:p>
            <w:pPr>
              <w:ind w:left="140"/>
              <w:spacing w:after="0"/>
              <w:rPr>
                <w:sz w:val="20"/>
                <w:szCs w:val="20"/>
                <w:color w:val="auto"/>
              </w:rPr>
            </w:pPr>
            <w:r>
              <w:rPr>
                <w:rFonts w:ascii="Arial" w:cs="Arial" w:eastAsia="Arial" w:hAnsi="Arial"/>
                <w:sz w:val="18"/>
                <w:szCs w:val="18"/>
                <w:color w:val="auto"/>
                <w:w w:val="91"/>
              </w:rPr>
              <w:t>Fourth Amended and Restated Bylaws of Clearway Energy, Inc., dated</w:t>
            </w:r>
          </w:p>
        </w:tc>
      </w:tr>
      <w:tr>
        <w:trPr>
          <w:trHeight w:val="234"/>
        </w:trPr>
        <w:tc>
          <w:tcPr>
            <w:tcW w:w="780" w:type="dxa"/>
            <w:vAlign w:val="bottom"/>
          </w:tcPr>
          <w:p>
            <w:pPr>
              <w:spacing w:after="0"/>
              <w:rPr>
                <w:sz w:val="20"/>
                <w:szCs w:val="20"/>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rPr>
              <w:t>August 31, 2018.</w:t>
            </w:r>
          </w:p>
        </w:tc>
      </w:tr>
      <w:tr>
        <w:trPr>
          <w:trHeight w:val="407"/>
        </w:trPr>
        <w:tc>
          <w:tcPr>
            <w:tcW w:w="780" w:type="dxa"/>
            <w:vAlign w:val="bottom"/>
          </w:tcPr>
          <w:p>
            <w:pPr>
              <w:spacing w:after="0"/>
              <w:rPr>
                <w:sz w:val="20"/>
                <w:szCs w:val="20"/>
                <w:color w:val="auto"/>
              </w:rPr>
            </w:pPr>
            <w:r>
              <w:rPr>
                <w:rFonts w:ascii="Arial" w:cs="Arial" w:eastAsia="Arial" w:hAnsi="Arial"/>
                <w:sz w:val="18"/>
                <w:szCs w:val="18"/>
                <w:color w:val="auto"/>
              </w:rPr>
              <w:t>4.1</w:t>
            </w:r>
          </w:p>
        </w:tc>
        <w:tc>
          <w:tcPr>
            <w:tcW w:w="5300" w:type="dxa"/>
            <w:vAlign w:val="bottom"/>
          </w:tcPr>
          <w:p>
            <w:pPr>
              <w:ind w:left="140"/>
              <w:spacing w:after="0"/>
              <w:rPr>
                <w:sz w:val="20"/>
                <w:szCs w:val="20"/>
                <w:color w:val="auto"/>
              </w:rPr>
            </w:pPr>
            <w:r>
              <w:rPr>
                <w:rFonts w:ascii="Arial" w:cs="Arial" w:eastAsia="Arial" w:hAnsi="Arial"/>
                <w:sz w:val="18"/>
                <w:szCs w:val="18"/>
                <w:color w:val="auto"/>
                <w:w w:val="93"/>
              </w:rPr>
              <w:t>Fourth Amended and Restated Limited Liability Company Agreement</w:t>
            </w:r>
          </w:p>
        </w:tc>
      </w:tr>
      <w:tr>
        <w:trPr>
          <w:trHeight w:val="179"/>
        </w:trPr>
        <w:tc>
          <w:tcPr>
            <w:tcW w:w="780" w:type="dxa"/>
            <w:vAlign w:val="bottom"/>
          </w:tcPr>
          <w:p>
            <w:pPr>
              <w:spacing w:after="0"/>
              <w:rPr>
                <w:sz w:val="15"/>
                <w:szCs w:val="15"/>
                <w:color w:val="auto"/>
              </w:rPr>
            </w:pPr>
          </w:p>
        </w:tc>
        <w:tc>
          <w:tcPr>
            <w:tcW w:w="5300" w:type="dxa"/>
            <w:vAlign w:val="bottom"/>
          </w:tcPr>
          <w:p>
            <w:pPr>
              <w:ind w:left="140"/>
              <w:spacing w:after="0" w:line="179" w:lineRule="exact"/>
              <w:rPr>
                <w:sz w:val="20"/>
                <w:szCs w:val="20"/>
                <w:color w:val="auto"/>
              </w:rPr>
            </w:pPr>
            <w:r>
              <w:rPr>
                <w:rFonts w:ascii="Arial" w:cs="Arial" w:eastAsia="Arial" w:hAnsi="Arial"/>
                <w:sz w:val="18"/>
                <w:szCs w:val="18"/>
                <w:color w:val="auto"/>
                <w:w w:val="91"/>
              </w:rPr>
              <w:t>of NRG Yield LLC, dated as of August 31, 2018, by and between NRG</w:t>
            </w:r>
          </w:p>
        </w:tc>
      </w:tr>
      <w:tr>
        <w:trPr>
          <w:trHeight w:val="234"/>
        </w:trPr>
        <w:tc>
          <w:tcPr>
            <w:tcW w:w="780" w:type="dxa"/>
            <w:vAlign w:val="bottom"/>
          </w:tcPr>
          <w:p>
            <w:pPr>
              <w:spacing w:after="0"/>
              <w:rPr>
                <w:sz w:val="20"/>
                <w:szCs w:val="20"/>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rPr>
              <w:t>Yield, Inc. and Zephyr Renewables LLC.</w:t>
            </w:r>
          </w:p>
        </w:tc>
      </w:tr>
      <w:tr>
        <w:trPr>
          <w:trHeight w:val="282"/>
        </w:trPr>
        <w:tc>
          <w:tcPr>
            <w:tcW w:w="780" w:type="dxa"/>
            <w:vAlign w:val="bottom"/>
          </w:tcPr>
          <w:p>
            <w:pPr>
              <w:spacing w:after="0"/>
              <w:rPr>
                <w:sz w:val="20"/>
                <w:szCs w:val="20"/>
                <w:color w:val="auto"/>
              </w:rPr>
            </w:pPr>
            <w:r>
              <w:rPr>
                <w:rFonts w:ascii="Arial" w:cs="Arial" w:eastAsia="Arial" w:hAnsi="Arial"/>
                <w:sz w:val="18"/>
                <w:szCs w:val="18"/>
                <w:color w:val="auto"/>
              </w:rPr>
              <w:t>4.2</w:t>
            </w:r>
          </w:p>
        </w:tc>
        <w:tc>
          <w:tcPr>
            <w:tcW w:w="5300" w:type="dxa"/>
            <w:vAlign w:val="bottom"/>
          </w:tcPr>
          <w:p>
            <w:pPr>
              <w:ind w:left="140"/>
              <w:spacing w:after="0"/>
              <w:rPr>
                <w:sz w:val="20"/>
                <w:szCs w:val="20"/>
                <w:color w:val="auto"/>
              </w:rPr>
            </w:pPr>
            <w:r>
              <w:rPr>
                <w:rFonts w:ascii="Arial" w:cs="Arial" w:eastAsia="Arial" w:hAnsi="Arial"/>
                <w:sz w:val="18"/>
                <w:szCs w:val="18"/>
                <w:color w:val="auto"/>
              </w:rPr>
              <w:t>Specimen Class A Common Stock Certificate.</w:t>
            </w:r>
          </w:p>
        </w:tc>
      </w:tr>
      <w:tr>
        <w:trPr>
          <w:trHeight w:val="642"/>
        </w:trPr>
        <w:tc>
          <w:tcPr>
            <w:tcW w:w="780" w:type="dxa"/>
            <w:vAlign w:val="bottom"/>
          </w:tcPr>
          <w:p>
            <w:pPr>
              <w:spacing w:after="0"/>
              <w:rPr>
                <w:sz w:val="20"/>
                <w:szCs w:val="20"/>
                <w:color w:val="auto"/>
              </w:rPr>
            </w:pPr>
            <w:r>
              <w:rPr>
                <w:rFonts w:ascii="Arial" w:cs="Arial" w:eastAsia="Arial" w:hAnsi="Arial"/>
                <w:sz w:val="18"/>
                <w:szCs w:val="18"/>
                <w:color w:val="auto"/>
              </w:rPr>
              <w:t>4.3</w:t>
            </w:r>
          </w:p>
        </w:tc>
        <w:tc>
          <w:tcPr>
            <w:tcW w:w="5300" w:type="dxa"/>
            <w:vAlign w:val="bottom"/>
          </w:tcPr>
          <w:p>
            <w:pPr>
              <w:ind w:left="140"/>
              <w:spacing w:after="0"/>
              <w:rPr>
                <w:sz w:val="20"/>
                <w:szCs w:val="20"/>
                <w:color w:val="auto"/>
              </w:rPr>
            </w:pPr>
            <w:r>
              <w:rPr>
                <w:rFonts w:ascii="Arial" w:cs="Arial" w:eastAsia="Arial" w:hAnsi="Arial"/>
                <w:sz w:val="18"/>
                <w:szCs w:val="18"/>
                <w:color w:val="auto"/>
              </w:rPr>
              <w:t>Specimen Class C Common Stock Certificate.</w:t>
            </w:r>
          </w:p>
        </w:tc>
      </w:tr>
      <w:tr>
        <w:trPr>
          <w:trHeight w:val="588"/>
        </w:trPr>
        <w:tc>
          <w:tcPr>
            <w:tcW w:w="780" w:type="dxa"/>
            <w:vAlign w:val="bottom"/>
          </w:tcPr>
          <w:p>
            <w:pPr>
              <w:spacing w:after="0"/>
              <w:rPr>
                <w:sz w:val="20"/>
                <w:szCs w:val="20"/>
                <w:color w:val="auto"/>
              </w:rPr>
            </w:pPr>
            <w:r>
              <w:rPr>
                <w:rFonts w:ascii="Arial" w:cs="Arial" w:eastAsia="Arial" w:hAnsi="Arial"/>
                <w:sz w:val="18"/>
                <w:szCs w:val="18"/>
                <w:color w:val="auto"/>
              </w:rPr>
              <w:t>4.4</w:t>
            </w:r>
          </w:p>
        </w:tc>
        <w:tc>
          <w:tcPr>
            <w:tcW w:w="5300" w:type="dxa"/>
            <w:vAlign w:val="bottom"/>
          </w:tcPr>
          <w:p>
            <w:pPr>
              <w:ind w:left="140"/>
              <w:spacing w:after="0"/>
              <w:rPr>
                <w:sz w:val="20"/>
                <w:szCs w:val="20"/>
                <w:color w:val="auto"/>
              </w:rPr>
            </w:pPr>
            <w:r>
              <w:rPr>
                <w:rFonts w:ascii="Arial" w:cs="Arial" w:eastAsia="Arial" w:hAnsi="Arial"/>
                <w:sz w:val="18"/>
                <w:szCs w:val="18"/>
                <w:color w:val="auto"/>
                <w:w w:val="95"/>
              </w:rPr>
              <w:t>Indenture,  dated  December  11,  2019,  among  Clearway  Energy</w:t>
            </w:r>
          </w:p>
        </w:tc>
      </w:tr>
      <w:tr>
        <w:trPr>
          <w:trHeight w:val="179"/>
        </w:trPr>
        <w:tc>
          <w:tcPr>
            <w:tcW w:w="780" w:type="dxa"/>
            <w:vAlign w:val="bottom"/>
          </w:tcPr>
          <w:p>
            <w:pPr>
              <w:spacing w:after="0"/>
              <w:rPr>
                <w:sz w:val="15"/>
                <w:szCs w:val="15"/>
                <w:color w:val="auto"/>
              </w:rPr>
            </w:pPr>
          </w:p>
        </w:tc>
        <w:tc>
          <w:tcPr>
            <w:tcW w:w="5300" w:type="dxa"/>
            <w:vAlign w:val="bottom"/>
          </w:tcPr>
          <w:p>
            <w:pPr>
              <w:ind w:left="140"/>
              <w:spacing w:after="0" w:line="179" w:lineRule="exact"/>
              <w:rPr>
                <w:sz w:val="20"/>
                <w:szCs w:val="20"/>
                <w:color w:val="auto"/>
              </w:rPr>
            </w:pPr>
            <w:r>
              <w:rPr>
                <w:rFonts w:ascii="Arial" w:cs="Arial" w:eastAsia="Arial" w:hAnsi="Arial"/>
                <w:sz w:val="18"/>
                <w:szCs w:val="18"/>
                <w:color w:val="auto"/>
                <w:w w:val="97"/>
              </w:rPr>
              <w:t>Operating LLC, the guarantors named therein and Delaware Trust</w:t>
            </w:r>
          </w:p>
        </w:tc>
      </w:tr>
      <w:tr>
        <w:trPr>
          <w:trHeight w:val="234"/>
        </w:trPr>
        <w:tc>
          <w:tcPr>
            <w:tcW w:w="780" w:type="dxa"/>
            <w:vAlign w:val="bottom"/>
          </w:tcPr>
          <w:p>
            <w:pPr>
              <w:spacing w:after="0"/>
              <w:rPr>
                <w:sz w:val="20"/>
                <w:szCs w:val="20"/>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rPr>
              <w:t>Company, as trustee.</w:t>
            </w:r>
          </w:p>
        </w:tc>
      </w:tr>
      <w:tr>
        <w:trPr>
          <w:trHeight w:val="282"/>
        </w:trPr>
        <w:tc>
          <w:tcPr>
            <w:tcW w:w="780" w:type="dxa"/>
            <w:vAlign w:val="bottom"/>
          </w:tcPr>
          <w:p>
            <w:pPr>
              <w:spacing w:after="0"/>
              <w:rPr>
                <w:sz w:val="20"/>
                <w:szCs w:val="20"/>
                <w:color w:val="auto"/>
              </w:rPr>
            </w:pPr>
            <w:r>
              <w:rPr>
                <w:rFonts w:ascii="Arial" w:cs="Arial" w:eastAsia="Arial" w:hAnsi="Arial"/>
                <w:sz w:val="18"/>
                <w:szCs w:val="18"/>
                <w:color w:val="auto"/>
              </w:rPr>
              <w:t>4.5</w:t>
            </w:r>
          </w:p>
        </w:tc>
        <w:tc>
          <w:tcPr>
            <w:tcW w:w="5300" w:type="dxa"/>
            <w:vAlign w:val="bottom"/>
          </w:tcPr>
          <w:p>
            <w:pPr>
              <w:ind w:left="140"/>
              <w:spacing w:after="0"/>
              <w:rPr>
                <w:sz w:val="20"/>
                <w:szCs w:val="20"/>
                <w:color w:val="auto"/>
              </w:rPr>
            </w:pPr>
            <w:r>
              <w:rPr>
                <w:rFonts w:ascii="Arial" w:cs="Arial" w:eastAsia="Arial" w:hAnsi="Arial"/>
                <w:sz w:val="18"/>
                <w:szCs w:val="18"/>
                <w:color w:val="auto"/>
              </w:rPr>
              <w:t>Form of 4.750% Senior Notes due 2028.</w:t>
            </w:r>
          </w:p>
        </w:tc>
      </w:tr>
      <w:tr>
        <w:trPr>
          <w:trHeight w:val="588"/>
        </w:trPr>
        <w:tc>
          <w:tcPr>
            <w:tcW w:w="780" w:type="dxa"/>
            <w:vAlign w:val="bottom"/>
          </w:tcPr>
          <w:p>
            <w:pPr>
              <w:spacing w:after="0"/>
              <w:rPr>
                <w:sz w:val="20"/>
                <w:szCs w:val="20"/>
                <w:color w:val="auto"/>
              </w:rPr>
            </w:pPr>
            <w:r>
              <w:rPr>
                <w:rFonts w:ascii="Arial" w:cs="Arial" w:eastAsia="Arial" w:hAnsi="Arial"/>
                <w:sz w:val="18"/>
                <w:szCs w:val="18"/>
                <w:color w:val="auto"/>
              </w:rPr>
              <w:t>4.6</w:t>
            </w:r>
          </w:p>
        </w:tc>
        <w:tc>
          <w:tcPr>
            <w:tcW w:w="5300" w:type="dxa"/>
            <w:vAlign w:val="bottom"/>
          </w:tcPr>
          <w:p>
            <w:pPr>
              <w:ind w:left="140"/>
              <w:spacing w:after="0"/>
              <w:rPr>
                <w:sz w:val="20"/>
                <w:szCs w:val="20"/>
                <w:color w:val="auto"/>
              </w:rPr>
            </w:pPr>
            <w:r>
              <w:rPr>
                <w:rFonts w:ascii="Arial" w:cs="Arial" w:eastAsia="Arial" w:hAnsi="Arial"/>
                <w:sz w:val="18"/>
                <w:szCs w:val="18"/>
                <w:color w:val="auto"/>
                <w:w w:val="97"/>
              </w:rPr>
              <w:t>First Supplemental Indenture, dated as of January 6, 2020, among</w:t>
            </w:r>
          </w:p>
        </w:tc>
      </w:tr>
      <w:tr>
        <w:trPr>
          <w:trHeight w:val="179"/>
        </w:trPr>
        <w:tc>
          <w:tcPr>
            <w:tcW w:w="780" w:type="dxa"/>
            <w:vAlign w:val="bottom"/>
          </w:tcPr>
          <w:p>
            <w:pPr>
              <w:spacing w:after="0"/>
              <w:rPr>
                <w:sz w:val="15"/>
                <w:szCs w:val="15"/>
                <w:color w:val="auto"/>
              </w:rPr>
            </w:pPr>
          </w:p>
        </w:tc>
        <w:tc>
          <w:tcPr>
            <w:tcW w:w="5300" w:type="dxa"/>
            <w:vAlign w:val="bottom"/>
          </w:tcPr>
          <w:p>
            <w:pPr>
              <w:ind w:left="140"/>
              <w:spacing w:after="0" w:line="179" w:lineRule="exact"/>
              <w:rPr>
                <w:sz w:val="20"/>
                <w:szCs w:val="20"/>
                <w:color w:val="auto"/>
              </w:rPr>
            </w:pPr>
            <w:r>
              <w:rPr>
                <w:rFonts w:ascii="Arial" w:cs="Arial" w:eastAsia="Arial" w:hAnsi="Arial"/>
                <w:sz w:val="18"/>
                <w:szCs w:val="18"/>
                <w:color w:val="auto"/>
                <w:w w:val="95"/>
              </w:rPr>
              <w:t>Clearway Energy Operating LLC, the guarantors named therein and</w:t>
            </w:r>
          </w:p>
        </w:tc>
      </w:tr>
      <w:tr>
        <w:trPr>
          <w:trHeight w:val="234"/>
        </w:trPr>
        <w:tc>
          <w:tcPr>
            <w:tcW w:w="780" w:type="dxa"/>
            <w:vAlign w:val="bottom"/>
          </w:tcPr>
          <w:p>
            <w:pPr>
              <w:spacing w:after="0"/>
              <w:rPr>
                <w:sz w:val="20"/>
                <w:szCs w:val="20"/>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rPr>
              <w:t>Delaware Trust Company.</w:t>
            </w:r>
          </w:p>
        </w:tc>
      </w:tr>
      <w:tr>
        <w:trPr>
          <w:trHeight w:val="228"/>
        </w:trPr>
        <w:tc>
          <w:tcPr>
            <w:tcW w:w="780" w:type="dxa"/>
            <w:vAlign w:val="bottom"/>
          </w:tcPr>
          <w:p>
            <w:pPr>
              <w:spacing w:after="0"/>
              <w:rPr>
                <w:sz w:val="20"/>
                <w:szCs w:val="20"/>
                <w:color w:val="auto"/>
              </w:rPr>
            </w:pPr>
            <w:r>
              <w:rPr>
                <w:rFonts w:ascii="Arial" w:cs="Arial" w:eastAsia="Arial" w:hAnsi="Arial"/>
                <w:sz w:val="18"/>
                <w:szCs w:val="18"/>
                <w:color w:val="auto"/>
              </w:rPr>
              <w:t>4.7</w:t>
            </w:r>
          </w:p>
        </w:tc>
        <w:tc>
          <w:tcPr>
            <w:tcW w:w="5300" w:type="dxa"/>
            <w:vAlign w:val="bottom"/>
          </w:tcPr>
          <w:p>
            <w:pPr>
              <w:ind w:left="140"/>
              <w:spacing w:after="0"/>
              <w:rPr>
                <w:sz w:val="20"/>
                <w:szCs w:val="20"/>
                <w:color w:val="auto"/>
              </w:rPr>
            </w:pPr>
            <w:r>
              <w:rPr>
                <w:rFonts w:ascii="Arial" w:cs="Arial" w:eastAsia="Arial" w:hAnsi="Arial"/>
                <w:sz w:val="18"/>
                <w:szCs w:val="18"/>
                <w:color w:val="auto"/>
                <w:w w:val="89"/>
              </w:rPr>
              <w:t>Second Supplemental Indenture, dated as of February 26, 2020, among</w:t>
            </w:r>
          </w:p>
        </w:tc>
      </w:tr>
      <w:tr>
        <w:trPr>
          <w:trHeight w:val="179"/>
        </w:trPr>
        <w:tc>
          <w:tcPr>
            <w:tcW w:w="780" w:type="dxa"/>
            <w:vAlign w:val="bottom"/>
          </w:tcPr>
          <w:p>
            <w:pPr>
              <w:spacing w:after="0"/>
              <w:rPr>
                <w:sz w:val="15"/>
                <w:szCs w:val="15"/>
                <w:color w:val="auto"/>
              </w:rPr>
            </w:pPr>
          </w:p>
        </w:tc>
        <w:tc>
          <w:tcPr>
            <w:tcW w:w="5300" w:type="dxa"/>
            <w:vAlign w:val="bottom"/>
          </w:tcPr>
          <w:p>
            <w:pPr>
              <w:ind w:left="140"/>
              <w:spacing w:after="0" w:line="179" w:lineRule="exact"/>
              <w:rPr>
                <w:sz w:val="20"/>
                <w:szCs w:val="20"/>
                <w:color w:val="auto"/>
              </w:rPr>
            </w:pPr>
            <w:r>
              <w:rPr>
                <w:rFonts w:ascii="Arial" w:cs="Arial" w:eastAsia="Arial" w:hAnsi="Arial"/>
                <w:sz w:val="18"/>
                <w:szCs w:val="18"/>
                <w:color w:val="auto"/>
                <w:w w:val="95"/>
              </w:rPr>
              <w:t>Clearway Energy Operating LLC, the guarantors named therein and</w:t>
            </w:r>
          </w:p>
        </w:tc>
      </w:tr>
      <w:tr>
        <w:trPr>
          <w:trHeight w:val="234"/>
        </w:trPr>
        <w:tc>
          <w:tcPr>
            <w:tcW w:w="780" w:type="dxa"/>
            <w:vAlign w:val="bottom"/>
          </w:tcPr>
          <w:p>
            <w:pPr>
              <w:spacing w:after="0"/>
              <w:rPr>
                <w:sz w:val="20"/>
                <w:szCs w:val="20"/>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rPr>
              <w:t>Delaware Trust Company.</w:t>
            </w:r>
          </w:p>
        </w:tc>
      </w:tr>
      <w:tr>
        <w:trPr>
          <w:trHeight w:val="228"/>
        </w:trPr>
        <w:tc>
          <w:tcPr>
            <w:tcW w:w="780" w:type="dxa"/>
            <w:vAlign w:val="bottom"/>
          </w:tcPr>
          <w:p>
            <w:pPr>
              <w:spacing w:after="0"/>
              <w:rPr>
                <w:sz w:val="20"/>
                <w:szCs w:val="20"/>
                <w:color w:val="auto"/>
              </w:rPr>
            </w:pPr>
            <w:r>
              <w:rPr>
                <w:rFonts w:ascii="Arial" w:cs="Arial" w:eastAsia="Arial" w:hAnsi="Arial"/>
                <w:sz w:val="18"/>
                <w:szCs w:val="18"/>
                <w:color w:val="auto"/>
              </w:rPr>
              <w:t>4.8</w:t>
            </w:r>
          </w:p>
        </w:tc>
        <w:tc>
          <w:tcPr>
            <w:tcW w:w="5300" w:type="dxa"/>
            <w:vAlign w:val="bottom"/>
          </w:tcPr>
          <w:p>
            <w:pPr>
              <w:ind w:left="140"/>
              <w:spacing w:after="0"/>
              <w:rPr>
                <w:sz w:val="20"/>
                <w:szCs w:val="20"/>
                <w:color w:val="auto"/>
              </w:rPr>
            </w:pPr>
            <w:r>
              <w:rPr>
                <w:rFonts w:ascii="Arial" w:cs="Arial" w:eastAsia="Arial" w:hAnsi="Arial"/>
                <w:sz w:val="18"/>
                <w:szCs w:val="18"/>
                <w:color w:val="auto"/>
              </w:rPr>
              <w:t>Third Supplemental Indenture, dated as of July 17, 2020, among</w:t>
            </w:r>
          </w:p>
        </w:tc>
      </w:tr>
      <w:tr>
        <w:trPr>
          <w:trHeight w:val="179"/>
        </w:trPr>
        <w:tc>
          <w:tcPr>
            <w:tcW w:w="780" w:type="dxa"/>
            <w:vAlign w:val="bottom"/>
          </w:tcPr>
          <w:p>
            <w:pPr>
              <w:spacing w:after="0"/>
              <w:rPr>
                <w:sz w:val="15"/>
                <w:szCs w:val="15"/>
                <w:color w:val="auto"/>
              </w:rPr>
            </w:pPr>
          </w:p>
        </w:tc>
        <w:tc>
          <w:tcPr>
            <w:tcW w:w="5300" w:type="dxa"/>
            <w:vAlign w:val="bottom"/>
          </w:tcPr>
          <w:p>
            <w:pPr>
              <w:ind w:left="140"/>
              <w:spacing w:after="0" w:line="179" w:lineRule="exact"/>
              <w:rPr>
                <w:sz w:val="20"/>
                <w:szCs w:val="20"/>
                <w:color w:val="auto"/>
              </w:rPr>
            </w:pPr>
            <w:r>
              <w:rPr>
                <w:rFonts w:ascii="Arial" w:cs="Arial" w:eastAsia="Arial" w:hAnsi="Arial"/>
                <w:sz w:val="18"/>
                <w:szCs w:val="18"/>
                <w:color w:val="auto"/>
                <w:w w:val="95"/>
              </w:rPr>
              <w:t>Clearway Energy Operating LLC, the guarantors named therein and</w:t>
            </w:r>
          </w:p>
        </w:tc>
      </w:tr>
      <w:tr>
        <w:trPr>
          <w:trHeight w:val="234"/>
        </w:trPr>
        <w:tc>
          <w:tcPr>
            <w:tcW w:w="780" w:type="dxa"/>
            <w:vAlign w:val="bottom"/>
          </w:tcPr>
          <w:p>
            <w:pPr>
              <w:spacing w:after="0"/>
              <w:rPr>
                <w:sz w:val="20"/>
                <w:szCs w:val="20"/>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rPr>
              <w:t>Delaware Trust Company.</w:t>
            </w:r>
          </w:p>
        </w:tc>
      </w:tr>
      <w:tr>
        <w:trPr>
          <w:trHeight w:val="228"/>
        </w:trPr>
        <w:tc>
          <w:tcPr>
            <w:tcW w:w="780" w:type="dxa"/>
            <w:vAlign w:val="bottom"/>
          </w:tcPr>
          <w:p>
            <w:pPr>
              <w:spacing w:after="0"/>
              <w:rPr>
                <w:sz w:val="20"/>
                <w:szCs w:val="20"/>
                <w:color w:val="auto"/>
              </w:rPr>
            </w:pPr>
            <w:r>
              <w:rPr>
                <w:rFonts w:ascii="Arial" w:cs="Arial" w:eastAsia="Arial" w:hAnsi="Arial"/>
                <w:sz w:val="18"/>
                <w:szCs w:val="18"/>
                <w:color w:val="auto"/>
              </w:rPr>
              <w:t>4.9</w:t>
            </w:r>
          </w:p>
        </w:tc>
        <w:tc>
          <w:tcPr>
            <w:tcW w:w="5300" w:type="dxa"/>
            <w:vAlign w:val="bottom"/>
          </w:tcPr>
          <w:p>
            <w:pPr>
              <w:ind w:left="140"/>
              <w:spacing w:after="0"/>
              <w:rPr>
                <w:sz w:val="20"/>
                <w:szCs w:val="20"/>
                <w:color w:val="auto"/>
              </w:rPr>
            </w:pPr>
            <w:r>
              <w:rPr>
                <w:rFonts w:ascii="Arial" w:cs="Arial" w:eastAsia="Arial" w:hAnsi="Arial"/>
                <w:sz w:val="18"/>
                <w:szCs w:val="18"/>
                <w:color w:val="auto"/>
                <w:w w:val="93"/>
              </w:rPr>
              <w:t>Fourth Supplemental Indenture, dated as of August 17, 2020, among</w:t>
            </w:r>
          </w:p>
        </w:tc>
      </w:tr>
      <w:tr>
        <w:trPr>
          <w:trHeight w:val="179"/>
        </w:trPr>
        <w:tc>
          <w:tcPr>
            <w:tcW w:w="780" w:type="dxa"/>
            <w:vAlign w:val="bottom"/>
          </w:tcPr>
          <w:p>
            <w:pPr>
              <w:spacing w:after="0"/>
              <w:rPr>
                <w:sz w:val="15"/>
                <w:szCs w:val="15"/>
                <w:color w:val="auto"/>
              </w:rPr>
            </w:pPr>
          </w:p>
        </w:tc>
        <w:tc>
          <w:tcPr>
            <w:tcW w:w="5300" w:type="dxa"/>
            <w:vAlign w:val="bottom"/>
          </w:tcPr>
          <w:p>
            <w:pPr>
              <w:ind w:left="140"/>
              <w:spacing w:after="0" w:line="179" w:lineRule="exact"/>
              <w:rPr>
                <w:sz w:val="20"/>
                <w:szCs w:val="20"/>
                <w:color w:val="auto"/>
              </w:rPr>
            </w:pPr>
            <w:r>
              <w:rPr>
                <w:rFonts w:ascii="Arial" w:cs="Arial" w:eastAsia="Arial" w:hAnsi="Arial"/>
                <w:sz w:val="18"/>
                <w:szCs w:val="18"/>
                <w:color w:val="auto"/>
                <w:w w:val="95"/>
              </w:rPr>
              <w:t>Clearway Energy Operating LLC, the guarantors named therein and</w:t>
            </w:r>
          </w:p>
        </w:tc>
      </w:tr>
      <w:tr>
        <w:trPr>
          <w:trHeight w:val="234"/>
        </w:trPr>
        <w:tc>
          <w:tcPr>
            <w:tcW w:w="780" w:type="dxa"/>
            <w:vAlign w:val="bottom"/>
          </w:tcPr>
          <w:p>
            <w:pPr>
              <w:spacing w:after="0"/>
              <w:rPr>
                <w:sz w:val="20"/>
                <w:szCs w:val="20"/>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rPr>
              <w:t>Delaware Trust Company.</w:t>
            </w:r>
          </w:p>
        </w:tc>
      </w:tr>
      <w:tr>
        <w:trPr>
          <w:trHeight w:val="228"/>
        </w:trPr>
        <w:tc>
          <w:tcPr>
            <w:tcW w:w="780" w:type="dxa"/>
            <w:vAlign w:val="bottom"/>
          </w:tcPr>
          <w:p>
            <w:pPr>
              <w:spacing w:after="0"/>
              <w:rPr>
                <w:sz w:val="20"/>
                <w:szCs w:val="20"/>
                <w:color w:val="auto"/>
              </w:rPr>
            </w:pPr>
            <w:r>
              <w:rPr>
                <w:rFonts w:ascii="Arial" w:cs="Arial" w:eastAsia="Arial" w:hAnsi="Arial"/>
                <w:sz w:val="18"/>
                <w:szCs w:val="18"/>
                <w:color w:val="auto"/>
              </w:rPr>
              <w:t>4.10</w:t>
            </w:r>
          </w:p>
        </w:tc>
        <w:tc>
          <w:tcPr>
            <w:tcW w:w="5300" w:type="dxa"/>
            <w:vAlign w:val="bottom"/>
          </w:tcPr>
          <w:p>
            <w:pPr>
              <w:ind w:left="140"/>
              <w:spacing w:after="0"/>
              <w:rPr>
                <w:sz w:val="20"/>
                <w:szCs w:val="20"/>
                <w:color w:val="auto"/>
              </w:rPr>
            </w:pPr>
            <w:r>
              <w:rPr>
                <w:rFonts w:ascii="Arial" w:cs="Arial" w:eastAsia="Arial" w:hAnsi="Arial"/>
                <w:sz w:val="18"/>
                <w:szCs w:val="18"/>
                <w:color w:val="auto"/>
                <w:w w:val="92"/>
              </w:rPr>
              <w:t>Fifth Supplemental Indenture, dated as of November 18, 2020, among</w:t>
            </w:r>
          </w:p>
        </w:tc>
      </w:tr>
      <w:tr>
        <w:trPr>
          <w:trHeight w:val="179"/>
        </w:trPr>
        <w:tc>
          <w:tcPr>
            <w:tcW w:w="780" w:type="dxa"/>
            <w:vAlign w:val="bottom"/>
          </w:tcPr>
          <w:p>
            <w:pPr>
              <w:spacing w:after="0"/>
              <w:rPr>
                <w:sz w:val="15"/>
                <w:szCs w:val="15"/>
                <w:color w:val="auto"/>
              </w:rPr>
            </w:pPr>
          </w:p>
        </w:tc>
        <w:tc>
          <w:tcPr>
            <w:tcW w:w="5300" w:type="dxa"/>
            <w:vAlign w:val="bottom"/>
          </w:tcPr>
          <w:p>
            <w:pPr>
              <w:ind w:left="140"/>
              <w:spacing w:after="0" w:line="179" w:lineRule="exact"/>
              <w:rPr>
                <w:sz w:val="20"/>
                <w:szCs w:val="20"/>
                <w:color w:val="auto"/>
              </w:rPr>
            </w:pPr>
            <w:r>
              <w:rPr>
                <w:rFonts w:ascii="Arial" w:cs="Arial" w:eastAsia="Arial" w:hAnsi="Arial"/>
                <w:sz w:val="18"/>
                <w:szCs w:val="18"/>
                <w:color w:val="auto"/>
                <w:w w:val="95"/>
              </w:rPr>
              <w:t>Clearway Energy Operating LLC, the guarantors named therein and</w:t>
            </w:r>
          </w:p>
        </w:tc>
      </w:tr>
      <w:tr>
        <w:trPr>
          <w:trHeight w:val="234"/>
        </w:trPr>
        <w:tc>
          <w:tcPr>
            <w:tcW w:w="780" w:type="dxa"/>
            <w:vAlign w:val="bottom"/>
          </w:tcPr>
          <w:p>
            <w:pPr>
              <w:spacing w:after="0"/>
              <w:rPr>
                <w:sz w:val="20"/>
                <w:szCs w:val="20"/>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rPr>
              <w:t>Delaware Trust Company.</w:t>
            </w:r>
          </w:p>
        </w:tc>
      </w:tr>
      <w:tr>
        <w:trPr>
          <w:trHeight w:val="228"/>
        </w:trPr>
        <w:tc>
          <w:tcPr>
            <w:tcW w:w="780" w:type="dxa"/>
            <w:vAlign w:val="bottom"/>
          </w:tcPr>
          <w:p>
            <w:pPr>
              <w:spacing w:after="0"/>
              <w:rPr>
                <w:sz w:val="20"/>
                <w:szCs w:val="20"/>
                <w:color w:val="auto"/>
              </w:rPr>
            </w:pPr>
            <w:r>
              <w:rPr>
                <w:rFonts w:ascii="Arial" w:cs="Arial" w:eastAsia="Arial" w:hAnsi="Arial"/>
                <w:sz w:val="18"/>
                <w:szCs w:val="18"/>
                <w:color w:val="auto"/>
              </w:rPr>
              <w:t>4.11</w:t>
            </w:r>
          </w:p>
        </w:tc>
        <w:tc>
          <w:tcPr>
            <w:tcW w:w="5300" w:type="dxa"/>
            <w:vAlign w:val="bottom"/>
          </w:tcPr>
          <w:p>
            <w:pPr>
              <w:ind w:left="140"/>
              <w:spacing w:after="0"/>
              <w:rPr>
                <w:sz w:val="20"/>
                <w:szCs w:val="20"/>
                <w:color w:val="auto"/>
              </w:rPr>
            </w:pPr>
            <w:r>
              <w:rPr>
                <w:rFonts w:ascii="Arial" w:cs="Arial" w:eastAsia="Arial" w:hAnsi="Arial"/>
                <w:sz w:val="18"/>
                <w:szCs w:val="18"/>
                <w:color w:val="auto"/>
                <w:w w:val="92"/>
              </w:rPr>
              <w:t>Sixth Supplemental Indenture, dated as of December 1, 2020, among</w:t>
            </w:r>
          </w:p>
        </w:tc>
      </w:tr>
      <w:tr>
        <w:trPr>
          <w:trHeight w:val="179"/>
        </w:trPr>
        <w:tc>
          <w:tcPr>
            <w:tcW w:w="780" w:type="dxa"/>
            <w:vAlign w:val="bottom"/>
          </w:tcPr>
          <w:p>
            <w:pPr>
              <w:spacing w:after="0"/>
              <w:rPr>
                <w:sz w:val="15"/>
                <w:szCs w:val="15"/>
                <w:color w:val="auto"/>
              </w:rPr>
            </w:pPr>
          </w:p>
        </w:tc>
        <w:tc>
          <w:tcPr>
            <w:tcW w:w="5300" w:type="dxa"/>
            <w:vAlign w:val="bottom"/>
          </w:tcPr>
          <w:p>
            <w:pPr>
              <w:ind w:left="140"/>
              <w:spacing w:after="0" w:line="179" w:lineRule="exact"/>
              <w:rPr>
                <w:sz w:val="20"/>
                <w:szCs w:val="20"/>
                <w:color w:val="auto"/>
              </w:rPr>
            </w:pPr>
            <w:r>
              <w:rPr>
                <w:rFonts w:ascii="Arial" w:cs="Arial" w:eastAsia="Arial" w:hAnsi="Arial"/>
                <w:sz w:val="18"/>
                <w:szCs w:val="18"/>
                <w:color w:val="auto"/>
                <w:w w:val="95"/>
              </w:rPr>
              <w:t>Clearway Energy Operating LLC, the guarantors named therein and</w:t>
            </w:r>
          </w:p>
        </w:tc>
      </w:tr>
      <w:tr>
        <w:trPr>
          <w:trHeight w:val="234"/>
        </w:trPr>
        <w:tc>
          <w:tcPr>
            <w:tcW w:w="780" w:type="dxa"/>
            <w:vAlign w:val="bottom"/>
          </w:tcPr>
          <w:p>
            <w:pPr>
              <w:spacing w:after="0"/>
              <w:rPr>
                <w:sz w:val="20"/>
                <w:szCs w:val="20"/>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rPr>
              <w:t>Delaware Trust Company.</w:t>
            </w:r>
          </w:p>
        </w:tc>
      </w:tr>
      <w:tr>
        <w:trPr>
          <w:trHeight w:val="228"/>
        </w:trPr>
        <w:tc>
          <w:tcPr>
            <w:tcW w:w="780" w:type="dxa"/>
            <w:vAlign w:val="bottom"/>
          </w:tcPr>
          <w:p>
            <w:pPr>
              <w:spacing w:after="0"/>
              <w:rPr>
                <w:sz w:val="20"/>
                <w:szCs w:val="20"/>
                <w:color w:val="auto"/>
              </w:rPr>
            </w:pPr>
            <w:r>
              <w:rPr>
                <w:rFonts w:ascii="Arial" w:cs="Arial" w:eastAsia="Arial" w:hAnsi="Arial"/>
                <w:sz w:val="18"/>
                <w:szCs w:val="18"/>
                <w:color w:val="auto"/>
              </w:rPr>
              <w:t>4.12</w:t>
            </w:r>
          </w:p>
        </w:tc>
        <w:tc>
          <w:tcPr>
            <w:tcW w:w="5300" w:type="dxa"/>
            <w:vAlign w:val="bottom"/>
          </w:tcPr>
          <w:p>
            <w:pPr>
              <w:ind w:left="140"/>
              <w:spacing w:after="0"/>
              <w:rPr>
                <w:sz w:val="20"/>
                <w:szCs w:val="20"/>
                <w:color w:val="auto"/>
              </w:rPr>
            </w:pPr>
            <w:r>
              <w:rPr>
                <w:rFonts w:ascii="Arial" w:cs="Arial" w:eastAsia="Arial" w:hAnsi="Arial"/>
                <w:sz w:val="18"/>
                <w:szCs w:val="18"/>
                <w:color w:val="auto"/>
                <w:w w:val="97"/>
              </w:rPr>
              <w:t>Seventh Supplemental Indenture, dated as of December 23, 2020,</w:t>
            </w:r>
          </w:p>
        </w:tc>
      </w:tr>
      <w:tr>
        <w:trPr>
          <w:trHeight w:val="179"/>
        </w:trPr>
        <w:tc>
          <w:tcPr>
            <w:tcW w:w="780" w:type="dxa"/>
            <w:vAlign w:val="bottom"/>
          </w:tcPr>
          <w:p>
            <w:pPr>
              <w:spacing w:after="0"/>
              <w:rPr>
                <w:sz w:val="15"/>
                <w:szCs w:val="15"/>
                <w:color w:val="auto"/>
              </w:rPr>
            </w:pPr>
          </w:p>
        </w:tc>
        <w:tc>
          <w:tcPr>
            <w:tcW w:w="5300" w:type="dxa"/>
            <w:vAlign w:val="bottom"/>
          </w:tcPr>
          <w:p>
            <w:pPr>
              <w:ind w:left="140"/>
              <w:spacing w:after="0" w:line="179" w:lineRule="exact"/>
              <w:rPr>
                <w:sz w:val="20"/>
                <w:szCs w:val="20"/>
                <w:color w:val="auto"/>
              </w:rPr>
            </w:pPr>
            <w:r>
              <w:rPr>
                <w:rFonts w:ascii="Arial" w:cs="Arial" w:eastAsia="Arial" w:hAnsi="Arial"/>
                <w:sz w:val="18"/>
                <w:szCs w:val="18"/>
                <w:color w:val="auto"/>
                <w:w w:val="90"/>
              </w:rPr>
              <w:t>among Clearway Energy Operating LLC, the guarantors named therein</w:t>
            </w:r>
          </w:p>
        </w:tc>
      </w:tr>
      <w:tr>
        <w:trPr>
          <w:trHeight w:val="234"/>
        </w:trPr>
        <w:tc>
          <w:tcPr>
            <w:tcW w:w="780" w:type="dxa"/>
            <w:vAlign w:val="bottom"/>
          </w:tcPr>
          <w:p>
            <w:pPr>
              <w:spacing w:after="0"/>
              <w:rPr>
                <w:sz w:val="20"/>
                <w:szCs w:val="20"/>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rPr>
              <w:t>and Delaware Trust Company.</w:t>
            </w:r>
          </w:p>
        </w:tc>
      </w:tr>
      <w:tr>
        <w:trPr>
          <w:trHeight w:val="228"/>
        </w:trPr>
        <w:tc>
          <w:tcPr>
            <w:tcW w:w="780" w:type="dxa"/>
            <w:vAlign w:val="bottom"/>
          </w:tcPr>
          <w:p>
            <w:pPr>
              <w:spacing w:after="0"/>
              <w:rPr>
                <w:sz w:val="20"/>
                <w:szCs w:val="20"/>
                <w:color w:val="auto"/>
              </w:rPr>
            </w:pPr>
            <w:r>
              <w:rPr>
                <w:rFonts w:ascii="Arial" w:cs="Arial" w:eastAsia="Arial" w:hAnsi="Arial"/>
                <w:sz w:val="18"/>
                <w:szCs w:val="18"/>
                <w:color w:val="auto"/>
              </w:rPr>
              <w:t>4.13</w:t>
            </w:r>
          </w:p>
        </w:tc>
        <w:tc>
          <w:tcPr>
            <w:tcW w:w="5300" w:type="dxa"/>
            <w:vAlign w:val="bottom"/>
          </w:tcPr>
          <w:p>
            <w:pPr>
              <w:ind w:left="140"/>
              <w:spacing w:after="0"/>
              <w:rPr>
                <w:sz w:val="20"/>
                <w:szCs w:val="20"/>
                <w:color w:val="auto"/>
              </w:rPr>
            </w:pPr>
            <w:r>
              <w:rPr>
                <w:rFonts w:ascii="Arial" w:cs="Arial" w:eastAsia="Arial" w:hAnsi="Arial"/>
                <w:sz w:val="18"/>
                <w:szCs w:val="18"/>
                <w:color w:val="auto"/>
                <w:w w:val="92"/>
              </w:rPr>
              <w:t>Eighth Supplemental Indenture, dated as of February 3, 2021, among</w:t>
            </w:r>
          </w:p>
        </w:tc>
      </w:tr>
      <w:tr>
        <w:trPr>
          <w:trHeight w:val="179"/>
        </w:trPr>
        <w:tc>
          <w:tcPr>
            <w:tcW w:w="780" w:type="dxa"/>
            <w:vAlign w:val="bottom"/>
          </w:tcPr>
          <w:p>
            <w:pPr>
              <w:spacing w:after="0"/>
              <w:rPr>
                <w:sz w:val="15"/>
                <w:szCs w:val="15"/>
                <w:color w:val="auto"/>
              </w:rPr>
            </w:pPr>
          </w:p>
        </w:tc>
        <w:tc>
          <w:tcPr>
            <w:tcW w:w="5300" w:type="dxa"/>
            <w:vAlign w:val="bottom"/>
          </w:tcPr>
          <w:p>
            <w:pPr>
              <w:ind w:left="140"/>
              <w:spacing w:after="0" w:line="179" w:lineRule="exact"/>
              <w:rPr>
                <w:sz w:val="20"/>
                <w:szCs w:val="20"/>
                <w:color w:val="auto"/>
              </w:rPr>
            </w:pPr>
            <w:r>
              <w:rPr>
                <w:rFonts w:ascii="Arial" w:cs="Arial" w:eastAsia="Arial" w:hAnsi="Arial"/>
                <w:sz w:val="18"/>
                <w:szCs w:val="18"/>
                <w:color w:val="auto"/>
                <w:w w:val="95"/>
              </w:rPr>
              <w:t>Clearway Energy Operating LLC, the guarantors named therein and</w:t>
            </w:r>
          </w:p>
        </w:tc>
      </w:tr>
      <w:tr>
        <w:trPr>
          <w:trHeight w:val="234"/>
        </w:trPr>
        <w:tc>
          <w:tcPr>
            <w:tcW w:w="780" w:type="dxa"/>
            <w:vAlign w:val="bottom"/>
          </w:tcPr>
          <w:p>
            <w:pPr>
              <w:spacing w:after="0"/>
              <w:rPr>
                <w:sz w:val="20"/>
                <w:szCs w:val="20"/>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rPr>
              <w:t>Delaware Trust Company.</w:t>
            </w:r>
          </w:p>
        </w:tc>
      </w:tr>
      <w:tr>
        <w:trPr>
          <w:trHeight w:val="228"/>
        </w:trPr>
        <w:tc>
          <w:tcPr>
            <w:tcW w:w="780" w:type="dxa"/>
            <w:vAlign w:val="bottom"/>
          </w:tcPr>
          <w:p>
            <w:pPr>
              <w:spacing w:after="0"/>
              <w:rPr>
                <w:sz w:val="20"/>
                <w:szCs w:val="20"/>
                <w:color w:val="auto"/>
              </w:rPr>
            </w:pPr>
            <w:r>
              <w:rPr>
                <w:rFonts w:ascii="Arial" w:cs="Arial" w:eastAsia="Arial" w:hAnsi="Arial"/>
                <w:sz w:val="18"/>
                <w:szCs w:val="18"/>
                <w:color w:val="auto"/>
              </w:rPr>
              <w:t>4.14</w:t>
            </w:r>
          </w:p>
        </w:tc>
        <w:tc>
          <w:tcPr>
            <w:tcW w:w="5300" w:type="dxa"/>
            <w:vAlign w:val="bottom"/>
          </w:tcPr>
          <w:p>
            <w:pPr>
              <w:ind w:left="140"/>
              <w:spacing w:after="0"/>
              <w:rPr>
                <w:sz w:val="20"/>
                <w:szCs w:val="20"/>
                <w:color w:val="auto"/>
              </w:rPr>
            </w:pPr>
            <w:r>
              <w:rPr>
                <w:rFonts w:ascii="Arial" w:cs="Arial" w:eastAsia="Arial" w:hAnsi="Arial"/>
                <w:sz w:val="18"/>
                <w:szCs w:val="18"/>
                <w:color w:val="auto"/>
                <w:w w:val="94"/>
              </w:rPr>
              <w:t>Indenture, dated March 9, 2021, among Clearway Energy Operating</w:t>
            </w:r>
          </w:p>
        </w:tc>
      </w:tr>
      <w:tr>
        <w:trPr>
          <w:trHeight w:val="179"/>
        </w:trPr>
        <w:tc>
          <w:tcPr>
            <w:tcW w:w="780" w:type="dxa"/>
            <w:vAlign w:val="bottom"/>
          </w:tcPr>
          <w:p>
            <w:pPr>
              <w:spacing w:after="0"/>
              <w:rPr>
                <w:sz w:val="15"/>
                <w:szCs w:val="15"/>
                <w:color w:val="auto"/>
              </w:rPr>
            </w:pPr>
          </w:p>
        </w:tc>
        <w:tc>
          <w:tcPr>
            <w:tcW w:w="5300" w:type="dxa"/>
            <w:vAlign w:val="bottom"/>
          </w:tcPr>
          <w:p>
            <w:pPr>
              <w:ind w:left="140"/>
              <w:spacing w:after="0" w:line="179" w:lineRule="exact"/>
              <w:rPr>
                <w:sz w:val="20"/>
                <w:szCs w:val="20"/>
                <w:color w:val="auto"/>
              </w:rPr>
            </w:pPr>
            <w:r>
              <w:rPr>
                <w:rFonts w:ascii="Arial" w:cs="Arial" w:eastAsia="Arial" w:hAnsi="Arial"/>
                <w:sz w:val="18"/>
                <w:szCs w:val="18"/>
                <w:color w:val="auto"/>
                <w:w w:val="93"/>
              </w:rPr>
              <w:t>LLC, the guarantors named therein and Delaware Trust Company, as</w:t>
            </w:r>
          </w:p>
        </w:tc>
      </w:tr>
      <w:tr>
        <w:trPr>
          <w:trHeight w:val="234"/>
        </w:trPr>
        <w:tc>
          <w:tcPr>
            <w:tcW w:w="780" w:type="dxa"/>
            <w:vAlign w:val="bottom"/>
          </w:tcPr>
          <w:p>
            <w:pPr>
              <w:spacing w:after="0"/>
              <w:rPr>
                <w:sz w:val="20"/>
                <w:szCs w:val="20"/>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rPr>
              <w:t>trustee.</w:t>
            </w:r>
          </w:p>
        </w:tc>
      </w:tr>
      <w:tr>
        <w:trPr>
          <w:trHeight w:val="282"/>
        </w:trPr>
        <w:tc>
          <w:tcPr>
            <w:tcW w:w="780" w:type="dxa"/>
            <w:vAlign w:val="bottom"/>
          </w:tcPr>
          <w:p>
            <w:pPr>
              <w:spacing w:after="0"/>
              <w:rPr>
                <w:sz w:val="20"/>
                <w:szCs w:val="20"/>
                <w:color w:val="auto"/>
              </w:rPr>
            </w:pPr>
            <w:r>
              <w:rPr>
                <w:rFonts w:ascii="Arial" w:cs="Arial" w:eastAsia="Arial" w:hAnsi="Arial"/>
                <w:sz w:val="18"/>
                <w:szCs w:val="18"/>
                <w:color w:val="auto"/>
              </w:rPr>
              <w:t>4.15</w:t>
            </w:r>
          </w:p>
        </w:tc>
        <w:tc>
          <w:tcPr>
            <w:tcW w:w="5300" w:type="dxa"/>
            <w:vAlign w:val="bottom"/>
          </w:tcPr>
          <w:p>
            <w:pPr>
              <w:ind w:left="140"/>
              <w:spacing w:after="0"/>
              <w:rPr>
                <w:sz w:val="20"/>
                <w:szCs w:val="20"/>
                <w:color w:val="auto"/>
              </w:rPr>
            </w:pPr>
            <w:r>
              <w:rPr>
                <w:rFonts w:ascii="Arial" w:cs="Arial" w:eastAsia="Arial" w:hAnsi="Arial"/>
                <w:sz w:val="18"/>
                <w:szCs w:val="18"/>
                <w:color w:val="auto"/>
              </w:rPr>
              <w:t>Form of 3.750% Senior Notes due 2031.</w:t>
            </w:r>
          </w:p>
        </w:tc>
      </w:tr>
      <w:tr>
        <w:trPr>
          <w:trHeight w:val="588"/>
        </w:trPr>
        <w:tc>
          <w:tcPr>
            <w:tcW w:w="780" w:type="dxa"/>
            <w:vAlign w:val="bottom"/>
          </w:tcPr>
          <w:p>
            <w:pPr>
              <w:spacing w:after="0"/>
              <w:rPr>
                <w:sz w:val="20"/>
                <w:szCs w:val="20"/>
                <w:color w:val="auto"/>
              </w:rPr>
            </w:pPr>
            <w:r>
              <w:rPr>
                <w:rFonts w:ascii="Arial" w:cs="Arial" w:eastAsia="Arial" w:hAnsi="Arial"/>
                <w:sz w:val="18"/>
                <w:szCs w:val="18"/>
                <w:color w:val="auto"/>
              </w:rPr>
              <w:t>4.16</w:t>
            </w:r>
          </w:p>
        </w:tc>
        <w:tc>
          <w:tcPr>
            <w:tcW w:w="5300" w:type="dxa"/>
            <w:vAlign w:val="bottom"/>
          </w:tcPr>
          <w:p>
            <w:pPr>
              <w:ind w:left="140"/>
              <w:spacing w:after="0"/>
              <w:rPr>
                <w:sz w:val="20"/>
                <w:szCs w:val="20"/>
                <w:color w:val="auto"/>
              </w:rPr>
            </w:pPr>
            <w:r>
              <w:rPr>
                <w:rFonts w:ascii="Arial" w:cs="Arial" w:eastAsia="Arial" w:hAnsi="Arial"/>
                <w:sz w:val="18"/>
                <w:szCs w:val="18"/>
                <w:color w:val="auto"/>
                <w:w w:val="99"/>
              </w:rPr>
              <w:t>Ninth Supplemental Indenture, dated as of May 14, 2021, among</w:t>
            </w:r>
          </w:p>
        </w:tc>
      </w:tr>
      <w:tr>
        <w:trPr>
          <w:trHeight w:val="179"/>
        </w:trPr>
        <w:tc>
          <w:tcPr>
            <w:tcW w:w="780" w:type="dxa"/>
            <w:vAlign w:val="bottom"/>
          </w:tcPr>
          <w:p>
            <w:pPr>
              <w:spacing w:after="0"/>
              <w:rPr>
                <w:sz w:val="15"/>
                <w:szCs w:val="15"/>
                <w:color w:val="auto"/>
              </w:rPr>
            </w:pPr>
          </w:p>
        </w:tc>
        <w:tc>
          <w:tcPr>
            <w:tcW w:w="5300" w:type="dxa"/>
            <w:vAlign w:val="bottom"/>
          </w:tcPr>
          <w:p>
            <w:pPr>
              <w:ind w:left="140"/>
              <w:spacing w:after="0" w:line="179" w:lineRule="exact"/>
              <w:rPr>
                <w:sz w:val="20"/>
                <w:szCs w:val="20"/>
                <w:color w:val="auto"/>
              </w:rPr>
            </w:pPr>
            <w:r>
              <w:rPr>
                <w:rFonts w:ascii="Arial" w:cs="Arial" w:eastAsia="Arial" w:hAnsi="Arial"/>
                <w:sz w:val="18"/>
                <w:szCs w:val="18"/>
                <w:color w:val="auto"/>
                <w:w w:val="95"/>
              </w:rPr>
              <w:t>Clearway Energy Operating LLC, the guarantors named therein and</w:t>
            </w:r>
          </w:p>
        </w:tc>
      </w:tr>
      <w:tr>
        <w:trPr>
          <w:trHeight w:val="234"/>
        </w:trPr>
        <w:tc>
          <w:tcPr>
            <w:tcW w:w="780" w:type="dxa"/>
            <w:vAlign w:val="bottom"/>
          </w:tcPr>
          <w:p>
            <w:pPr>
              <w:spacing w:after="0"/>
              <w:rPr>
                <w:sz w:val="20"/>
                <w:szCs w:val="20"/>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rPr>
              <w:t>Delaware Trust Company.</w:t>
            </w:r>
          </w:p>
        </w:tc>
      </w:tr>
      <w:tr>
        <w:trPr>
          <w:trHeight w:val="228"/>
        </w:trPr>
        <w:tc>
          <w:tcPr>
            <w:tcW w:w="780" w:type="dxa"/>
            <w:vAlign w:val="bottom"/>
          </w:tcPr>
          <w:p>
            <w:pPr>
              <w:spacing w:after="0"/>
              <w:rPr>
                <w:sz w:val="20"/>
                <w:szCs w:val="20"/>
                <w:color w:val="auto"/>
              </w:rPr>
            </w:pPr>
            <w:r>
              <w:rPr>
                <w:rFonts w:ascii="Arial" w:cs="Arial" w:eastAsia="Arial" w:hAnsi="Arial"/>
                <w:sz w:val="18"/>
                <w:szCs w:val="18"/>
                <w:color w:val="auto"/>
              </w:rPr>
              <w:t>4.17</w:t>
            </w:r>
          </w:p>
        </w:tc>
        <w:tc>
          <w:tcPr>
            <w:tcW w:w="5300" w:type="dxa"/>
            <w:vAlign w:val="bottom"/>
          </w:tcPr>
          <w:p>
            <w:pPr>
              <w:ind w:left="140"/>
              <w:spacing w:after="0"/>
              <w:rPr>
                <w:sz w:val="20"/>
                <w:szCs w:val="20"/>
                <w:color w:val="auto"/>
              </w:rPr>
            </w:pPr>
            <w:r>
              <w:rPr>
                <w:rFonts w:ascii="Arial" w:cs="Arial" w:eastAsia="Arial" w:hAnsi="Arial"/>
                <w:sz w:val="18"/>
                <w:szCs w:val="18"/>
                <w:color w:val="auto"/>
              </w:rPr>
              <w:t>First Supplemental Indenture, dated as of May 14, 2021, among</w:t>
            </w:r>
          </w:p>
        </w:tc>
      </w:tr>
      <w:tr>
        <w:trPr>
          <w:trHeight w:val="179"/>
        </w:trPr>
        <w:tc>
          <w:tcPr>
            <w:tcW w:w="780" w:type="dxa"/>
            <w:vAlign w:val="bottom"/>
          </w:tcPr>
          <w:p>
            <w:pPr>
              <w:spacing w:after="0"/>
              <w:rPr>
                <w:sz w:val="15"/>
                <w:szCs w:val="15"/>
                <w:color w:val="auto"/>
              </w:rPr>
            </w:pPr>
          </w:p>
        </w:tc>
        <w:tc>
          <w:tcPr>
            <w:tcW w:w="5300" w:type="dxa"/>
            <w:vAlign w:val="bottom"/>
          </w:tcPr>
          <w:p>
            <w:pPr>
              <w:ind w:left="140"/>
              <w:spacing w:after="0" w:line="179" w:lineRule="exact"/>
              <w:rPr>
                <w:sz w:val="20"/>
                <w:szCs w:val="20"/>
                <w:color w:val="auto"/>
              </w:rPr>
            </w:pPr>
            <w:r>
              <w:rPr>
                <w:rFonts w:ascii="Arial" w:cs="Arial" w:eastAsia="Arial" w:hAnsi="Arial"/>
                <w:sz w:val="18"/>
                <w:szCs w:val="18"/>
                <w:color w:val="auto"/>
                <w:w w:val="95"/>
              </w:rPr>
              <w:t>Clearway Energy Operating LLC, the guarantors named therein and</w:t>
            </w:r>
          </w:p>
        </w:tc>
      </w:tr>
      <w:tr>
        <w:trPr>
          <w:trHeight w:val="234"/>
        </w:trPr>
        <w:tc>
          <w:tcPr>
            <w:tcW w:w="780" w:type="dxa"/>
            <w:vAlign w:val="bottom"/>
          </w:tcPr>
          <w:p>
            <w:pPr>
              <w:spacing w:after="0"/>
              <w:rPr>
                <w:sz w:val="20"/>
                <w:szCs w:val="20"/>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rPr>
              <w:t>Delaware Trust Company.</w:t>
            </w:r>
          </w:p>
        </w:tc>
      </w:tr>
      <w:tr>
        <w:trPr>
          <w:trHeight w:val="228"/>
        </w:trPr>
        <w:tc>
          <w:tcPr>
            <w:tcW w:w="780" w:type="dxa"/>
            <w:vAlign w:val="bottom"/>
          </w:tcPr>
          <w:p>
            <w:pPr>
              <w:spacing w:after="0"/>
              <w:rPr>
                <w:sz w:val="20"/>
                <w:szCs w:val="20"/>
                <w:color w:val="auto"/>
              </w:rPr>
            </w:pPr>
            <w:r>
              <w:rPr>
                <w:rFonts w:ascii="Arial" w:cs="Arial" w:eastAsia="Arial" w:hAnsi="Arial"/>
                <w:sz w:val="18"/>
                <w:szCs w:val="18"/>
                <w:color w:val="auto"/>
              </w:rPr>
              <w:t>4.18</w:t>
            </w:r>
          </w:p>
        </w:tc>
        <w:tc>
          <w:tcPr>
            <w:tcW w:w="5300" w:type="dxa"/>
            <w:vAlign w:val="bottom"/>
          </w:tcPr>
          <w:p>
            <w:pPr>
              <w:ind w:left="140"/>
              <w:spacing w:after="0"/>
              <w:rPr>
                <w:sz w:val="20"/>
                <w:szCs w:val="20"/>
                <w:color w:val="auto"/>
              </w:rPr>
            </w:pPr>
            <w:r>
              <w:rPr>
                <w:rFonts w:ascii="Arial" w:cs="Arial" w:eastAsia="Arial" w:hAnsi="Arial"/>
                <w:sz w:val="18"/>
                <w:szCs w:val="18"/>
                <w:color w:val="auto"/>
                <w:w w:val="92"/>
              </w:rPr>
              <w:t>Indenture, dated October 1, 2021, among Clearway Energy Operating</w:t>
            </w:r>
          </w:p>
        </w:tc>
      </w:tr>
      <w:tr>
        <w:trPr>
          <w:trHeight w:val="179"/>
        </w:trPr>
        <w:tc>
          <w:tcPr>
            <w:tcW w:w="780" w:type="dxa"/>
            <w:vAlign w:val="bottom"/>
          </w:tcPr>
          <w:p>
            <w:pPr>
              <w:spacing w:after="0"/>
              <w:rPr>
                <w:sz w:val="15"/>
                <w:szCs w:val="15"/>
                <w:color w:val="auto"/>
              </w:rPr>
            </w:pPr>
          </w:p>
        </w:tc>
        <w:tc>
          <w:tcPr>
            <w:tcW w:w="5300" w:type="dxa"/>
            <w:vAlign w:val="bottom"/>
          </w:tcPr>
          <w:p>
            <w:pPr>
              <w:ind w:left="140"/>
              <w:spacing w:after="0" w:line="179" w:lineRule="exact"/>
              <w:rPr>
                <w:sz w:val="20"/>
                <w:szCs w:val="20"/>
                <w:color w:val="auto"/>
              </w:rPr>
            </w:pPr>
            <w:r>
              <w:rPr>
                <w:rFonts w:ascii="Arial" w:cs="Arial" w:eastAsia="Arial" w:hAnsi="Arial"/>
                <w:sz w:val="18"/>
                <w:szCs w:val="18"/>
                <w:color w:val="auto"/>
                <w:w w:val="93"/>
              </w:rPr>
              <w:t>LLC, the guarantors named therein and Delaware Trust Company, as</w:t>
            </w:r>
          </w:p>
        </w:tc>
      </w:tr>
      <w:tr>
        <w:trPr>
          <w:trHeight w:val="234"/>
        </w:trPr>
        <w:tc>
          <w:tcPr>
            <w:tcW w:w="780" w:type="dxa"/>
            <w:vAlign w:val="bottom"/>
          </w:tcPr>
          <w:p>
            <w:pPr>
              <w:spacing w:after="0"/>
              <w:rPr>
                <w:sz w:val="20"/>
                <w:szCs w:val="20"/>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rPr>
              <w:t>trustee.</w:t>
            </w:r>
          </w:p>
        </w:tc>
      </w:tr>
    </w:tbl>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 of Filing</w:t>
      </w:r>
    </w:p>
    <w:p>
      <w:pPr>
        <w:spacing w:after="0" w:line="83"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Incorporated herein by reference to Exhibit 2.1 to the Company’s Current Report on Form 8-K, filed on November 20, 2020.</w:t>
      </w:r>
    </w:p>
    <w:p>
      <w:pPr>
        <w:spacing w:after="0" w:line="4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Incorporated herein by reference to Exhibit 3.1 to the Company’s Current Report on Form 10-Q filed on May 4, 2020.</w:t>
      </w:r>
    </w:p>
    <w:p>
      <w:pPr>
        <w:spacing w:after="0" w:line="4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Incorporated herein by reference to Exhibit 3.2 to the Company’s Current Report on Form 8-K filed on September 5, 2018.</w:t>
      </w:r>
    </w:p>
    <w:p>
      <w:pPr>
        <w:spacing w:after="0" w:line="4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Incorporated herein by reference to Exhibit 10.6 to the Company’s Current Report on Form 8-K filed on September 5, 2018.</w:t>
      </w:r>
    </w:p>
    <w:p>
      <w:pPr>
        <w:spacing w:after="0" w:line="4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Incorporated herein by reference to Exhibit 4.13 to the Company’s Annual Report on Form 10-K filed on February 28, 2019.</w:t>
      </w:r>
    </w:p>
    <w:p>
      <w:pPr>
        <w:spacing w:after="0" w:line="4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Incorporated herein by reference to Exhibit 4.14 to the Company’s Annual Report on Form 10-K filed on February 28, 2019.</w:t>
      </w:r>
    </w:p>
    <w:p>
      <w:pPr>
        <w:spacing w:after="0" w:line="4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Incorporated herein by reference to Exhibit 4.1 to the Company’s Current Report on Form 8-K filed on December 12, 2019.</w:t>
      </w:r>
    </w:p>
    <w:p>
      <w:pPr>
        <w:spacing w:after="0" w:line="4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Incorporated herein by reference to Exhibit 4.2 to the Company’s Current Report on Form 8-K filed on December 12, 2019.</w:t>
      </w:r>
    </w:p>
    <w:p>
      <w:pPr>
        <w:spacing w:after="0" w:line="4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Incorporated herein by reference to Exhibit 4.3 to the Company’s Current Report on Form 8-K filed on January 8, 2020.</w:t>
      </w:r>
    </w:p>
    <w:p>
      <w:pPr>
        <w:spacing w:after="0" w:line="4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Incorporated herein by reference to Exhibit 4.3 to the Company’s Current Report on Form 8-K filed on March 3, 2020.</w:t>
      </w:r>
    </w:p>
    <w:p>
      <w:pPr>
        <w:spacing w:after="0" w:line="4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Incorporated herein by reference to Exhibit 4.3 to the Company’s Current Report on Form 8-K filed on July 21, 2020.</w:t>
      </w:r>
    </w:p>
    <w:p>
      <w:pPr>
        <w:spacing w:after="0" w:line="4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Incorporated herein by reference to Exhibit 4.3 to the Company’s Current Report on Form 8-K filed on August 20, 2020.</w:t>
      </w:r>
    </w:p>
    <w:p>
      <w:pPr>
        <w:spacing w:after="0" w:line="4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Incorporated herein by reference to Exhibit 4.3 to the Company’s Current Report on Form 8-K filed on November 19, 2020.</w:t>
      </w:r>
    </w:p>
    <w:p>
      <w:pPr>
        <w:spacing w:after="0" w:line="4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Incorporated herein by reference to Exhibit 4.3 to the Company’s Current Report on Form 8-K filed on December 4, 2020.</w:t>
      </w:r>
    </w:p>
    <w:p>
      <w:pPr>
        <w:spacing w:after="0" w:line="4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Incorporated herein by reference to Exhibit 4.3 to the Company’s Current Report on Form 8-K filed on December 29, 2020.</w:t>
      </w:r>
    </w:p>
    <w:p>
      <w:pPr>
        <w:spacing w:after="0" w:line="4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Incorporated herein by reference to Exhibit 4.3 to the Company’s Current Report on Form 8-K filed on February 5, 2021.</w:t>
      </w:r>
    </w:p>
    <w:p>
      <w:pPr>
        <w:spacing w:after="0" w:line="4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Incorporated herein by reference to Exhibit 4.1 to the Company’s Current Report on Form 8-K filed on March 9, 2021.</w:t>
      </w:r>
    </w:p>
    <w:p>
      <w:pPr>
        <w:spacing w:after="0" w:line="4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Incorporated herein by reference to Exhibit 4.2 to the Company’s Current Report on Form 8-K filed on March 9, 2021.</w:t>
      </w:r>
    </w:p>
    <w:p>
      <w:pPr>
        <w:spacing w:after="0" w:line="4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Incorporated herein by reference to Exhibit 4.2 to the Company’s Current Report on Form 8-K filed on May 19, 2021.</w:t>
      </w:r>
    </w:p>
    <w:p>
      <w:pPr>
        <w:spacing w:after="0" w:line="4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Incorporated herein by reference to Exhibit 4.3 to the Company’s Current Report on Form 8-K filed on May 19, 2021.</w:t>
      </w:r>
    </w:p>
    <w:p>
      <w:pPr>
        <w:spacing w:after="0" w:line="4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Incorporated herein by reference to Exhibit 4.1 to the Company’s Current Report on Form 8-K filed on October 1, 2021.</w:t>
      </w:r>
    </w:p>
    <w:p>
      <w:pPr>
        <w:spacing w:after="0" w:line="201" w:lineRule="exact"/>
        <w:rPr>
          <w:sz w:val="20"/>
          <w:szCs w:val="20"/>
          <w:color w:val="auto"/>
        </w:rPr>
      </w:pPr>
    </w:p>
    <w:p>
      <w:pPr>
        <w:sectPr>
          <w:pgSz w:w="11880" w:h="15480" w:orient="portrait"/>
          <w:cols w:equalWidth="0" w:num="2">
            <w:col w:w="6080" w:space="180"/>
            <w:col w:w="3820"/>
          </w:cols>
          <w:pgMar w:left="900" w:top="404" w:right="900" w:bottom="0" w:gutter="0" w:footer="0" w:header="0"/>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130</w:t>
      </w:r>
    </w:p>
    <w:p>
      <w:pPr>
        <w:sectPr>
          <w:pgSz w:w="11880" w:h="15480" w:orient="portrait"/>
          <w:cols w:equalWidth="0" w:num="1">
            <w:col w:w="10080"/>
          </w:cols>
          <w:pgMar w:left="900" w:top="404" w:right="900" w:bottom="0" w:gutter="0" w:footer="0" w:header="0"/>
          <w:type w:val="continuous"/>
        </w:sectPr>
      </w:pPr>
    </w:p>
    <w:bookmarkStart w:id="132" w:name="page133"/>
    <w:bookmarkEnd w:id="132"/>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Arial" w:cs="Arial" w:eastAsia="Arial" w:hAnsi="Arial"/>
                <w:sz w:val="18"/>
                <w:szCs w:val="18"/>
                <w:color w:val="auto"/>
              </w:rPr>
              <w:t>4.19</w:t>
            </w:r>
          </w:p>
        </w:tc>
        <w:tc>
          <w:tcPr>
            <w:tcW w:w="5400" w:type="dxa"/>
            <w:vAlign w:val="bottom"/>
          </w:tcPr>
          <w:p>
            <w:pPr>
              <w:ind w:left="240"/>
              <w:spacing w:after="0"/>
              <w:rPr>
                <w:sz w:val="20"/>
                <w:szCs w:val="20"/>
                <w:color w:val="auto"/>
              </w:rPr>
            </w:pPr>
            <w:r>
              <w:rPr>
                <w:rFonts w:ascii="Arial" w:cs="Arial" w:eastAsia="Arial" w:hAnsi="Arial"/>
                <w:sz w:val="18"/>
                <w:szCs w:val="18"/>
                <w:color w:val="auto"/>
              </w:rPr>
              <w:t>Form of 3.750% Senior Notes due 2032.</w:t>
            </w:r>
          </w:p>
        </w:tc>
      </w:tr>
      <w:tr>
        <w:trPr>
          <w:trHeight w:val="588"/>
        </w:trPr>
        <w:tc>
          <w:tcPr>
            <w:tcW w:w="680" w:type="dxa"/>
            <w:vAlign w:val="bottom"/>
          </w:tcPr>
          <w:p>
            <w:pPr>
              <w:spacing w:after="0"/>
              <w:rPr>
                <w:sz w:val="20"/>
                <w:szCs w:val="20"/>
                <w:color w:val="auto"/>
              </w:rPr>
            </w:pPr>
            <w:r>
              <w:rPr>
                <w:rFonts w:ascii="Arial" w:cs="Arial" w:eastAsia="Arial" w:hAnsi="Arial"/>
                <w:sz w:val="18"/>
                <w:szCs w:val="18"/>
                <w:color w:val="auto"/>
              </w:rPr>
              <w:t>4.20</w:t>
            </w:r>
          </w:p>
        </w:tc>
        <w:tc>
          <w:tcPr>
            <w:tcW w:w="5400" w:type="dxa"/>
            <w:vAlign w:val="bottom"/>
          </w:tcPr>
          <w:p>
            <w:pPr>
              <w:ind w:left="240"/>
              <w:spacing w:after="0"/>
              <w:rPr>
                <w:sz w:val="20"/>
                <w:szCs w:val="20"/>
                <w:color w:val="auto"/>
              </w:rPr>
            </w:pPr>
            <w:r>
              <w:rPr>
                <w:rFonts w:ascii="Arial" w:cs="Arial" w:eastAsia="Arial" w:hAnsi="Arial"/>
                <w:sz w:val="18"/>
                <w:szCs w:val="18"/>
                <w:color w:val="auto"/>
                <w:w w:val="95"/>
              </w:rPr>
              <w:t>Tenth Supplemental Indenture, dated as of October 7, 2021, among</w:t>
            </w:r>
          </w:p>
        </w:tc>
      </w:tr>
      <w:tr>
        <w:trPr>
          <w:trHeight w:val="179"/>
        </w:trPr>
        <w:tc>
          <w:tcPr>
            <w:tcW w:w="680" w:type="dxa"/>
            <w:vAlign w:val="bottom"/>
          </w:tcPr>
          <w:p>
            <w:pPr>
              <w:spacing w:after="0"/>
              <w:rPr>
                <w:sz w:val="15"/>
                <w:szCs w:val="15"/>
                <w:color w:val="auto"/>
              </w:rPr>
            </w:pPr>
          </w:p>
        </w:tc>
        <w:tc>
          <w:tcPr>
            <w:tcW w:w="5400" w:type="dxa"/>
            <w:vAlign w:val="bottom"/>
          </w:tcPr>
          <w:p>
            <w:pPr>
              <w:ind w:left="240"/>
              <w:spacing w:after="0" w:line="179" w:lineRule="exact"/>
              <w:rPr>
                <w:sz w:val="20"/>
                <w:szCs w:val="20"/>
                <w:color w:val="auto"/>
              </w:rPr>
            </w:pPr>
            <w:r>
              <w:rPr>
                <w:rFonts w:ascii="Arial" w:cs="Arial" w:eastAsia="Arial" w:hAnsi="Arial"/>
                <w:sz w:val="18"/>
                <w:szCs w:val="18"/>
                <w:color w:val="auto"/>
                <w:w w:val="95"/>
              </w:rPr>
              <w:t>Clearway Energy Operating LLC, the guarantors named therein and</w:t>
            </w:r>
          </w:p>
        </w:tc>
      </w:tr>
      <w:tr>
        <w:trPr>
          <w:trHeight w:val="234"/>
        </w:trPr>
        <w:tc>
          <w:tcPr>
            <w:tcW w:w="680" w:type="dxa"/>
            <w:vAlign w:val="bottom"/>
          </w:tcPr>
          <w:p>
            <w:pPr>
              <w:spacing w:after="0"/>
              <w:rPr>
                <w:sz w:val="20"/>
                <w:szCs w:val="20"/>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Delaware Trust Company.</w:t>
            </w:r>
          </w:p>
        </w:tc>
      </w:tr>
      <w:tr>
        <w:trPr>
          <w:trHeight w:val="228"/>
        </w:trPr>
        <w:tc>
          <w:tcPr>
            <w:tcW w:w="680" w:type="dxa"/>
            <w:vAlign w:val="bottom"/>
          </w:tcPr>
          <w:p>
            <w:pPr>
              <w:spacing w:after="0"/>
              <w:rPr>
                <w:sz w:val="20"/>
                <w:szCs w:val="20"/>
                <w:color w:val="auto"/>
              </w:rPr>
            </w:pPr>
            <w:r>
              <w:rPr>
                <w:rFonts w:ascii="Arial" w:cs="Arial" w:eastAsia="Arial" w:hAnsi="Arial"/>
                <w:sz w:val="18"/>
                <w:szCs w:val="18"/>
                <w:color w:val="auto"/>
              </w:rPr>
              <w:t>4.21</w:t>
            </w:r>
          </w:p>
        </w:tc>
        <w:tc>
          <w:tcPr>
            <w:tcW w:w="5400" w:type="dxa"/>
            <w:vAlign w:val="bottom"/>
          </w:tcPr>
          <w:p>
            <w:pPr>
              <w:ind w:left="240"/>
              <w:spacing w:after="0"/>
              <w:rPr>
                <w:sz w:val="20"/>
                <w:szCs w:val="20"/>
                <w:color w:val="auto"/>
              </w:rPr>
            </w:pPr>
            <w:r>
              <w:rPr>
                <w:rFonts w:ascii="Arial" w:cs="Arial" w:eastAsia="Arial" w:hAnsi="Arial"/>
                <w:sz w:val="18"/>
                <w:szCs w:val="18"/>
                <w:color w:val="auto"/>
                <w:w w:val="92"/>
              </w:rPr>
              <w:t>Second Supplemental Indenture, dated as of October 7, 2021, among</w:t>
            </w:r>
          </w:p>
        </w:tc>
      </w:tr>
      <w:tr>
        <w:trPr>
          <w:trHeight w:val="179"/>
        </w:trPr>
        <w:tc>
          <w:tcPr>
            <w:tcW w:w="680" w:type="dxa"/>
            <w:vAlign w:val="bottom"/>
          </w:tcPr>
          <w:p>
            <w:pPr>
              <w:spacing w:after="0"/>
              <w:rPr>
                <w:sz w:val="15"/>
                <w:szCs w:val="15"/>
                <w:color w:val="auto"/>
              </w:rPr>
            </w:pPr>
          </w:p>
        </w:tc>
        <w:tc>
          <w:tcPr>
            <w:tcW w:w="5400" w:type="dxa"/>
            <w:vAlign w:val="bottom"/>
          </w:tcPr>
          <w:p>
            <w:pPr>
              <w:ind w:left="240"/>
              <w:spacing w:after="0" w:line="179" w:lineRule="exact"/>
              <w:rPr>
                <w:sz w:val="20"/>
                <w:szCs w:val="20"/>
                <w:color w:val="auto"/>
              </w:rPr>
            </w:pPr>
            <w:r>
              <w:rPr>
                <w:rFonts w:ascii="Arial" w:cs="Arial" w:eastAsia="Arial" w:hAnsi="Arial"/>
                <w:sz w:val="18"/>
                <w:szCs w:val="18"/>
                <w:color w:val="auto"/>
                <w:w w:val="95"/>
              </w:rPr>
              <w:t>Clearway Energy Operating LLC, the guarantors named therein and</w:t>
            </w:r>
          </w:p>
        </w:tc>
      </w:tr>
      <w:tr>
        <w:trPr>
          <w:trHeight w:val="234"/>
        </w:trPr>
        <w:tc>
          <w:tcPr>
            <w:tcW w:w="680" w:type="dxa"/>
            <w:vAlign w:val="bottom"/>
          </w:tcPr>
          <w:p>
            <w:pPr>
              <w:spacing w:after="0"/>
              <w:rPr>
                <w:sz w:val="20"/>
                <w:szCs w:val="20"/>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Delaware Trust Company.</w:t>
            </w:r>
          </w:p>
        </w:tc>
      </w:tr>
      <w:tr>
        <w:trPr>
          <w:trHeight w:val="228"/>
        </w:trPr>
        <w:tc>
          <w:tcPr>
            <w:tcW w:w="680" w:type="dxa"/>
            <w:vAlign w:val="bottom"/>
          </w:tcPr>
          <w:p>
            <w:pPr>
              <w:spacing w:after="0"/>
              <w:rPr>
                <w:sz w:val="20"/>
                <w:szCs w:val="20"/>
                <w:color w:val="auto"/>
              </w:rPr>
            </w:pPr>
            <w:r>
              <w:rPr>
                <w:rFonts w:ascii="Arial" w:cs="Arial" w:eastAsia="Arial" w:hAnsi="Arial"/>
                <w:sz w:val="18"/>
                <w:szCs w:val="18"/>
                <w:color w:val="auto"/>
              </w:rPr>
              <w:t>4.22</w:t>
            </w:r>
          </w:p>
        </w:tc>
        <w:tc>
          <w:tcPr>
            <w:tcW w:w="5400" w:type="dxa"/>
            <w:vAlign w:val="bottom"/>
          </w:tcPr>
          <w:p>
            <w:pPr>
              <w:ind w:left="240"/>
              <w:spacing w:after="0"/>
              <w:rPr>
                <w:sz w:val="20"/>
                <w:szCs w:val="20"/>
                <w:color w:val="auto"/>
              </w:rPr>
            </w:pPr>
            <w:r>
              <w:rPr>
                <w:rFonts w:ascii="Arial" w:cs="Arial" w:eastAsia="Arial" w:hAnsi="Arial"/>
                <w:sz w:val="18"/>
                <w:szCs w:val="18"/>
                <w:color w:val="auto"/>
                <w:w w:val="97"/>
              </w:rPr>
              <w:t>First Supplemental Indenture, dated as of October 7, 2021, among</w:t>
            </w:r>
          </w:p>
        </w:tc>
      </w:tr>
      <w:tr>
        <w:trPr>
          <w:trHeight w:val="179"/>
        </w:trPr>
        <w:tc>
          <w:tcPr>
            <w:tcW w:w="680" w:type="dxa"/>
            <w:vAlign w:val="bottom"/>
          </w:tcPr>
          <w:p>
            <w:pPr>
              <w:spacing w:after="0"/>
              <w:rPr>
                <w:sz w:val="15"/>
                <w:szCs w:val="15"/>
                <w:color w:val="auto"/>
              </w:rPr>
            </w:pPr>
          </w:p>
        </w:tc>
        <w:tc>
          <w:tcPr>
            <w:tcW w:w="5400" w:type="dxa"/>
            <w:vAlign w:val="bottom"/>
          </w:tcPr>
          <w:p>
            <w:pPr>
              <w:ind w:left="240"/>
              <w:spacing w:after="0" w:line="179" w:lineRule="exact"/>
              <w:rPr>
                <w:sz w:val="20"/>
                <w:szCs w:val="20"/>
                <w:color w:val="auto"/>
              </w:rPr>
            </w:pPr>
            <w:r>
              <w:rPr>
                <w:rFonts w:ascii="Arial" w:cs="Arial" w:eastAsia="Arial" w:hAnsi="Arial"/>
                <w:sz w:val="18"/>
                <w:szCs w:val="18"/>
                <w:color w:val="auto"/>
                <w:w w:val="95"/>
              </w:rPr>
              <w:t>Clearway Energy Operating LLC, the guarantors named therein and</w:t>
            </w:r>
          </w:p>
        </w:tc>
      </w:tr>
      <w:tr>
        <w:trPr>
          <w:trHeight w:val="234"/>
        </w:trPr>
        <w:tc>
          <w:tcPr>
            <w:tcW w:w="680" w:type="dxa"/>
            <w:vAlign w:val="bottom"/>
          </w:tcPr>
          <w:p>
            <w:pPr>
              <w:spacing w:after="0"/>
              <w:rPr>
                <w:sz w:val="20"/>
                <w:szCs w:val="20"/>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Delaware Trust Company.</w:t>
            </w:r>
          </w:p>
        </w:tc>
      </w:tr>
      <w:tr>
        <w:trPr>
          <w:trHeight w:val="228"/>
        </w:trPr>
        <w:tc>
          <w:tcPr>
            <w:tcW w:w="680" w:type="dxa"/>
            <w:vAlign w:val="bottom"/>
          </w:tcPr>
          <w:p>
            <w:pPr>
              <w:spacing w:after="0"/>
              <w:rPr>
                <w:sz w:val="20"/>
                <w:szCs w:val="20"/>
                <w:color w:val="auto"/>
              </w:rPr>
            </w:pPr>
            <w:r>
              <w:rPr>
                <w:rFonts w:ascii="Arial" w:cs="Arial" w:eastAsia="Arial" w:hAnsi="Arial"/>
                <w:sz w:val="18"/>
                <w:szCs w:val="18"/>
                <w:color w:val="auto"/>
              </w:rPr>
              <w:t>4.23</w:t>
            </w:r>
          </w:p>
        </w:tc>
        <w:tc>
          <w:tcPr>
            <w:tcW w:w="5400" w:type="dxa"/>
            <w:vAlign w:val="bottom"/>
          </w:tcPr>
          <w:p>
            <w:pPr>
              <w:ind w:left="240"/>
              <w:spacing w:after="0"/>
              <w:rPr>
                <w:sz w:val="20"/>
                <w:szCs w:val="20"/>
                <w:color w:val="auto"/>
              </w:rPr>
            </w:pPr>
            <w:r>
              <w:rPr>
                <w:rFonts w:ascii="Arial" w:cs="Arial" w:eastAsia="Arial" w:hAnsi="Arial"/>
                <w:sz w:val="18"/>
                <w:szCs w:val="18"/>
                <w:color w:val="auto"/>
                <w:w w:val="94"/>
              </w:rPr>
              <w:t>Eleventh Supplemental Indenture, dated as of May 25, 2022, among</w:t>
            </w:r>
          </w:p>
        </w:tc>
      </w:tr>
      <w:tr>
        <w:trPr>
          <w:trHeight w:val="179"/>
        </w:trPr>
        <w:tc>
          <w:tcPr>
            <w:tcW w:w="680" w:type="dxa"/>
            <w:vAlign w:val="bottom"/>
          </w:tcPr>
          <w:p>
            <w:pPr>
              <w:spacing w:after="0"/>
              <w:rPr>
                <w:sz w:val="15"/>
                <w:szCs w:val="15"/>
                <w:color w:val="auto"/>
              </w:rPr>
            </w:pPr>
          </w:p>
        </w:tc>
        <w:tc>
          <w:tcPr>
            <w:tcW w:w="5400" w:type="dxa"/>
            <w:vAlign w:val="bottom"/>
          </w:tcPr>
          <w:p>
            <w:pPr>
              <w:ind w:left="240"/>
              <w:spacing w:after="0" w:line="179" w:lineRule="exact"/>
              <w:rPr>
                <w:sz w:val="20"/>
                <w:szCs w:val="20"/>
                <w:color w:val="auto"/>
              </w:rPr>
            </w:pPr>
            <w:r>
              <w:rPr>
                <w:rFonts w:ascii="Arial" w:cs="Arial" w:eastAsia="Arial" w:hAnsi="Arial"/>
                <w:sz w:val="18"/>
                <w:szCs w:val="18"/>
                <w:color w:val="auto"/>
                <w:w w:val="95"/>
              </w:rPr>
              <w:t>Clearway Energy Operating LLC, the guarantors named therein and</w:t>
            </w:r>
          </w:p>
        </w:tc>
      </w:tr>
      <w:tr>
        <w:trPr>
          <w:trHeight w:val="234"/>
        </w:trPr>
        <w:tc>
          <w:tcPr>
            <w:tcW w:w="680" w:type="dxa"/>
            <w:vAlign w:val="bottom"/>
          </w:tcPr>
          <w:p>
            <w:pPr>
              <w:spacing w:after="0"/>
              <w:rPr>
                <w:sz w:val="20"/>
                <w:szCs w:val="20"/>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Delaware Trust Company.</w:t>
            </w:r>
          </w:p>
        </w:tc>
      </w:tr>
      <w:tr>
        <w:trPr>
          <w:trHeight w:val="228"/>
        </w:trPr>
        <w:tc>
          <w:tcPr>
            <w:tcW w:w="680" w:type="dxa"/>
            <w:vAlign w:val="bottom"/>
          </w:tcPr>
          <w:p>
            <w:pPr>
              <w:spacing w:after="0"/>
              <w:rPr>
                <w:sz w:val="20"/>
                <w:szCs w:val="20"/>
                <w:color w:val="auto"/>
              </w:rPr>
            </w:pPr>
            <w:r>
              <w:rPr>
                <w:rFonts w:ascii="Arial" w:cs="Arial" w:eastAsia="Arial" w:hAnsi="Arial"/>
                <w:sz w:val="18"/>
                <w:szCs w:val="18"/>
                <w:color w:val="auto"/>
              </w:rPr>
              <w:t>4.24</w:t>
            </w:r>
          </w:p>
        </w:tc>
        <w:tc>
          <w:tcPr>
            <w:tcW w:w="5400" w:type="dxa"/>
            <w:vAlign w:val="bottom"/>
          </w:tcPr>
          <w:p>
            <w:pPr>
              <w:ind w:left="240"/>
              <w:spacing w:after="0"/>
              <w:rPr>
                <w:sz w:val="20"/>
                <w:szCs w:val="20"/>
                <w:color w:val="auto"/>
              </w:rPr>
            </w:pPr>
            <w:r>
              <w:rPr>
                <w:rFonts w:ascii="Arial" w:cs="Arial" w:eastAsia="Arial" w:hAnsi="Arial"/>
                <w:sz w:val="18"/>
                <w:szCs w:val="18"/>
                <w:color w:val="auto"/>
                <w:w w:val="99"/>
              </w:rPr>
              <w:t>Third Supplemental Indenture, dated as of May 25, 2022, among</w:t>
            </w:r>
          </w:p>
        </w:tc>
      </w:tr>
      <w:tr>
        <w:trPr>
          <w:trHeight w:val="179"/>
        </w:trPr>
        <w:tc>
          <w:tcPr>
            <w:tcW w:w="680" w:type="dxa"/>
            <w:vAlign w:val="bottom"/>
          </w:tcPr>
          <w:p>
            <w:pPr>
              <w:spacing w:after="0"/>
              <w:rPr>
                <w:sz w:val="15"/>
                <w:szCs w:val="15"/>
                <w:color w:val="auto"/>
              </w:rPr>
            </w:pPr>
          </w:p>
        </w:tc>
        <w:tc>
          <w:tcPr>
            <w:tcW w:w="5400" w:type="dxa"/>
            <w:vAlign w:val="bottom"/>
          </w:tcPr>
          <w:p>
            <w:pPr>
              <w:ind w:left="240"/>
              <w:spacing w:after="0" w:line="179" w:lineRule="exact"/>
              <w:rPr>
                <w:sz w:val="20"/>
                <w:szCs w:val="20"/>
                <w:color w:val="auto"/>
              </w:rPr>
            </w:pPr>
            <w:r>
              <w:rPr>
                <w:rFonts w:ascii="Arial" w:cs="Arial" w:eastAsia="Arial" w:hAnsi="Arial"/>
                <w:sz w:val="18"/>
                <w:szCs w:val="18"/>
                <w:color w:val="auto"/>
                <w:w w:val="95"/>
              </w:rPr>
              <w:t>Clearway Energy Operating LLC, the guarantors named therein and</w:t>
            </w:r>
          </w:p>
        </w:tc>
      </w:tr>
      <w:tr>
        <w:trPr>
          <w:trHeight w:val="234"/>
        </w:trPr>
        <w:tc>
          <w:tcPr>
            <w:tcW w:w="680" w:type="dxa"/>
            <w:vAlign w:val="bottom"/>
          </w:tcPr>
          <w:p>
            <w:pPr>
              <w:spacing w:after="0"/>
              <w:rPr>
                <w:sz w:val="20"/>
                <w:szCs w:val="20"/>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Delaware Trust Company.</w:t>
            </w:r>
          </w:p>
        </w:tc>
      </w:tr>
      <w:tr>
        <w:trPr>
          <w:trHeight w:val="228"/>
        </w:trPr>
        <w:tc>
          <w:tcPr>
            <w:tcW w:w="680" w:type="dxa"/>
            <w:vAlign w:val="bottom"/>
          </w:tcPr>
          <w:p>
            <w:pPr>
              <w:spacing w:after="0"/>
              <w:rPr>
                <w:sz w:val="20"/>
                <w:szCs w:val="20"/>
                <w:color w:val="auto"/>
              </w:rPr>
            </w:pPr>
            <w:r>
              <w:rPr>
                <w:rFonts w:ascii="Arial" w:cs="Arial" w:eastAsia="Arial" w:hAnsi="Arial"/>
                <w:sz w:val="18"/>
                <w:szCs w:val="18"/>
                <w:color w:val="auto"/>
              </w:rPr>
              <w:t>4.25</w:t>
            </w:r>
          </w:p>
        </w:tc>
        <w:tc>
          <w:tcPr>
            <w:tcW w:w="5400" w:type="dxa"/>
            <w:vAlign w:val="bottom"/>
          </w:tcPr>
          <w:p>
            <w:pPr>
              <w:ind w:left="240"/>
              <w:spacing w:after="0"/>
              <w:rPr>
                <w:sz w:val="20"/>
                <w:szCs w:val="20"/>
                <w:color w:val="auto"/>
              </w:rPr>
            </w:pPr>
            <w:r>
              <w:rPr>
                <w:rFonts w:ascii="Arial" w:cs="Arial" w:eastAsia="Arial" w:hAnsi="Arial"/>
                <w:sz w:val="18"/>
                <w:szCs w:val="18"/>
                <w:color w:val="auto"/>
                <w:w w:val="96"/>
              </w:rPr>
              <w:t>Second Supplemental Indenture, dated as of May 25, 2022, among</w:t>
            </w:r>
          </w:p>
        </w:tc>
      </w:tr>
      <w:tr>
        <w:trPr>
          <w:trHeight w:val="179"/>
        </w:trPr>
        <w:tc>
          <w:tcPr>
            <w:tcW w:w="680" w:type="dxa"/>
            <w:vAlign w:val="bottom"/>
          </w:tcPr>
          <w:p>
            <w:pPr>
              <w:spacing w:after="0"/>
              <w:rPr>
                <w:sz w:val="15"/>
                <w:szCs w:val="15"/>
                <w:color w:val="auto"/>
              </w:rPr>
            </w:pPr>
          </w:p>
        </w:tc>
        <w:tc>
          <w:tcPr>
            <w:tcW w:w="5400" w:type="dxa"/>
            <w:vAlign w:val="bottom"/>
          </w:tcPr>
          <w:p>
            <w:pPr>
              <w:ind w:left="240"/>
              <w:spacing w:after="0" w:line="179" w:lineRule="exact"/>
              <w:rPr>
                <w:sz w:val="20"/>
                <w:szCs w:val="20"/>
                <w:color w:val="auto"/>
              </w:rPr>
            </w:pPr>
            <w:r>
              <w:rPr>
                <w:rFonts w:ascii="Arial" w:cs="Arial" w:eastAsia="Arial" w:hAnsi="Arial"/>
                <w:sz w:val="18"/>
                <w:szCs w:val="18"/>
                <w:color w:val="auto"/>
                <w:w w:val="95"/>
              </w:rPr>
              <w:t>Clearway Energy Operating LLC, the guarantors named therein and</w:t>
            </w:r>
          </w:p>
        </w:tc>
      </w:tr>
      <w:tr>
        <w:trPr>
          <w:trHeight w:val="234"/>
        </w:trPr>
        <w:tc>
          <w:tcPr>
            <w:tcW w:w="680" w:type="dxa"/>
            <w:vAlign w:val="bottom"/>
          </w:tcPr>
          <w:p>
            <w:pPr>
              <w:spacing w:after="0"/>
              <w:rPr>
                <w:sz w:val="20"/>
                <w:szCs w:val="20"/>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Delaware Trust Company.</w:t>
            </w:r>
          </w:p>
        </w:tc>
      </w:tr>
      <w:tr>
        <w:trPr>
          <w:trHeight w:val="228"/>
        </w:trPr>
        <w:tc>
          <w:tcPr>
            <w:tcW w:w="680" w:type="dxa"/>
            <w:vAlign w:val="bottom"/>
          </w:tcPr>
          <w:p>
            <w:pPr>
              <w:spacing w:after="0"/>
              <w:rPr>
                <w:sz w:val="20"/>
                <w:szCs w:val="20"/>
                <w:color w:val="auto"/>
              </w:rPr>
            </w:pPr>
            <w:r>
              <w:rPr>
                <w:rFonts w:ascii="Arial" w:cs="Arial" w:eastAsia="Arial" w:hAnsi="Arial"/>
                <w:sz w:val="18"/>
                <w:szCs w:val="18"/>
                <w:color w:val="auto"/>
              </w:rPr>
              <w:t>4.26</w:t>
            </w:r>
          </w:p>
        </w:tc>
        <w:tc>
          <w:tcPr>
            <w:tcW w:w="5400" w:type="dxa"/>
            <w:vAlign w:val="bottom"/>
          </w:tcPr>
          <w:p>
            <w:pPr>
              <w:ind w:left="240"/>
              <w:spacing w:after="0"/>
              <w:rPr>
                <w:sz w:val="20"/>
                <w:szCs w:val="20"/>
                <w:color w:val="auto"/>
              </w:rPr>
            </w:pPr>
            <w:r>
              <w:rPr>
                <w:rFonts w:ascii="Arial" w:cs="Arial" w:eastAsia="Arial" w:hAnsi="Arial"/>
                <w:sz w:val="18"/>
                <w:szCs w:val="18"/>
                <w:color w:val="auto"/>
                <w:w w:val="90"/>
              </w:rPr>
              <w:t>Twelfth Supplemental Indenture, dated as of February 14, 2023, among</w:t>
            </w:r>
          </w:p>
        </w:tc>
      </w:tr>
      <w:tr>
        <w:trPr>
          <w:trHeight w:val="179"/>
        </w:trPr>
        <w:tc>
          <w:tcPr>
            <w:tcW w:w="680" w:type="dxa"/>
            <w:vAlign w:val="bottom"/>
          </w:tcPr>
          <w:p>
            <w:pPr>
              <w:spacing w:after="0"/>
              <w:rPr>
                <w:sz w:val="15"/>
                <w:szCs w:val="15"/>
                <w:color w:val="auto"/>
              </w:rPr>
            </w:pPr>
          </w:p>
        </w:tc>
        <w:tc>
          <w:tcPr>
            <w:tcW w:w="5400" w:type="dxa"/>
            <w:vAlign w:val="bottom"/>
          </w:tcPr>
          <w:p>
            <w:pPr>
              <w:ind w:left="240"/>
              <w:spacing w:after="0" w:line="179" w:lineRule="exact"/>
              <w:rPr>
                <w:sz w:val="20"/>
                <w:szCs w:val="20"/>
                <w:color w:val="auto"/>
              </w:rPr>
            </w:pPr>
            <w:r>
              <w:rPr>
                <w:rFonts w:ascii="Arial" w:cs="Arial" w:eastAsia="Arial" w:hAnsi="Arial"/>
                <w:sz w:val="18"/>
                <w:szCs w:val="18"/>
                <w:color w:val="auto"/>
                <w:w w:val="95"/>
              </w:rPr>
              <w:t>Clearway Energy Operating LLC, the guarantors named therein and</w:t>
            </w:r>
          </w:p>
        </w:tc>
      </w:tr>
      <w:tr>
        <w:trPr>
          <w:trHeight w:val="234"/>
        </w:trPr>
        <w:tc>
          <w:tcPr>
            <w:tcW w:w="680" w:type="dxa"/>
            <w:vAlign w:val="bottom"/>
          </w:tcPr>
          <w:p>
            <w:pPr>
              <w:spacing w:after="0"/>
              <w:rPr>
                <w:sz w:val="20"/>
                <w:szCs w:val="20"/>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Delaware Trust Company.</w:t>
            </w:r>
          </w:p>
        </w:tc>
      </w:tr>
      <w:tr>
        <w:trPr>
          <w:trHeight w:val="228"/>
        </w:trPr>
        <w:tc>
          <w:tcPr>
            <w:tcW w:w="680" w:type="dxa"/>
            <w:vAlign w:val="bottom"/>
          </w:tcPr>
          <w:p>
            <w:pPr>
              <w:spacing w:after="0"/>
              <w:rPr>
                <w:sz w:val="20"/>
                <w:szCs w:val="20"/>
                <w:color w:val="auto"/>
              </w:rPr>
            </w:pPr>
            <w:r>
              <w:rPr>
                <w:rFonts w:ascii="Arial" w:cs="Arial" w:eastAsia="Arial" w:hAnsi="Arial"/>
                <w:sz w:val="18"/>
                <w:szCs w:val="18"/>
                <w:color w:val="auto"/>
              </w:rPr>
              <w:t>4.27</w:t>
            </w:r>
          </w:p>
        </w:tc>
        <w:tc>
          <w:tcPr>
            <w:tcW w:w="5400" w:type="dxa"/>
            <w:vAlign w:val="bottom"/>
          </w:tcPr>
          <w:p>
            <w:pPr>
              <w:ind w:left="240"/>
              <w:spacing w:after="0"/>
              <w:rPr>
                <w:sz w:val="20"/>
                <w:szCs w:val="20"/>
                <w:color w:val="auto"/>
              </w:rPr>
            </w:pPr>
            <w:r>
              <w:rPr>
                <w:rFonts w:ascii="Arial" w:cs="Arial" w:eastAsia="Arial" w:hAnsi="Arial"/>
                <w:sz w:val="18"/>
                <w:szCs w:val="18"/>
                <w:color w:val="auto"/>
                <w:w w:val="91"/>
              </w:rPr>
              <w:t>Fourth Supplemental Indenture, dated as of February 14, 2023, among</w:t>
            </w:r>
          </w:p>
        </w:tc>
      </w:tr>
      <w:tr>
        <w:trPr>
          <w:trHeight w:val="179"/>
        </w:trPr>
        <w:tc>
          <w:tcPr>
            <w:tcW w:w="680" w:type="dxa"/>
            <w:vAlign w:val="bottom"/>
          </w:tcPr>
          <w:p>
            <w:pPr>
              <w:spacing w:after="0"/>
              <w:rPr>
                <w:sz w:val="15"/>
                <w:szCs w:val="15"/>
                <w:color w:val="auto"/>
              </w:rPr>
            </w:pPr>
          </w:p>
        </w:tc>
        <w:tc>
          <w:tcPr>
            <w:tcW w:w="5400" w:type="dxa"/>
            <w:vAlign w:val="bottom"/>
          </w:tcPr>
          <w:p>
            <w:pPr>
              <w:ind w:left="240"/>
              <w:spacing w:after="0" w:line="179" w:lineRule="exact"/>
              <w:rPr>
                <w:sz w:val="20"/>
                <w:szCs w:val="20"/>
                <w:color w:val="auto"/>
              </w:rPr>
            </w:pPr>
            <w:r>
              <w:rPr>
                <w:rFonts w:ascii="Arial" w:cs="Arial" w:eastAsia="Arial" w:hAnsi="Arial"/>
                <w:sz w:val="18"/>
                <w:szCs w:val="18"/>
                <w:color w:val="auto"/>
                <w:w w:val="95"/>
              </w:rPr>
              <w:t>Clearway Energy Operating LLC, the guarantors named therein and</w:t>
            </w:r>
          </w:p>
        </w:tc>
      </w:tr>
      <w:tr>
        <w:trPr>
          <w:trHeight w:val="234"/>
        </w:trPr>
        <w:tc>
          <w:tcPr>
            <w:tcW w:w="680" w:type="dxa"/>
            <w:vAlign w:val="bottom"/>
          </w:tcPr>
          <w:p>
            <w:pPr>
              <w:spacing w:after="0"/>
              <w:rPr>
                <w:sz w:val="20"/>
                <w:szCs w:val="20"/>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Delaware Trust Company.</w:t>
            </w:r>
          </w:p>
        </w:tc>
      </w:tr>
      <w:tr>
        <w:trPr>
          <w:trHeight w:val="228"/>
        </w:trPr>
        <w:tc>
          <w:tcPr>
            <w:tcW w:w="680" w:type="dxa"/>
            <w:vAlign w:val="bottom"/>
          </w:tcPr>
          <w:p>
            <w:pPr>
              <w:spacing w:after="0"/>
              <w:rPr>
                <w:sz w:val="20"/>
                <w:szCs w:val="20"/>
                <w:color w:val="auto"/>
              </w:rPr>
            </w:pPr>
            <w:r>
              <w:rPr>
                <w:rFonts w:ascii="Arial" w:cs="Arial" w:eastAsia="Arial" w:hAnsi="Arial"/>
                <w:sz w:val="18"/>
                <w:szCs w:val="18"/>
                <w:color w:val="auto"/>
              </w:rPr>
              <w:t>4.28</w:t>
            </w:r>
          </w:p>
        </w:tc>
        <w:tc>
          <w:tcPr>
            <w:tcW w:w="5400" w:type="dxa"/>
            <w:vAlign w:val="bottom"/>
          </w:tcPr>
          <w:p>
            <w:pPr>
              <w:ind w:left="240"/>
              <w:spacing w:after="0"/>
              <w:rPr>
                <w:sz w:val="20"/>
                <w:szCs w:val="20"/>
                <w:color w:val="auto"/>
              </w:rPr>
            </w:pPr>
            <w:r>
              <w:rPr>
                <w:rFonts w:ascii="Arial" w:cs="Arial" w:eastAsia="Arial" w:hAnsi="Arial"/>
                <w:sz w:val="18"/>
                <w:szCs w:val="18"/>
                <w:color w:val="auto"/>
                <w:w w:val="92"/>
              </w:rPr>
              <w:t>Third Supplemental Indenture, dated as of February 14, 2023, among</w:t>
            </w:r>
          </w:p>
        </w:tc>
      </w:tr>
      <w:tr>
        <w:trPr>
          <w:trHeight w:val="179"/>
        </w:trPr>
        <w:tc>
          <w:tcPr>
            <w:tcW w:w="680" w:type="dxa"/>
            <w:vAlign w:val="bottom"/>
          </w:tcPr>
          <w:p>
            <w:pPr>
              <w:spacing w:after="0"/>
              <w:rPr>
                <w:sz w:val="15"/>
                <w:szCs w:val="15"/>
                <w:color w:val="auto"/>
              </w:rPr>
            </w:pPr>
          </w:p>
        </w:tc>
        <w:tc>
          <w:tcPr>
            <w:tcW w:w="5400" w:type="dxa"/>
            <w:vAlign w:val="bottom"/>
          </w:tcPr>
          <w:p>
            <w:pPr>
              <w:ind w:left="240"/>
              <w:spacing w:after="0" w:line="179" w:lineRule="exact"/>
              <w:rPr>
                <w:sz w:val="20"/>
                <w:szCs w:val="20"/>
                <w:color w:val="auto"/>
              </w:rPr>
            </w:pPr>
            <w:r>
              <w:rPr>
                <w:rFonts w:ascii="Arial" w:cs="Arial" w:eastAsia="Arial" w:hAnsi="Arial"/>
                <w:sz w:val="18"/>
                <w:szCs w:val="18"/>
                <w:color w:val="auto"/>
                <w:w w:val="95"/>
              </w:rPr>
              <w:t>Clearway Energy Operating LLC, the guarantors named therein and</w:t>
            </w:r>
          </w:p>
        </w:tc>
      </w:tr>
      <w:tr>
        <w:trPr>
          <w:trHeight w:val="234"/>
        </w:trPr>
        <w:tc>
          <w:tcPr>
            <w:tcW w:w="680" w:type="dxa"/>
            <w:vAlign w:val="bottom"/>
          </w:tcPr>
          <w:p>
            <w:pPr>
              <w:spacing w:after="0"/>
              <w:rPr>
                <w:sz w:val="20"/>
                <w:szCs w:val="20"/>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Delaware Trust Company.</w:t>
            </w:r>
          </w:p>
        </w:tc>
      </w:tr>
      <w:tr>
        <w:trPr>
          <w:trHeight w:val="282"/>
        </w:trPr>
        <w:tc>
          <w:tcPr>
            <w:tcW w:w="680" w:type="dxa"/>
            <w:vAlign w:val="bottom"/>
          </w:tcPr>
          <w:p>
            <w:pPr>
              <w:spacing w:after="0"/>
              <w:rPr>
                <w:sz w:val="20"/>
                <w:szCs w:val="20"/>
                <w:color w:val="auto"/>
              </w:rPr>
            </w:pPr>
            <w:r>
              <w:rPr>
                <w:rFonts w:ascii="Arial" w:cs="Arial" w:eastAsia="Arial" w:hAnsi="Arial"/>
                <w:sz w:val="18"/>
                <w:szCs w:val="18"/>
                <w:color w:val="auto"/>
              </w:rPr>
              <w:t>4.29</w:t>
            </w:r>
          </w:p>
        </w:tc>
        <w:tc>
          <w:tcPr>
            <w:tcW w:w="5400" w:type="dxa"/>
            <w:vAlign w:val="bottom"/>
          </w:tcPr>
          <w:p>
            <w:pPr>
              <w:ind w:left="240"/>
              <w:spacing w:after="0"/>
              <w:rPr>
                <w:sz w:val="20"/>
                <w:szCs w:val="20"/>
                <w:color w:val="auto"/>
              </w:rPr>
            </w:pPr>
            <w:r>
              <w:rPr>
                <w:rFonts w:ascii="Arial" w:cs="Arial" w:eastAsia="Arial" w:hAnsi="Arial"/>
                <w:sz w:val="18"/>
                <w:szCs w:val="18"/>
                <w:color w:val="auto"/>
              </w:rPr>
              <w:t>Description of Securities.</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10.1</w:t>
            </w:r>
          </w:p>
        </w:tc>
        <w:tc>
          <w:tcPr>
            <w:tcW w:w="5400" w:type="dxa"/>
            <w:vAlign w:val="bottom"/>
          </w:tcPr>
          <w:p>
            <w:pPr>
              <w:ind w:left="240"/>
              <w:spacing w:after="0"/>
              <w:rPr>
                <w:sz w:val="20"/>
                <w:szCs w:val="20"/>
                <w:color w:val="auto"/>
              </w:rPr>
            </w:pPr>
            <w:r>
              <w:rPr>
                <w:rFonts w:ascii="Arial" w:cs="Arial" w:eastAsia="Arial" w:hAnsi="Arial"/>
                <w:sz w:val="18"/>
                <w:szCs w:val="18"/>
                <w:color w:val="auto"/>
                <w:w w:val="96"/>
              </w:rPr>
              <w:t>Zephyr Voting and Governance Agreement, dated as of August 31,</w:t>
            </w:r>
          </w:p>
        </w:tc>
      </w:tr>
      <w:tr>
        <w:trPr>
          <w:trHeight w:val="234"/>
        </w:trPr>
        <w:tc>
          <w:tcPr>
            <w:tcW w:w="680" w:type="dxa"/>
            <w:vAlign w:val="bottom"/>
          </w:tcPr>
          <w:p>
            <w:pPr>
              <w:spacing w:after="0"/>
              <w:rPr>
                <w:sz w:val="20"/>
                <w:szCs w:val="20"/>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w w:val="93"/>
              </w:rPr>
              <w:t>2018, by and between NRG Yield, Inc. and Zephyr Renewables LLC.</w:t>
            </w:r>
          </w:p>
        </w:tc>
      </w:tr>
      <w:tr>
        <w:trPr>
          <w:trHeight w:val="407"/>
        </w:trPr>
        <w:tc>
          <w:tcPr>
            <w:tcW w:w="680" w:type="dxa"/>
            <w:vAlign w:val="bottom"/>
          </w:tcPr>
          <w:p>
            <w:pPr>
              <w:spacing w:after="0"/>
              <w:rPr>
                <w:sz w:val="20"/>
                <w:szCs w:val="20"/>
                <w:color w:val="auto"/>
              </w:rPr>
            </w:pPr>
            <w:r>
              <w:rPr>
                <w:rFonts w:ascii="Arial" w:cs="Arial" w:eastAsia="Arial" w:hAnsi="Arial"/>
                <w:sz w:val="18"/>
                <w:szCs w:val="18"/>
                <w:color w:val="auto"/>
              </w:rPr>
              <w:t>10.2</w:t>
            </w:r>
          </w:p>
        </w:tc>
        <w:tc>
          <w:tcPr>
            <w:tcW w:w="5400" w:type="dxa"/>
            <w:vAlign w:val="bottom"/>
          </w:tcPr>
          <w:p>
            <w:pPr>
              <w:ind w:left="240"/>
              <w:spacing w:after="0"/>
              <w:rPr>
                <w:sz w:val="20"/>
                <w:szCs w:val="20"/>
                <w:color w:val="auto"/>
              </w:rPr>
            </w:pPr>
            <w:r>
              <w:rPr>
                <w:rFonts w:ascii="Arial" w:cs="Arial" w:eastAsia="Arial" w:hAnsi="Arial"/>
                <w:sz w:val="18"/>
                <w:szCs w:val="18"/>
                <w:color w:val="auto"/>
                <w:w w:val="89"/>
              </w:rPr>
              <w:t>Transition Services Agreement, dated August 31, 2018, by and between</w:t>
            </w:r>
          </w:p>
        </w:tc>
      </w:tr>
      <w:tr>
        <w:trPr>
          <w:trHeight w:val="234"/>
        </w:trPr>
        <w:tc>
          <w:tcPr>
            <w:tcW w:w="680" w:type="dxa"/>
            <w:vAlign w:val="bottom"/>
          </w:tcPr>
          <w:p>
            <w:pPr>
              <w:spacing w:after="0"/>
              <w:rPr>
                <w:sz w:val="20"/>
                <w:szCs w:val="20"/>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NRG Yield, Inc. and NRG Energy, Inc.</w:t>
            </w:r>
          </w:p>
        </w:tc>
      </w:tr>
      <w:tr>
        <w:trPr>
          <w:trHeight w:val="407"/>
        </w:trPr>
        <w:tc>
          <w:tcPr>
            <w:tcW w:w="680" w:type="dxa"/>
            <w:vAlign w:val="bottom"/>
          </w:tcPr>
          <w:p>
            <w:pPr>
              <w:spacing w:after="0"/>
              <w:rPr>
                <w:sz w:val="20"/>
                <w:szCs w:val="20"/>
                <w:color w:val="auto"/>
              </w:rPr>
            </w:pPr>
            <w:r>
              <w:rPr>
                <w:rFonts w:ascii="Arial" w:cs="Arial" w:eastAsia="Arial" w:hAnsi="Arial"/>
                <w:sz w:val="18"/>
                <w:szCs w:val="18"/>
                <w:color w:val="auto"/>
              </w:rPr>
              <w:t>10.3</w:t>
            </w:r>
          </w:p>
        </w:tc>
        <w:tc>
          <w:tcPr>
            <w:tcW w:w="5400" w:type="dxa"/>
            <w:vAlign w:val="bottom"/>
          </w:tcPr>
          <w:p>
            <w:pPr>
              <w:ind w:left="240"/>
              <w:spacing w:after="0"/>
              <w:rPr>
                <w:sz w:val="20"/>
                <w:szCs w:val="20"/>
                <w:color w:val="auto"/>
              </w:rPr>
            </w:pPr>
            <w:r>
              <w:rPr>
                <w:rFonts w:ascii="Arial" w:cs="Arial" w:eastAsia="Arial" w:hAnsi="Arial"/>
                <w:sz w:val="18"/>
                <w:szCs w:val="18"/>
                <w:color w:val="auto"/>
                <w:w w:val="93"/>
              </w:rPr>
              <w:t>Termination Agreement, dated as of August 31, 2018, by and among</w:t>
            </w:r>
          </w:p>
        </w:tc>
      </w:tr>
      <w:tr>
        <w:trPr>
          <w:trHeight w:val="179"/>
        </w:trPr>
        <w:tc>
          <w:tcPr>
            <w:tcW w:w="680" w:type="dxa"/>
            <w:vAlign w:val="bottom"/>
          </w:tcPr>
          <w:p>
            <w:pPr>
              <w:spacing w:after="0"/>
              <w:rPr>
                <w:sz w:val="15"/>
                <w:szCs w:val="15"/>
                <w:color w:val="auto"/>
              </w:rPr>
            </w:pPr>
          </w:p>
        </w:tc>
        <w:tc>
          <w:tcPr>
            <w:tcW w:w="5400" w:type="dxa"/>
            <w:vAlign w:val="bottom"/>
          </w:tcPr>
          <w:p>
            <w:pPr>
              <w:ind w:left="240"/>
              <w:spacing w:after="0" w:line="179" w:lineRule="exact"/>
              <w:rPr>
                <w:sz w:val="20"/>
                <w:szCs w:val="20"/>
                <w:color w:val="auto"/>
              </w:rPr>
            </w:pPr>
            <w:r>
              <w:rPr>
                <w:rFonts w:ascii="Arial" w:cs="Arial" w:eastAsia="Arial" w:hAnsi="Arial"/>
                <w:sz w:val="18"/>
                <w:szCs w:val="18"/>
                <w:color w:val="auto"/>
              </w:rPr>
              <w:t>NRG Yield, Inc., NRG Yield LLC, NRG Yield Operating LLC and</w:t>
            </w:r>
          </w:p>
        </w:tc>
      </w:tr>
      <w:tr>
        <w:trPr>
          <w:trHeight w:val="234"/>
        </w:trPr>
        <w:tc>
          <w:tcPr>
            <w:tcW w:w="680" w:type="dxa"/>
            <w:vAlign w:val="bottom"/>
          </w:tcPr>
          <w:p>
            <w:pPr>
              <w:spacing w:after="0"/>
              <w:rPr>
                <w:sz w:val="20"/>
                <w:szCs w:val="20"/>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NRG Energy, Inc.</w:t>
            </w:r>
          </w:p>
        </w:tc>
      </w:tr>
      <w:tr>
        <w:trPr>
          <w:trHeight w:val="282"/>
        </w:trPr>
        <w:tc>
          <w:tcPr>
            <w:tcW w:w="680" w:type="dxa"/>
            <w:vAlign w:val="bottom"/>
          </w:tcPr>
          <w:p>
            <w:pPr>
              <w:spacing w:after="0"/>
              <w:rPr>
                <w:sz w:val="20"/>
                <w:szCs w:val="20"/>
                <w:color w:val="auto"/>
              </w:rPr>
            </w:pPr>
            <w:r>
              <w:rPr>
                <w:rFonts w:ascii="Arial" w:cs="Arial" w:eastAsia="Arial" w:hAnsi="Arial"/>
                <w:sz w:val="18"/>
                <w:szCs w:val="18"/>
                <w:color w:val="auto"/>
              </w:rPr>
              <w:t>10.4</w:t>
            </w:r>
          </w:p>
        </w:tc>
        <w:tc>
          <w:tcPr>
            <w:tcW w:w="5400" w:type="dxa"/>
            <w:vAlign w:val="bottom"/>
          </w:tcPr>
          <w:p>
            <w:pPr>
              <w:ind w:left="240"/>
              <w:spacing w:after="0"/>
              <w:rPr>
                <w:sz w:val="20"/>
                <w:szCs w:val="20"/>
                <w:color w:val="auto"/>
              </w:rPr>
            </w:pPr>
            <w:r>
              <w:rPr>
                <w:rFonts w:ascii="Arial" w:cs="Arial" w:eastAsia="Arial" w:hAnsi="Arial"/>
                <w:sz w:val="18"/>
                <w:szCs w:val="18"/>
                <w:color w:val="auto"/>
              </w:rPr>
              <w:t>Form of Indemnification Agreement.</w:t>
            </w:r>
          </w:p>
        </w:tc>
      </w:tr>
      <w:tr>
        <w:trPr>
          <w:trHeight w:val="588"/>
        </w:trPr>
        <w:tc>
          <w:tcPr>
            <w:tcW w:w="680" w:type="dxa"/>
            <w:vAlign w:val="bottom"/>
          </w:tcPr>
          <w:p>
            <w:pPr>
              <w:spacing w:after="0"/>
              <w:rPr>
                <w:sz w:val="20"/>
                <w:szCs w:val="20"/>
                <w:color w:val="auto"/>
              </w:rPr>
            </w:pPr>
            <w:r>
              <w:rPr>
                <w:rFonts w:ascii="Arial" w:cs="Arial" w:eastAsia="Arial" w:hAnsi="Arial"/>
                <w:sz w:val="18"/>
                <w:szCs w:val="18"/>
                <w:color w:val="auto"/>
              </w:rPr>
              <w:t>10.5.1</w:t>
            </w:r>
          </w:p>
        </w:tc>
        <w:tc>
          <w:tcPr>
            <w:tcW w:w="5400" w:type="dxa"/>
            <w:vAlign w:val="bottom"/>
          </w:tcPr>
          <w:p>
            <w:pPr>
              <w:ind w:left="240"/>
              <w:spacing w:after="0"/>
              <w:rPr>
                <w:sz w:val="20"/>
                <w:szCs w:val="20"/>
                <w:color w:val="auto"/>
              </w:rPr>
            </w:pPr>
            <w:r>
              <w:rPr>
                <w:rFonts w:ascii="Arial" w:cs="Arial" w:eastAsia="Arial" w:hAnsi="Arial"/>
                <w:sz w:val="18"/>
                <w:szCs w:val="18"/>
                <w:color w:val="auto"/>
                <w:w w:val="90"/>
              </w:rPr>
              <w:t>Amended and Restated Credit Agreement, dated April 25, 2014, by and</w:t>
            </w:r>
          </w:p>
        </w:tc>
      </w:tr>
      <w:tr>
        <w:trPr>
          <w:trHeight w:val="179"/>
        </w:trPr>
        <w:tc>
          <w:tcPr>
            <w:tcW w:w="680" w:type="dxa"/>
            <w:vAlign w:val="bottom"/>
          </w:tcPr>
          <w:p>
            <w:pPr>
              <w:spacing w:after="0"/>
              <w:rPr>
                <w:sz w:val="15"/>
                <w:szCs w:val="15"/>
                <w:color w:val="auto"/>
              </w:rPr>
            </w:pPr>
          </w:p>
        </w:tc>
        <w:tc>
          <w:tcPr>
            <w:tcW w:w="5400" w:type="dxa"/>
            <w:vAlign w:val="bottom"/>
          </w:tcPr>
          <w:p>
            <w:pPr>
              <w:ind w:left="240"/>
              <w:spacing w:after="0" w:line="179" w:lineRule="exact"/>
              <w:rPr>
                <w:sz w:val="20"/>
                <w:szCs w:val="20"/>
                <w:color w:val="auto"/>
              </w:rPr>
            </w:pPr>
            <w:r>
              <w:rPr>
                <w:rFonts w:ascii="Arial" w:cs="Arial" w:eastAsia="Arial" w:hAnsi="Arial"/>
                <w:sz w:val="18"/>
                <w:szCs w:val="18"/>
                <w:color w:val="auto"/>
                <w:w w:val="98"/>
              </w:rPr>
              <w:t>among NRG Yield Operating LLC, NRG Yield LLC, Royal Bank of</w:t>
            </w:r>
          </w:p>
        </w:tc>
      </w:tr>
      <w:tr>
        <w:trPr>
          <w:trHeight w:val="179"/>
        </w:trPr>
        <w:tc>
          <w:tcPr>
            <w:tcW w:w="680" w:type="dxa"/>
            <w:vAlign w:val="bottom"/>
          </w:tcPr>
          <w:p>
            <w:pPr>
              <w:spacing w:after="0"/>
              <w:rPr>
                <w:sz w:val="15"/>
                <w:szCs w:val="15"/>
                <w:color w:val="auto"/>
              </w:rPr>
            </w:pPr>
          </w:p>
        </w:tc>
        <w:tc>
          <w:tcPr>
            <w:tcW w:w="5400" w:type="dxa"/>
            <w:vAlign w:val="bottom"/>
          </w:tcPr>
          <w:p>
            <w:pPr>
              <w:ind w:left="240"/>
              <w:spacing w:after="0" w:line="179" w:lineRule="exact"/>
              <w:rPr>
                <w:sz w:val="20"/>
                <w:szCs w:val="20"/>
                <w:color w:val="auto"/>
              </w:rPr>
            </w:pPr>
            <w:r>
              <w:rPr>
                <w:rFonts w:ascii="Arial" w:cs="Arial" w:eastAsia="Arial" w:hAnsi="Arial"/>
                <w:sz w:val="18"/>
                <w:szCs w:val="18"/>
                <w:color w:val="auto"/>
                <w:w w:val="90"/>
              </w:rPr>
              <w:t>Canada, as Administrative Agent, the lenders party thereto, Royal Bank</w:t>
            </w:r>
          </w:p>
        </w:tc>
      </w:tr>
      <w:tr>
        <w:trPr>
          <w:trHeight w:val="179"/>
        </w:trPr>
        <w:tc>
          <w:tcPr>
            <w:tcW w:w="680" w:type="dxa"/>
            <w:vAlign w:val="bottom"/>
          </w:tcPr>
          <w:p>
            <w:pPr>
              <w:spacing w:after="0"/>
              <w:rPr>
                <w:sz w:val="15"/>
                <w:szCs w:val="15"/>
                <w:color w:val="auto"/>
              </w:rPr>
            </w:pPr>
          </w:p>
        </w:tc>
        <w:tc>
          <w:tcPr>
            <w:tcW w:w="5400" w:type="dxa"/>
            <w:vAlign w:val="bottom"/>
          </w:tcPr>
          <w:p>
            <w:pPr>
              <w:ind w:left="240"/>
              <w:spacing w:after="0" w:line="179" w:lineRule="exact"/>
              <w:rPr>
                <w:sz w:val="20"/>
                <w:szCs w:val="20"/>
                <w:color w:val="auto"/>
              </w:rPr>
            </w:pPr>
            <w:r>
              <w:rPr>
                <w:rFonts w:ascii="Arial" w:cs="Arial" w:eastAsia="Arial" w:hAnsi="Arial"/>
                <w:sz w:val="18"/>
                <w:szCs w:val="18"/>
                <w:color w:val="auto"/>
                <w:w w:val="92"/>
              </w:rPr>
              <w:t>of Canada, Goldman Sachs Bank USA and Bank of America, N.A., as</w:t>
            </w:r>
          </w:p>
        </w:tc>
      </w:tr>
      <w:tr>
        <w:trPr>
          <w:trHeight w:val="179"/>
        </w:trPr>
        <w:tc>
          <w:tcPr>
            <w:tcW w:w="680" w:type="dxa"/>
            <w:vAlign w:val="bottom"/>
          </w:tcPr>
          <w:p>
            <w:pPr>
              <w:spacing w:after="0"/>
              <w:rPr>
                <w:sz w:val="15"/>
                <w:szCs w:val="15"/>
                <w:color w:val="auto"/>
              </w:rPr>
            </w:pPr>
          </w:p>
        </w:tc>
        <w:tc>
          <w:tcPr>
            <w:tcW w:w="5400" w:type="dxa"/>
            <w:vAlign w:val="bottom"/>
          </w:tcPr>
          <w:p>
            <w:pPr>
              <w:ind w:left="240"/>
              <w:spacing w:after="0" w:line="179" w:lineRule="exact"/>
              <w:rPr>
                <w:sz w:val="20"/>
                <w:szCs w:val="20"/>
                <w:color w:val="auto"/>
              </w:rPr>
            </w:pPr>
            <w:r>
              <w:rPr>
                <w:rFonts w:ascii="Arial" w:cs="Arial" w:eastAsia="Arial" w:hAnsi="Arial"/>
                <w:sz w:val="18"/>
                <w:szCs w:val="18"/>
                <w:color w:val="auto"/>
                <w:w w:val="92"/>
              </w:rPr>
              <w:t>L/C Issuers and RBC Capital Markets as Sole Left Lead Arranger and</w:t>
            </w:r>
          </w:p>
        </w:tc>
      </w:tr>
      <w:tr>
        <w:trPr>
          <w:trHeight w:val="234"/>
        </w:trPr>
        <w:tc>
          <w:tcPr>
            <w:tcW w:w="680" w:type="dxa"/>
            <w:vAlign w:val="bottom"/>
          </w:tcPr>
          <w:p>
            <w:pPr>
              <w:spacing w:after="0"/>
              <w:rPr>
                <w:sz w:val="20"/>
                <w:szCs w:val="20"/>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Sole Left Lead Book Runner.</w:t>
            </w:r>
          </w:p>
        </w:tc>
      </w:tr>
      <w:tr>
        <w:trPr>
          <w:trHeight w:val="228"/>
        </w:trPr>
        <w:tc>
          <w:tcPr>
            <w:tcW w:w="680" w:type="dxa"/>
            <w:vAlign w:val="bottom"/>
          </w:tcPr>
          <w:p>
            <w:pPr>
              <w:spacing w:after="0"/>
              <w:rPr>
                <w:sz w:val="20"/>
                <w:szCs w:val="20"/>
                <w:color w:val="auto"/>
              </w:rPr>
            </w:pPr>
            <w:r>
              <w:rPr>
                <w:rFonts w:ascii="Arial" w:cs="Arial" w:eastAsia="Arial" w:hAnsi="Arial"/>
                <w:sz w:val="18"/>
                <w:szCs w:val="18"/>
                <w:color w:val="auto"/>
              </w:rPr>
              <w:t>10.5.2</w:t>
            </w:r>
          </w:p>
        </w:tc>
        <w:tc>
          <w:tcPr>
            <w:tcW w:w="5400" w:type="dxa"/>
            <w:vAlign w:val="bottom"/>
          </w:tcPr>
          <w:p>
            <w:pPr>
              <w:ind w:left="240"/>
              <w:spacing w:after="0"/>
              <w:rPr>
                <w:sz w:val="20"/>
                <w:szCs w:val="20"/>
                <w:color w:val="auto"/>
              </w:rPr>
            </w:pPr>
            <w:r>
              <w:rPr>
                <w:rFonts w:ascii="Arial" w:cs="Arial" w:eastAsia="Arial" w:hAnsi="Arial"/>
                <w:sz w:val="18"/>
                <w:szCs w:val="18"/>
                <w:color w:val="auto"/>
                <w:w w:val="96"/>
              </w:rPr>
              <w:t>First Amendment to Amended &amp; Restated Credit Agreement, dated</w:t>
            </w:r>
          </w:p>
        </w:tc>
      </w:tr>
      <w:tr>
        <w:trPr>
          <w:trHeight w:val="179"/>
        </w:trPr>
        <w:tc>
          <w:tcPr>
            <w:tcW w:w="680" w:type="dxa"/>
            <w:vAlign w:val="bottom"/>
          </w:tcPr>
          <w:p>
            <w:pPr>
              <w:spacing w:after="0"/>
              <w:rPr>
                <w:sz w:val="15"/>
                <w:szCs w:val="15"/>
                <w:color w:val="auto"/>
              </w:rPr>
            </w:pPr>
          </w:p>
        </w:tc>
        <w:tc>
          <w:tcPr>
            <w:tcW w:w="5400" w:type="dxa"/>
            <w:vAlign w:val="bottom"/>
          </w:tcPr>
          <w:p>
            <w:pPr>
              <w:ind w:left="240"/>
              <w:spacing w:after="0" w:line="179" w:lineRule="exact"/>
              <w:rPr>
                <w:sz w:val="20"/>
                <w:szCs w:val="20"/>
                <w:color w:val="auto"/>
              </w:rPr>
            </w:pPr>
            <w:r>
              <w:rPr>
                <w:rFonts w:ascii="Arial" w:cs="Arial" w:eastAsia="Arial" w:hAnsi="Arial"/>
                <w:sz w:val="18"/>
                <w:szCs w:val="18"/>
                <w:color w:val="auto"/>
                <w:w w:val="94"/>
              </w:rPr>
              <w:t>June 26, 2015, by and among NRG Yield Operating LLC, NRG Yield</w:t>
            </w:r>
          </w:p>
        </w:tc>
      </w:tr>
      <w:tr>
        <w:trPr>
          <w:trHeight w:val="234"/>
        </w:trPr>
        <w:tc>
          <w:tcPr>
            <w:tcW w:w="680" w:type="dxa"/>
            <w:vAlign w:val="bottom"/>
          </w:tcPr>
          <w:p>
            <w:pPr>
              <w:spacing w:after="0"/>
              <w:rPr>
                <w:sz w:val="20"/>
                <w:szCs w:val="20"/>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LLC, Royal Bank of Canada and the Lenders party thereto.</w:t>
            </w:r>
          </w:p>
        </w:tc>
      </w:tr>
      <w:tr>
        <w:trPr>
          <w:trHeight w:val="228"/>
        </w:trPr>
        <w:tc>
          <w:tcPr>
            <w:tcW w:w="680" w:type="dxa"/>
            <w:vAlign w:val="bottom"/>
          </w:tcPr>
          <w:p>
            <w:pPr>
              <w:spacing w:after="0"/>
              <w:rPr>
                <w:sz w:val="20"/>
                <w:szCs w:val="20"/>
                <w:color w:val="auto"/>
              </w:rPr>
            </w:pPr>
            <w:r>
              <w:rPr>
                <w:rFonts w:ascii="Arial" w:cs="Arial" w:eastAsia="Arial" w:hAnsi="Arial"/>
                <w:sz w:val="18"/>
                <w:szCs w:val="18"/>
                <w:color w:val="auto"/>
              </w:rPr>
              <w:t>10.5.3</w:t>
            </w:r>
          </w:p>
        </w:tc>
        <w:tc>
          <w:tcPr>
            <w:tcW w:w="5400" w:type="dxa"/>
            <w:vAlign w:val="bottom"/>
          </w:tcPr>
          <w:p>
            <w:pPr>
              <w:ind w:left="240"/>
              <w:spacing w:after="0"/>
              <w:rPr>
                <w:sz w:val="20"/>
                <w:szCs w:val="20"/>
                <w:color w:val="auto"/>
              </w:rPr>
            </w:pPr>
            <w:r>
              <w:rPr>
                <w:rFonts w:ascii="Arial" w:cs="Arial" w:eastAsia="Arial" w:hAnsi="Arial"/>
                <w:sz w:val="18"/>
                <w:szCs w:val="18"/>
                <w:color w:val="auto"/>
                <w:w w:val="91"/>
              </w:rPr>
              <w:t>Second Amendment to Amended &amp; Restated Credit Agreement, dated</w:t>
            </w:r>
          </w:p>
        </w:tc>
      </w:tr>
      <w:tr>
        <w:trPr>
          <w:trHeight w:val="179"/>
        </w:trPr>
        <w:tc>
          <w:tcPr>
            <w:tcW w:w="680" w:type="dxa"/>
            <w:vAlign w:val="bottom"/>
          </w:tcPr>
          <w:p>
            <w:pPr>
              <w:spacing w:after="0"/>
              <w:rPr>
                <w:sz w:val="15"/>
                <w:szCs w:val="15"/>
                <w:color w:val="auto"/>
              </w:rPr>
            </w:pPr>
          </w:p>
        </w:tc>
        <w:tc>
          <w:tcPr>
            <w:tcW w:w="5400" w:type="dxa"/>
            <w:vAlign w:val="bottom"/>
          </w:tcPr>
          <w:p>
            <w:pPr>
              <w:ind w:left="240"/>
              <w:spacing w:after="0" w:line="179" w:lineRule="exact"/>
              <w:rPr>
                <w:sz w:val="20"/>
                <w:szCs w:val="20"/>
                <w:color w:val="auto"/>
              </w:rPr>
            </w:pPr>
            <w:r>
              <w:rPr>
                <w:rFonts w:ascii="Arial" w:cs="Arial" w:eastAsia="Arial" w:hAnsi="Arial"/>
                <w:sz w:val="18"/>
                <w:szCs w:val="18"/>
                <w:color w:val="auto"/>
                <w:w w:val="98"/>
              </w:rPr>
              <w:t>February 6, 2018, by and among NRG Yield Operating LLC, NRG</w:t>
            </w:r>
          </w:p>
        </w:tc>
      </w:tr>
      <w:tr>
        <w:trPr>
          <w:trHeight w:val="179"/>
        </w:trPr>
        <w:tc>
          <w:tcPr>
            <w:tcW w:w="680" w:type="dxa"/>
            <w:vAlign w:val="bottom"/>
          </w:tcPr>
          <w:p>
            <w:pPr>
              <w:spacing w:after="0"/>
              <w:rPr>
                <w:sz w:val="15"/>
                <w:szCs w:val="15"/>
                <w:color w:val="auto"/>
              </w:rPr>
            </w:pPr>
          </w:p>
        </w:tc>
        <w:tc>
          <w:tcPr>
            <w:tcW w:w="5400" w:type="dxa"/>
            <w:vAlign w:val="bottom"/>
          </w:tcPr>
          <w:p>
            <w:pPr>
              <w:ind w:left="240"/>
              <w:spacing w:after="0" w:line="179" w:lineRule="exact"/>
              <w:rPr>
                <w:sz w:val="20"/>
                <w:szCs w:val="20"/>
                <w:color w:val="auto"/>
              </w:rPr>
            </w:pPr>
            <w:r>
              <w:rPr>
                <w:rFonts w:ascii="Arial" w:cs="Arial" w:eastAsia="Arial" w:hAnsi="Arial"/>
                <w:sz w:val="18"/>
                <w:szCs w:val="18"/>
                <w:color w:val="auto"/>
                <w:w w:val="97"/>
              </w:rPr>
              <w:t>Yield LLC, the guarantors party thereto, Royal Bank of Canada, as</w:t>
            </w:r>
          </w:p>
        </w:tc>
      </w:tr>
      <w:tr>
        <w:trPr>
          <w:trHeight w:val="234"/>
        </w:trPr>
        <w:tc>
          <w:tcPr>
            <w:tcW w:w="680" w:type="dxa"/>
            <w:vAlign w:val="bottom"/>
          </w:tcPr>
          <w:p>
            <w:pPr>
              <w:spacing w:after="0"/>
              <w:rPr>
                <w:sz w:val="20"/>
                <w:szCs w:val="20"/>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Administrative Agent, and the lenders party thereto.</w:t>
            </w:r>
          </w:p>
        </w:tc>
      </w:tr>
      <w:tr>
        <w:trPr>
          <w:trHeight w:val="228"/>
        </w:trPr>
        <w:tc>
          <w:tcPr>
            <w:tcW w:w="680" w:type="dxa"/>
            <w:vAlign w:val="bottom"/>
          </w:tcPr>
          <w:p>
            <w:pPr>
              <w:spacing w:after="0"/>
              <w:rPr>
                <w:sz w:val="20"/>
                <w:szCs w:val="20"/>
                <w:color w:val="auto"/>
              </w:rPr>
            </w:pPr>
            <w:r>
              <w:rPr>
                <w:rFonts w:ascii="Arial" w:cs="Arial" w:eastAsia="Arial" w:hAnsi="Arial"/>
                <w:sz w:val="18"/>
                <w:szCs w:val="18"/>
                <w:color w:val="auto"/>
              </w:rPr>
              <w:t>10.5.4</w:t>
            </w:r>
          </w:p>
        </w:tc>
        <w:tc>
          <w:tcPr>
            <w:tcW w:w="5400" w:type="dxa"/>
            <w:vAlign w:val="bottom"/>
          </w:tcPr>
          <w:p>
            <w:pPr>
              <w:ind w:left="240"/>
              <w:spacing w:after="0"/>
              <w:rPr>
                <w:sz w:val="20"/>
                <w:szCs w:val="20"/>
                <w:color w:val="auto"/>
              </w:rPr>
            </w:pPr>
            <w:r>
              <w:rPr>
                <w:rFonts w:ascii="Arial" w:cs="Arial" w:eastAsia="Arial" w:hAnsi="Arial"/>
                <w:sz w:val="18"/>
                <w:szCs w:val="18"/>
                <w:color w:val="auto"/>
                <w:w w:val="95"/>
              </w:rPr>
              <w:t>Third Amendment to Amended and Restated Credit Agreement and</w:t>
            </w:r>
          </w:p>
        </w:tc>
      </w:tr>
      <w:tr>
        <w:trPr>
          <w:trHeight w:val="178"/>
        </w:trPr>
        <w:tc>
          <w:tcPr>
            <w:tcW w:w="680" w:type="dxa"/>
            <w:vAlign w:val="bottom"/>
          </w:tcPr>
          <w:p>
            <w:pPr>
              <w:spacing w:after="0"/>
              <w:rPr>
                <w:sz w:val="15"/>
                <w:szCs w:val="15"/>
                <w:color w:val="auto"/>
              </w:rPr>
            </w:pPr>
          </w:p>
        </w:tc>
        <w:tc>
          <w:tcPr>
            <w:tcW w:w="5400" w:type="dxa"/>
            <w:vAlign w:val="bottom"/>
          </w:tcPr>
          <w:p>
            <w:pPr>
              <w:ind w:left="240"/>
              <w:spacing w:after="0" w:line="178" w:lineRule="exact"/>
              <w:rPr>
                <w:sz w:val="20"/>
                <w:szCs w:val="20"/>
                <w:color w:val="auto"/>
              </w:rPr>
            </w:pPr>
            <w:r>
              <w:rPr>
                <w:rFonts w:ascii="Arial" w:cs="Arial" w:eastAsia="Arial" w:hAnsi="Arial"/>
                <w:sz w:val="18"/>
                <w:szCs w:val="18"/>
                <w:color w:val="auto"/>
                <w:w w:val="92"/>
              </w:rPr>
              <w:t>Administrative Agent Resignation and Appointment Agreement, dated</w:t>
            </w:r>
          </w:p>
        </w:tc>
      </w:tr>
    </w:tbl>
    <w:p>
      <w:pPr>
        <w:jc w:val="both"/>
        <w:ind w:left="920"/>
        <w:spacing w:after="0" w:line="236" w:lineRule="auto"/>
        <w:rPr>
          <w:sz w:val="20"/>
          <w:szCs w:val="20"/>
          <w:color w:val="auto"/>
        </w:rPr>
      </w:pPr>
      <w:r>
        <w:rPr>
          <w:rFonts w:ascii="Arial" w:cs="Arial" w:eastAsia="Arial" w:hAnsi="Arial"/>
          <w:sz w:val="17"/>
          <w:szCs w:val="17"/>
          <w:color w:val="auto"/>
        </w:rPr>
        <w:t>as of April 30, 2018, by and among NRG Yield Operating LLC, NRG Yield LLC, the guarantors party thereto, Royal Bank of Canada, as Resigning Administrative Agent, JPMorgan Chase Bank, N.A., as Successor Administrative Agent, and the lenders party thereto.</w:t>
      </w:r>
    </w:p>
    <w:p>
      <w:pPr>
        <w:spacing w:after="0" w:line="20" w:lineRule="exact"/>
        <w:rPr>
          <w:sz w:val="20"/>
          <w:szCs w:val="20"/>
          <w:color w:val="auto"/>
        </w:rPr>
      </w:pPr>
      <w:r>
        <w:rPr>
          <w:sz w:val="20"/>
          <w:szCs w:val="20"/>
          <w:color w:val="auto"/>
        </w:rPr>
        <w:br w:type="column"/>
      </w:r>
    </w:p>
    <w:p>
      <w:pPr>
        <w:jc w:val="both"/>
        <w:spacing w:after="0" w:line="229" w:lineRule="auto"/>
        <w:rPr>
          <w:sz w:val="20"/>
          <w:szCs w:val="20"/>
          <w:color w:val="auto"/>
        </w:rPr>
      </w:pPr>
      <w:r>
        <w:rPr>
          <w:rFonts w:ascii="Arial" w:cs="Arial" w:eastAsia="Arial" w:hAnsi="Arial"/>
          <w:sz w:val="18"/>
          <w:szCs w:val="18"/>
          <w:color w:val="auto"/>
        </w:rPr>
        <w:t>Incorporated herein by reference to Exhibit 4.2 to the Company’s Current Report on Form 8-K filed on October 1, 2021.</w:t>
      </w:r>
    </w:p>
    <w:p>
      <w:pPr>
        <w:spacing w:after="0" w:line="4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Incorporated herein by reference to Exhibit 4.2 to the Company’s Current Report on Form 8-K filed on October 8, 2021.</w:t>
      </w:r>
    </w:p>
    <w:p>
      <w:pPr>
        <w:spacing w:after="0" w:line="4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Incorporated herein by reference to Exhibit 4.3 to the Company’s Current Report on Form 8-K filed on October 8, 2021.</w:t>
      </w:r>
    </w:p>
    <w:p>
      <w:pPr>
        <w:spacing w:after="0" w:line="4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Incorporated herein by reference to Exhibit 4.4 to the Company’s Current Report on Form 8-K filed on October 8, 2021.</w:t>
      </w:r>
    </w:p>
    <w:p>
      <w:pPr>
        <w:spacing w:after="0" w:line="4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Incorporated herein by reference to Exhibit 4.1 to the Company’s Current Report on Form 8-K filed on June 1, 2022.</w:t>
      </w:r>
    </w:p>
    <w:p>
      <w:pPr>
        <w:spacing w:after="0" w:line="4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Incorporated herein by reference to Exhibit 4.2 to the Company’s Current Report on Form 8-K filed on June 1, 2022.</w:t>
      </w:r>
    </w:p>
    <w:p>
      <w:pPr>
        <w:spacing w:after="0" w:line="4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Incorporated herein by reference to Exhibit 4.3 to the Company’s Current Report on Form 8-K filed on June 1, 2022.</w:t>
      </w:r>
    </w:p>
    <w:p>
      <w:pPr>
        <w:spacing w:after="0" w:line="4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Incorporated herein by reference to Exhibit 4.1 to the Company’s Current Report on Form 8-K filed on February 21, 2023.</w:t>
      </w:r>
    </w:p>
    <w:p>
      <w:pPr>
        <w:spacing w:after="0" w:line="4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Incorporated herein by reference to Exhibit 4.2 to the Company’s Current Report on Form 8-K filed on February 21, 2023.</w:t>
      </w:r>
    </w:p>
    <w:p>
      <w:pPr>
        <w:spacing w:after="0" w:line="4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Incorporated herein by reference to Exhibit 4.3 to the Company’s Current Report on Form 8-K filed on February 21, 2023.</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77"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Incorporated herein by reference to Exhibit 10.4 to the Company’s Current Report on Form 8-K filed on September 5, 2018.</w:t>
      </w:r>
    </w:p>
    <w:p>
      <w:pPr>
        <w:spacing w:after="0" w:line="4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Incorporated herein by reference to Exhibit 10.7 to the Company’s Current Report on Form 8-K filed on September 5, 2018.</w:t>
      </w:r>
    </w:p>
    <w:p>
      <w:pPr>
        <w:spacing w:after="0" w:line="4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Incorporated herein by reference to Exhibit 10.9 to the Company’s Current Report on Form 8-K filed on September 5, 2018.</w:t>
      </w:r>
    </w:p>
    <w:p>
      <w:pPr>
        <w:spacing w:after="0" w:line="4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Incorporated herein by reference to Exhibit 10.10 to the Company’s Annual Report on Form 10-K filed on February 28, 2019.</w:t>
      </w:r>
    </w:p>
    <w:p>
      <w:pPr>
        <w:spacing w:after="0" w:line="4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Incorporated herein by reference to Exhibit 10.1 to the Company’s Current Report on Form 8-K filed on April 28, 2014.</w:t>
      </w:r>
    </w:p>
    <w:p>
      <w:pPr>
        <w:spacing w:after="0" w:line="200" w:lineRule="exact"/>
        <w:rPr>
          <w:sz w:val="20"/>
          <w:szCs w:val="20"/>
          <w:color w:val="auto"/>
        </w:rPr>
      </w:pPr>
    </w:p>
    <w:p>
      <w:pPr>
        <w:spacing w:after="0" w:line="337"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Incorporated herein by reference to Exhibit 10.9 to the Company’s Quarterly Report on Form 10-Q filed on August 4, 2015.</w:t>
      </w:r>
    </w:p>
    <w:p>
      <w:pPr>
        <w:spacing w:after="0" w:line="4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Incorporated herein by reference to Exhibit 10.1 to the Company’s Current Report on Form 8-K filed on February 12, 2018.</w:t>
      </w:r>
    </w:p>
    <w:p>
      <w:pPr>
        <w:spacing w:after="0" w:line="228"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Incorporated herein by reference to Exhibit 10.1 to the Company’s Quarterly Report on Form 10-Q filed on May 3, 2018.</w:t>
      </w:r>
    </w:p>
    <w:p>
      <w:pPr>
        <w:spacing w:after="0" w:line="734" w:lineRule="exact"/>
        <w:rPr>
          <w:sz w:val="20"/>
          <w:szCs w:val="20"/>
          <w:color w:val="auto"/>
        </w:rPr>
      </w:pPr>
    </w:p>
    <w:p>
      <w:pPr>
        <w:sectPr>
          <w:pgSz w:w="11880" w:h="15480" w:orient="portrait"/>
          <w:cols w:equalWidth="0" w:num="2">
            <w:col w:w="6080" w:space="180"/>
            <w:col w:w="3820"/>
          </w:cols>
          <w:pgMar w:left="900" w:top="492"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131</w:t>
      </w:r>
    </w:p>
    <w:p>
      <w:pPr>
        <w:sectPr>
          <w:pgSz w:w="11880" w:h="15480" w:orient="portrait"/>
          <w:cols w:equalWidth="0" w:num="1">
            <w:col w:w="10080"/>
          </w:cols>
          <w:pgMar w:left="900" w:top="492" w:right="900" w:bottom="0" w:gutter="0" w:footer="0" w:header="0"/>
          <w:type w:val="continuous"/>
        </w:sectPr>
      </w:pPr>
    </w:p>
    <w:bookmarkStart w:id="133" w:name="page134"/>
    <w:bookmarkEnd w:id="133"/>
    <w:p>
      <w:pPr>
        <w:jc w:val="both"/>
        <w:ind w:left="380" w:hanging="909"/>
        <w:spacing w:after="0" w:line="220" w:lineRule="auto"/>
        <w:tabs>
          <w:tab w:leader="none" w:pos="360" w:val="left"/>
        </w:tabs>
        <w:rPr>
          <w:sz w:val="20"/>
          <w:szCs w:val="20"/>
          <w:color w:val="auto"/>
        </w:rPr>
      </w:pPr>
      <w:r>
        <w:rPr>
          <w:rFonts w:ascii="Arial" w:cs="Arial" w:eastAsia="Arial" w:hAnsi="Arial"/>
          <w:sz w:val="18"/>
          <w:szCs w:val="18"/>
          <w:color w:val="auto"/>
        </w:rPr>
        <w:t>10.5.5</w:t>
      </w:r>
      <w:r>
        <w:rPr>
          <w:sz w:val="20"/>
          <w:szCs w:val="20"/>
          <w:color w:val="auto"/>
        </w:rPr>
        <w:tab/>
      </w:r>
      <w:r>
        <w:rPr>
          <w:rFonts w:ascii="Arial" w:cs="Arial" w:eastAsia="Arial" w:hAnsi="Arial"/>
          <w:sz w:val="18"/>
          <w:szCs w:val="18"/>
          <w:color w:val="auto"/>
        </w:rPr>
        <w:t>Fourth Amendment to Amended and Restated Credit Agreement, dated as of November 30, 2018, by and among Clearway Energy Operating LLC, Clearway Energy LLC, the guarantors party thereto, JPMorgan Chase Bank, N.A., as administrative agent, and the lenders party thereto.</w:t>
      </w:r>
    </w:p>
    <w:p>
      <w:pPr>
        <w:spacing w:after="0" w:line="51" w:lineRule="exact"/>
        <w:rPr>
          <w:sz w:val="20"/>
          <w:szCs w:val="20"/>
          <w:color w:val="auto"/>
        </w:rPr>
      </w:pPr>
    </w:p>
    <w:p>
      <w:pPr>
        <w:jc w:val="both"/>
        <w:ind w:left="380" w:hanging="909"/>
        <w:spacing w:after="0" w:line="220" w:lineRule="auto"/>
        <w:tabs>
          <w:tab w:leader="none" w:pos="360" w:val="left"/>
        </w:tabs>
        <w:rPr>
          <w:sz w:val="20"/>
          <w:szCs w:val="20"/>
          <w:color w:val="auto"/>
        </w:rPr>
      </w:pPr>
      <w:r>
        <w:rPr>
          <w:rFonts w:ascii="Arial" w:cs="Arial" w:eastAsia="Arial" w:hAnsi="Arial"/>
          <w:sz w:val="18"/>
          <w:szCs w:val="18"/>
          <w:color w:val="auto"/>
        </w:rPr>
        <w:t>10.5.6</w:t>
      </w:r>
      <w:r>
        <w:rPr>
          <w:sz w:val="20"/>
          <w:szCs w:val="20"/>
          <w:color w:val="auto"/>
        </w:rPr>
        <w:tab/>
      </w:r>
      <w:r>
        <w:rPr>
          <w:rFonts w:ascii="Arial" w:cs="Arial" w:eastAsia="Arial" w:hAnsi="Arial"/>
          <w:sz w:val="18"/>
          <w:szCs w:val="18"/>
          <w:color w:val="auto"/>
        </w:rPr>
        <w:t>Fifth Amendment to Amended and Restated Credit Agreement, dated as of December 20, 2019, by and among Clearway Energy Operating LLC, Clearway Energy LLC, the guarantors party thereto, JPMorgan Chase Bank, N.A., as administrative agent, and the lenders party thereto.</w:t>
      </w:r>
    </w:p>
    <w:p>
      <w:pPr>
        <w:spacing w:after="0" w:line="51" w:lineRule="exact"/>
        <w:rPr>
          <w:sz w:val="20"/>
          <w:szCs w:val="20"/>
          <w:color w:val="auto"/>
        </w:rPr>
      </w:pPr>
    </w:p>
    <w:p>
      <w:pPr>
        <w:jc w:val="both"/>
        <w:ind w:left="380" w:hanging="909"/>
        <w:spacing w:after="0" w:line="220" w:lineRule="auto"/>
        <w:tabs>
          <w:tab w:leader="none" w:pos="360" w:val="left"/>
        </w:tabs>
        <w:rPr>
          <w:sz w:val="20"/>
          <w:szCs w:val="20"/>
          <w:color w:val="auto"/>
        </w:rPr>
      </w:pPr>
      <w:r>
        <w:rPr>
          <w:rFonts w:ascii="Arial" w:cs="Arial" w:eastAsia="Arial" w:hAnsi="Arial"/>
          <w:sz w:val="18"/>
          <w:szCs w:val="18"/>
          <w:color w:val="auto"/>
        </w:rPr>
        <w:t>10.5.7</w:t>
      </w:r>
      <w:r>
        <w:rPr>
          <w:sz w:val="20"/>
          <w:szCs w:val="20"/>
          <w:color w:val="auto"/>
        </w:rPr>
        <w:tab/>
      </w:r>
      <w:r>
        <w:rPr>
          <w:rFonts w:ascii="Arial" w:cs="Arial" w:eastAsia="Arial" w:hAnsi="Arial"/>
          <w:sz w:val="18"/>
          <w:szCs w:val="18"/>
          <w:color w:val="auto"/>
        </w:rPr>
        <w:t>Sixth Amendment to Amended and Restated Credit Agreement, effective as of November 30, 2021, by and among Clearway Energy Operating LLC, Clearway Energy LLC, the guarantors party thereto, JPMorgan Chase Bank, N.A., as administrative agent, and the lenders party thereto.</w:t>
      </w:r>
    </w:p>
    <w:p>
      <w:pPr>
        <w:spacing w:after="0" w:line="51" w:lineRule="exact"/>
        <w:rPr>
          <w:sz w:val="20"/>
          <w:szCs w:val="20"/>
          <w:color w:val="auto"/>
        </w:rPr>
      </w:pPr>
    </w:p>
    <w:p>
      <w:pPr>
        <w:jc w:val="both"/>
        <w:ind w:left="380" w:hanging="909"/>
        <w:spacing w:after="0" w:line="220" w:lineRule="auto"/>
        <w:tabs>
          <w:tab w:leader="none" w:pos="360" w:val="left"/>
        </w:tabs>
        <w:rPr>
          <w:sz w:val="20"/>
          <w:szCs w:val="20"/>
          <w:color w:val="auto"/>
        </w:rPr>
      </w:pPr>
      <w:r>
        <w:rPr>
          <w:rFonts w:ascii="Arial" w:cs="Arial" w:eastAsia="Arial" w:hAnsi="Arial"/>
          <w:sz w:val="18"/>
          <w:szCs w:val="18"/>
          <w:color w:val="auto"/>
        </w:rPr>
        <w:t>10.5.8</w:t>
      </w:r>
      <w:r>
        <w:rPr>
          <w:sz w:val="20"/>
          <w:szCs w:val="20"/>
          <w:color w:val="auto"/>
        </w:rPr>
        <w:tab/>
      </w:r>
      <w:r>
        <w:rPr>
          <w:rFonts w:ascii="Arial" w:cs="Arial" w:eastAsia="Arial" w:hAnsi="Arial"/>
          <w:sz w:val="18"/>
          <w:szCs w:val="18"/>
          <w:color w:val="auto"/>
        </w:rPr>
        <w:t>Seventh Amendment to Amended and Restated Credit Agreement, entered into as of August 15, 2022, by and among Clearway Energy Operating LLC, Clearway Energy LLC, the guarantors party thereto, JPMorgan Chase Bank, N.A., as administrative agent, and the lenders party thereto.</w:t>
      </w:r>
    </w:p>
    <w:p>
      <w:pPr>
        <w:spacing w:after="0" w:line="51" w:lineRule="exact"/>
        <w:rPr>
          <w:sz w:val="20"/>
          <w:szCs w:val="20"/>
          <w:color w:val="auto"/>
        </w:rPr>
      </w:pPr>
    </w:p>
    <w:p>
      <w:pPr>
        <w:jc w:val="both"/>
        <w:ind w:left="380" w:hanging="909"/>
        <w:spacing w:after="0" w:line="220" w:lineRule="auto"/>
        <w:tabs>
          <w:tab w:leader="none" w:pos="360" w:val="left"/>
        </w:tabs>
        <w:rPr>
          <w:sz w:val="20"/>
          <w:szCs w:val="20"/>
          <w:color w:val="auto"/>
        </w:rPr>
      </w:pPr>
      <w:r>
        <w:rPr>
          <w:rFonts w:ascii="Arial" w:cs="Arial" w:eastAsia="Arial" w:hAnsi="Arial"/>
          <w:sz w:val="18"/>
          <w:szCs w:val="18"/>
          <w:color w:val="auto"/>
        </w:rPr>
        <w:t>10.5.9</w:t>
      </w:r>
      <w:r>
        <w:rPr>
          <w:sz w:val="20"/>
          <w:szCs w:val="20"/>
          <w:color w:val="auto"/>
        </w:rPr>
        <w:tab/>
      </w:r>
      <w:r>
        <w:rPr>
          <w:rFonts w:ascii="Arial" w:cs="Arial" w:eastAsia="Arial" w:hAnsi="Arial"/>
          <w:sz w:val="18"/>
          <w:szCs w:val="18"/>
          <w:color w:val="auto"/>
        </w:rPr>
        <w:t>Eighth Amendment to Amended and Restated Credit Agreement, entered into as of March 15, 2023, by and among Clearway Energy Operating LLC, Clearway Energy LLC, the guarantors party thereto, JPMorgan Chase Bank, N.A., as administrative agent, and the lenders party thereto.</w:t>
      </w:r>
    </w:p>
    <w:p>
      <w:pPr>
        <w:spacing w:after="0" w:line="51" w:lineRule="exact"/>
        <w:rPr>
          <w:sz w:val="20"/>
          <w:szCs w:val="20"/>
          <w:color w:val="auto"/>
        </w:rPr>
      </w:pPr>
    </w:p>
    <w:p>
      <w:pPr>
        <w:jc w:val="both"/>
        <w:ind w:left="380" w:hanging="909"/>
        <w:spacing w:after="0" w:line="239" w:lineRule="auto"/>
        <w:tabs>
          <w:tab w:leader="none" w:pos="3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Form of Clearway Energy, Inc. 2013 Equity Incentive Plan Restricted Stock Unit Agreement for Officers.</w:t>
      </w:r>
    </w:p>
    <w:p>
      <w:pPr>
        <w:spacing w:after="0" w:line="229" w:lineRule="exact"/>
        <w:rPr>
          <w:sz w:val="20"/>
          <w:szCs w:val="20"/>
          <w:color w:val="auto"/>
        </w:rPr>
      </w:pPr>
    </w:p>
    <w:p>
      <w:pPr>
        <w:jc w:val="both"/>
        <w:ind w:left="380" w:hanging="909"/>
        <w:spacing w:after="0" w:line="239" w:lineRule="auto"/>
        <w:tabs>
          <w:tab w:leader="none" w:pos="36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Form of Clearway Energy, Inc. 2013 Equity Incentive Plan Restricted Stock Unit Agreement for Non-officers.</w:t>
      </w:r>
    </w:p>
    <w:p>
      <w:pPr>
        <w:spacing w:after="0" w:line="229" w:lineRule="exact"/>
        <w:rPr>
          <w:sz w:val="20"/>
          <w:szCs w:val="20"/>
          <w:color w:val="auto"/>
        </w:rPr>
      </w:pPr>
    </w:p>
    <w:p>
      <w:pPr>
        <w:jc w:val="both"/>
        <w:ind w:left="380" w:hanging="909"/>
        <w:spacing w:after="0" w:line="239" w:lineRule="auto"/>
        <w:tabs>
          <w:tab w:leader="none" w:pos="36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Form of Clearway Energy, Inc. 2013 Equity Incentive Plan Relative Performance Stock Unit Agreement.</w:t>
      </w:r>
    </w:p>
    <w:p>
      <w:pPr>
        <w:spacing w:after="0" w:line="229" w:lineRule="exact"/>
        <w:rPr>
          <w:sz w:val="20"/>
          <w:szCs w:val="20"/>
          <w:color w:val="auto"/>
        </w:rPr>
      </w:pPr>
    </w:p>
    <w:p>
      <w:pPr>
        <w:jc w:val="both"/>
        <w:ind w:left="380" w:hanging="909"/>
        <w:spacing w:after="0" w:line="220" w:lineRule="auto"/>
        <w:tabs>
          <w:tab w:leader="none" w:pos="36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Consent and Indemnity Agreement, dated as of February 6, 2018, by and among NRG Energy, Inc., NRG Repowering Holdings LLC, NRG Yield, Inc., and GIP III Zephyr Acquisition Partners, L.P., and NRG Yield Operating LLC (solely with respect to Sections E.5, E.6 and G.12).</w:t>
      </w:r>
    </w:p>
    <w:p>
      <w:pPr>
        <w:spacing w:after="0" w:line="51" w:lineRule="exact"/>
        <w:rPr>
          <w:sz w:val="20"/>
          <w:szCs w:val="20"/>
          <w:color w:val="auto"/>
        </w:rPr>
      </w:pPr>
    </w:p>
    <w:p>
      <w:pPr>
        <w:jc w:val="both"/>
        <w:ind w:left="380" w:hanging="909"/>
        <w:spacing w:after="0" w:line="229" w:lineRule="auto"/>
        <w:tabs>
          <w:tab w:leader="none" w:pos="36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Assignment and Assumption Agreement, effective as of February 26, 2019, among Clearway Energy Operating LLC and GIP III Zephyr Carlsbad Holdings, LLC.</w:t>
      </w:r>
    </w:p>
    <w:p>
      <w:pPr>
        <w:spacing w:after="0" w:line="49" w:lineRule="exact"/>
        <w:rPr>
          <w:sz w:val="20"/>
          <w:szCs w:val="20"/>
          <w:color w:val="auto"/>
        </w:rPr>
      </w:pPr>
    </w:p>
    <w:p>
      <w:pPr>
        <w:jc w:val="both"/>
        <w:ind w:left="380" w:hanging="909"/>
        <w:spacing w:after="0" w:line="223" w:lineRule="auto"/>
        <w:tabs>
          <w:tab w:leader="none" w:pos="36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Amended and Restated Exchange Agreement, dated as of May 14, 2015, by and among NRG Energy, Inc., NRG Yield, Inc., and NRG Yield LLC and, pursuant to a joinder thereto, dated as of August 31, 2018, Zephyr Renewables LLC.</w:t>
      </w:r>
    </w:p>
    <w:p>
      <w:pPr>
        <w:spacing w:after="0" w:line="52" w:lineRule="exact"/>
        <w:rPr>
          <w:sz w:val="20"/>
          <w:szCs w:val="20"/>
          <w:color w:val="auto"/>
        </w:rPr>
      </w:pPr>
    </w:p>
    <w:p>
      <w:pPr>
        <w:jc w:val="both"/>
        <w:ind w:left="380" w:hanging="909"/>
        <w:spacing w:after="0" w:line="223" w:lineRule="auto"/>
        <w:tabs>
          <w:tab w:leader="none" w:pos="36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Amended and Restated Registration Rights Agreement, dated as of May 14, 2015, by and between NRG Energy, Inc. and NRG Yield, Inc. and, pursuant to a joinder thereto, dated as of August 31, 2018, Zephyr Renewables LLC.</w:t>
      </w:r>
    </w:p>
    <w:p>
      <w:pPr>
        <w:spacing w:after="0" w:line="52" w:lineRule="exact"/>
        <w:rPr>
          <w:sz w:val="20"/>
          <w:szCs w:val="20"/>
          <w:color w:val="auto"/>
        </w:rPr>
      </w:pPr>
    </w:p>
    <w:p>
      <w:pPr>
        <w:jc w:val="both"/>
        <w:ind w:left="380" w:hanging="909"/>
        <w:spacing w:after="0" w:line="299" w:lineRule="auto"/>
        <w:tabs>
          <w:tab w:leader="none" w:pos="36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Purchase and Sale Agreement, dated as of April 17, 2020, by and between Clearway Energy Operating LLC and Clearway Renew LLC.</w:t>
      </w:r>
    </w:p>
    <w:p>
      <w:pPr>
        <w:spacing w:after="0" w:line="183" w:lineRule="exact"/>
        <w:rPr>
          <w:sz w:val="20"/>
          <w:szCs w:val="20"/>
          <w:color w:val="auto"/>
        </w:rPr>
      </w:pPr>
    </w:p>
    <w:p>
      <w:pPr>
        <w:jc w:val="both"/>
        <w:ind w:left="380" w:hanging="909"/>
        <w:spacing w:after="0" w:line="229" w:lineRule="auto"/>
        <w:tabs>
          <w:tab w:leader="none" w:pos="36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Membership Interest Purchase Agreement, dated as of April 17, 2020, by and between Clearway Energy Operating LLC and SP Wind Holdings, LLC.</w:t>
      </w:r>
    </w:p>
    <w:p>
      <w:pPr>
        <w:spacing w:after="0" w:line="49" w:lineRule="exact"/>
        <w:rPr>
          <w:sz w:val="20"/>
          <w:szCs w:val="20"/>
          <w:color w:val="auto"/>
        </w:rPr>
      </w:pPr>
    </w:p>
    <w:p>
      <w:pPr>
        <w:jc w:val="both"/>
        <w:ind w:left="380" w:hanging="909"/>
        <w:spacing w:after="0" w:line="229" w:lineRule="auto"/>
        <w:tabs>
          <w:tab w:leader="none" w:pos="36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Membership Interest Purchase Agreement, dated as of April 17, 2020, by and between CWSP Wildorado Elbow Holding LLC and Wind TE Holdco LLC.</w:t>
      </w:r>
    </w:p>
    <w:p>
      <w:pPr>
        <w:spacing w:after="0" w:line="49" w:lineRule="exact"/>
        <w:rPr>
          <w:sz w:val="20"/>
          <w:szCs w:val="20"/>
          <w:color w:val="auto"/>
        </w:rPr>
      </w:pPr>
    </w:p>
    <w:p>
      <w:pPr>
        <w:jc w:val="both"/>
        <w:ind w:left="380" w:hanging="909"/>
        <w:spacing w:after="0" w:line="229" w:lineRule="auto"/>
        <w:tabs>
          <w:tab w:leader="none" w:pos="36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Membership Interest Purchase Agreement, dated as of December 21, 2020, by and between Renew Development HoldCo LLC and Rosamond Solar Investment LLC.</w:t>
      </w:r>
    </w:p>
    <w:p>
      <w:pPr>
        <w:spacing w:after="0" w:line="49" w:lineRule="exact"/>
        <w:rPr>
          <w:sz w:val="20"/>
          <w:szCs w:val="20"/>
          <w:color w:val="auto"/>
        </w:rPr>
      </w:pPr>
    </w:p>
    <w:p>
      <w:pPr>
        <w:jc w:val="both"/>
        <w:ind w:left="380" w:hanging="909"/>
        <w:spacing w:after="0" w:line="229" w:lineRule="auto"/>
        <w:tabs>
          <w:tab w:leader="none" w:pos="36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Membership Interest Purchase Agreement, dated as of December 21, 2020, by and between Clearway Renew LLC and Lighthouse Renewable Class A LLC.</w:t>
      </w:r>
    </w:p>
    <w:p>
      <w:pPr>
        <w:spacing w:after="0" w:line="49" w:lineRule="exact"/>
        <w:rPr>
          <w:sz w:val="20"/>
          <w:szCs w:val="20"/>
          <w:color w:val="auto"/>
        </w:rPr>
      </w:pPr>
    </w:p>
    <w:p>
      <w:pPr>
        <w:jc w:val="both"/>
        <w:ind w:left="380" w:hanging="909"/>
        <w:spacing w:after="0" w:line="229" w:lineRule="auto"/>
        <w:tabs>
          <w:tab w:leader="none" w:pos="36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Membership Interest Purchase Agreement, dated as of December 21, 2020, by and between Clearway Renew LLC and Lighthouse Renewable Class A LLC.</w:t>
      </w:r>
    </w:p>
    <w:p>
      <w:pPr>
        <w:spacing w:after="0" w:line="20" w:lineRule="exact"/>
        <w:rPr>
          <w:sz w:val="20"/>
          <w:szCs w:val="20"/>
          <w:color w:val="auto"/>
        </w:rPr>
      </w:pPr>
      <w:r>
        <w:rPr>
          <w:sz w:val="20"/>
          <w:szCs w:val="20"/>
          <w:color w:val="auto"/>
        </w:rPr>
        <w:br w:type="column"/>
      </w:r>
    </w:p>
    <w:p>
      <w:pPr>
        <w:jc w:val="both"/>
        <w:spacing w:after="0" w:line="229" w:lineRule="auto"/>
        <w:rPr>
          <w:sz w:val="20"/>
          <w:szCs w:val="20"/>
          <w:color w:val="auto"/>
        </w:rPr>
      </w:pPr>
      <w:r>
        <w:rPr>
          <w:rFonts w:ascii="Arial" w:cs="Arial" w:eastAsia="Arial" w:hAnsi="Arial"/>
          <w:sz w:val="18"/>
          <w:szCs w:val="18"/>
          <w:color w:val="auto"/>
        </w:rPr>
        <w:t>Incorporated herein by reference to Exhibit 10.1 to the Company’s Current Report on Form 8-K filed on December 6, 2018.</w:t>
      </w:r>
    </w:p>
    <w:p>
      <w:pPr>
        <w:spacing w:after="0" w:line="200" w:lineRule="exact"/>
        <w:rPr>
          <w:sz w:val="20"/>
          <w:szCs w:val="20"/>
          <w:color w:val="auto"/>
        </w:rPr>
      </w:pPr>
    </w:p>
    <w:p>
      <w:pPr>
        <w:spacing w:after="0" w:line="207"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Incorporated herein by reference to Exhibit 10.1 to the Company’s Current Report on Form 8-K filed on December 23, 2019.</w:t>
      </w:r>
    </w:p>
    <w:p>
      <w:pPr>
        <w:spacing w:after="0" w:line="200" w:lineRule="exact"/>
        <w:rPr>
          <w:sz w:val="20"/>
          <w:szCs w:val="20"/>
          <w:color w:val="auto"/>
        </w:rPr>
      </w:pPr>
    </w:p>
    <w:p>
      <w:pPr>
        <w:spacing w:after="0" w:line="20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Incorporated herein by reference to Exhibit 10.1 to the Company’s Current Report on Form 8-K filed on December 1, 2021.</w:t>
      </w:r>
    </w:p>
    <w:p>
      <w:pPr>
        <w:spacing w:after="0" w:line="35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Incorporated herein by reference to Exhibit 10.1 to the Company’s Current Report on Form 8-K filed on August 19, 2022.</w:t>
      </w:r>
    </w:p>
    <w:p>
      <w:pPr>
        <w:spacing w:after="0" w:line="358"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Incorporated herein by reference to Exhibit 10.1 to the Company’s Current Report on Form 8-K filed on March 20, 2023.</w:t>
      </w:r>
    </w:p>
    <w:p>
      <w:pPr>
        <w:spacing w:after="0" w:line="200" w:lineRule="exact"/>
        <w:rPr>
          <w:sz w:val="20"/>
          <w:szCs w:val="20"/>
          <w:color w:val="auto"/>
        </w:rPr>
      </w:pPr>
    </w:p>
    <w:p>
      <w:pPr>
        <w:spacing w:after="0" w:line="207"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Incorporated herein by reference to Exhibit 10.22 to the Company’s Annual Report on Form 10-K filed on February 28, 2019.</w:t>
      </w:r>
    </w:p>
    <w:p>
      <w:pPr>
        <w:spacing w:after="0" w:line="4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Incorporated herein by reference to Exhibit 10.23 to the Company’s Annual Report on Form 10-K filed on February 28, 2019.</w:t>
      </w:r>
    </w:p>
    <w:p>
      <w:pPr>
        <w:spacing w:after="0" w:line="4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Incorporated herein by reference to Exhibit 10.24 to the Company’s Annual Report on Form 10-K filed on February 28, 2019.</w:t>
      </w:r>
    </w:p>
    <w:p>
      <w:pPr>
        <w:spacing w:after="0" w:line="4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Incorporated by reference to Exhibit 10.34 to the Company’s Annual Report on Form 10-K, filed on March 1, 2018.</w:t>
      </w:r>
    </w:p>
    <w:p>
      <w:pPr>
        <w:spacing w:after="0" w:line="200" w:lineRule="exact"/>
        <w:rPr>
          <w:sz w:val="20"/>
          <w:szCs w:val="20"/>
          <w:color w:val="auto"/>
        </w:rPr>
      </w:pPr>
    </w:p>
    <w:p>
      <w:pPr>
        <w:spacing w:after="0" w:line="207"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Incorporated herein by reference to Exhibit 10.30 to the Company’s Annual Report on Form 10-K filed on February 28, 2019.</w:t>
      </w:r>
    </w:p>
    <w:p>
      <w:pPr>
        <w:spacing w:after="0" w:line="4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Incorporated herein by reference to Exhibit 10.1 to the Company’s Current Report on Form 8-K filed on May 15, 2015.</w:t>
      </w:r>
    </w:p>
    <w:p>
      <w:pPr>
        <w:spacing w:after="0" w:line="228"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Incorporated herein by reference to Exhibit 10.2 to the Company’s Current Report on Form 8-K filed on May 15, 2015.</w:t>
      </w:r>
    </w:p>
    <w:p>
      <w:pPr>
        <w:spacing w:after="0" w:line="228"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Incorporated herein by reference to Exhibit 10.1 to the Company’s Current Report on Form 8-K filed on April 20, 2020.</w:t>
      </w:r>
    </w:p>
    <w:p>
      <w:pPr>
        <w:spacing w:after="0" w:line="4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Incorporated herein by reference to Exhibit 10.2 to the Company’s Current Report on Form 8-K filed on April 20, 2020.</w:t>
      </w:r>
    </w:p>
    <w:p>
      <w:pPr>
        <w:spacing w:after="0" w:line="4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Incorporated herein by reference to Exhibit 10.3 to the Company’s Current Report on Form 8-K filed on April 20, 2020.</w:t>
      </w:r>
    </w:p>
    <w:p>
      <w:pPr>
        <w:spacing w:after="0" w:line="4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Incorporated herein by reference to Exhibit 10.1 to the Company’s Current Report on Form 8-K filed on December 22, 2020.</w:t>
      </w:r>
    </w:p>
    <w:p>
      <w:pPr>
        <w:spacing w:after="0" w:line="4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Incorporated herein by reference to Exhibit 10.2 to the Company’s Current Report on Form 8-K filed on December 22, 2020.</w:t>
      </w:r>
    </w:p>
    <w:p>
      <w:pPr>
        <w:spacing w:after="0" w:line="4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Incorporated herein by reference to Exhibit 10.3 to the Company’s Current Report on Form 8-K filed on December 22, 2020.</w:t>
      </w:r>
    </w:p>
    <w:p>
      <w:pPr>
        <w:spacing w:after="0" w:line="200" w:lineRule="exact"/>
        <w:rPr>
          <w:sz w:val="20"/>
          <w:szCs w:val="20"/>
          <w:color w:val="auto"/>
        </w:rPr>
      </w:pPr>
    </w:p>
    <w:p>
      <w:pPr>
        <w:sectPr>
          <w:pgSz w:w="11880" w:h="15480" w:orient="portrait"/>
          <w:cols w:equalWidth="0" w:num="2">
            <w:col w:w="5540" w:space="180"/>
            <w:col w:w="3820"/>
          </w:cols>
          <w:pgMar w:left="1440" w:top="492" w:right="900" w:bottom="0" w:gutter="0" w:footer="0" w:header="0"/>
        </w:sectPr>
      </w:pPr>
    </w:p>
    <w:p>
      <w:pPr>
        <w:spacing w:after="0" w:line="171" w:lineRule="exact"/>
        <w:rPr>
          <w:sz w:val="20"/>
          <w:szCs w:val="20"/>
          <w:color w:val="auto"/>
        </w:rPr>
      </w:pPr>
    </w:p>
    <w:p>
      <w:pPr>
        <w:jc w:val="center"/>
        <w:ind w:right="540"/>
        <w:spacing w:after="0"/>
        <w:rPr>
          <w:sz w:val="20"/>
          <w:szCs w:val="20"/>
          <w:color w:val="auto"/>
        </w:rPr>
      </w:pPr>
      <w:r>
        <w:rPr>
          <w:rFonts w:ascii="Arial" w:cs="Arial" w:eastAsia="Arial" w:hAnsi="Arial"/>
          <w:sz w:val="15"/>
          <w:szCs w:val="15"/>
          <w:color w:val="auto"/>
        </w:rPr>
        <w:t>132</w:t>
      </w:r>
    </w:p>
    <w:p>
      <w:pPr>
        <w:sectPr>
          <w:pgSz w:w="11880" w:h="15480" w:orient="portrait"/>
          <w:cols w:equalWidth="0" w:num="1">
            <w:col w:w="9540"/>
          </w:cols>
          <w:pgMar w:left="1440" w:top="492" w:right="900" w:bottom="0" w:gutter="0" w:footer="0" w:header="0"/>
          <w:type w:val="continuous"/>
        </w:sectPr>
      </w:pPr>
    </w:p>
    <w:bookmarkStart w:id="134" w:name="page135"/>
    <w:bookmarkEnd w:id="134"/>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20"/>
                <w:szCs w:val="20"/>
                <w:color w:val="auto"/>
              </w:rPr>
            </w:pPr>
            <w:r>
              <w:rPr>
                <w:rFonts w:ascii="Arial" w:cs="Arial" w:eastAsia="Arial" w:hAnsi="Arial"/>
                <w:sz w:val="18"/>
                <w:szCs w:val="18"/>
                <w:color w:val="auto"/>
              </w:rPr>
              <w:t>10.19*^</w:t>
            </w:r>
          </w:p>
        </w:tc>
        <w:tc>
          <w:tcPr>
            <w:tcW w:w="5340" w:type="dxa"/>
            <w:vAlign w:val="bottom"/>
          </w:tcPr>
          <w:p>
            <w:pPr>
              <w:ind w:left="180"/>
              <w:spacing w:after="0"/>
              <w:rPr>
                <w:sz w:val="20"/>
                <w:szCs w:val="20"/>
                <w:color w:val="auto"/>
              </w:rPr>
            </w:pPr>
            <w:r>
              <w:rPr>
                <w:rFonts w:ascii="Arial" w:cs="Arial" w:eastAsia="Arial" w:hAnsi="Arial"/>
                <w:sz w:val="18"/>
                <w:szCs w:val="18"/>
                <w:color w:val="auto"/>
                <w:w w:val="92"/>
              </w:rPr>
              <w:t>Second Amended and Restated Limited Liability Company Agreement</w:t>
            </w:r>
          </w:p>
        </w:tc>
      </w:tr>
      <w:tr>
        <w:trPr>
          <w:trHeight w:val="179"/>
        </w:trPr>
        <w:tc>
          <w:tcPr>
            <w:tcW w:w="740" w:type="dxa"/>
            <w:vAlign w:val="bottom"/>
          </w:tcPr>
          <w:p>
            <w:pPr>
              <w:spacing w:after="0"/>
              <w:rPr>
                <w:sz w:val="15"/>
                <w:szCs w:val="15"/>
                <w:color w:val="auto"/>
              </w:rPr>
            </w:pPr>
          </w:p>
        </w:tc>
        <w:tc>
          <w:tcPr>
            <w:tcW w:w="5340" w:type="dxa"/>
            <w:vAlign w:val="bottom"/>
          </w:tcPr>
          <w:p>
            <w:pPr>
              <w:ind w:left="180"/>
              <w:spacing w:after="0" w:line="179" w:lineRule="exact"/>
              <w:rPr>
                <w:sz w:val="20"/>
                <w:szCs w:val="20"/>
                <w:color w:val="auto"/>
              </w:rPr>
            </w:pPr>
            <w:r>
              <w:rPr>
                <w:rFonts w:ascii="Arial" w:cs="Arial" w:eastAsia="Arial" w:hAnsi="Arial"/>
                <w:sz w:val="18"/>
                <w:szCs w:val="18"/>
                <w:color w:val="auto"/>
                <w:w w:val="96"/>
              </w:rPr>
              <w:t>of Pinnacle Repowering Partnership LLC, dated as of February 26,</w:t>
            </w:r>
          </w:p>
        </w:tc>
      </w:tr>
      <w:tr>
        <w:trPr>
          <w:trHeight w:val="234"/>
        </w:trPr>
        <w:tc>
          <w:tcPr>
            <w:tcW w:w="740" w:type="dxa"/>
            <w:vAlign w:val="bottom"/>
          </w:tcPr>
          <w:p>
            <w:pPr>
              <w:spacing w:after="0"/>
              <w:rPr>
                <w:sz w:val="20"/>
                <w:szCs w:val="20"/>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rPr>
              <w:t>2021.</w:t>
            </w:r>
          </w:p>
        </w:tc>
      </w:tr>
      <w:tr>
        <w:trPr>
          <w:trHeight w:val="258"/>
        </w:trPr>
        <w:tc>
          <w:tcPr>
            <w:tcW w:w="740" w:type="dxa"/>
            <w:vAlign w:val="bottom"/>
          </w:tcPr>
          <w:p>
            <w:pPr>
              <w:spacing w:after="0"/>
              <w:rPr>
                <w:sz w:val="20"/>
                <w:szCs w:val="20"/>
                <w:color w:val="auto"/>
              </w:rPr>
            </w:pPr>
            <w:r>
              <w:rPr>
                <w:rFonts w:ascii="Arial" w:cs="Arial" w:eastAsia="Arial" w:hAnsi="Arial"/>
                <w:sz w:val="18"/>
                <w:szCs w:val="18"/>
                <w:color w:val="auto"/>
              </w:rPr>
              <w:t>10.20</w:t>
            </w:r>
          </w:p>
        </w:tc>
        <w:tc>
          <w:tcPr>
            <w:tcW w:w="5340" w:type="dxa"/>
            <w:vAlign w:val="bottom"/>
          </w:tcPr>
          <w:p>
            <w:pPr>
              <w:ind w:left="180"/>
              <w:spacing w:after="0"/>
              <w:rPr>
                <w:sz w:val="20"/>
                <w:szCs w:val="20"/>
                <w:color w:val="auto"/>
              </w:rPr>
            </w:pPr>
            <w:r>
              <w:rPr>
                <w:rFonts w:ascii="Arial" w:cs="Arial" w:eastAsia="Arial" w:hAnsi="Arial"/>
                <w:sz w:val="18"/>
                <w:szCs w:val="18"/>
                <w:color w:val="auto"/>
                <w:w w:val="94"/>
              </w:rPr>
              <w:t>Purchase and Sale Agreement, dated as of August 20, 2021, by and</w:t>
            </w:r>
          </w:p>
        </w:tc>
      </w:tr>
      <w:tr>
        <w:trPr>
          <w:trHeight w:val="179"/>
        </w:trPr>
        <w:tc>
          <w:tcPr>
            <w:tcW w:w="740" w:type="dxa"/>
            <w:vAlign w:val="bottom"/>
          </w:tcPr>
          <w:p>
            <w:pPr>
              <w:spacing w:after="0"/>
              <w:rPr>
                <w:sz w:val="15"/>
                <w:szCs w:val="15"/>
                <w:color w:val="auto"/>
              </w:rPr>
            </w:pPr>
          </w:p>
        </w:tc>
        <w:tc>
          <w:tcPr>
            <w:tcW w:w="5340" w:type="dxa"/>
            <w:vAlign w:val="bottom"/>
          </w:tcPr>
          <w:p>
            <w:pPr>
              <w:ind w:left="180"/>
              <w:spacing w:after="0" w:line="179" w:lineRule="exact"/>
              <w:rPr>
                <w:sz w:val="20"/>
                <w:szCs w:val="20"/>
                <w:color w:val="auto"/>
              </w:rPr>
            </w:pPr>
            <w:r>
              <w:rPr>
                <w:rFonts w:ascii="Arial" w:cs="Arial" w:eastAsia="Arial" w:hAnsi="Arial"/>
                <w:sz w:val="18"/>
                <w:szCs w:val="18"/>
                <w:color w:val="auto"/>
                <w:w w:val="95"/>
              </w:rPr>
              <w:t>between Dominion Solar Projects III, Inc. and Utah Solar Holdings II</w:t>
            </w:r>
          </w:p>
        </w:tc>
      </w:tr>
      <w:tr>
        <w:trPr>
          <w:trHeight w:val="234"/>
        </w:trPr>
        <w:tc>
          <w:tcPr>
            <w:tcW w:w="740" w:type="dxa"/>
            <w:vAlign w:val="bottom"/>
          </w:tcPr>
          <w:p>
            <w:pPr>
              <w:spacing w:after="0"/>
              <w:rPr>
                <w:sz w:val="20"/>
                <w:szCs w:val="20"/>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rPr>
              <w:t>LLC.</w:t>
            </w:r>
          </w:p>
        </w:tc>
      </w:tr>
      <w:tr>
        <w:trPr>
          <w:trHeight w:val="228"/>
        </w:trPr>
        <w:tc>
          <w:tcPr>
            <w:tcW w:w="740" w:type="dxa"/>
            <w:vAlign w:val="bottom"/>
          </w:tcPr>
          <w:p>
            <w:pPr>
              <w:spacing w:after="0"/>
              <w:rPr>
                <w:sz w:val="20"/>
                <w:szCs w:val="20"/>
                <w:color w:val="auto"/>
              </w:rPr>
            </w:pPr>
            <w:r>
              <w:rPr>
                <w:rFonts w:ascii="Arial" w:cs="Arial" w:eastAsia="Arial" w:hAnsi="Arial"/>
                <w:sz w:val="18"/>
                <w:szCs w:val="18"/>
                <w:color w:val="auto"/>
              </w:rPr>
              <w:t>10.21</w:t>
            </w:r>
          </w:p>
        </w:tc>
        <w:tc>
          <w:tcPr>
            <w:tcW w:w="5340" w:type="dxa"/>
            <w:vAlign w:val="bottom"/>
          </w:tcPr>
          <w:p>
            <w:pPr>
              <w:ind w:left="180"/>
              <w:spacing w:after="0"/>
              <w:rPr>
                <w:sz w:val="20"/>
                <w:szCs w:val="20"/>
                <w:color w:val="auto"/>
              </w:rPr>
            </w:pPr>
            <w:r>
              <w:rPr>
                <w:rFonts w:ascii="Arial" w:cs="Arial" w:eastAsia="Arial" w:hAnsi="Arial"/>
                <w:sz w:val="18"/>
                <w:szCs w:val="18"/>
                <w:color w:val="auto"/>
                <w:w w:val="90"/>
              </w:rPr>
              <w:t>Amended and Restated Employment Agreement, dated September 23,</w:t>
            </w:r>
          </w:p>
        </w:tc>
      </w:tr>
      <w:tr>
        <w:trPr>
          <w:trHeight w:val="234"/>
        </w:trPr>
        <w:tc>
          <w:tcPr>
            <w:tcW w:w="740" w:type="dxa"/>
            <w:vAlign w:val="bottom"/>
          </w:tcPr>
          <w:p>
            <w:pPr>
              <w:spacing w:after="0"/>
              <w:rPr>
                <w:sz w:val="20"/>
                <w:szCs w:val="20"/>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w w:val="93"/>
              </w:rPr>
              <w:t>2021, by and between Clearway Energy, Inc. and Christopher Sotos.</w:t>
            </w:r>
          </w:p>
        </w:tc>
      </w:tr>
      <w:tr>
        <w:trPr>
          <w:trHeight w:val="407"/>
        </w:trPr>
        <w:tc>
          <w:tcPr>
            <w:tcW w:w="740" w:type="dxa"/>
            <w:vAlign w:val="bottom"/>
          </w:tcPr>
          <w:p>
            <w:pPr>
              <w:spacing w:after="0"/>
              <w:rPr>
                <w:sz w:val="20"/>
                <w:szCs w:val="20"/>
                <w:color w:val="auto"/>
              </w:rPr>
            </w:pPr>
            <w:r>
              <w:rPr>
                <w:rFonts w:ascii="Arial" w:cs="Arial" w:eastAsia="Arial" w:hAnsi="Arial"/>
                <w:sz w:val="18"/>
                <w:szCs w:val="18"/>
                <w:color w:val="auto"/>
              </w:rPr>
              <w:t>10.22</w:t>
            </w:r>
          </w:p>
        </w:tc>
        <w:tc>
          <w:tcPr>
            <w:tcW w:w="5340" w:type="dxa"/>
            <w:vAlign w:val="bottom"/>
          </w:tcPr>
          <w:p>
            <w:pPr>
              <w:ind w:left="180"/>
              <w:spacing w:after="0"/>
              <w:rPr>
                <w:sz w:val="20"/>
                <w:szCs w:val="20"/>
                <w:color w:val="auto"/>
              </w:rPr>
            </w:pPr>
            <w:r>
              <w:rPr>
                <w:rFonts w:ascii="Arial" w:cs="Arial" w:eastAsia="Arial" w:hAnsi="Arial"/>
                <w:sz w:val="18"/>
                <w:szCs w:val="18"/>
                <w:color w:val="auto"/>
                <w:w w:val="95"/>
              </w:rPr>
              <w:t>Membership Interest Purchase Agreement, dated as of October 22,</w:t>
            </w:r>
          </w:p>
        </w:tc>
      </w:tr>
      <w:tr>
        <w:trPr>
          <w:trHeight w:val="179"/>
        </w:trPr>
        <w:tc>
          <w:tcPr>
            <w:tcW w:w="740" w:type="dxa"/>
            <w:vAlign w:val="bottom"/>
          </w:tcPr>
          <w:p>
            <w:pPr>
              <w:spacing w:after="0"/>
              <w:rPr>
                <w:sz w:val="15"/>
                <w:szCs w:val="15"/>
                <w:color w:val="auto"/>
              </w:rPr>
            </w:pPr>
          </w:p>
        </w:tc>
        <w:tc>
          <w:tcPr>
            <w:tcW w:w="5340" w:type="dxa"/>
            <w:vAlign w:val="bottom"/>
          </w:tcPr>
          <w:p>
            <w:pPr>
              <w:ind w:left="180"/>
              <w:spacing w:after="0" w:line="179" w:lineRule="exact"/>
              <w:rPr>
                <w:sz w:val="20"/>
                <w:szCs w:val="20"/>
                <w:color w:val="auto"/>
              </w:rPr>
            </w:pPr>
            <w:r>
              <w:rPr>
                <w:rFonts w:ascii="Arial" w:cs="Arial" w:eastAsia="Arial" w:hAnsi="Arial"/>
                <w:sz w:val="18"/>
                <w:szCs w:val="18"/>
                <w:color w:val="auto"/>
                <w:w w:val="91"/>
              </w:rPr>
              <w:t>2021, by and between Clearway Energy Operating LLC and KKR Thor</w:t>
            </w:r>
          </w:p>
        </w:tc>
      </w:tr>
      <w:tr>
        <w:trPr>
          <w:trHeight w:val="234"/>
        </w:trPr>
        <w:tc>
          <w:tcPr>
            <w:tcW w:w="740" w:type="dxa"/>
            <w:vAlign w:val="bottom"/>
          </w:tcPr>
          <w:p>
            <w:pPr>
              <w:spacing w:after="0"/>
              <w:rPr>
                <w:sz w:val="20"/>
                <w:szCs w:val="20"/>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rPr>
              <w:t>Bidco, LLC.</w:t>
            </w:r>
          </w:p>
        </w:tc>
      </w:tr>
      <w:tr>
        <w:trPr>
          <w:trHeight w:val="228"/>
        </w:trPr>
        <w:tc>
          <w:tcPr>
            <w:tcW w:w="740" w:type="dxa"/>
            <w:vAlign w:val="bottom"/>
          </w:tcPr>
          <w:p>
            <w:pPr>
              <w:spacing w:after="0"/>
              <w:rPr>
                <w:sz w:val="20"/>
                <w:szCs w:val="20"/>
                <w:color w:val="auto"/>
              </w:rPr>
            </w:pPr>
            <w:r>
              <w:rPr>
                <w:rFonts w:ascii="Arial" w:cs="Arial" w:eastAsia="Arial" w:hAnsi="Arial"/>
                <w:sz w:val="18"/>
                <w:szCs w:val="18"/>
                <w:color w:val="auto"/>
              </w:rPr>
              <w:t>10.23</w:t>
            </w:r>
          </w:p>
        </w:tc>
        <w:tc>
          <w:tcPr>
            <w:tcW w:w="5340" w:type="dxa"/>
            <w:vAlign w:val="bottom"/>
          </w:tcPr>
          <w:p>
            <w:pPr>
              <w:ind w:left="180"/>
              <w:spacing w:after="0"/>
              <w:rPr>
                <w:sz w:val="20"/>
                <w:szCs w:val="20"/>
                <w:color w:val="auto"/>
              </w:rPr>
            </w:pPr>
            <w:r>
              <w:rPr>
                <w:rFonts w:ascii="Arial" w:cs="Arial" w:eastAsia="Arial" w:hAnsi="Arial"/>
                <w:sz w:val="18"/>
                <w:szCs w:val="18"/>
                <w:color w:val="auto"/>
                <w:w w:val="94"/>
              </w:rPr>
              <w:t>Senior Secured Bridge Credit Agreement, dated as of November 30,</w:t>
            </w:r>
          </w:p>
        </w:tc>
      </w:tr>
      <w:tr>
        <w:trPr>
          <w:trHeight w:val="179"/>
        </w:trPr>
        <w:tc>
          <w:tcPr>
            <w:tcW w:w="740" w:type="dxa"/>
            <w:vAlign w:val="bottom"/>
          </w:tcPr>
          <w:p>
            <w:pPr>
              <w:spacing w:after="0"/>
              <w:rPr>
                <w:sz w:val="15"/>
                <w:szCs w:val="15"/>
                <w:color w:val="auto"/>
              </w:rPr>
            </w:pPr>
          </w:p>
        </w:tc>
        <w:tc>
          <w:tcPr>
            <w:tcW w:w="5340" w:type="dxa"/>
            <w:vAlign w:val="bottom"/>
          </w:tcPr>
          <w:p>
            <w:pPr>
              <w:ind w:left="180"/>
              <w:spacing w:after="0" w:line="179" w:lineRule="exact"/>
              <w:rPr>
                <w:sz w:val="20"/>
                <w:szCs w:val="20"/>
                <w:color w:val="auto"/>
              </w:rPr>
            </w:pPr>
            <w:r>
              <w:rPr>
                <w:rFonts w:ascii="Arial" w:cs="Arial" w:eastAsia="Arial" w:hAnsi="Arial"/>
                <w:sz w:val="18"/>
                <w:szCs w:val="18"/>
                <w:color w:val="auto"/>
              </w:rPr>
              <w:t>2021, by and among Clearway Energy Operating LLC, Clearway</w:t>
            </w:r>
          </w:p>
        </w:tc>
      </w:tr>
      <w:tr>
        <w:trPr>
          <w:trHeight w:val="179"/>
        </w:trPr>
        <w:tc>
          <w:tcPr>
            <w:tcW w:w="740" w:type="dxa"/>
            <w:vAlign w:val="bottom"/>
          </w:tcPr>
          <w:p>
            <w:pPr>
              <w:spacing w:after="0"/>
              <w:rPr>
                <w:sz w:val="15"/>
                <w:szCs w:val="15"/>
                <w:color w:val="auto"/>
              </w:rPr>
            </w:pPr>
          </w:p>
        </w:tc>
        <w:tc>
          <w:tcPr>
            <w:tcW w:w="5340" w:type="dxa"/>
            <w:vAlign w:val="bottom"/>
          </w:tcPr>
          <w:p>
            <w:pPr>
              <w:ind w:left="180"/>
              <w:spacing w:after="0" w:line="179" w:lineRule="exact"/>
              <w:rPr>
                <w:sz w:val="20"/>
                <w:szCs w:val="20"/>
                <w:color w:val="auto"/>
              </w:rPr>
            </w:pPr>
            <w:r>
              <w:rPr>
                <w:rFonts w:ascii="Arial" w:cs="Arial" w:eastAsia="Arial" w:hAnsi="Arial"/>
                <w:sz w:val="18"/>
                <w:szCs w:val="18"/>
                <w:color w:val="auto"/>
                <w:w w:val="94"/>
              </w:rPr>
              <w:t>Energy LLC, the guarantors party thereto, Bank of America, N.A., as</w:t>
            </w:r>
          </w:p>
        </w:tc>
      </w:tr>
      <w:tr>
        <w:trPr>
          <w:trHeight w:val="234"/>
        </w:trPr>
        <w:tc>
          <w:tcPr>
            <w:tcW w:w="740" w:type="dxa"/>
            <w:vAlign w:val="bottom"/>
          </w:tcPr>
          <w:p>
            <w:pPr>
              <w:spacing w:after="0"/>
              <w:rPr>
                <w:sz w:val="20"/>
                <w:szCs w:val="20"/>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rPr>
              <w:t>administrative agent, and the lenders party thereto.</w:t>
            </w:r>
          </w:p>
        </w:tc>
      </w:tr>
      <w:tr>
        <w:trPr>
          <w:trHeight w:val="228"/>
        </w:trPr>
        <w:tc>
          <w:tcPr>
            <w:tcW w:w="740" w:type="dxa"/>
            <w:vAlign w:val="bottom"/>
          </w:tcPr>
          <w:p>
            <w:pPr>
              <w:spacing w:after="0"/>
              <w:rPr>
                <w:sz w:val="20"/>
                <w:szCs w:val="20"/>
                <w:color w:val="auto"/>
              </w:rPr>
            </w:pPr>
            <w:r>
              <w:rPr>
                <w:rFonts w:ascii="Arial" w:cs="Arial" w:eastAsia="Arial" w:hAnsi="Arial"/>
                <w:sz w:val="18"/>
                <w:szCs w:val="18"/>
                <w:color w:val="auto"/>
              </w:rPr>
              <w:t>10.24</w:t>
            </w:r>
          </w:p>
        </w:tc>
        <w:tc>
          <w:tcPr>
            <w:tcW w:w="5340" w:type="dxa"/>
            <w:vAlign w:val="bottom"/>
          </w:tcPr>
          <w:p>
            <w:pPr>
              <w:ind w:left="180"/>
              <w:spacing w:after="0"/>
              <w:rPr>
                <w:sz w:val="20"/>
                <w:szCs w:val="20"/>
                <w:color w:val="auto"/>
              </w:rPr>
            </w:pPr>
            <w:r>
              <w:rPr>
                <w:rFonts w:ascii="Arial" w:cs="Arial" w:eastAsia="Arial" w:hAnsi="Arial"/>
                <w:sz w:val="18"/>
                <w:szCs w:val="18"/>
                <w:color w:val="auto"/>
                <w:w w:val="92"/>
              </w:rPr>
              <w:t>First Amendment to Membership Interest Purchase Agreement, dated</w:t>
            </w:r>
          </w:p>
        </w:tc>
      </w:tr>
      <w:tr>
        <w:trPr>
          <w:trHeight w:val="179"/>
        </w:trPr>
        <w:tc>
          <w:tcPr>
            <w:tcW w:w="740" w:type="dxa"/>
            <w:vAlign w:val="bottom"/>
          </w:tcPr>
          <w:p>
            <w:pPr>
              <w:spacing w:after="0"/>
              <w:rPr>
                <w:sz w:val="15"/>
                <w:szCs w:val="15"/>
                <w:color w:val="auto"/>
              </w:rPr>
            </w:pPr>
          </w:p>
        </w:tc>
        <w:tc>
          <w:tcPr>
            <w:tcW w:w="5340" w:type="dxa"/>
            <w:vAlign w:val="bottom"/>
          </w:tcPr>
          <w:p>
            <w:pPr>
              <w:ind w:left="180"/>
              <w:spacing w:after="0" w:line="179" w:lineRule="exact"/>
              <w:rPr>
                <w:sz w:val="20"/>
                <w:szCs w:val="20"/>
                <w:color w:val="auto"/>
              </w:rPr>
            </w:pPr>
            <w:r>
              <w:rPr>
                <w:rFonts w:ascii="Arial" w:cs="Arial" w:eastAsia="Arial" w:hAnsi="Arial"/>
                <w:sz w:val="18"/>
                <w:szCs w:val="18"/>
                <w:color w:val="auto"/>
                <w:w w:val="91"/>
              </w:rPr>
              <w:t>as of December 17, 2021, by and among Lighthouse Renewable Class</w:t>
            </w:r>
          </w:p>
        </w:tc>
      </w:tr>
      <w:tr>
        <w:trPr>
          <w:trHeight w:val="234"/>
        </w:trPr>
        <w:tc>
          <w:tcPr>
            <w:tcW w:w="740" w:type="dxa"/>
            <w:vAlign w:val="bottom"/>
          </w:tcPr>
          <w:p>
            <w:pPr>
              <w:spacing w:after="0"/>
              <w:rPr>
                <w:sz w:val="20"/>
                <w:szCs w:val="20"/>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w w:val="95"/>
              </w:rPr>
              <w:t>A LLC, Clearway Renew LLC and Clearway Energy Operating LLC.</w:t>
            </w:r>
          </w:p>
        </w:tc>
      </w:tr>
      <w:tr>
        <w:trPr>
          <w:trHeight w:val="228"/>
        </w:trPr>
        <w:tc>
          <w:tcPr>
            <w:tcW w:w="740" w:type="dxa"/>
            <w:vAlign w:val="bottom"/>
          </w:tcPr>
          <w:p>
            <w:pPr>
              <w:spacing w:after="0"/>
              <w:rPr>
                <w:sz w:val="20"/>
                <w:szCs w:val="20"/>
                <w:color w:val="auto"/>
              </w:rPr>
            </w:pPr>
            <w:r>
              <w:rPr>
                <w:rFonts w:ascii="Arial" w:cs="Arial" w:eastAsia="Arial" w:hAnsi="Arial"/>
                <w:sz w:val="18"/>
                <w:szCs w:val="18"/>
                <w:color w:val="auto"/>
              </w:rPr>
              <w:t>10.25</w:t>
            </w:r>
          </w:p>
        </w:tc>
        <w:tc>
          <w:tcPr>
            <w:tcW w:w="5340" w:type="dxa"/>
            <w:vAlign w:val="bottom"/>
          </w:tcPr>
          <w:p>
            <w:pPr>
              <w:ind w:left="180"/>
              <w:spacing w:after="0"/>
              <w:rPr>
                <w:sz w:val="20"/>
                <w:szCs w:val="20"/>
                <w:color w:val="auto"/>
              </w:rPr>
            </w:pPr>
            <w:r>
              <w:rPr>
                <w:rFonts w:ascii="Arial" w:cs="Arial" w:eastAsia="Arial" w:hAnsi="Arial"/>
                <w:sz w:val="18"/>
                <w:szCs w:val="18"/>
                <w:color w:val="auto"/>
                <w:w w:val="92"/>
              </w:rPr>
              <w:t>First Amendment to Membership Interest Purchase Agreement, dated</w:t>
            </w:r>
          </w:p>
        </w:tc>
      </w:tr>
      <w:tr>
        <w:trPr>
          <w:trHeight w:val="179"/>
        </w:trPr>
        <w:tc>
          <w:tcPr>
            <w:tcW w:w="740" w:type="dxa"/>
            <w:vAlign w:val="bottom"/>
          </w:tcPr>
          <w:p>
            <w:pPr>
              <w:spacing w:after="0"/>
              <w:rPr>
                <w:sz w:val="15"/>
                <w:szCs w:val="15"/>
                <w:color w:val="auto"/>
              </w:rPr>
            </w:pPr>
          </w:p>
        </w:tc>
        <w:tc>
          <w:tcPr>
            <w:tcW w:w="5340" w:type="dxa"/>
            <w:vAlign w:val="bottom"/>
          </w:tcPr>
          <w:p>
            <w:pPr>
              <w:ind w:left="180"/>
              <w:spacing w:after="0" w:line="179" w:lineRule="exact"/>
              <w:rPr>
                <w:sz w:val="20"/>
                <w:szCs w:val="20"/>
                <w:color w:val="auto"/>
              </w:rPr>
            </w:pPr>
            <w:r>
              <w:rPr>
                <w:rFonts w:ascii="Arial" w:cs="Arial" w:eastAsia="Arial" w:hAnsi="Arial"/>
                <w:sz w:val="18"/>
                <w:szCs w:val="18"/>
                <w:color w:val="auto"/>
                <w:w w:val="91"/>
              </w:rPr>
              <w:t>as of December 29, 2021, by and among Lighthouse Renewable Class</w:t>
            </w:r>
          </w:p>
        </w:tc>
      </w:tr>
      <w:tr>
        <w:trPr>
          <w:trHeight w:val="234"/>
        </w:trPr>
        <w:tc>
          <w:tcPr>
            <w:tcW w:w="740" w:type="dxa"/>
            <w:vAlign w:val="bottom"/>
          </w:tcPr>
          <w:p>
            <w:pPr>
              <w:spacing w:after="0"/>
              <w:rPr>
                <w:sz w:val="20"/>
                <w:szCs w:val="20"/>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rPr>
              <w:t>A LLC and Clearway Renew LLC.</w:t>
            </w:r>
          </w:p>
        </w:tc>
      </w:tr>
      <w:tr>
        <w:trPr>
          <w:trHeight w:val="228"/>
        </w:trPr>
        <w:tc>
          <w:tcPr>
            <w:tcW w:w="740" w:type="dxa"/>
            <w:vAlign w:val="bottom"/>
          </w:tcPr>
          <w:p>
            <w:pPr>
              <w:spacing w:after="0"/>
              <w:rPr>
                <w:sz w:val="20"/>
                <w:szCs w:val="20"/>
                <w:color w:val="auto"/>
              </w:rPr>
            </w:pPr>
            <w:r>
              <w:rPr>
                <w:rFonts w:ascii="Arial" w:cs="Arial" w:eastAsia="Arial" w:hAnsi="Arial"/>
                <w:sz w:val="18"/>
                <w:szCs w:val="18"/>
                <w:color w:val="auto"/>
              </w:rPr>
              <w:t>10.26†</w:t>
            </w:r>
          </w:p>
        </w:tc>
        <w:tc>
          <w:tcPr>
            <w:tcW w:w="5340" w:type="dxa"/>
            <w:vAlign w:val="bottom"/>
          </w:tcPr>
          <w:p>
            <w:pPr>
              <w:ind w:left="180"/>
              <w:spacing w:after="0"/>
              <w:rPr>
                <w:sz w:val="20"/>
                <w:szCs w:val="20"/>
                <w:color w:val="auto"/>
              </w:rPr>
            </w:pPr>
            <w:r>
              <w:rPr>
                <w:rFonts w:ascii="Arial" w:cs="Arial" w:eastAsia="Arial" w:hAnsi="Arial"/>
                <w:sz w:val="18"/>
                <w:szCs w:val="18"/>
                <w:color w:val="auto"/>
                <w:w w:val="98"/>
              </w:rPr>
              <w:t>Clearway Energy, Inc. Involuntary Severance Plan, effective as of</w:t>
            </w:r>
          </w:p>
        </w:tc>
      </w:tr>
      <w:tr>
        <w:trPr>
          <w:trHeight w:val="234"/>
        </w:trPr>
        <w:tc>
          <w:tcPr>
            <w:tcW w:w="740" w:type="dxa"/>
            <w:vAlign w:val="bottom"/>
          </w:tcPr>
          <w:p>
            <w:pPr>
              <w:spacing w:after="0"/>
              <w:rPr>
                <w:sz w:val="20"/>
                <w:szCs w:val="20"/>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rPr>
              <w:t>January 1, 2022.</w:t>
            </w:r>
          </w:p>
        </w:tc>
      </w:tr>
      <w:tr>
        <w:trPr>
          <w:trHeight w:val="407"/>
        </w:trPr>
        <w:tc>
          <w:tcPr>
            <w:tcW w:w="740" w:type="dxa"/>
            <w:vAlign w:val="bottom"/>
          </w:tcPr>
          <w:p>
            <w:pPr>
              <w:spacing w:after="0"/>
              <w:rPr>
                <w:sz w:val="20"/>
                <w:szCs w:val="20"/>
                <w:color w:val="auto"/>
              </w:rPr>
            </w:pPr>
            <w:r>
              <w:rPr>
                <w:rFonts w:ascii="Arial" w:cs="Arial" w:eastAsia="Arial" w:hAnsi="Arial"/>
                <w:sz w:val="18"/>
                <w:szCs w:val="18"/>
                <w:color w:val="auto"/>
              </w:rPr>
              <w:t>10.27†</w:t>
            </w:r>
          </w:p>
        </w:tc>
        <w:tc>
          <w:tcPr>
            <w:tcW w:w="5340" w:type="dxa"/>
            <w:vAlign w:val="bottom"/>
          </w:tcPr>
          <w:p>
            <w:pPr>
              <w:ind w:left="180"/>
              <w:spacing w:after="0"/>
              <w:rPr>
                <w:sz w:val="20"/>
                <w:szCs w:val="20"/>
                <w:color w:val="auto"/>
              </w:rPr>
            </w:pPr>
            <w:r>
              <w:rPr>
                <w:rFonts w:ascii="Arial" w:cs="Arial" w:eastAsia="Arial" w:hAnsi="Arial"/>
                <w:sz w:val="18"/>
                <w:szCs w:val="18"/>
                <w:color w:val="auto"/>
                <w:w w:val="95"/>
              </w:rPr>
              <w:t>Clearway  Energy,  Inc.  Key  Management  Change-in-Control  and</w:t>
            </w:r>
          </w:p>
        </w:tc>
      </w:tr>
      <w:tr>
        <w:trPr>
          <w:trHeight w:val="234"/>
        </w:trPr>
        <w:tc>
          <w:tcPr>
            <w:tcW w:w="740" w:type="dxa"/>
            <w:vAlign w:val="bottom"/>
          </w:tcPr>
          <w:p>
            <w:pPr>
              <w:spacing w:after="0"/>
              <w:rPr>
                <w:sz w:val="20"/>
                <w:szCs w:val="20"/>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rPr>
              <w:t>General Severance Plan, effective as of January 1, 2022.</w:t>
            </w:r>
          </w:p>
        </w:tc>
      </w:tr>
      <w:tr>
        <w:trPr>
          <w:trHeight w:val="407"/>
        </w:trPr>
        <w:tc>
          <w:tcPr>
            <w:tcW w:w="740" w:type="dxa"/>
            <w:vAlign w:val="bottom"/>
          </w:tcPr>
          <w:p>
            <w:pPr>
              <w:spacing w:after="0"/>
              <w:rPr>
                <w:sz w:val="20"/>
                <w:szCs w:val="20"/>
                <w:color w:val="auto"/>
              </w:rPr>
            </w:pPr>
            <w:r>
              <w:rPr>
                <w:rFonts w:ascii="Arial" w:cs="Arial" w:eastAsia="Arial" w:hAnsi="Arial"/>
                <w:sz w:val="18"/>
                <w:szCs w:val="18"/>
                <w:color w:val="auto"/>
              </w:rPr>
              <w:t>10.28†</w:t>
            </w:r>
          </w:p>
        </w:tc>
        <w:tc>
          <w:tcPr>
            <w:tcW w:w="5340" w:type="dxa"/>
            <w:vAlign w:val="bottom"/>
          </w:tcPr>
          <w:p>
            <w:pPr>
              <w:ind w:left="180"/>
              <w:spacing w:after="0"/>
              <w:rPr>
                <w:sz w:val="20"/>
                <w:szCs w:val="20"/>
                <w:color w:val="auto"/>
              </w:rPr>
            </w:pPr>
            <w:r>
              <w:rPr>
                <w:rFonts w:ascii="Arial" w:cs="Arial" w:eastAsia="Arial" w:hAnsi="Arial"/>
                <w:sz w:val="18"/>
                <w:szCs w:val="18"/>
                <w:color w:val="auto"/>
                <w:w w:val="94"/>
              </w:rPr>
              <w:t>Clearway  Energy,  Inc.  Executive  Change-in-Control  and  General</w:t>
            </w:r>
          </w:p>
        </w:tc>
      </w:tr>
      <w:tr>
        <w:trPr>
          <w:trHeight w:val="234"/>
        </w:trPr>
        <w:tc>
          <w:tcPr>
            <w:tcW w:w="740" w:type="dxa"/>
            <w:vAlign w:val="bottom"/>
          </w:tcPr>
          <w:p>
            <w:pPr>
              <w:spacing w:after="0"/>
              <w:rPr>
                <w:sz w:val="20"/>
                <w:szCs w:val="20"/>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rPr>
              <w:t>Severance Plan, effective as of January 1, 2022.</w:t>
            </w:r>
          </w:p>
        </w:tc>
      </w:tr>
      <w:tr>
        <w:trPr>
          <w:trHeight w:val="407"/>
        </w:trPr>
        <w:tc>
          <w:tcPr>
            <w:tcW w:w="740" w:type="dxa"/>
            <w:vAlign w:val="bottom"/>
          </w:tcPr>
          <w:p>
            <w:pPr>
              <w:spacing w:after="0"/>
              <w:rPr>
                <w:sz w:val="20"/>
                <w:szCs w:val="20"/>
                <w:color w:val="auto"/>
              </w:rPr>
            </w:pPr>
            <w:r>
              <w:rPr>
                <w:rFonts w:ascii="Arial" w:cs="Arial" w:eastAsia="Arial" w:hAnsi="Arial"/>
                <w:sz w:val="18"/>
                <w:szCs w:val="18"/>
                <w:color w:val="auto"/>
              </w:rPr>
              <w:t>10.29*^</w:t>
            </w:r>
          </w:p>
        </w:tc>
        <w:tc>
          <w:tcPr>
            <w:tcW w:w="5340" w:type="dxa"/>
            <w:vAlign w:val="bottom"/>
          </w:tcPr>
          <w:p>
            <w:pPr>
              <w:ind w:left="180"/>
              <w:spacing w:after="0"/>
              <w:rPr>
                <w:sz w:val="20"/>
                <w:szCs w:val="20"/>
                <w:color w:val="auto"/>
              </w:rPr>
            </w:pPr>
            <w:r>
              <w:rPr>
                <w:rFonts w:ascii="Arial" w:cs="Arial" w:eastAsia="Arial" w:hAnsi="Arial"/>
                <w:sz w:val="18"/>
                <w:szCs w:val="18"/>
                <w:color w:val="auto"/>
                <w:w w:val="92"/>
              </w:rPr>
              <w:t>Membership Interest Purchase Agreement, dated as of December 23,</w:t>
            </w:r>
          </w:p>
        </w:tc>
      </w:tr>
      <w:tr>
        <w:trPr>
          <w:trHeight w:val="179"/>
        </w:trPr>
        <w:tc>
          <w:tcPr>
            <w:tcW w:w="740" w:type="dxa"/>
            <w:vAlign w:val="bottom"/>
          </w:tcPr>
          <w:p>
            <w:pPr>
              <w:spacing w:after="0"/>
              <w:rPr>
                <w:sz w:val="15"/>
                <w:szCs w:val="15"/>
                <w:color w:val="auto"/>
              </w:rPr>
            </w:pPr>
          </w:p>
        </w:tc>
        <w:tc>
          <w:tcPr>
            <w:tcW w:w="5340" w:type="dxa"/>
            <w:vAlign w:val="bottom"/>
          </w:tcPr>
          <w:p>
            <w:pPr>
              <w:ind w:left="180"/>
              <w:spacing w:after="0" w:line="179" w:lineRule="exact"/>
              <w:rPr>
                <w:sz w:val="20"/>
                <w:szCs w:val="20"/>
                <w:color w:val="auto"/>
              </w:rPr>
            </w:pPr>
            <w:r>
              <w:rPr>
                <w:rFonts w:ascii="Arial" w:cs="Arial" w:eastAsia="Arial" w:hAnsi="Arial"/>
                <w:sz w:val="18"/>
                <w:szCs w:val="18"/>
                <w:color w:val="auto"/>
                <w:w w:val="94"/>
              </w:rPr>
              <w:t>2022, by and between VP-Arica CE Seller LLC and VP-Arica Parent</w:t>
            </w:r>
          </w:p>
        </w:tc>
      </w:tr>
      <w:tr>
        <w:trPr>
          <w:trHeight w:val="234"/>
        </w:trPr>
        <w:tc>
          <w:tcPr>
            <w:tcW w:w="740" w:type="dxa"/>
            <w:vAlign w:val="bottom"/>
          </w:tcPr>
          <w:p>
            <w:pPr>
              <w:spacing w:after="0"/>
              <w:rPr>
                <w:sz w:val="20"/>
                <w:szCs w:val="20"/>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rPr>
              <w:t>Holdco LLC.</w:t>
            </w:r>
          </w:p>
        </w:tc>
      </w:tr>
      <w:tr>
        <w:trPr>
          <w:trHeight w:val="228"/>
        </w:trPr>
        <w:tc>
          <w:tcPr>
            <w:tcW w:w="740" w:type="dxa"/>
            <w:vAlign w:val="bottom"/>
          </w:tcPr>
          <w:p>
            <w:pPr>
              <w:spacing w:after="0"/>
              <w:rPr>
                <w:sz w:val="20"/>
                <w:szCs w:val="20"/>
                <w:color w:val="auto"/>
              </w:rPr>
            </w:pPr>
            <w:r>
              <w:rPr>
                <w:rFonts w:ascii="Arial" w:cs="Arial" w:eastAsia="Arial" w:hAnsi="Arial"/>
                <w:sz w:val="18"/>
                <w:szCs w:val="18"/>
                <w:color w:val="auto"/>
              </w:rPr>
              <w:t>10.30</w:t>
            </w:r>
          </w:p>
        </w:tc>
        <w:tc>
          <w:tcPr>
            <w:tcW w:w="5340" w:type="dxa"/>
            <w:vAlign w:val="bottom"/>
          </w:tcPr>
          <w:p>
            <w:pPr>
              <w:ind w:left="180"/>
              <w:spacing w:after="0"/>
              <w:rPr>
                <w:sz w:val="20"/>
                <w:szCs w:val="20"/>
                <w:color w:val="auto"/>
              </w:rPr>
            </w:pPr>
            <w:r>
              <w:rPr>
                <w:rFonts w:ascii="Arial" w:cs="Arial" w:eastAsia="Arial" w:hAnsi="Arial"/>
                <w:sz w:val="18"/>
                <w:szCs w:val="18"/>
                <w:color w:val="auto"/>
                <w:w w:val="92"/>
              </w:rPr>
              <w:t>Amended  and  Restated  Master  Services  Agreement,  dated  as  of</w:t>
            </w:r>
          </w:p>
        </w:tc>
      </w:tr>
      <w:tr>
        <w:trPr>
          <w:trHeight w:val="179"/>
        </w:trPr>
        <w:tc>
          <w:tcPr>
            <w:tcW w:w="740" w:type="dxa"/>
            <w:vAlign w:val="bottom"/>
          </w:tcPr>
          <w:p>
            <w:pPr>
              <w:spacing w:after="0"/>
              <w:rPr>
                <w:sz w:val="15"/>
                <w:szCs w:val="15"/>
                <w:color w:val="auto"/>
              </w:rPr>
            </w:pPr>
          </w:p>
        </w:tc>
        <w:tc>
          <w:tcPr>
            <w:tcW w:w="5340" w:type="dxa"/>
            <w:vAlign w:val="bottom"/>
          </w:tcPr>
          <w:p>
            <w:pPr>
              <w:ind w:left="180"/>
              <w:spacing w:after="0" w:line="179" w:lineRule="exact"/>
              <w:rPr>
                <w:sz w:val="20"/>
                <w:szCs w:val="20"/>
                <w:color w:val="auto"/>
              </w:rPr>
            </w:pPr>
            <w:r>
              <w:rPr>
                <w:rFonts w:ascii="Arial" w:cs="Arial" w:eastAsia="Arial" w:hAnsi="Arial"/>
                <w:sz w:val="18"/>
                <w:szCs w:val="18"/>
                <w:color w:val="auto"/>
              </w:rPr>
              <w:t>February 2, 2023, by and among Clearway Energy Group LLC,</w:t>
            </w:r>
          </w:p>
        </w:tc>
      </w:tr>
      <w:tr>
        <w:trPr>
          <w:trHeight w:val="179"/>
        </w:trPr>
        <w:tc>
          <w:tcPr>
            <w:tcW w:w="740" w:type="dxa"/>
            <w:vAlign w:val="bottom"/>
          </w:tcPr>
          <w:p>
            <w:pPr>
              <w:spacing w:after="0"/>
              <w:rPr>
                <w:sz w:val="15"/>
                <w:szCs w:val="15"/>
                <w:color w:val="auto"/>
              </w:rPr>
            </w:pPr>
          </w:p>
        </w:tc>
        <w:tc>
          <w:tcPr>
            <w:tcW w:w="5340" w:type="dxa"/>
            <w:vAlign w:val="bottom"/>
          </w:tcPr>
          <w:p>
            <w:pPr>
              <w:ind w:left="180"/>
              <w:spacing w:after="0" w:line="179" w:lineRule="exact"/>
              <w:rPr>
                <w:sz w:val="20"/>
                <w:szCs w:val="20"/>
                <w:color w:val="auto"/>
              </w:rPr>
            </w:pPr>
            <w:r>
              <w:rPr>
                <w:rFonts w:ascii="Arial" w:cs="Arial" w:eastAsia="Arial" w:hAnsi="Arial"/>
                <w:sz w:val="18"/>
                <w:szCs w:val="18"/>
                <w:color w:val="auto"/>
                <w:w w:val="95"/>
              </w:rPr>
              <w:t>Clearway Energy, Inc., Clearway Energy LLC and Clearway Energy</w:t>
            </w:r>
          </w:p>
        </w:tc>
      </w:tr>
      <w:tr>
        <w:trPr>
          <w:trHeight w:val="234"/>
        </w:trPr>
        <w:tc>
          <w:tcPr>
            <w:tcW w:w="740" w:type="dxa"/>
            <w:vAlign w:val="bottom"/>
          </w:tcPr>
          <w:p>
            <w:pPr>
              <w:spacing w:after="0"/>
              <w:rPr>
                <w:sz w:val="20"/>
                <w:szCs w:val="20"/>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rPr>
              <w:t>Operating LLC.</w:t>
            </w:r>
          </w:p>
        </w:tc>
      </w:tr>
      <w:tr>
        <w:trPr>
          <w:trHeight w:val="228"/>
        </w:trPr>
        <w:tc>
          <w:tcPr>
            <w:tcW w:w="740" w:type="dxa"/>
            <w:vAlign w:val="bottom"/>
          </w:tcPr>
          <w:p>
            <w:pPr>
              <w:spacing w:after="0"/>
              <w:rPr>
                <w:sz w:val="20"/>
                <w:szCs w:val="20"/>
                <w:color w:val="auto"/>
              </w:rPr>
            </w:pPr>
            <w:r>
              <w:rPr>
                <w:rFonts w:ascii="Arial" w:cs="Arial" w:eastAsia="Arial" w:hAnsi="Arial"/>
                <w:sz w:val="18"/>
                <w:szCs w:val="18"/>
                <w:color w:val="auto"/>
              </w:rPr>
              <w:t>10.31</w:t>
            </w:r>
          </w:p>
        </w:tc>
        <w:tc>
          <w:tcPr>
            <w:tcW w:w="5340" w:type="dxa"/>
            <w:vAlign w:val="bottom"/>
          </w:tcPr>
          <w:p>
            <w:pPr>
              <w:ind w:left="180"/>
              <w:spacing w:after="0"/>
              <w:rPr>
                <w:sz w:val="20"/>
                <w:szCs w:val="20"/>
                <w:color w:val="auto"/>
              </w:rPr>
            </w:pPr>
            <w:r>
              <w:rPr>
                <w:rFonts w:ascii="Arial" w:cs="Arial" w:eastAsia="Arial" w:hAnsi="Arial"/>
                <w:sz w:val="18"/>
                <w:szCs w:val="18"/>
                <w:color w:val="auto"/>
                <w:w w:val="92"/>
              </w:rPr>
              <w:t>Amended  and  Restated  Master  Services  Agreement,  dated  as  of</w:t>
            </w:r>
          </w:p>
        </w:tc>
      </w:tr>
      <w:tr>
        <w:trPr>
          <w:trHeight w:val="179"/>
        </w:trPr>
        <w:tc>
          <w:tcPr>
            <w:tcW w:w="740" w:type="dxa"/>
            <w:vAlign w:val="bottom"/>
          </w:tcPr>
          <w:p>
            <w:pPr>
              <w:spacing w:after="0"/>
              <w:rPr>
                <w:sz w:val="15"/>
                <w:szCs w:val="15"/>
                <w:color w:val="auto"/>
              </w:rPr>
            </w:pPr>
          </w:p>
        </w:tc>
        <w:tc>
          <w:tcPr>
            <w:tcW w:w="5340" w:type="dxa"/>
            <w:vAlign w:val="bottom"/>
          </w:tcPr>
          <w:p>
            <w:pPr>
              <w:ind w:left="180"/>
              <w:spacing w:after="0" w:line="179" w:lineRule="exact"/>
              <w:rPr>
                <w:sz w:val="20"/>
                <w:szCs w:val="20"/>
                <w:color w:val="auto"/>
              </w:rPr>
            </w:pPr>
            <w:r>
              <w:rPr>
                <w:rFonts w:ascii="Arial" w:cs="Arial" w:eastAsia="Arial" w:hAnsi="Arial"/>
                <w:sz w:val="18"/>
                <w:szCs w:val="18"/>
                <w:color w:val="auto"/>
                <w:w w:val="97"/>
              </w:rPr>
              <w:t>February 2, 2023, by and among Clearway Energy, Inc., Clearway</w:t>
            </w:r>
          </w:p>
        </w:tc>
      </w:tr>
      <w:tr>
        <w:trPr>
          <w:trHeight w:val="179"/>
        </w:trPr>
        <w:tc>
          <w:tcPr>
            <w:tcW w:w="740" w:type="dxa"/>
            <w:vAlign w:val="bottom"/>
          </w:tcPr>
          <w:p>
            <w:pPr>
              <w:spacing w:after="0"/>
              <w:rPr>
                <w:sz w:val="15"/>
                <w:szCs w:val="15"/>
                <w:color w:val="auto"/>
              </w:rPr>
            </w:pPr>
          </w:p>
        </w:tc>
        <w:tc>
          <w:tcPr>
            <w:tcW w:w="5340" w:type="dxa"/>
            <w:vAlign w:val="bottom"/>
          </w:tcPr>
          <w:p>
            <w:pPr>
              <w:ind w:left="180"/>
              <w:spacing w:after="0" w:line="179" w:lineRule="exact"/>
              <w:rPr>
                <w:sz w:val="20"/>
                <w:szCs w:val="20"/>
                <w:color w:val="auto"/>
              </w:rPr>
            </w:pPr>
            <w:r>
              <w:rPr>
                <w:rFonts w:ascii="Arial" w:cs="Arial" w:eastAsia="Arial" w:hAnsi="Arial"/>
                <w:sz w:val="18"/>
                <w:szCs w:val="18"/>
                <w:color w:val="auto"/>
                <w:w w:val="94"/>
              </w:rPr>
              <w:t>Energy LLC, Clearway Energy Operating LLC and Clearway Energy</w:t>
            </w:r>
          </w:p>
        </w:tc>
      </w:tr>
      <w:tr>
        <w:trPr>
          <w:trHeight w:val="234"/>
        </w:trPr>
        <w:tc>
          <w:tcPr>
            <w:tcW w:w="740" w:type="dxa"/>
            <w:vAlign w:val="bottom"/>
          </w:tcPr>
          <w:p>
            <w:pPr>
              <w:spacing w:after="0"/>
              <w:rPr>
                <w:sz w:val="20"/>
                <w:szCs w:val="20"/>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rPr>
              <w:t>Group LLC.</w:t>
            </w:r>
          </w:p>
        </w:tc>
      </w:tr>
      <w:tr>
        <w:trPr>
          <w:trHeight w:val="228"/>
        </w:trPr>
        <w:tc>
          <w:tcPr>
            <w:tcW w:w="740" w:type="dxa"/>
            <w:vAlign w:val="bottom"/>
          </w:tcPr>
          <w:p>
            <w:pPr>
              <w:spacing w:after="0"/>
              <w:rPr>
                <w:sz w:val="20"/>
                <w:szCs w:val="20"/>
                <w:color w:val="auto"/>
              </w:rPr>
            </w:pPr>
            <w:r>
              <w:rPr>
                <w:rFonts w:ascii="Arial" w:cs="Arial" w:eastAsia="Arial" w:hAnsi="Arial"/>
                <w:sz w:val="18"/>
                <w:szCs w:val="18"/>
                <w:color w:val="auto"/>
              </w:rPr>
              <w:t>10.32</w:t>
            </w:r>
          </w:p>
        </w:tc>
        <w:tc>
          <w:tcPr>
            <w:tcW w:w="5340" w:type="dxa"/>
            <w:vAlign w:val="bottom"/>
          </w:tcPr>
          <w:p>
            <w:pPr>
              <w:ind w:left="180"/>
              <w:spacing w:after="0"/>
              <w:rPr>
                <w:sz w:val="20"/>
                <w:szCs w:val="20"/>
                <w:color w:val="auto"/>
              </w:rPr>
            </w:pPr>
            <w:r>
              <w:rPr>
                <w:rFonts w:ascii="Arial" w:cs="Arial" w:eastAsia="Arial" w:hAnsi="Arial"/>
                <w:sz w:val="18"/>
                <w:szCs w:val="18"/>
                <w:color w:val="auto"/>
                <w:w w:val="92"/>
              </w:rPr>
              <w:t>Membership Interest Purchase Agreement, dated as of May 19, 2023,</w:t>
            </w:r>
          </w:p>
        </w:tc>
      </w:tr>
      <w:tr>
        <w:trPr>
          <w:trHeight w:val="179"/>
        </w:trPr>
        <w:tc>
          <w:tcPr>
            <w:tcW w:w="740" w:type="dxa"/>
            <w:vAlign w:val="bottom"/>
          </w:tcPr>
          <w:p>
            <w:pPr>
              <w:spacing w:after="0"/>
              <w:rPr>
                <w:sz w:val="15"/>
                <w:szCs w:val="15"/>
                <w:color w:val="auto"/>
              </w:rPr>
            </w:pPr>
          </w:p>
        </w:tc>
        <w:tc>
          <w:tcPr>
            <w:tcW w:w="5340" w:type="dxa"/>
            <w:vAlign w:val="bottom"/>
          </w:tcPr>
          <w:p>
            <w:pPr>
              <w:ind w:left="180"/>
              <w:spacing w:after="0" w:line="179" w:lineRule="exact"/>
              <w:rPr>
                <w:sz w:val="20"/>
                <w:szCs w:val="20"/>
                <w:color w:val="auto"/>
              </w:rPr>
            </w:pPr>
            <w:r>
              <w:rPr>
                <w:rFonts w:ascii="Arial" w:cs="Arial" w:eastAsia="Arial" w:hAnsi="Arial"/>
                <w:sz w:val="18"/>
                <w:szCs w:val="18"/>
                <w:color w:val="auto"/>
                <w:w w:val="94"/>
              </w:rPr>
              <w:t>by and between Renew Development HoldCo LLC and Cedar Creek</w:t>
            </w:r>
          </w:p>
        </w:tc>
      </w:tr>
      <w:tr>
        <w:trPr>
          <w:trHeight w:val="234"/>
        </w:trPr>
        <w:tc>
          <w:tcPr>
            <w:tcW w:w="740" w:type="dxa"/>
            <w:vAlign w:val="bottom"/>
          </w:tcPr>
          <w:p>
            <w:pPr>
              <w:spacing w:after="0"/>
              <w:rPr>
                <w:sz w:val="20"/>
                <w:szCs w:val="20"/>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rPr>
              <w:t>Wind Holdco LLC.</w:t>
            </w:r>
          </w:p>
        </w:tc>
      </w:tr>
      <w:tr>
        <w:trPr>
          <w:trHeight w:val="228"/>
        </w:trPr>
        <w:tc>
          <w:tcPr>
            <w:tcW w:w="740" w:type="dxa"/>
            <w:vAlign w:val="bottom"/>
          </w:tcPr>
          <w:p>
            <w:pPr>
              <w:spacing w:after="0"/>
              <w:rPr>
                <w:sz w:val="20"/>
                <w:szCs w:val="20"/>
                <w:color w:val="auto"/>
              </w:rPr>
            </w:pPr>
            <w:r>
              <w:rPr>
                <w:rFonts w:ascii="Arial" w:cs="Arial" w:eastAsia="Arial" w:hAnsi="Arial"/>
                <w:sz w:val="18"/>
                <w:szCs w:val="18"/>
                <w:color w:val="auto"/>
              </w:rPr>
              <w:t>10.33†</w:t>
            </w:r>
          </w:p>
        </w:tc>
        <w:tc>
          <w:tcPr>
            <w:tcW w:w="5340" w:type="dxa"/>
            <w:vAlign w:val="bottom"/>
          </w:tcPr>
          <w:p>
            <w:pPr>
              <w:ind w:left="180"/>
              <w:spacing w:after="0"/>
              <w:rPr>
                <w:sz w:val="20"/>
                <w:szCs w:val="20"/>
                <w:color w:val="auto"/>
              </w:rPr>
            </w:pPr>
            <w:r>
              <w:rPr>
                <w:rFonts w:ascii="Arial" w:cs="Arial" w:eastAsia="Arial" w:hAnsi="Arial"/>
                <w:sz w:val="18"/>
                <w:szCs w:val="18"/>
                <w:color w:val="auto"/>
                <w:w w:val="93"/>
              </w:rPr>
              <w:t>Clearway Energy, Inc. Amended and Restated 2013 Equity Incentive</w:t>
            </w:r>
          </w:p>
        </w:tc>
      </w:tr>
      <w:tr>
        <w:trPr>
          <w:trHeight w:val="234"/>
        </w:trPr>
        <w:tc>
          <w:tcPr>
            <w:tcW w:w="740" w:type="dxa"/>
            <w:vAlign w:val="bottom"/>
          </w:tcPr>
          <w:p>
            <w:pPr>
              <w:spacing w:after="0"/>
              <w:rPr>
                <w:sz w:val="20"/>
                <w:szCs w:val="20"/>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rPr>
              <w:t>Plan, as amended and restated effective January 1, 2024.</w:t>
            </w:r>
          </w:p>
        </w:tc>
      </w:tr>
      <w:tr>
        <w:trPr>
          <w:trHeight w:val="228"/>
        </w:trPr>
        <w:tc>
          <w:tcPr>
            <w:tcW w:w="740" w:type="dxa"/>
            <w:vAlign w:val="bottom"/>
          </w:tcPr>
          <w:p>
            <w:pPr>
              <w:spacing w:after="0"/>
              <w:rPr>
                <w:sz w:val="20"/>
                <w:szCs w:val="20"/>
                <w:color w:val="auto"/>
              </w:rPr>
            </w:pPr>
            <w:r>
              <w:rPr>
                <w:rFonts w:ascii="Arial" w:cs="Arial" w:eastAsia="Arial" w:hAnsi="Arial"/>
                <w:sz w:val="18"/>
                <w:szCs w:val="18"/>
                <w:color w:val="auto"/>
              </w:rPr>
              <w:t>10.34†</w:t>
            </w:r>
          </w:p>
        </w:tc>
        <w:tc>
          <w:tcPr>
            <w:tcW w:w="5340" w:type="dxa"/>
            <w:vAlign w:val="bottom"/>
          </w:tcPr>
          <w:p>
            <w:pPr>
              <w:ind w:left="180"/>
              <w:spacing w:after="0"/>
              <w:rPr>
                <w:sz w:val="20"/>
                <w:szCs w:val="20"/>
                <w:color w:val="auto"/>
              </w:rPr>
            </w:pPr>
            <w:r>
              <w:rPr>
                <w:rFonts w:ascii="Arial" w:cs="Arial" w:eastAsia="Arial" w:hAnsi="Arial"/>
                <w:sz w:val="18"/>
                <w:szCs w:val="18"/>
                <w:color w:val="auto"/>
                <w:w w:val="90"/>
              </w:rPr>
              <w:t>Clearway Energy, Inc. Annual Incentive Plan, as amended and restated</w:t>
            </w:r>
          </w:p>
        </w:tc>
      </w:tr>
      <w:tr>
        <w:trPr>
          <w:trHeight w:val="234"/>
        </w:trPr>
        <w:tc>
          <w:tcPr>
            <w:tcW w:w="740" w:type="dxa"/>
            <w:vAlign w:val="bottom"/>
          </w:tcPr>
          <w:p>
            <w:pPr>
              <w:spacing w:after="0"/>
              <w:rPr>
                <w:sz w:val="20"/>
                <w:szCs w:val="20"/>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rPr>
              <w:t>effective January 1, 2024.</w:t>
            </w:r>
          </w:p>
        </w:tc>
      </w:tr>
      <w:tr>
        <w:trPr>
          <w:trHeight w:val="282"/>
        </w:trPr>
        <w:tc>
          <w:tcPr>
            <w:tcW w:w="740" w:type="dxa"/>
            <w:vAlign w:val="bottom"/>
          </w:tcPr>
          <w:p>
            <w:pPr>
              <w:spacing w:after="0"/>
              <w:rPr>
                <w:sz w:val="20"/>
                <w:szCs w:val="20"/>
                <w:color w:val="auto"/>
              </w:rPr>
            </w:pPr>
            <w:r>
              <w:rPr>
                <w:rFonts w:ascii="Arial" w:cs="Arial" w:eastAsia="Arial" w:hAnsi="Arial"/>
                <w:sz w:val="18"/>
                <w:szCs w:val="18"/>
                <w:color w:val="auto"/>
              </w:rPr>
              <w:t>21.1</w:t>
            </w:r>
          </w:p>
        </w:tc>
        <w:tc>
          <w:tcPr>
            <w:tcW w:w="5340" w:type="dxa"/>
            <w:vAlign w:val="bottom"/>
          </w:tcPr>
          <w:p>
            <w:pPr>
              <w:ind w:left="180"/>
              <w:spacing w:after="0"/>
              <w:rPr>
                <w:sz w:val="20"/>
                <w:szCs w:val="20"/>
                <w:color w:val="auto"/>
              </w:rPr>
            </w:pPr>
            <w:r>
              <w:rPr>
                <w:rFonts w:ascii="Arial" w:cs="Arial" w:eastAsia="Arial" w:hAnsi="Arial"/>
                <w:sz w:val="18"/>
                <w:szCs w:val="18"/>
                <w:color w:val="auto"/>
              </w:rPr>
              <w:t>Subsidiaries of Clearway Energy, Inc.</w:t>
            </w:r>
          </w:p>
        </w:tc>
      </w:tr>
      <w:tr>
        <w:trPr>
          <w:trHeight w:val="284"/>
        </w:trPr>
        <w:tc>
          <w:tcPr>
            <w:tcW w:w="740" w:type="dxa"/>
            <w:vAlign w:val="bottom"/>
          </w:tcPr>
          <w:p>
            <w:pPr>
              <w:spacing w:after="0"/>
              <w:rPr>
                <w:sz w:val="20"/>
                <w:szCs w:val="20"/>
                <w:color w:val="auto"/>
              </w:rPr>
            </w:pPr>
            <w:r>
              <w:rPr>
                <w:rFonts w:ascii="Arial" w:cs="Arial" w:eastAsia="Arial" w:hAnsi="Arial"/>
                <w:sz w:val="18"/>
                <w:szCs w:val="18"/>
                <w:color w:val="auto"/>
              </w:rPr>
              <w:t>23.1</w:t>
            </w:r>
          </w:p>
        </w:tc>
        <w:tc>
          <w:tcPr>
            <w:tcW w:w="5340" w:type="dxa"/>
            <w:vAlign w:val="bottom"/>
          </w:tcPr>
          <w:p>
            <w:pPr>
              <w:ind w:left="180"/>
              <w:spacing w:after="0"/>
              <w:rPr>
                <w:sz w:val="20"/>
                <w:szCs w:val="20"/>
                <w:color w:val="auto"/>
              </w:rPr>
            </w:pPr>
            <w:r>
              <w:rPr>
                <w:rFonts w:ascii="Arial" w:cs="Arial" w:eastAsia="Arial" w:hAnsi="Arial"/>
                <w:sz w:val="18"/>
                <w:szCs w:val="18"/>
                <w:color w:val="auto"/>
              </w:rPr>
              <w:t>Consent of Ernst &amp; Young LLP.</w:t>
            </w:r>
          </w:p>
        </w:tc>
      </w:tr>
      <w:tr>
        <w:trPr>
          <w:trHeight w:val="284"/>
        </w:trPr>
        <w:tc>
          <w:tcPr>
            <w:tcW w:w="740" w:type="dxa"/>
            <w:vAlign w:val="bottom"/>
          </w:tcPr>
          <w:p>
            <w:pPr>
              <w:spacing w:after="0"/>
              <w:rPr>
                <w:sz w:val="20"/>
                <w:szCs w:val="20"/>
                <w:color w:val="auto"/>
              </w:rPr>
            </w:pPr>
            <w:r>
              <w:rPr>
                <w:rFonts w:ascii="Arial" w:cs="Arial" w:eastAsia="Arial" w:hAnsi="Arial"/>
                <w:sz w:val="18"/>
                <w:szCs w:val="18"/>
                <w:color w:val="auto"/>
              </w:rPr>
              <w:t>24.1</w:t>
            </w:r>
          </w:p>
        </w:tc>
        <w:tc>
          <w:tcPr>
            <w:tcW w:w="5340" w:type="dxa"/>
            <w:vAlign w:val="bottom"/>
          </w:tcPr>
          <w:p>
            <w:pPr>
              <w:ind w:left="180"/>
              <w:spacing w:after="0"/>
              <w:rPr>
                <w:sz w:val="20"/>
                <w:szCs w:val="20"/>
                <w:color w:val="auto"/>
              </w:rPr>
            </w:pPr>
            <w:r>
              <w:rPr>
                <w:rFonts w:ascii="Arial" w:cs="Arial" w:eastAsia="Arial" w:hAnsi="Arial"/>
                <w:sz w:val="18"/>
                <w:szCs w:val="18"/>
                <w:color w:val="auto"/>
              </w:rPr>
              <w:t>Power of Attorney</w:t>
            </w:r>
          </w:p>
        </w:tc>
      </w:tr>
      <w:tr>
        <w:trPr>
          <w:trHeight w:val="463"/>
        </w:trPr>
        <w:tc>
          <w:tcPr>
            <w:tcW w:w="740" w:type="dxa"/>
            <w:vAlign w:val="bottom"/>
          </w:tcPr>
          <w:p>
            <w:pPr>
              <w:spacing w:after="0"/>
              <w:rPr>
                <w:sz w:val="20"/>
                <w:szCs w:val="20"/>
                <w:color w:val="auto"/>
              </w:rPr>
            </w:pPr>
            <w:r>
              <w:rPr>
                <w:rFonts w:ascii="Arial" w:cs="Arial" w:eastAsia="Arial" w:hAnsi="Arial"/>
                <w:sz w:val="18"/>
                <w:szCs w:val="18"/>
                <w:color w:val="auto"/>
              </w:rPr>
              <w:t>31.1</w:t>
            </w:r>
          </w:p>
        </w:tc>
        <w:tc>
          <w:tcPr>
            <w:tcW w:w="5340" w:type="dxa"/>
            <w:vAlign w:val="bottom"/>
          </w:tcPr>
          <w:p>
            <w:pPr>
              <w:ind w:left="180"/>
              <w:spacing w:after="0"/>
              <w:rPr>
                <w:sz w:val="20"/>
                <w:szCs w:val="20"/>
                <w:color w:val="auto"/>
              </w:rPr>
            </w:pPr>
            <w:r>
              <w:rPr>
                <w:rFonts w:ascii="Arial" w:cs="Arial" w:eastAsia="Arial" w:hAnsi="Arial"/>
                <w:sz w:val="18"/>
                <w:szCs w:val="18"/>
                <w:color w:val="auto"/>
              </w:rPr>
              <w:t>Rule 13a-14(a)/15d-14(a) certification of Christopher S. Sotos.</w:t>
            </w:r>
          </w:p>
        </w:tc>
      </w:tr>
      <w:tr>
        <w:trPr>
          <w:trHeight w:val="284"/>
        </w:trPr>
        <w:tc>
          <w:tcPr>
            <w:tcW w:w="740" w:type="dxa"/>
            <w:vAlign w:val="bottom"/>
          </w:tcPr>
          <w:p>
            <w:pPr>
              <w:spacing w:after="0"/>
              <w:rPr>
                <w:sz w:val="20"/>
                <w:szCs w:val="20"/>
                <w:color w:val="auto"/>
              </w:rPr>
            </w:pPr>
            <w:r>
              <w:rPr>
                <w:rFonts w:ascii="Arial" w:cs="Arial" w:eastAsia="Arial" w:hAnsi="Arial"/>
                <w:sz w:val="18"/>
                <w:szCs w:val="18"/>
                <w:color w:val="auto"/>
              </w:rPr>
              <w:t>31.2</w:t>
            </w:r>
          </w:p>
        </w:tc>
        <w:tc>
          <w:tcPr>
            <w:tcW w:w="5340" w:type="dxa"/>
            <w:vAlign w:val="bottom"/>
          </w:tcPr>
          <w:p>
            <w:pPr>
              <w:ind w:left="180"/>
              <w:spacing w:after="0"/>
              <w:rPr>
                <w:sz w:val="20"/>
                <w:szCs w:val="20"/>
                <w:color w:val="auto"/>
              </w:rPr>
            </w:pPr>
            <w:r>
              <w:rPr>
                <w:rFonts w:ascii="Arial" w:cs="Arial" w:eastAsia="Arial" w:hAnsi="Arial"/>
                <w:sz w:val="18"/>
                <w:szCs w:val="18"/>
                <w:color w:val="auto"/>
              </w:rPr>
              <w:t>Rule 13a-14(a)/15d-14(a) certification of Sarah Rubenstein.</w:t>
            </w:r>
          </w:p>
        </w:tc>
      </w:tr>
      <w:tr>
        <w:trPr>
          <w:trHeight w:val="284"/>
        </w:trPr>
        <w:tc>
          <w:tcPr>
            <w:tcW w:w="740" w:type="dxa"/>
            <w:vAlign w:val="bottom"/>
          </w:tcPr>
          <w:p>
            <w:pPr>
              <w:spacing w:after="0"/>
              <w:rPr>
                <w:sz w:val="20"/>
                <w:szCs w:val="20"/>
                <w:color w:val="auto"/>
              </w:rPr>
            </w:pPr>
            <w:r>
              <w:rPr>
                <w:rFonts w:ascii="Arial" w:cs="Arial" w:eastAsia="Arial" w:hAnsi="Arial"/>
                <w:sz w:val="18"/>
                <w:szCs w:val="18"/>
                <w:color w:val="auto"/>
              </w:rPr>
              <w:t>32</w:t>
            </w:r>
          </w:p>
        </w:tc>
        <w:tc>
          <w:tcPr>
            <w:tcW w:w="5340" w:type="dxa"/>
            <w:vAlign w:val="bottom"/>
          </w:tcPr>
          <w:p>
            <w:pPr>
              <w:ind w:left="180"/>
              <w:spacing w:after="0"/>
              <w:rPr>
                <w:sz w:val="20"/>
                <w:szCs w:val="20"/>
                <w:color w:val="auto"/>
              </w:rPr>
            </w:pPr>
            <w:r>
              <w:rPr>
                <w:rFonts w:ascii="Arial" w:cs="Arial" w:eastAsia="Arial" w:hAnsi="Arial"/>
                <w:sz w:val="18"/>
                <w:szCs w:val="18"/>
                <w:color w:val="auto"/>
              </w:rPr>
              <w:t>Section 1350 Certification.</w:t>
            </w:r>
          </w:p>
        </w:tc>
      </w:tr>
    </w:tbl>
    <w:p>
      <w:pPr>
        <w:spacing w:after="0" w:line="49" w:lineRule="exact"/>
        <w:rPr>
          <w:sz w:val="20"/>
          <w:szCs w:val="20"/>
          <w:color w:val="auto"/>
        </w:rPr>
      </w:pPr>
    </w:p>
    <w:p>
      <w:pPr>
        <w:ind w:left="920" w:hanging="917"/>
        <w:spacing w:after="0" w:line="239" w:lineRule="auto"/>
        <w:tabs>
          <w:tab w:leader="none" w:pos="9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Clearway Energy, Inc. Policy on Recoupment of Incentive Compensation.</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r>
              <w:rPr>
                <w:rFonts w:ascii="Arial" w:cs="Arial" w:eastAsia="Arial" w:hAnsi="Arial"/>
                <w:sz w:val="18"/>
                <w:szCs w:val="18"/>
                <w:color w:val="auto"/>
                <w:w w:val="93"/>
              </w:rPr>
              <w:t>101</w:t>
            </w:r>
          </w:p>
        </w:tc>
        <w:tc>
          <w:tcPr>
            <w:tcW w:w="500" w:type="dxa"/>
            <w:vAlign w:val="bottom"/>
          </w:tcPr>
          <w:p>
            <w:pPr>
              <w:ind w:left="20"/>
              <w:spacing w:after="0"/>
              <w:rPr>
                <w:sz w:val="20"/>
                <w:szCs w:val="20"/>
                <w:color w:val="auto"/>
              </w:rPr>
            </w:pPr>
            <w:r>
              <w:rPr>
                <w:rFonts w:ascii="Arial" w:cs="Arial" w:eastAsia="Arial" w:hAnsi="Arial"/>
                <w:sz w:val="18"/>
                <w:szCs w:val="18"/>
                <w:color w:val="auto"/>
              </w:rPr>
              <w:t>INS</w:t>
            </w:r>
          </w:p>
        </w:tc>
        <w:tc>
          <w:tcPr>
            <w:tcW w:w="4260" w:type="dxa"/>
            <w:vAlign w:val="bottom"/>
          </w:tcPr>
          <w:p>
            <w:pPr>
              <w:ind w:left="120"/>
              <w:spacing w:after="0"/>
              <w:rPr>
                <w:sz w:val="20"/>
                <w:szCs w:val="20"/>
                <w:color w:val="auto"/>
              </w:rPr>
            </w:pPr>
            <w:r>
              <w:rPr>
                <w:rFonts w:ascii="Arial" w:cs="Arial" w:eastAsia="Arial" w:hAnsi="Arial"/>
                <w:sz w:val="18"/>
                <w:szCs w:val="18"/>
                <w:color w:val="auto"/>
              </w:rPr>
              <w:t>Inline XBRL Instance Document.</w:t>
            </w:r>
          </w:p>
        </w:tc>
      </w:tr>
      <w:tr>
        <w:trPr>
          <w:trHeight w:val="284"/>
        </w:trPr>
        <w:tc>
          <w:tcPr>
            <w:tcW w:w="800" w:type="dxa"/>
            <w:vAlign w:val="bottom"/>
            <w:gridSpan w:val="2"/>
          </w:tcPr>
          <w:p>
            <w:pPr>
              <w:spacing w:after="0"/>
              <w:rPr>
                <w:sz w:val="20"/>
                <w:szCs w:val="20"/>
                <w:color w:val="auto"/>
              </w:rPr>
            </w:pPr>
            <w:r>
              <w:rPr>
                <w:rFonts w:ascii="Arial" w:cs="Arial" w:eastAsia="Arial" w:hAnsi="Arial"/>
                <w:sz w:val="18"/>
                <w:szCs w:val="18"/>
                <w:color w:val="auto"/>
              </w:rPr>
              <w:t>101 SCH</w:t>
            </w:r>
          </w:p>
        </w:tc>
        <w:tc>
          <w:tcPr>
            <w:tcW w:w="4260" w:type="dxa"/>
            <w:vAlign w:val="bottom"/>
          </w:tcPr>
          <w:p>
            <w:pPr>
              <w:ind w:left="120"/>
              <w:spacing w:after="0"/>
              <w:rPr>
                <w:sz w:val="20"/>
                <w:szCs w:val="20"/>
                <w:color w:val="auto"/>
              </w:rPr>
            </w:pPr>
            <w:r>
              <w:rPr>
                <w:rFonts w:ascii="Arial" w:cs="Arial" w:eastAsia="Arial" w:hAnsi="Arial"/>
                <w:sz w:val="18"/>
                <w:szCs w:val="18"/>
                <w:color w:val="auto"/>
              </w:rPr>
              <w:t>Inline XBRL Taxonomy Extension Schema.</w:t>
            </w:r>
          </w:p>
        </w:tc>
      </w:tr>
      <w:tr>
        <w:trPr>
          <w:trHeight w:val="284"/>
        </w:trPr>
        <w:tc>
          <w:tcPr>
            <w:tcW w:w="300" w:type="dxa"/>
            <w:vAlign w:val="bottom"/>
          </w:tcPr>
          <w:p>
            <w:pPr>
              <w:spacing w:after="0"/>
              <w:rPr>
                <w:sz w:val="20"/>
                <w:szCs w:val="20"/>
                <w:color w:val="auto"/>
              </w:rPr>
            </w:pPr>
            <w:r>
              <w:rPr>
                <w:rFonts w:ascii="Arial" w:cs="Arial" w:eastAsia="Arial" w:hAnsi="Arial"/>
                <w:sz w:val="18"/>
                <w:szCs w:val="18"/>
                <w:color w:val="auto"/>
                <w:w w:val="93"/>
              </w:rPr>
              <w:t>101</w:t>
            </w:r>
          </w:p>
        </w:tc>
        <w:tc>
          <w:tcPr>
            <w:tcW w:w="500" w:type="dxa"/>
            <w:vAlign w:val="bottom"/>
          </w:tcPr>
          <w:p>
            <w:pPr>
              <w:ind w:left="20"/>
              <w:spacing w:after="0"/>
              <w:rPr>
                <w:sz w:val="20"/>
                <w:szCs w:val="20"/>
                <w:color w:val="auto"/>
              </w:rPr>
            </w:pPr>
            <w:r>
              <w:rPr>
                <w:rFonts w:ascii="Arial" w:cs="Arial" w:eastAsia="Arial" w:hAnsi="Arial"/>
                <w:sz w:val="18"/>
                <w:szCs w:val="18"/>
                <w:color w:val="auto"/>
              </w:rPr>
              <w:t>CAL</w:t>
            </w:r>
          </w:p>
        </w:tc>
        <w:tc>
          <w:tcPr>
            <w:tcW w:w="4260" w:type="dxa"/>
            <w:vAlign w:val="bottom"/>
          </w:tcPr>
          <w:p>
            <w:pPr>
              <w:ind w:left="120"/>
              <w:spacing w:after="0"/>
              <w:rPr>
                <w:sz w:val="20"/>
                <w:szCs w:val="20"/>
                <w:color w:val="auto"/>
              </w:rPr>
            </w:pPr>
            <w:r>
              <w:rPr>
                <w:rFonts w:ascii="Arial" w:cs="Arial" w:eastAsia="Arial" w:hAnsi="Arial"/>
                <w:sz w:val="18"/>
                <w:szCs w:val="18"/>
                <w:color w:val="auto"/>
                <w:w w:val="92"/>
              </w:rPr>
              <w:t>Inline XBRL Taxonomy Extension Calculation Linkbase.</w:t>
            </w:r>
          </w:p>
        </w:tc>
      </w:tr>
      <w:tr>
        <w:trPr>
          <w:trHeight w:val="284"/>
        </w:trPr>
        <w:tc>
          <w:tcPr>
            <w:tcW w:w="300" w:type="dxa"/>
            <w:vAlign w:val="bottom"/>
          </w:tcPr>
          <w:p>
            <w:pPr>
              <w:spacing w:after="0"/>
              <w:rPr>
                <w:sz w:val="20"/>
                <w:szCs w:val="20"/>
                <w:color w:val="auto"/>
              </w:rPr>
            </w:pPr>
            <w:r>
              <w:rPr>
                <w:rFonts w:ascii="Arial" w:cs="Arial" w:eastAsia="Arial" w:hAnsi="Arial"/>
                <w:sz w:val="18"/>
                <w:szCs w:val="18"/>
                <w:color w:val="auto"/>
                <w:w w:val="93"/>
              </w:rPr>
              <w:t>101</w:t>
            </w:r>
          </w:p>
        </w:tc>
        <w:tc>
          <w:tcPr>
            <w:tcW w:w="500" w:type="dxa"/>
            <w:vAlign w:val="bottom"/>
          </w:tcPr>
          <w:p>
            <w:pPr>
              <w:ind w:left="20"/>
              <w:spacing w:after="0"/>
              <w:rPr>
                <w:sz w:val="20"/>
                <w:szCs w:val="20"/>
                <w:color w:val="auto"/>
              </w:rPr>
            </w:pPr>
            <w:r>
              <w:rPr>
                <w:rFonts w:ascii="Arial" w:cs="Arial" w:eastAsia="Arial" w:hAnsi="Arial"/>
                <w:sz w:val="18"/>
                <w:szCs w:val="18"/>
                <w:color w:val="auto"/>
              </w:rPr>
              <w:t>DEF</w:t>
            </w:r>
          </w:p>
        </w:tc>
        <w:tc>
          <w:tcPr>
            <w:tcW w:w="4260" w:type="dxa"/>
            <w:vAlign w:val="bottom"/>
          </w:tcPr>
          <w:p>
            <w:pPr>
              <w:ind w:left="120"/>
              <w:spacing w:after="0"/>
              <w:rPr>
                <w:sz w:val="20"/>
                <w:szCs w:val="20"/>
                <w:color w:val="auto"/>
              </w:rPr>
            </w:pPr>
            <w:r>
              <w:rPr>
                <w:rFonts w:ascii="Arial" w:cs="Arial" w:eastAsia="Arial" w:hAnsi="Arial"/>
                <w:sz w:val="18"/>
                <w:szCs w:val="18"/>
                <w:color w:val="auto"/>
                <w:w w:val="95"/>
              </w:rPr>
              <w:t>Inline XBRL Taxonomy Extension Definition Linkbase.</w:t>
            </w:r>
          </w:p>
        </w:tc>
      </w:tr>
    </w:tbl>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Incorporated by reference to Exhibit 10.31 to the Company’s Annual Report on Form 10-K, filed on March 1, 2021.</w:t>
      </w:r>
    </w:p>
    <w:p>
      <w:pPr>
        <w:spacing w:after="0" w:line="30"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Incorporated by reference to Exhibit 10.1 to the Company’s Current Report on Form 8-K, filed on August 23, 2021.</w:t>
      </w:r>
    </w:p>
    <w:p>
      <w:pPr>
        <w:spacing w:after="0" w:line="4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Incorporated by reference to Exhibit 10.1 to the Company’s Current Report on Form 8-K, filed on September 23, 2021.</w:t>
      </w:r>
    </w:p>
    <w:p>
      <w:pPr>
        <w:spacing w:after="0" w:line="4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Incorporated by reference to Exhibit 10.1 to the Company’s Current Report on Form 8-K, filed on October 26, 2021.</w:t>
      </w:r>
    </w:p>
    <w:p>
      <w:pPr>
        <w:spacing w:after="0" w:line="4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Incorporated by reference to Exhibit 10.2 to the Company’s Current Report on Form 8-K, filed on December 1, 2021.</w:t>
      </w:r>
    </w:p>
    <w:p>
      <w:pPr>
        <w:spacing w:after="0" w:line="228"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Incorporated herein by reference to Exhibit 10.1 to the Company’s Current Report on Form 8-K filed on January 18, 2022.</w:t>
      </w:r>
    </w:p>
    <w:p>
      <w:pPr>
        <w:spacing w:after="0" w:line="4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Incorporated herein by reference to Exhibit 10.2 to the Company’s Current Report on Form 8-K filed on January 18, 2022.</w:t>
      </w:r>
    </w:p>
    <w:p>
      <w:pPr>
        <w:spacing w:after="0" w:line="4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Incorporated herein by reference to Exhibit 10.5 to the Company’s Quarterly Report on Form 10-Q filed on May 5, 2022.</w:t>
      </w:r>
    </w:p>
    <w:p>
      <w:pPr>
        <w:spacing w:after="0" w:line="4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Incorporated herein by reference to Exhibit 10.6 to the Company’s Quarterly Report on Form 10-Q filed on May 5, 2022.</w:t>
      </w:r>
    </w:p>
    <w:p>
      <w:pPr>
        <w:spacing w:after="0" w:line="4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Incorporated herein by reference to Exhibit 10.7 to the Company’s Quarterly Report on Form 10-Q filed on May 5, 2022.</w:t>
      </w:r>
    </w:p>
    <w:p>
      <w:pPr>
        <w:spacing w:after="0" w:line="4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Incorporated herein by reference to Exhibit 10.1 to the Company’s Current Report on Form 8-K filed on December 29, 2022.</w:t>
      </w:r>
    </w:p>
    <w:p>
      <w:pPr>
        <w:spacing w:after="0" w:line="4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Incorporated by reference to Exhibit 10.42 to the Company’s Annual Report on Form 10-K, filed on February 23, 2023.</w:t>
      </w:r>
    </w:p>
    <w:p>
      <w:pPr>
        <w:spacing w:after="0" w:line="228"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Incorporated by reference to Exhibit 10.43 to the Company’s Annual Report on Form 10-K, filed on February 23, 2023.</w:t>
      </w:r>
    </w:p>
    <w:p>
      <w:pPr>
        <w:spacing w:after="0" w:line="228"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Incorporated herein by reference to Exhibit 10.1 to the Company’s Current Report on Form 8-K filed on May 24, 2023.</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7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Included on the signature page of this Annual Report on Form 10-K.</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27" w:lineRule="exact"/>
        <w:rPr>
          <w:sz w:val="20"/>
          <w:szCs w:val="20"/>
          <w:color w:val="auto"/>
        </w:rPr>
      </w:pPr>
    </w:p>
    <w:p>
      <w:pPr>
        <w:sectPr>
          <w:pgSz w:w="11880" w:h="15480" w:orient="portrait"/>
          <w:cols w:equalWidth="0" w:num="2">
            <w:col w:w="6080" w:space="180"/>
            <w:col w:w="3820"/>
          </w:cols>
          <w:pgMar w:left="900" w:top="465" w:right="900" w:bottom="0" w:gutter="0" w:footer="0" w:header="0"/>
        </w:sect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133</w:t>
      </w:r>
    </w:p>
    <w:p>
      <w:pPr>
        <w:sectPr>
          <w:pgSz w:w="11880" w:h="15480" w:orient="portrait"/>
          <w:cols w:equalWidth="0" w:num="1">
            <w:col w:w="10080"/>
          </w:cols>
          <w:pgMar w:left="900" w:top="465" w:right="900" w:bottom="0" w:gutter="0" w:footer="0" w:header="0"/>
          <w:type w:val="continuous"/>
        </w:sectPr>
      </w:pPr>
    </w:p>
    <w:bookmarkStart w:id="135" w:name="page136"/>
    <w:bookmarkEnd w:id="135"/>
    <w:tbl>
      <w:tblPr>
        <w:tblLayout w:type="fixed"/>
        <w:tblInd w:w="12" w:type="dxa"/>
        <w:tblCellMar>
          <w:top w:w="0" w:type="dxa"/>
          <w:left w:w="0" w:type="dxa"/>
          <w:bottom w:w="0" w:type="dxa"/>
          <w:right w:w="0" w:type="dxa"/>
        </w:tblCellMar>
      </w:tblPr>
      <w:tr>
        <w:trPr>
          <w:trHeight w:val="234"/>
        </w:trPr>
        <w:tc>
          <w:tcPr>
            <w:tcW w:w="300" w:type="dxa"/>
            <w:vAlign w:val="bottom"/>
          </w:tcPr>
          <w:p>
            <w:pPr>
              <w:jc w:val="right"/>
              <w:spacing w:after="0"/>
              <w:rPr>
                <w:sz w:val="20"/>
                <w:szCs w:val="20"/>
                <w:color w:val="auto"/>
              </w:rPr>
            </w:pPr>
            <w:r>
              <w:rPr>
                <w:rFonts w:ascii="Arial" w:cs="Arial" w:eastAsia="Arial" w:hAnsi="Arial"/>
                <w:sz w:val="18"/>
                <w:szCs w:val="18"/>
                <w:color w:val="auto"/>
                <w:w w:val="86"/>
              </w:rPr>
              <w:t>101</w:t>
            </w:r>
          </w:p>
        </w:tc>
        <w:tc>
          <w:tcPr>
            <w:tcW w:w="500" w:type="dxa"/>
            <w:vAlign w:val="bottom"/>
          </w:tcPr>
          <w:p>
            <w:pPr>
              <w:ind w:left="20"/>
              <w:spacing w:after="0"/>
              <w:rPr>
                <w:sz w:val="20"/>
                <w:szCs w:val="20"/>
                <w:color w:val="auto"/>
              </w:rPr>
            </w:pPr>
            <w:r>
              <w:rPr>
                <w:rFonts w:ascii="Arial" w:cs="Arial" w:eastAsia="Arial" w:hAnsi="Arial"/>
                <w:sz w:val="18"/>
                <w:szCs w:val="18"/>
                <w:color w:val="auto"/>
              </w:rPr>
              <w:t>LAB</w:t>
            </w:r>
          </w:p>
        </w:tc>
        <w:tc>
          <w:tcPr>
            <w:tcW w:w="4880" w:type="dxa"/>
            <w:vAlign w:val="bottom"/>
          </w:tcPr>
          <w:p>
            <w:pPr>
              <w:ind w:left="120"/>
              <w:spacing w:after="0"/>
              <w:rPr>
                <w:sz w:val="20"/>
                <w:szCs w:val="20"/>
                <w:color w:val="auto"/>
              </w:rPr>
            </w:pPr>
            <w:r>
              <w:rPr>
                <w:rFonts w:ascii="Arial" w:cs="Arial" w:eastAsia="Arial" w:hAnsi="Arial"/>
                <w:sz w:val="18"/>
                <w:szCs w:val="18"/>
                <w:color w:val="auto"/>
              </w:rPr>
              <w:t>Inline XBRL Taxonomy Extension Label Linkbase.</w:t>
            </w:r>
          </w:p>
        </w:tc>
        <w:tc>
          <w:tcPr>
            <w:tcW w:w="1660" w:type="dxa"/>
            <w:vAlign w:val="bottom"/>
          </w:tcPr>
          <w:p>
            <w:pPr>
              <w:ind w:left="580"/>
              <w:spacing w:after="0"/>
              <w:rPr>
                <w:sz w:val="20"/>
                <w:szCs w:val="20"/>
                <w:color w:val="auto"/>
              </w:rPr>
            </w:pPr>
            <w:r>
              <w:rPr>
                <w:rFonts w:ascii="Arial" w:cs="Arial" w:eastAsia="Arial" w:hAnsi="Arial"/>
                <w:sz w:val="18"/>
                <w:szCs w:val="18"/>
                <w:color w:val="auto"/>
                <w:w w:val="90"/>
              </w:rPr>
              <w:t>Filed herewith.</w:t>
            </w:r>
          </w:p>
        </w:tc>
      </w:tr>
      <w:tr>
        <w:trPr>
          <w:trHeight w:val="284"/>
        </w:trPr>
        <w:tc>
          <w:tcPr>
            <w:tcW w:w="300" w:type="dxa"/>
            <w:vAlign w:val="bottom"/>
          </w:tcPr>
          <w:p>
            <w:pPr>
              <w:jc w:val="right"/>
              <w:spacing w:after="0"/>
              <w:rPr>
                <w:sz w:val="20"/>
                <w:szCs w:val="20"/>
                <w:color w:val="auto"/>
              </w:rPr>
            </w:pPr>
            <w:r>
              <w:rPr>
                <w:rFonts w:ascii="Arial" w:cs="Arial" w:eastAsia="Arial" w:hAnsi="Arial"/>
                <w:sz w:val="18"/>
                <w:szCs w:val="18"/>
                <w:color w:val="auto"/>
                <w:w w:val="86"/>
              </w:rPr>
              <w:t>101</w:t>
            </w:r>
          </w:p>
        </w:tc>
        <w:tc>
          <w:tcPr>
            <w:tcW w:w="500" w:type="dxa"/>
            <w:vAlign w:val="bottom"/>
          </w:tcPr>
          <w:p>
            <w:pPr>
              <w:ind w:left="20"/>
              <w:spacing w:after="0"/>
              <w:rPr>
                <w:sz w:val="20"/>
                <w:szCs w:val="20"/>
                <w:color w:val="auto"/>
              </w:rPr>
            </w:pPr>
            <w:r>
              <w:rPr>
                <w:rFonts w:ascii="Arial" w:cs="Arial" w:eastAsia="Arial" w:hAnsi="Arial"/>
                <w:sz w:val="18"/>
                <w:szCs w:val="18"/>
                <w:color w:val="auto"/>
              </w:rPr>
              <w:t>PRE</w:t>
            </w:r>
          </w:p>
        </w:tc>
        <w:tc>
          <w:tcPr>
            <w:tcW w:w="4880" w:type="dxa"/>
            <w:vAlign w:val="bottom"/>
          </w:tcPr>
          <w:p>
            <w:pPr>
              <w:ind w:left="120"/>
              <w:spacing w:after="0"/>
              <w:rPr>
                <w:sz w:val="20"/>
                <w:szCs w:val="20"/>
                <w:color w:val="auto"/>
              </w:rPr>
            </w:pPr>
            <w:r>
              <w:rPr>
                <w:rFonts w:ascii="Arial" w:cs="Arial" w:eastAsia="Arial" w:hAnsi="Arial"/>
                <w:sz w:val="18"/>
                <w:szCs w:val="18"/>
                <w:color w:val="auto"/>
              </w:rPr>
              <w:t>Inline XBRL Taxonomy Extension Presentation Linkbase.</w:t>
            </w:r>
          </w:p>
        </w:tc>
        <w:tc>
          <w:tcPr>
            <w:tcW w:w="1660" w:type="dxa"/>
            <w:vAlign w:val="bottom"/>
          </w:tcPr>
          <w:p>
            <w:pPr>
              <w:ind w:left="580"/>
              <w:spacing w:after="0"/>
              <w:rPr>
                <w:sz w:val="20"/>
                <w:szCs w:val="20"/>
                <w:color w:val="auto"/>
              </w:rPr>
            </w:pPr>
            <w:r>
              <w:rPr>
                <w:rFonts w:ascii="Arial" w:cs="Arial" w:eastAsia="Arial" w:hAnsi="Arial"/>
                <w:sz w:val="18"/>
                <w:szCs w:val="18"/>
                <w:color w:val="auto"/>
                <w:w w:val="90"/>
              </w:rPr>
              <w:t>Filed herewith.</w:t>
            </w:r>
          </w:p>
        </w:tc>
      </w:tr>
    </w:tbl>
    <w:p>
      <w:pPr>
        <w:spacing w:after="0" w:line="49" w:lineRule="exact"/>
        <w:rPr>
          <w:sz w:val="20"/>
          <w:szCs w:val="20"/>
          <w:color w:val="auto"/>
        </w:rPr>
      </w:pPr>
    </w:p>
    <w:p>
      <w:pPr>
        <w:jc w:val="both"/>
        <w:ind w:left="932" w:right="4000" w:hanging="917"/>
        <w:spacing w:after="0" w:line="229" w:lineRule="auto"/>
        <w:tabs>
          <w:tab w:leader="none" w:pos="932" w:val="left"/>
        </w:tabs>
        <w:numPr>
          <w:ilvl w:val="1"/>
          <w:numId w:val="88"/>
        </w:numPr>
        <w:rPr>
          <w:rFonts w:ascii="Arial" w:cs="Arial" w:eastAsia="Arial" w:hAnsi="Arial"/>
          <w:sz w:val="18"/>
          <w:szCs w:val="18"/>
          <w:color w:val="auto"/>
        </w:rPr>
      </w:pPr>
      <w:r>
        <w:rPr>
          <w:rFonts w:ascii="Arial" w:cs="Arial" w:eastAsia="Arial" w:hAnsi="Arial"/>
          <w:sz w:val="18"/>
          <w:szCs w:val="18"/>
          <w:color w:val="auto"/>
        </w:rPr>
        <w:t>Cover Page Interactive Data File (the cover page interactive data file does not appear in Exhibit 104 because its Inline XBRL tags are embedded within the Inline XBRL document)</w:t>
      </w:r>
    </w:p>
    <w:p>
      <w:pPr>
        <w:spacing w:after="0" w:line="208" w:lineRule="exact"/>
        <w:rPr>
          <w:rFonts w:ascii="Arial" w:cs="Arial" w:eastAsia="Arial" w:hAnsi="Arial"/>
          <w:sz w:val="18"/>
          <w:szCs w:val="18"/>
          <w:color w:val="auto"/>
        </w:rPr>
      </w:pPr>
    </w:p>
    <w:p>
      <w:pPr>
        <w:ind w:left="592" w:hanging="592"/>
        <w:spacing w:after="0"/>
        <w:tabs>
          <w:tab w:leader="none" w:pos="592"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Indicates exhibits that constitute compensatory plans or arrangements.</w:t>
      </w:r>
    </w:p>
    <w:p>
      <w:pPr>
        <w:spacing w:after="0" w:line="77" w:lineRule="exact"/>
        <w:rPr>
          <w:sz w:val="20"/>
          <w:szCs w:val="20"/>
          <w:color w:val="auto"/>
        </w:rPr>
      </w:pPr>
    </w:p>
    <w:p>
      <w:pPr>
        <w:ind w:left="592" w:hanging="592"/>
        <w:spacing w:after="0" w:line="239" w:lineRule="auto"/>
        <w:tabs>
          <w:tab w:leader="none" w:pos="592"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This filing excludes schedules pursuant to Item 601(a)(5) of Regulation S-K, which the registrant agrees to furnish supplementary to the Securities and Exchange Commission upon request by the Commission.</w:t>
      </w:r>
    </w:p>
    <w:p>
      <w:pPr>
        <w:spacing w:after="0" w:line="185" w:lineRule="exact"/>
        <w:rPr>
          <w:sz w:val="20"/>
          <w:szCs w:val="20"/>
          <w:color w:val="auto"/>
        </w:rPr>
      </w:pPr>
    </w:p>
    <w:p>
      <w:pPr>
        <w:ind w:left="592" w:right="160" w:hanging="592"/>
        <w:spacing w:after="0" w:line="267" w:lineRule="auto"/>
        <w:tabs>
          <w:tab w:leader="none" w:pos="592" w:val="left"/>
        </w:tabs>
        <w:numPr>
          <w:ilvl w:val="0"/>
          <w:numId w:val="90"/>
        </w:numPr>
        <w:rPr>
          <w:rFonts w:ascii="Arial" w:cs="Arial" w:eastAsia="Arial" w:hAnsi="Arial"/>
          <w:sz w:val="17"/>
          <w:szCs w:val="17"/>
          <w:color w:val="auto"/>
        </w:rPr>
      </w:pPr>
      <w:r>
        <w:rPr>
          <w:rFonts w:ascii="Arial" w:cs="Arial" w:eastAsia="Arial" w:hAnsi="Arial"/>
          <w:sz w:val="17"/>
          <w:szCs w:val="17"/>
          <w:color w:val="auto"/>
        </w:rPr>
        <w:t>Information in this exhibit identified by the mark “[***]” is confidential and has been excluded pursuant to Item 601(b)(10)(iv) of Regulation S-K because it (i) is not material and (ii) would likely cause competitive harm to the Registrant if disclosed.</w:t>
      </w:r>
    </w:p>
    <w:p>
      <w:pPr>
        <w:sectPr>
          <w:pgSz w:w="11880" w:h="15480" w:orient="portrait"/>
          <w:cols w:equalWidth="0" w:num="1">
            <w:col w:w="10092"/>
          </w:cols>
          <w:pgMar w:left="888" w:top="492"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1"/>
        <w:spacing w:after="0"/>
        <w:rPr>
          <w:sz w:val="20"/>
          <w:szCs w:val="20"/>
          <w:color w:val="auto"/>
        </w:rPr>
      </w:pPr>
      <w:r>
        <w:rPr>
          <w:rFonts w:ascii="Arial" w:cs="Arial" w:eastAsia="Arial" w:hAnsi="Arial"/>
          <w:sz w:val="15"/>
          <w:szCs w:val="15"/>
          <w:color w:val="auto"/>
        </w:rPr>
        <w:t>134</w:t>
      </w:r>
    </w:p>
    <w:p>
      <w:pPr>
        <w:sectPr>
          <w:pgSz w:w="11880" w:h="15480" w:orient="portrait"/>
          <w:cols w:equalWidth="0" w:num="1">
            <w:col w:w="10092"/>
          </w:cols>
          <w:pgMar w:left="888" w:top="492" w:right="900" w:bottom="0" w:gutter="0" w:footer="0" w:header="0"/>
          <w:type w:val="continuous"/>
        </w:sectPr>
      </w:pPr>
    </w:p>
    <w:bookmarkStart w:id="136" w:name="page137"/>
    <w:bookmarkEnd w:id="136"/>
    <w:p>
      <w:pPr>
        <w:spacing w:after="0"/>
        <w:rPr>
          <w:sz w:val="20"/>
          <w:szCs w:val="20"/>
          <w:color w:val="auto"/>
        </w:rPr>
      </w:pPr>
      <w:r>
        <w:rPr>
          <w:rFonts w:ascii="Arial" w:cs="Arial" w:eastAsia="Arial" w:hAnsi="Arial"/>
          <w:sz w:val="18"/>
          <w:szCs w:val="18"/>
          <w:b w:val="1"/>
          <w:bCs w:val="1"/>
          <w:color w:val="auto"/>
        </w:rPr>
        <w:t>Item 16 — Form 10-K Summary</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ectPr>
          <w:pgSz w:w="11880" w:h="15480" w:orient="portrait"/>
          <w:cols w:equalWidth="0" w:num="1">
            <w:col w:w="9600"/>
          </w:cols>
          <w:pgMar w:left="840" w:top="4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960"/>
        <w:spacing w:after="0"/>
        <w:rPr>
          <w:sz w:val="20"/>
          <w:szCs w:val="20"/>
          <w:color w:val="auto"/>
        </w:rPr>
      </w:pPr>
      <w:r>
        <w:rPr>
          <w:rFonts w:ascii="Arial" w:cs="Arial" w:eastAsia="Arial" w:hAnsi="Arial"/>
          <w:sz w:val="15"/>
          <w:szCs w:val="15"/>
          <w:color w:val="auto"/>
        </w:rPr>
        <w:t>135</w:t>
      </w:r>
    </w:p>
    <w:p>
      <w:pPr>
        <w:sectPr>
          <w:pgSz w:w="11880" w:h="15480" w:orient="portrait"/>
          <w:cols w:equalWidth="0" w:num="1">
            <w:col w:w="9600"/>
          </w:cols>
          <w:pgMar w:left="840" w:top="404" w:right="1440" w:bottom="0" w:gutter="0" w:footer="0" w:header="0"/>
          <w:type w:val="continuous"/>
        </w:sectPr>
      </w:pPr>
    </w:p>
    <w:bookmarkStart w:id="137" w:name="page138"/>
    <w:bookmarkEnd w:id="137"/>
    <w:p>
      <w:pPr>
        <w:jc w:val="center"/>
        <w:spacing w:after="0"/>
        <w:rPr>
          <w:sz w:val="20"/>
          <w:szCs w:val="20"/>
          <w:color w:val="auto"/>
        </w:rPr>
      </w:pPr>
      <w:r>
        <w:rPr>
          <w:rFonts w:ascii="Arial" w:cs="Arial" w:eastAsia="Arial" w:hAnsi="Arial"/>
          <w:sz w:val="20"/>
          <w:szCs w:val="20"/>
          <w:b w:val="1"/>
          <w:bCs w:val="1"/>
          <w:color w:val="auto"/>
        </w:rPr>
        <w:t>SIGNATURES</w:t>
      </w:r>
    </w:p>
    <w:p>
      <w:pPr>
        <w:spacing w:after="0" w:line="195" w:lineRule="exact"/>
        <w:rPr>
          <w:sz w:val="20"/>
          <w:szCs w:val="20"/>
          <w:color w:val="auto"/>
        </w:rPr>
      </w:pPr>
    </w:p>
    <w:p>
      <w:pPr>
        <w:ind w:firstLine="313"/>
        <w:spacing w:after="0" w:line="280" w:lineRule="auto"/>
        <w:rPr>
          <w:sz w:val="20"/>
          <w:szCs w:val="20"/>
          <w:color w:val="auto"/>
        </w:rPr>
      </w:pPr>
      <w:r>
        <w:rPr>
          <w:rFonts w:ascii="Arial" w:cs="Arial" w:eastAsia="Arial" w:hAnsi="Arial"/>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53" w:lineRule="exact"/>
        <w:rPr>
          <w:sz w:val="20"/>
          <w:szCs w:val="20"/>
          <w:color w:val="auto"/>
        </w:rPr>
      </w:pPr>
    </w:p>
    <w:p>
      <w:pPr>
        <w:ind w:left="6500"/>
        <w:spacing w:after="0"/>
        <w:rPr>
          <w:sz w:val="20"/>
          <w:szCs w:val="20"/>
          <w:color w:val="auto"/>
        </w:rPr>
      </w:pPr>
      <w:r>
        <w:rPr>
          <w:rFonts w:ascii="Arial" w:cs="Arial" w:eastAsia="Arial" w:hAnsi="Arial"/>
          <w:sz w:val="20"/>
          <w:szCs w:val="20"/>
          <w:color w:val="auto"/>
        </w:rPr>
        <w:t>CLEARWAY ENERGY, INC.</w:t>
      </w:r>
    </w:p>
    <w:p>
      <w:pPr>
        <w:ind w:left="6500"/>
        <w:spacing w:after="0"/>
        <w:rPr>
          <w:sz w:val="20"/>
          <w:szCs w:val="20"/>
          <w:color w:val="auto"/>
        </w:rPr>
      </w:pPr>
      <w:r>
        <w:rPr>
          <w:rFonts w:ascii="Arial" w:cs="Arial" w:eastAsia="Arial" w:hAnsi="Arial"/>
          <w:sz w:val="20"/>
          <w:szCs w:val="20"/>
          <w:color w:val="auto"/>
        </w:rPr>
        <w:t>(Registrant)</w:t>
      </w:r>
    </w:p>
    <w:p>
      <w:pPr>
        <w:spacing w:after="0" w:line="337" w:lineRule="exact"/>
        <w:rPr>
          <w:sz w:val="20"/>
          <w:szCs w:val="20"/>
          <w:color w:val="auto"/>
        </w:rPr>
      </w:pPr>
    </w:p>
    <w:p>
      <w:pPr>
        <w:ind w:left="6500"/>
        <w:spacing w:after="0"/>
        <w:rPr>
          <w:sz w:val="20"/>
          <w:szCs w:val="20"/>
          <w:color w:val="auto"/>
        </w:rPr>
      </w:pPr>
      <w:r>
        <w:rPr>
          <w:rFonts w:ascii="Arial" w:cs="Arial" w:eastAsia="Arial" w:hAnsi="Arial"/>
          <w:sz w:val="20"/>
          <w:szCs w:val="20"/>
          <w:color w:val="auto"/>
        </w:rPr>
        <w:t>/s/ CHRISTOPHER S. SOTOS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4091305</wp:posOffset>
                </wp:positionH>
                <wp:positionV relativeFrom="paragraph">
                  <wp:posOffset>27305</wp:posOffset>
                </wp:positionV>
                <wp:extent cx="1895475" cy="0"/>
                <wp:wrapNone/>
                <wp:docPr id="393" name="Shape 3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954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93" o:spid="_x0000_s14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2.15pt,2.15pt" to="471.4pt,2.15pt" o:allowincell="f" strokecolor="#000000" strokeweight="1pt"/>
            </w:pict>
          </mc:Fallback>
        </mc:AlternateContent>
      </w:r>
    </w:p>
    <w:p>
      <w:pPr>
        <w:spacing w:after="0" w:line="34" w:lineRule="exact"/>
        <w:rPr>
          <w:sz w:val="20"/>
          <w:szCs w:val="20"/>
          <w:color w:val="auto"/>
        </w:rPr>
      </w:pPr>
    </w:p>
    <w:p>
      <w:pPr>
        <w:ind w:left="6500"/>
        <w:spacing w:after="0"/>
        <w:rPr>
          <w:sz w:val="20"/>
          <w:szCs w:val="20"/>
          <w:color w:val="auto"/>
        </w:rPr>
      </w:pPr>
      <w:r>
        <w:rPr>
          <w:rFonts w:ascii="Arial" w:cs="Arial" w:eastAsia="Arial" w:hAnsi="Arial"/>
          <w:sz w:val="20"/>
          <w:szCs w:val="20"/>
          <w:color w:val="auto"/>
        </w:rPr>
        <w:t>Christopher S. Sotos</w:t>
      </w:r>
    </w:p>
    <w:p>
      <w:pPr>
        <w:spacing w:after="0" w:line="14" w:lineRule="exact"/>
        <w:rPr>
          <w:sz w:val="20"/>
          <w:szCs w:val="20"/>
          <w:color w:val="auto"/>
        </w:rPr>
      </w:pPr>
    </w:p>
    <w:p>
      <w:pPr>
        <w:ind w:left="6500"/>
        <w:spacing w:after="0"/>
        <w:rPr>
          <w:sz w:val="20"/>
          <w:szCs w:val="20"/>
          <w:color w:val="auto"/>
        </w:rPr>
      </w:pPr>
      <w:r>
        <w:rPr>
          <w:rFonts w:ascii="Arial" w:cs="Arial" w:eastAsia="Arial" w:hAnsi="Arial"/>
          <w:sz w:val="20"/>
          <w:szCs w:val="20"/>
          <w:b w:val="1"/>
          <w:bCs w:val="1"/>
          <w:i w:val="1"/>
          <w:iCs w:val="1"/>
          <w:color w:val="auto"/>
        </w:rPr>
        <w:t>Chief Executive Officer</w:t>
      </w:r>
    </w:p>
    <w:p>
      <w:pPr>
        <w:ind w:left="6500"/>
        <w:spacing w:after="0"/>
        <w:rPr>
          <w:sz w:val="20"/>
          <w:szCs w:val="20"/>
          <w:color w:val="auto"/>
        </w:rPr>
      </w:pPr>
      <w:r>
        <w:rPr>
          <w:rFonts w:ascii="Arial" w:cs="Arial" w:eastAsia="Arial" w:hAnsi="Arial"/>
          <w:sz w:val="20"/>
          <w:szCs w:val="20"/>
          <w:b w:val="1"/>
          <w:bCs w:val="1"/>
          <w:i w:val="1"/>
          <w:iCs w:val="1"/>
          <w:color w:val="auto"/>
        </w:rPr>
        <w:t>(Principal Executive Officer)</w:t>
      </w:r>
    </w:p>
    <w:p>
      <w:pPr>
        <w:spacing w:after="0" w:line="200" w:lineRule="exact"/>
        <w:rPr>
          <w:sz w:val="20"/>
          <w:szCs w:val="20"/>
          <w:color w:val="auto"/>
        </w:rPr>
      </w:pPr>
    </w:p>
    <w:p>
      <w:pPr>
        <w:spacing w:after="0" w:line="334" w:lineRule="exact"/>
        <w:rPr>
          <w:sz w:val="20"/>
          <w:szCs w:val="20"/>
          <w:color w:val="auto"/>
        </w:rPr>
      </w:pPr>
    </w:p>
    <w:p>
      <w:pPr>
        <w:ind w:left="360"/>
        <w:spacing w:after="0"/>
        <w:rPr>
          <w:sz w:val="20"/>
          <w:szCs w:val="20"/>
          <w:color w:val="auto"/>
        </w:rPr>
      </w:pPr>
      <w:r>
        <w:rPr>
          <w:rFonts w:ascii="Arial" w:cs="Arial" w:eastAsia="Arial" w:hAnsi="Arial"/>
          <w:sz w:val="20"/>
          <w:szCs w:val="20"/>
          <w:color w:val="auto"/>
        </w:rPr>
        <w:t>Date: February 22, 2024</w:t>
      </w:r>
    </w:p>
    <w:p>
      <w:pPr>
        <w:sectPr>
          <w:pgSz w:w="11880" w:h="15480" w:orient="portrait"/>
          <w:cols w:equalWidth="0" w:num="1">
            <w:col w:w="10200"/>
          </w:cols>
          <w:pgMar w:left="840" w:top="643"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136</w:t>
      </w:r>
    </w:p>
    <w:p>
      <w:pPr>
        <w:sectPr>
          <w:pgSz w:w="11880" w:h="15480" w:orient="portrait"/>
          <w:cols w:equalWidth="0" w:num="1">
            <w:col w:w="10200"/>
          </w:cols>
          <w:pgMar w:left="840" w:top="643" w:right="840" w:bottom="0" w:gutter="0" w:footer="0" w:header="0"/>
          <w:type w:val="continuous"/>
        </w:sectPr>
      </w:pPr>
    </w:p>
    <w:bookmarkStart w:id="138" w:name="page139"/>
    <w:bookmarkEnd w:id="138"/>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175" w:lineRule="exact"/>
        <w:rPr>
          <w:sz w:val="20"/>
          <w:szCs w:val="20"/>
          <w:color w:val="auto"/>
        </w:rPr>
      </w:pPr>
    </w:p>
    <w:p>
      <w:pPr>
        <w:jc w:val="both"/>
        <w:ind w:firstLine="493"/>
        <w:spacing w:after="0" w:line="285" w:lineRule="auto"/>
        <w:rPr>
          <w:sz w:val="20"/>
          <w:szCs w:val="20"/>
          <w:color w:val="auto"/>
        </w:rPr>
      </w:pPr>
      <w:r>
        <w:rPr>
          <w:rFonts w:ascii="Arial" w:cs="Arial" w:eastAsia="Arial" w:hAnsi="Arial"/>
          <w:sz w:val="18"/>
          <w:szCs w:val="18"/>
          <w:color w:val="auto"/>
        </w:rPr>
        <w:t>Each person whose signature appears below constitutes and appoints Christopher S. Sotos, Kevin P. Malcarney and Amelia McKeithen, each or any of them, such person’s true and lawful attorney-in-fact and agent with full power of substitution and resubstitution for such person and in such person’s name, place and stead, in any and all capacities, to sign any and all amendments to this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necessary or desirable to be done in and about the premises, as fully to all intents and purposes as such person, hereby ratifying and confirming all that said attorneys-in-fact and agents, or any of them or his or their substitute or substitutes, may lawfully do or cause to be done by virtue hereof.</w:t>
      </w:r>
    </w:p>
    <w:p>
      <w:pPr>
        <w:spacing w:after="0" w:line="123" w:lineRule="exact"/>
        <w:rPr>
          <w:sz w:val="20"/>
          <w:szCs w:val="20"/>
          <w:color w:val="auto"/>
        </w:rPr>
      </w:pPr>
    </w:p>
    <w:p>
      <w:pPr>
        <w:jc w:val="both"/>
        <w:ind w:firstLine="493"/>
        <w:spacing w:after="0" w:line="280" w:lineRule="auto"/>
        <w:rPr>
          <w:sz w:val="20"/>
          <w:szCs w:val="20"/>
          <w:color w:val="auto"/>
        </w:rPr>
      </w:pPr>
      <w:r>
        <w:rPr>
          <w:rFonts w:ascii="Arial" w:cs="Arial" w:eastAsia="Arial" w:hAnsi="Arial"/>
          <w:sz w:val="20"/>
          <w:szCs w:val="20"/>
          <w:color w:val="auto"/>
        </w:rPr>
        <w:t>Pursuant to the requirements of the Securities Exchange Act of 1934, this report has been signed below by the following persons on behalf of the registrant and in the capacities and on the dates indicated.</w:t>
      </w:r>
    </w:p>
    <w:p>
      <w:pPr>
        <w:sectPr>
          <w:pgSz w:w="11880" w:h="15480" w:orient="portrait"/>
          <w:cols w:equalWidth="0" w:num="1">
            <w:col w:w="10200"/>
          </w:cols>
          <w:pgMar w:left="840" w:top="404" w:right="840" w:bottom="0" w:gutter="0" w:footer="0" w:header="0"/>
        </w:sectPr>
      </w:pPr>
    </w:p>
    <w:p>
      <w:pPr>
        <w:spacing w:after="0" w:line="204"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Signature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29210</wp:posOffset>
                </wp:positionV>
                <wp:extent cx="2056130" cy="0"/>
                <wp:wrapNone/>
                <wp:docPr id="394" name="Shape 3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5613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94" o:spid="_x0000_s14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2.3pt" to="161.7pt,2.3pt" o:allowincell="f" strokecolor="#000000" strokeweight="1pt"/>
            </w:pict>
          </mc:Fallback>
        </mc:AlternateConten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41910</wp:posOffset>
                </wp:positionV>
                <wp:extent cx="2056130" cy="0"/>
                <wp:wrapNone/>
                <wp:docPr id="395" name="Shape 3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5613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95" o:spid="_x0000_s14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3pt" to="161.7pt,3.3pt" o:allowincell="f" strokecolor="#000000" strokeweight="1pt"/>
            </w:pict>
          </mc:Fallback>
        </mc:AlternateContent>
      </w:r>
    </w:p>
    <w:p>
      <w:pPr>
        <w:spacing w:after="0" w:line="58" w:lineRule="exact"/>
        <w:rPr>
          <w:sz w:val="20"/>
          <w:szCs w:val="20"/>
          <w:color w:val="auto"/>
        </w:rPr>
      </w:pPr>
    </w:p>
    <w:p>
      <w:pPr>
        <w:ind w:left="800"/>
        <w:spacing w:after="0"/>
        <w:rPr>
          <w:sz w:val="20"/>
          <w:szCs w:val="20"/>
          <w:color w:val="auto"/>
        </w:rPr>
      </w:pPr>
      <w:r>
        <w:rPr>
          <w:rFonts w:ascii="Arial" w:cs="Arial" w:eastAsia="Arial" w:hAnsi="Arial"/>
          <w:sz w:val="20"/>
          <w:szCs w:val="20"/>
          <w:color w:val="auto"/>
        </w:rPr>
        <w:t>Christopher S. Sotos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20"/>
          <w:szCs w:val="20"/>
          <w:color w:val="auto"/>
        </w:rPr>
        <w:t>/s/ SARAH RUBENSTEIN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27305</wp:posOffset>
                </wp:positionV>
                <wp:extent cx="2056130" cy="0"/>
                <wp:wrapNone/>
                <wp:docPr id="396" name="Shape 3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5613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96" o:spid="_x0000_s14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2.15pt" to="161.7pt,2.15pt" o:allowincell="f" strokecolor="#000000" strokeweight="1pt"/>
            </w:pict>
          </mc:Fallback>
        </mc:AlternateContent>
      </w:r>
    </w:p>
    <w:p>
      <w:pPr>
        <w:spacing w:after="0" w:line="35" w:lineRule="exact"/>
        <w:rPr>
          <w:sz w:val="20"/>
          <w:szCs w:val="20"/>
          <w:color w:val="auto"/>
        </w:rPr>
      </w:pPr>
    </w:p>
    <w:p>
      <w:pPr>
        <w:jc w:val="center"/>
        <w:ind w:left="300"/>
        <w:spacing w:after="0"/>
        <w:rPr>
          <w:sz w:val="20"/>
          <w:szCs w:val="20"/>
          <w:color w:val="auto"/>
        </w:rPr>
      </w:pPr>
      <w:r>
        <w:rPr>
          <w:rFonts w:ascii="Arial" w:cs="Arial" w:eastAsia="Arial" w:hAnsi="Arial"/>
          <w:sz w:val="20"/>
          <w:szCs w:val="20"/>
          <w:color w:val="auto"/>
        </w:rPr>
        <w:t>Sarah Rubenstein</w:t>
      </w:r>
    </w:p>
    <w:p>
      <w:pPr>
        <w:spacing w:after="0" w:line="200" w:lineRule="exact"/>
        <w:rPr>
          <w:sz w:val="20"/>
          <w:szCs w:val="20"/>
          <w:color w:val="auto"/>
        </w:rPr>
      </w:pPr>
    </w:p>
    <w:p>
      <w:pPr>
        <w:spacing w:after="0" w:line="210" w:lineRule="exact"/>
        <w:rPr>
          <w:sz w:val="20"/>
          <w:szCs w:val="20"/>
          <w:color w:val="auto"/>
        </w:rPr>
      </w:pPr>
    </w:p>
    <w:p>
      <w:pPr>
        <w:jc w:val="center"/>
        <w:ind w:left="300"/>
        <w:spacing w:after="0"/>
        <w:rPr>
          <w:sz w:val="20"/>
          <w:szCs w:val="20"/>
          <w:color w:val="auto"/>
        </w:rPr>
      </w:pPr>
      <w:r>
        <w:rPr>
          <w:rFonts w:ascii="Arial" w:cs="Arial" w:eastAsia="Arial" w:hAnsi="Arial"/>
          <w:sz w:val="20"/>
          <w:szCs w:val="20"/>
          <w:color w:val="auto"/>
        </w:rPr>
        <w:t>/s/ JONATHAN BRAM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27305</wp:posOffset>
                </wp:positionV>
                <wp:extent cx="2056130" cy="0"/>
                <wp:wrapNone/>
                <wp:docPr id="397" name="Shape 3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5613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97" o:spid="_x0000_s14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2.15pt" to="161.7pt,2.15pt" o:allowincell="f" strokecolor="#000000" strokeweight="1pt"/>
            </w:pict>
          </mc:Fallback>
        </mc:AlternateContent>
      </w:r>
    </w:p>
    <w:p>
      <w:pPr>
        <w:spacing w:after="0" w:line="34" w:lineRule="exact"/>
        <w:rPr>
          <w:sz w:val="20"/>
          <w:szCs w:val="20"/>
          <w:color w:val="auto"/>
        </w:rPr>
      </w:pPr>
    </w:p>
    <w:p>
      <w:pPr>
        <w:jc w:val="center"/>
        <w:ind w:left="300"/>
        <w:spacing w:after="0"/>
        <w:rPr>
          <w:sz w:val="20"/>
          <w:szCs w:val="20"/>
          <w:color w:val="auto"/>
        </w:rPr>
      </w:pPr>
      <w:r>
        <w:rPr>
          <w:rFonts w:ascii="Arial" w:cs="Arial" w:eastAsia="Arial" w:hAnsi="Arial"/>
          <w:sz w:val="20"/>
          <w:szCs w:val="20"/>
          <w:color w:val="auto"/>
        </w:rPr>
        <w:t>Jonathan Bram</w:t>
      </w:r>
    </w:p>
    <w:p>
      <w:pPr>
        <w:spacing w:after="0" w:line="203" w:lineRule="exact"/>
        <w:rPr>
          <w:sz w:val="20"/>
          <w:szCs w:val="20"/>
          <w:color w:val="auto"/>
        </w:rPr>
      </w:pPr>
    </w:p>
    <w:p>
      <w:pPr>
        <w:jc w:val="center"/>
        <w:ind w:left="300"/>
        <w:spacing w:after="0"/>
        <w:rPr>
          <w:sz w:val="20"/>
          <w:szCs w:val="20"/>
          <w:color w:val="auto"/>
        </w:rPr>
      </w:pPr>
      <w:r>
        <w:rPr>
          <w:rFonts w:ascii="Arial" w:cs="Arial" w:eastAsia="Arial" w:hAnsi="Arial"/>
          <w:sz w:val="19"/>
          <w:szCs w:val="19"/>
          <w:color w:val="auto"/>
        </w:rPr>
        <w:t>/s/ NATHANIEL ANSCHUETZ</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34290</wp:posOffset>
                </wp:positionV>
                <wp:extent cx="2056130" cy="0"/>
                <wp:wrapNone/>
                <wp:docPr id="398" name="Shape 3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5613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98" o:spid="_x0000_s14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2.7pt" to="161.7pt,2.7pt" o:allowincell="f" strokecolor="#000000" strokeweight="1pt"/>
            </w:pict>
          </mc:Fallback>
        </mc:AlternateContent>
      </w:r>
    </w:p>
    <w:p>
      <w:pPr>
        <w:spacing w:after="0" w:line="45" w:lineRule="exact"/>
        <w:rPr>
          <w:sz w:val="20"/>
          <w:szCs w:val="20"/>
          <w:color w:val="auto"/>
        </w:rPr>
      </w:pPr>
    </w:p>
    <w:p>
      <w:pPr>
        <w:jc w:val="center"/>
        <w:ind w:left="300"/>
        <w:spacing w:after="0"/>
        <w:rPr>
          <w:sz w:val="20"/>
          <w:szCs w:val="20"/>
          <w:color w:val="auto"/>
        </w:rPr>
      </w:pPr>
      <w:r>
        <w:rPr>
          <w:rFonts w:ascii="Arial" w:cs="Arial" w:eastAsia="Arial" w:hAnsi="Arial"/>
          <w:sz w:val="20"/>
          <w:szCs w:val="20"/>
          <w:color w:val="auto"/>
        </w:rPr>
        <w:t>Nathaniel Anschuetz</w:t>
      </w:r>
    </w:p>
    <w:p>
      <w:pPr>
        <w:spacing w:after="0" w:line="203" w:lineRule="exact"/>
        <w:rPr>
          <w:sz w:val="20"/>
          <w:szCs w:val="20"/>
          <w:color w:val="auto"/>
        </w:rPr>
      </w:pPr>
    </w:p>
    <w:p>
      <w:pPr>
        <w:ind w:left="880"/>
        <w:spacing w:after="0"/>
        <w:rPr>
          <w:sz w:val="20"/>
          <w:szCs w:val="20"/>
          <w:color w:val="auto"/>
        </w:rPr>
      </w:pPr>
      <w:r>
        <w:rPr>
          <w:rFonts w:ascii="Arial" w:cs="Arial" w:eastAsia="Arial" w:hAnsi="Arial"/>
          <w:sz w:val="20"/>
          <w:szCs w:val="20"/>
          <w:color w:val="auto"/>
        </w:rPr>
        <w:t>/s/ BRIAN FORD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27305</wp:posOffset>
                </wp:positionV>
                <wp:extent cx="2056130" cy="0"/>
                <wp:wrapNone/>
                <wp:docPr id="399" name="Shape 3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5613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99" o:spid="_x0000_s14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2.15pt" to="161.7pt,2.15pt" o:allowincell="f" strokecolor="#000000" strokeweight="1pt"/>
            </w:pict>
          </mc:Fallback>
        </mc:AlternateContent>
      </w:r>
    </w:p>
    <w:p>
      <w:pPr>
        <w:spacing w:after="0" w:line="34" w:lineRule="exact"/>
        <w:rPr>
          <w:sz w:val="20"/>
          <w:szCs w:val="20"/>
          <w:color w:val="auto"/>
        </w:rPr>
      </w:pPr>
    </w:p>
    <w:p>
      <w:pPr>
        <w:ind w:left="1180"/>
        <w:spacing w:after="0"/>
        <w:rPr>
          <w:sz w:val="20"/>
          <w:szCs w:val="20"/>
          <w:color w:val="auto"/>
        </w:rPr>
      </w:pPr>
      <w:r>
        <w:rPr>
          <w:rFonts w:ascii="Arial" w:cs="Arial" w:eastAsia="Arial" w:hAnsi="Arial"/>
          <w:sz w:val="20"/>
          <w:szCs w:val="20"/>
          <w:color w:val="auto"/>
        </w:rPr>
        <w:t>Brian Ford</w:t>
      </w:r>
    </w:p>
    <w:p>
      <w:pPr>
        <w:spacing w:after="0" w:line="203" w:lineRule="exact"/>
        <w:rPr>
          <w:sz w:val="20"/>
          <w:szCs w:val="20"/>
          <w:color w:val="auto"/>
        </w:rPr>
      </w:pPr>
    </w:p>
    <w:p>
      <w:pPr>
        <w:jc w:val="center"/>
        <w:ind w:left="300"/>
        <w:spacing w:after="0"/>
        <w:rPr>
          <w:sz w:val="20"/>
          <w:szCs w:val="20"/>
          <w:color w:val="auto"/>
        </w:rPr>
      </w:pPr>
      <w:r>
        <w:rPr>
          <w:rFonts w:ascii="Arial" w:cs="Arial" w:eastAsia="Arial" w:hAnsi="Arial"/>
          <w:sz w:val="20"/>
          <w:szCs w:val="20"/>
          <w:color w:val="auto"/>
        </w:rPr>
        <w:t>/s/ BRUCE MACLENNAN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27305</wp:posOffset>
                </wp:positionV>
                <wp:extent cx="2056130" cy="0"/>
                <wp:wrapNone/>
                <wp:docPr id="400" name="Shape 4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5613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00" o:spid="_x0000_s14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2.15pt" to="161.7pt,2.15pt" o:allowincell="f" strokecolor="#000000" strokeweight="1pt"/>
            </w:pict>
          </mc:Fallback>
        </mc:AlternateContent>
      </w:r>
    </w:p>
    <w:p>
      <w:pPr>
        <w:spacing w:after="0" w:line="34" w:lineRule="exact"/>
        <w:rPr>
          <w:sz w:val="20"/>
          <w:szCs w:val="20"/>
          <w:color w:val="auto"/>
        </w:rPr>
      </w:pPr>
    </w:p>
    <w:p>
      <w:pPr>
        <w:jc w:val="center"/>
        <w:ind w:left="300"/>
        <w:spacing w:after="0"/>
        <w:rPr>
          <w:sz w:val="20"/>
          <w:szCs w:val="20"/>
          <w:color w:val="auto"/>
        </w:rPr>
      </w:pPr>
      <w:r>
        <w:rPr>
          <w:rFonts w:ascii="Arial" w:cs="Arial" w:eastAsia="Arial" w:hAnsi="Arial"/>
          <w:sz w:val="20"/>
          <w:szCs w:val="20"/>
          <w:color w:val="auto"/>
        </w:rPr>
        <w:t>Bruce MacLennan</w:t>
      </w:r>
    </w:p>
    <w:p>
      <w:pPr>
        <w:spacing w:after="0" w:line="203" w:lineRule="exact"/>
        <w:rPr>
          <w:sz w:val="20"/>
          <w:szCs w:val="20"/>
          <w:color w:val="auto"/>
        </w:rPr>
      </w:pPr>
    </w:p>
    <w:p>
      <w:pPr>
        <w:jc w:val="center"/>
        <w:ind w:left="300"/>
        <w:spacing w:after="0"/>
        <w:rPr>
          <w:sz w:val="20"/>
          <w:szCs w:val="20"/>
          <w:color w:val="auto"/>
        </w:rPr>
      </w:pPr>
      <w:r>
        <w:rPr>
          <w:rFonts w:ascii="Arial" w:cs="Arial" w:eastAsia="Arial" w:hAnsi="Arial"/>
          <w:sz w:val="20"/>
          <w:szCs w:val="20"/>
          <w:color w:val="auto"/>
        </w:rPr>
        <w:t>/s/ DANIEL B. MORE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27305</wp:posOffset>
                </wp:positionV>
                <wp:extent cx="2056130" cy="0"/>
                <wp:wrapNone/>
                <wp:docPr id="401" name="Shape 4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5613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01" o:spid="_x0000_s14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2.15pt" to="161.7pt,2.15pt" o:allowincell="f" strokecolor="#000000" strokeweight="1pt"/>
            </w:pict>
          </mc:Fallback>
        </mc:AlternateContent>
      </w:r>
    </w:p>
    <w:p>
      <w:pPr>
        <w:spacing w:after="0" w:line="34" w:lineRule="exact"/>
        <w:rPr>
          <w:sz w:val="20"/>
          <w:szCs w:val="20"/>
          <w:color w:val="auto"/>
        </w:rPr>
      </w:pPr>
    </w:p>
    <w:p>
      <w:pPr>
        <w:jc w:val="center"/>
        <w:ind w:left="300"/>
        <w:spacing w:after="0"/>
        <w:rPr>
          <w:sz w:val="20"/>
          <w:szCs w:val="20"/>
          <w:color w:val="auto"/>
        </w:rPr>
      </w:pPr>
      <w:r>
        <w:rPr>
          <w:rFonts w:ascii="Arial" w:cs="Arial" w:eastAsia="Arial" w:hAnsi="Arial"/>
          <w:sz w:val="20"/>
          <w:szCs w:val="20"/>
          <w:color w:val="auto"/>
        </w:rPr>
        <w:t>Daniel B. More</w:t>
      </w:r>
    </w:p>
    <w:p>
      <w:pPr>
        <w:spacing w:after="0" w:line="203" w:lineRule="exact"/>
        <w:rPr>
          <w:sz w:val="20"/>
          <w:szCs w:val="20"/>
          <w:color w:val="auto"/>
        </w:rPr>
      </w:pPr>
    </w:p>
    <w:p>
      <w:pPr>
        <w:jc w:val="center"/>
        <w:ind w:left="300"/>
        <w:spacing w:after="0"/>
        <w:rPr>
          <w:sz w:val="20"/>
          <w:szCs w:val="20"/>
          <w:color w:val="auto"/>
        </w:rPr>
      </w:pPr>
      <w:r>
        <w:rPr>
          <w:rFonts w:ascii="Arial" w:cs="Arial" w:eastAsia="Arial" w:hAnsi="Arial"/>
          <w:sz w:val="20"/>
          <w:szCs w:val="20"/>
          <w:color w:val="auto"/>
        </w:rPr>
        <w:t>/s/ E. STANLEY O’NEAL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27305</wp:posOffset>
                </wp:positionV>
                <wp:extent cx="2056130" cy="0"/>
                <wp:wrapNone/>
                <wp:docPr id="402" name="Shape 4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5613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02" o:spid="_x0000_s14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2.15pt" to="161.7pt,2.15pt" o:allowincell="f" strokecolor="#000000" strokeweight="1pt"/>
            </w:pict>
          </mc:Fallback>
        </mc:AlternateContent>
      </w:r>
    </w:p>
    <w:p>
      <w:pPr>
        <w:spacing w:after="0" w:line="34" w:lineRule="exact"/>
        <w:rPr>
          <w:sz w:val="20"/>
          <w:szCs w:val="20"/>
          <w:color w:val="auto"/>
        </w:rPr>
      </w:pPr>
    </w:p>
    <w:p>
      <w:pPr>
        <w:jc w:val="center"/>
        <w:ind w:left="300"/>
        <w:spacing w:after="0"/>
        <w:rPr>
          <w:sz w:val="20"/>
          <w:szCs w:val="20"/>
          <w:color w:val="auto"/>
        </w:rPr>
      </w:pPr>
      <w:r>
        <w:rPr>
          <w:rFonts w:ascii="Arial" w:cs="Arial" w:eastAsia="Arial" w:hAnsi="Arial"/>
          <w:sz w:val="20"/>
          <w:szCs w:val="20"/>
          <w:color w:val="auto"/>
        </w:rPr>
        <w:t>E. Stanley O’Neal</w:t>
      </w:r>
    </w:p>
    <w:p>
      <w:pPr>
        <w:spacing w:after="0" w:line="203" w:lineRule="exact"/>
        <w:rPr>
          <w:sz w:val="20"/>
          <w:szCs w:val="20"/>
          <w:color w:val="auto"/>
        </w:rPr>
      </w:pPr>
    </w:p>
    <w:p>
      <w:pPr>
        <w:jc w:val="center"/>
        <w:ind w:left="300"/>
        <w:spacing w:after="0"/>
        <w:rPr>
          <w:sz w:val="20"/>
          <w:szCs w:val="20"/>
          <w:color w:val="auto"/>
        </w:rPr>
      </w:pPr>
      <w:r>
        <w:rPr>
          <w:rFonts w:ascii="Arial" w:cs="Arial" w:eastAsia="Arial" w:hAnsi="Arial"/>
          <w:sz w:val="20"/>
          <w:szCs w:val="20"/>
          <w:color w:val="auto"/>
        </w:rPr>
        <w:t>/s/ JENNIFER LOWRY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27305</wp:posOffset>
                </wp:positionV>
                <wp:extent cx="2056130" cy="0"/>
                <wp:wrapNone/>
                <wp:docPr id="403" name="Shape 4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5613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03" o:spid="_x0000_s14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2.15pt" to="161.7pt,2.15pt" o:allowincell="f" strokecolor="#000000" strokeweight="1pt"/>
            </w:pict>
          </mc:Fallback>
        </mc:AlternateContent>
      </w:r>
    </w:p>
    <w:p>
      <w:pPr>
        <w:spacing w:after="0" w:line="34" w:lineRule="exact"/>
        <w:rPr>
          <w:sz w:val="20"/>
          <w:szCs w:val="20"/>
          <w:color w:val="auto"/>
        </w:rPr>
      </w:pPr>
    </w:p>
    <w:p>
      <w:pPr>
        <w:jc w:val="center"/>
        <w:ind w:left="300"/>
        <w:spacing w:after="0"/>
        <w:rPr>
          <w:sz w:val="20"/>
          <w:szCs w:val="20"/>
          <w:color w:val="auto"/>
        </w:rPr>
      </w:pPr>
      <w:r>
        <w:rPr>
          <w:rFonts w:ascii="Arial" w:cs="Arial" w:eastAsia="Arial" w:hAnsi="Arial"/>
          <w:sz w:val="20"/>
          <w:szCs w:val="20"/>
          <w:color w:val="auto"/>
        </w:rPr>
        <w:t>Jennifer Lowry</w:t>
      </w:r>
    </w:p>
    <w:p>
      <w:pPr>
        <w:spacing w:after="0" w:line="203" w:lineRule="exact"/>
        <w:rPr>
          <w:sz w:val="20"/>
          <w:szCs w:val="20"/>
          <w:color w:val="auto"/>
        </w:rPr>
      </w:pPr>
    </w:p>
    <w:p>
      <w:pPr>
        <w:jc w:val="center"/>
        <w:ind w:left="300"/>
        <w:spacing w:after="0"/>
        <w:rPr>
          <w:sz w:val="20"/>
          <w:szCs w:val="20"/>
          <w:color w:val="auto"/>
        </w:rPr>
      </w:pPr>
      <w:r>
        <w:rPr>
          <w:rFonts w:ascii="Arial" w:cs="Arial" w:eastAsia="Arial" w:hAnsi="Arial"/>
          <w:sz w:val="20"/>
          <w:szCs w:val="20"/>
          <w:color w:val="auto"/>
        </w:rPr>
        <w:t>/s/ GUILLAUME HÉDIARD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27305</wp:posOffset>
                </wp:positionV>
                <wp:extent cx="2056130" cy="0"/>
                <wp:wrapNone/>
                <wp:docPr id="404" name="Shape 4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5613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04" o:spid="_x0000_s14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2.15pt" to="161.7pt,2.15pt" o:allowincell="f" strokecolor="#000000" strokeweight="1pt"/>
            </w:pict>
          </mc:Fallback>
        </mc:AlternateContent>
      </w:r>
    </w:p>
    <w:p>
      <w:pPr>
        <w:spacing w:after="0" w:line="34" w:lineRule="exact"/>
        <w:rPr>
          <w:sz w:val="20"/>
          <w:szCs w:val="20"/>
          <w:color w:val="auto"/>
        </w:rPr>
      </w:pPr>
    </w:p>
    <w:p>
      <w:pPr>
        <w:jc w:val="center"/>
        <w:ind w:left="300"/>
        <w:spacing w:after="0"/>
        <w:rPr>
          <w:sz w:val="20"/>
          <w:szCs w:val="20"/>
          <w:color w:val="auto"/>
        </w:rPr>
      </w:pPr>
      <w:r>
        <w:rPr>
          <w:rFonts w:ascii="Arial" w:cs="Arial" w:eastAsia="Arial" w:hAnsi="Arial"/>
          <w:sz w:val="20"/>
          <w:szCs w:val="20"/>
          <w:color w:val="auto"/>
        </w:rPr>
        <w:t>Guillaume Hédiard</w:t>
      </w:r>
    </w:p>
    <w:p>
      <w:pPr>
        <w:spacing w:after="0" w:line="203" w:lineRule="exact"/>
        <w:rPr>
          <w:sz w:val="20"/>
          <w:szCs w:val="20"/>
          <w:color w:val="auto"/>
        </w:rPr>
      </w:pPr>
    </w:p>
    <w:p>
      <w:pPr>
        <w:jc w:val="center"/>
        <w:ind w:left="300"/>
        <w:spacing w:after="0"/>
        <w:rPr>
          <w:sz w:val="20"/>
          <w:szCs w:val="20"/>
          <w:color w:val="auto"/>
        </w:rPr>
      </w:pPr>
      <w:r>
        <w:rPr>
          <w:rFonts w:ascii="Arial" w:cs="Arial" w:eastAsia="Arial" w:hAnsi="Arial"/>
          <w:sz w:val="20"/>
          <w:szCs w:val="20"/>
          <w:color w:val="auto"/>
        </w:rPr>
        <w:t>/s/ VINCENT STOQUART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27305</wp:posOffset>
                </wp:positionV>
                <wp:extent cx="2056130" cy="0"/>
                <wp:wrapNone/>
                <wp:docPr id="405" name="Shape 4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5613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05" o:spid="_x0000_s14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2.15pt" to="161.7pt,2.15pt" o:allowincell="f" strokecolor="#000000" strokeweight="1pt"/>
            </w:pict>
          </mc:Fallback>
        </mc:AlternateContent>
      </w:r>
    </w:p>
    <w:p>
      <w:pPr>
        <w:spacing w:after="0" w:line="34" w:lineRule="exact"/>
        <w:rPr>
          <w:sz w:val="20"/>
          <w:szCs w:val="20"/>
          <w:color w:val="auto"/>
        </w:rPr>
      </w:pPr>
    </w:p>
    <w:p>
      <w:pPr>
        <w:jc w:val="center"/>
        <w:ind w:left="300"/>
        <w:spacing w:after="0"/>
        <w:rPr>
          <w:sz w:val="20"/>
          <w:szCs w:val="20"/>
          <w:color w:val="auto"/>
        </w:rPr>
      </w:pPr>
      <w:r>
        <w:rPr>
          <w:rFonts w:ascii="Arial" w:cs="Arial" w:eastAsia="Arial" w:hAnsi="Arial"/>
          <w:sz w:val="20"/>
          <w:szCs w:val="20"/>
          <w:color w:val="auto"/>
        </w:rPr>
        <w:t>Vincent Stoquart</w:t>
      </w:r>
    </w:p>
    <w:p>
      <w:pPr>
        <w:spacing w:after="0" w:line="203" w:lineRule="exact"/>
        <w:rPr>
          <w:sz w:val="20"/>
          <w:szCs w:val="20"/>
          <w:color w:val="auto"/>
        </w:rPr>
      </w:pPr>
    </w:p>
    <w:p>
      <w:pPr>
        <w:jc w:val="center"/>
        <w:ind w:left="300"/>
        <w:spacing w:after="0"/>
        <w:rPr>
          <w:sz w:val="20"/>
          <w:szCs w:val="20"/>
          <w:color w:val="auto"/>
        </w:rPr>
      </w:pPr>
      <w:r>
        <w:rPr>
          <w:rFonts w:ascii="Arial" w:cs="Arial" w:eastAsia="Arial" w:hAnsi="Arial"/>
          <w:sz w:val="20"/>
          <w:szCs w:val="20"/>
          <w:color w:val="auto"/>
        </w:rPr>
        <w:t>/s/ EMMANUEL BARROIS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27305</wp:posOffset>
                </wp:positionV>
                <wp:extent cx="2056130" cy="0"/>
                <wp:wrapNone/>
                <wp:docPr id="406" name="Shape 4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5613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06" o:spid="_x0000_s14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2.15pt" to="161.7pt,2.15pt" o:allowincell="f" strokecolor="#000000" strokeweight="1pt"/>
            </w:pict>
          </mc:Fallback>
        </mc:AlternateContent>
      </w:r>
    </w:p>
    <w:p>
      <w:pPr>
        <w:spacing w:after="0" w:line="34" w:lineRule="exact"/>
        <w:rPr>
          <w:sz w:val="20"/>
          <w:szCs w:val="20"/>
          <w:color w:val="auto"/>
        </w:rPr>
      </w:pPr>
    </w:p>
    <w:p>
      <w:pPr>
        <w:jc w:val="center"/>
        <w:ind w:left="300"/>
        <w:spacing w:after="0"/>
        <w:rPr>
          <w:sz w:val="20"/>
          <w:szCs w:val="20"/>
          <w:color w:val="auto"/>
        </w:rPr>
      </w:pPr>
      <w:r>
        <w:rPr>
          <w:rFonts w:ascii="Arial" w:cs="Arial" w:eastAsia="Arial" w:hAnsi="Arial"/>
          <w:sz w:val="20"/>
          <w:szCs w:val="20"/>
          <w:color w:val="auto"/>
        </w:rPr>
        <w:t>Emmanuel Barrois</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Title</w:t>
            </w:r>
          </w:p>
        </w:tc>
        <w:tc>
          <w:tcPr>
            <w:tcW w:w="80" w:type="dxa"/>
            <w:vAlign w:val="bottom"/>
          </w:tcPr>
          <w:p>
            <w:pPr>
              <w:spacing w:after="0"/>
              <w:rPr>
                <w:sz w:val="23"/>
                <w:szCs w:val="23"/>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Date</w:t>
            </w:r>
          </w:p>
        </w:tc>
        <w:tc>
          <w:tcPr>
            <w:tcW w:w="0" w:type="dxa"/>
            <w:vAlign w:val="bottom"/>
          </w:tcPr>
          <w:p>
            <w:pPr>
              <w:spacing w:after="0"/>
              <w:rPr>
                <w:sz w:val="1"/>
                <w:szCs w:val="1"/>
                <w:color w:val="auto"/>
              </w:rPr>
            </w:pPr>
          </w:p>
        </w:tc>
      </w:tr>
      <w:tr>
        <w:trPr>
          <w:trHeight w:val="410"/>
        </w:trPr>
        <w:tc>
          <w:tcPr>
            <w:tcW w:w="4840" w:type="dxa"/>
            <w:vAlign w:val="bottom"/>
          </w:tcPr>
          <w:p>
            <w:pPr>
              <w:jc w:val="center"/>
              <w:spacing w:after="0"/>
              <w:rPr>
                <w:sz w:val="20"/>
                <w:szCs w:val="20"/>
                <w:color w:val="auto"/>
              </w:rPr>
            </w:pPr>
            <w:r>
              <w:rPr>
                <w:rFonts w:ascii="Arial" w:cs="Arial" w:eastAsia="Arial" w:hAnsi="Arial"/>
                <w:sz w:val="20"/>
                <w:szCs w:val="20"/>
                <w:color w:val="auto"/>
                <w:w w:val="91"/>
              </w:rPr>
              <w:t>President, Chief Executive Officer and Director</w:t>
            </w:r>
          </w:p>
        </w:tc>
        <w:tc>
          <w:tcPr>
            <w:tcW w:w="80" w:type="dxa"/>
            <w:vAlign w:val="bottom"/>
          </w:tcPr>
          <w:p>
            <w:pPr>
              <w:spacing w:after="0"/>
              <w:rPr>
                <w:sz w:val="24"/>
                <w:szCs w:val="24"/>
                <w:color w:val="auto"/>
              </w:rPr>
            </w:pPr>
          </w:p>
        </w:tc>
        <w:tc>
          <w:tcPr>
            <w:tcW w:w="1980" w:type="dxa"/>
            <w:vAlign w:val="bottom"/>
            <w:vMerge w:val="restart"/>
          </w:tcPr>
          <w:p>
            <w:pPr>
              <w:jc w:val="center"/>
              <w:spacing w:after="0"/>
              <w:rPr>
                <w:sz w:val="20"/>
                <w:szCs w:val="20"/>
                <w:color w:val="auto"/>
              </w:rPr>
            </w:pPr>
            <w:r>
              <w:rPr>
                <w:rFonts w:ascii="Arial" w:cs="Arial" w:eastAsia="Arial" w:hAnsi="Arial"/>
                <w:sz w:val="20"/>
                <w:szCs w:val="20"/>
                <w:color w:val="auto"/>
                <w:w w:val="89"/>
              </w:rPr>
              <w:t>February 22, 2024</w:t>
            </w:r>
          </w:p>
        </w:tc>
        <w:tc>
          <w:tcPr>
            <w:tcW w:w="0" w:type="dxa"/>
            <w:vAlign w:val="bottom"/>
          </w:tcPr>
          <w:p>
            <w:pPr>
              <w:spacing w:after="0"/>
              <w:rPr>
                <w:sz w:val="1"/>
                <w:szCs w:val="1"/>
                <w:color w:val="auto"/>
              </w:rPr>
            </w:pPr>
          </w:p>
        </w:tc>
      </w:tr>
      <w:tr>
        <w:trPr>
          <w:trHeight w:val="75"/>
        </w:trPr>
        <w:tc>
          <w:tcPr>
            <w:tcW w:w="4840" w:type="dxa"/>
            <w:vAlign w:val="bottom"/>
            <w:vMerge w:val="restart"/>
          </w:tcPr>
          <w:p>
            <w:pPr>
              <w:jc w:val="center"/>
              <w:spacing w:after="0"/>
              <w:rPr>
                <w:sz w:val="20"/>
                <w:szCs w:val="20"/>
                <w:color w:val="auto"/>
              </w:rPr>
            </w:pPr>
            <w:r>
              <w:rPr>
                <w:rFonts w:ascii="Arial" w:cs="Arial" w:eastAsia="Arial" w:hAnsi="Arial"/>
                <w:sz w:val="20"/>
                <w:szCs w:val="20"/>
                <w:color w:val="auto"/>
                <w:w w:val="94"/>
              </w:rPr>
              <w:t>(Principal Executive Officer)</w:t>
            </w:r>
          </w:p>
        </w:tc>
        <w:tc>
          <w:tcPr>
            <w:tcW w:w="80" w:type="dxa"/>
            <w:vAlign w:val="bottom"/>
          </w:tcPr>
          <w:p>
            <w:pPr>
              <w:spacing w:after="0"/>
              <w:rPr>
                <w:sz w:val="6"/>
                <w:szCs w:val="6"/>
                <w:color w:val="auto"/>
              </w:rPr>
            </w:pPr>
          </w:p>
        </w:tc>
        <w:tc>
          <w:tcPr>
            <w:tcW w:w="1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4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4840" w:type="dxa"/>
            <w:vAlign w:val="bottom"/>
          </w:tcPr>
          <w:p>
            <w:pPr>
              <w:jc w:val="center"/>
              <w:spacing w:after="0"/>
              <w:rPr>
                <w:sz w:val="20"/>
                <w:szCs w:val="20"/>
                <w:color w:val="auto"/>
              </w:rPr>
            </w:pPr>
            <w:r>
              <w:rPr>
                <w:rFonts w:ascii="Arial" w:cs="Arial" w:eastAsia="Arial" w:hAnsi="Arial"/>
                <w:sz w:val="20"/>
                <w:szCs w:val="20"/>
                <w:color w:val="auto"/>
                <w:w w:val="92"/>
              </w:rPr>
              <w:t>Executive Vice President and Chief Financial Officer</w:t>
            </w:r>
          </w:p>
        </w:tc>
        <w:tc>
          <w:tcPr>
            <w:tcW w:w="80" w:type="dxa"/>
            <w:vAlign w:val="bottom"/>
          </w:tcPr>
          <w:p>
            <w:pPr>
              <w:spacing w:after="0"/>
              <w:rPr>
                <w:sz w:val="24"/>
                <w:szCs w:val="24"/>
                <w:color w:val="auto"/>
              </w:rPr>
            </w:pPr>
          </w:p>
        </w:tc>
        <w:tc>
          <w:tcPr>
            <w:tcW w:w="1980" w:type="dxa"/>
            <w:vAlign w:val="bottom"/>
            <w:vMerge w:val="restart"/>
          </w:tcPr>
          <w:p>
            <w:pPr>
              <w:jc w:val="center"/>
              <w:spacing w:after="0"/>
              <w:rPr>
                <w:sz w:val="20"/>
                <w:szCs w:val="20"/>
                <w:color w:val="auto"/>
              </w:rPr>
            </w:pPr>
            <w:r>
              <w:rPr>
                <w:rFonts w:ascii="Arial" w:cs="Arial" w:eastAsia="Arial" w:hAnsi="Arial"/>
                <w:sz w:val="20"/>
                <w:szCs w:val="20"/>
                <w:color w:val="auto"/>
                <w:w w:val="89"/>
              </w:rPr>
              <w:t>February 22, 2024</w:t>
            </w:r>
          </w:p>
        </w:tc>
        <w:tc>
          <w:tcPr>
            <w:tcW w:w="0" w:type="dxa"/>
            <w:vAlign w:val="bottom"/>
          </w:tcPr>
          <w:p>
            <w:pPr>
              <w:spacing w:after="0"/>
              <w:rPr>
                <w:sz w:val="1"/>
                <w:szCs w:val="1"/>
                <w:color w:val="auto"/>
              </w:rPr>
            </w:pPr>
          </w:p>
        </w:tc>
      </w:tr>
      <w:tr>
        <w:trPr>
          <w:trHeight w:val="172"/>
        </w:trPr>
        <w:tc>
          <w:tcPr>
            <w:tcW w:w="4840" w:type="dxa"/>
            <w:vAlign w:val="bottom"/>
            <w:vMerge w:val="restart"/>
          </w:tcPr>
          <w:p>
            <w:pPr>
              <w:jc w:val="center"/>
              <w:spacing w:after="0"/>
              <w:rPr>
                <w:sz w:val="20"/>
                <w:szCs w:val="20"/>
                <w:color w:val="auto"/>
              </w:rPr>
            </w:pPr>
            <w:r>
              <w:rPr>
                <w:rFonts w:ascii="Arial" w:cs="Arial" w:eastAsia="Arial" w:hAnsi="Arial"/>
                <w:sz w:val="20"/>
                <w:szCs w:val="20"/>
                <w:color w:val="auto"/>
                <w:w w:val="93"/>
              </w:rPr>
              <w:t>(Principal Financial Officer and</w:t>
            </w:r>
          </w:p>
        </w:tc>
        <w:tc>
          <w:tcPr>
            <w:tcW w:w="80" w:type="dxa"/>
            <w:vAlign w:val="bottom"/>
          </w:tcPr>
          <w:p>
            <w:pPr>
              <w:spacing w:after="0"/>
              <w:rPr>
                <w:sz w:val="14"/>
                <w:szCs w:val="14"/>
                <w:color w:val="auto"/>
              </w:rPr>
            </w:pPr>
          </w:p>
        </w:tc>
        <w:tc>
          <w:tcPr>
            <w:tcW w:w="1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48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4840" w:type="dxa"/>
            <w:vAlign w:val="bottom"/>
          </w:tcPr>
          <w:p>
            <w:pPr>
              <w:jc w:val="center"/>
              <w:spacing w:after="0"/>
              <w:rPr>
                <w:sz w:val="20"/>
                <w:szCs w:val="20"/>
                <w:color w:val="auto"/>
              </w:rPr>
            </w:pPr>
            <w:r>
              <w:rPr>
                <w:rFonts w:ascii="Arial" w:cs="Arial" w:eastAsia="Arial" w:hAnsi="Arial"/>
                <w:sz w:val="20"/>
                <w:szCs w:val="20"/>
                <w:color w:val="auto"/>
                <w:w w:val="94"/>
              </w:rPr>
              <w:t>Principal Accounting Officer)</w:t>
            </w:r>
          </w:p>
        </w:tc>
        <w:tc>
          <w:tcPr>
            <w:tcW w:w="8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9"/>
        </w:trPr>
        <w:tc>
          <w:tcPr>
            <w:tcW w:w="4840" w:type="dxa"/>
            <w:vAlign w:val="bottom"/>
          </w:tcPr>
          <w:p>
            <w:pPr>
              <w:jc w:val="center"/>
              <w:spacing w:after="0"/>
              <w:rPr>
                <w:sz w:val="20"/>
                <w:szCs w:val="20"/>
                <w:color w:val="auto"/>
              </w:rPr>
            </w:pPr>
            <w:r>
              <w:rPr>
                <w:rFonts w:ascii="Arial" w:cs="Arial" w:eastAsia="Arial" w:hAnsi="Arial"/>
                <w:sz w:val="20"/>
                <w:szCs w:val="20"/>
                <w:color w:val="auto"/>
                <w:w w:val="90"/>
              </w:rPr>
              <w:t>Chairman of the Board</w:t>
            </w:r>
          </w:p>
        </w:tc>
        <w:tc>
          <w:tcPr>
            <w:tcW w:w="8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20"/>
                <w:szCs w:val="20"/>
                <w:color w:val="auto"/>
                <w:w w:val="89"/>
              </w:rPr>
              <w:t>February 22, 2024</w:t>
            </w:r>
          </w:p>
        </w:tc>
        <w:tc>
          <w:tcPr>
            <w:tcW w:w="0" w:type="dxa"/>
            <w:vAlign w:val="bottom"/>
          </w:tcPr>
          <w:p>
            <w:pPr>
              <w:spacing w:after="0"/>
              <w:rPr>
                <w:sz w:val="1"/>
                <w:szCs w:val="1"/>
                <w:color w:val="auto"/>
              </w:rPr>
            </w:pPr>
          </w:p>
        </w:tc>
      </w:tr>
      <w:tr>
        <w:trPr>
          <w:trHeight w:val="716"/>
        </w:trPr>
        <w:tc>
          <w:tcPr>
            <w:tcW w:w="4840" w:type="dxa"/>
            <w:vAlign w:val="bottom"/>
          </w:tcPr>
          <w:p>
            <w:pPr>
              <w:jc w:val="center"/>
              <w:spacing w:after="0"/>
              <w:rPr>
                <w:sz w:val="20"/>
                <w:szCs w:val="20"/>
                <w:color w:val="auto"/>
              </w:rPr>
            </w:pPr>
            <w:r>
              <w:rPr>
                <w:rFonts w:ascii="Arial" w:cs="Arial" w:eastAsia="Arial" w:hAnsi="Arial"/>
                <w:sz w:val="20"/>
                <w:szCs w:val="20"/>
                <w:color w:val="auto"/>
                <w:w w:val="94"/>
              </w:rPr>
              <w:t>Director</w:t>
            </w:r>
          </w:p>
        </w:tc>
        <w:tc>
          <w:tcPr>
            <w:tcW w:w="8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20"/>
                <w:szCs w:val="20"/>
                <w:color w:val="auto"/>
                <w:w w:val="89"/>
              </w:rPr>
              <w:t>February 22, 2024</w:t>
            </w:r>
          </w:p>
        </w:tc>
        <w:tc>
          <w:tcPr>
            <w:tcW w:w="0" w:type="dxa"/>
            <w:vAlign w:val="bottom"/>
          </w:tcPr>
          <w:p>
            <w:pPr>
              <w:spacing w:after="0"/>
              <w:rPr>
                <w:sz w:val="1"/>
                <w:szCs w:val="1"/>
                <w:color w:val="auto"/>
              </w:rPr>
            </w:pPr>
          </w:p>
        </w:tc>
      </w:tr>
      <w:tr>
        <w:trPr>
          <w:trHeight w:val="716"/>
        </w:trPr>
        <w:tc>
          <w:tcPr>
            <w:tcW w:w="4840" w:type="dxa"/>
            <w:vAlign w:val="bottom"/>
          </w:tcPr>
          <w:p>
            <w:pPr>
              <w:jc w:val="center"/>
              <w:spacing w:after="0"/>
              <w:rPr>
                <w:sz w:val="20"/>
                <w:szCs w:val="20"/>
                <w:color w:val="auto"/>
              </w:rPr>
            </w:pPr>
            <w:r>
              <w:rPr>
                <w:rFonts w:ascii="Arial" w:cs="Arial" w:eastAsia="Arial" w:hAnsi="Arial"/>
                <w:sz w:val="20"/>
                <w:szCs w:val="20"/>
                <w:color w:val="auto"/>
                <w:w w:val="94"/>
              </w:rPr>
              <w:t>Director</w:t>
            </w:r>
          </w:p>
        </w:tc>
        <w:tc>
          <w:tcPr>
            <w:tcW w:w="8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20"/>
                <w:szCs w:val="20"/>
                <w:color w:val="auto"/>
                <w:w w:val="89"/>
              </w:rPr>
              <w:t>February 22, 2024</w:t>
            </w:r>
          </w:p>
        </w:tc>
        <w:tc>
          <w:tcPr>
            <w:tcW w:w="0" w:type="dxa"/>
            <w:vAlign w:val="bottom"/>
          </w:tcPr>
          <w:p>
            <w:pPr>
              <w:spacing w:after="0"/>
              <w:rPr>
                <w:sz w:val="1"/>
                <w:szCs w:val="1"/>
                <w:color w:val="auto"/>
              </w:rPr>
            </w:pPr>
          </w:p>
        </w:tc>
      </w:tr>
      <w:tr>
        <w:trPr>
          <w:trHeight w:val="716"/>
        </w:trPr>
        <w:tc>
          <w:tcPr>
            <w:tcW w:w="4840" w:type="dxa"/>
            <w:vAlign w:val="bottom"/>
          </w:tcPr>
          <w:p>
            <w:pPr>
              <w:jc w:val="center"/>
              <w:spacing w:after="0"/>
              <w:rPr>
                <w:sz w:val="20"/>
                <w:szCs w:val="20"/>
                <w:color w:val="auto"/>
              </w:rPr>
            </w:pPr>
            <w:r>
              <w:rPr>
                <w:rFonts w:ascii="Arial" w:cs="Arial" w:eastAsia="Arial" w:hAnsi="Arial"/>
                <w:sz w:val="20"/>
                <w:szCs w:val="20"/>
                <w:color w:val="auto"/>
                <w:w w:val="94"/>
              </w:rPr>
              <w:t>Director</w:t>
            </w:r>
          </w:p>
        </w:tc>
        <w:tc>
          <w:tcPr>
            <w:tcW w:w="8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20"/>
                <w:szCs w:val="20"/>
                <w:color w:val="auto"/>
                <w:w w:val="89"/>
              </w:rPr>
              <w:t>February 22, 2024</w:t>
            </w:r>
          </w:p>
        </w:tc>
        <w:tc>
          <w:tcPr>
            <w:tcW w:w="0" w:type="dxa"/>
            <w:vAlign w:val="bottom"/>
          </w:tcPr>
          <w:p>
            <w:pPr>
              <w:spacing w:after="0"/>
              <w:rPr>
                <w:sz w:val="1"/>
                <w:szCs w:val="1"/>
                <w:color w:val="auto"/>
              </w:rPr>
            </w:pPr>
          </w:p>
        </w:tc>
      </w:tr>
      <w:tr>
        <w:trPr>
          <w:trHeight w:val="716"/>
        </w:trPr>
        <w:tc>
          <w:tcPr>
            <w:tcW w:w="4840" w:type="dxa"/>
            <w:vAlign w:val="bottom"/>
          </w:tcPr>
          <w:p>
            <w:pPr>
              <w:jc w:val="center"/>
              <w:spacing w:after="0"/>
              <w:rPr>
                <w:sz w:val="20"/>
                <w:szCs w:val="20"/>
                <w:color w:val="auto"/>
              </w:rPr>
            </w:pPr>
            <w:r>
              <w:rPr>
                <w:rFonts w:ascii="Arial" w:cs="Arial" w:eastAsia="Arial" w:hAnsi="Arial"/>
                <w:sz w:val="20"/>
                <w:szCs w:val="20"/>
                <w:color w:val="auto"/>
                <w:w w:val="94"/>
              </w:rPr>
              <w:t>Director</w:t>
            </w:r>
          </w:p>
        </w:tc>
        <w:tc>
          <w:tcPr>
            <w:tcW w:w="8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20"/>
                <w:szCs w:val="20"/>
                <w:color w:val="auto"/>
                <w:w w:val="89"/>
              </w:rPr>
              <w:t>February 22, 2024</w:t>
            </w:r>
          </w:p>
        </w:tc>
        <w:tc>
          <w:tcPr>
            <w:tcW w:w="0" w:type="dxa"/>
            <w:vAlign w:val="bottom"/>
          </w:tcPr>
          <w:p>
            <w:pPr>
              <w:spacing w:after="0"/>
              <w:rPr>
                <w:sz w:val="1"/>
                <w:szCs w:val="1"/>
                <w:color w:val="auto"/>
              </w:rPr>
            </w:pPr>
          </w:p>
        </w:tc>
      </w:tr>
      <w:tr>
        <w:trPr>
          <w:trHeight w:val="716"/>
        </w:trPr>
        <w:tc>
          <w:tcPr>
            <w:tcW w:w="4840" w:type="dxa"/>
            <w:vAlign w:val="bottom"/>
          </w:tcPr>
          <w:p>
            <w:pPr>
              <w:jc w:val="center"/>
              <w:spacing w:after="0"/>
              <w:rPr>
                <w:sz w:val="20"/>
                <w:szCs w:val="20"/>
                <w:color w:val="auto"/>
              </w:rPr>
            </w:pPr>
            <w:r>
              <w:rPr>
                <w:rFonts w:ascii="Arial" w:cs="Arial" w:eastAsia="Arial" w:hAnsi="Arial"/>
                <w:sz w:val="20"/>
                <w:szCs w:val="20"/>
                <w:color w:val="auto"/>
                <w:w w:val="94"/>
              </w:rPr>
              <w:t>Director</w:t>
            </w:r>
          </w:p>
        </w:tc>
        <w:tc>
          <w:tcPr>
            <w:tcW w:w="8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20"/>
                <w:szCs w:val="20"/>
                <w:color w:val="auto"/>
                <w:w w:val="89"/>
              </w:rPr>
              <w:t>February 22, 2024</w:t>
            </w:r>
          </w:p>
        </w:tc>
        <w:tc>
          <w:tcPr>
            <w:tcW w:w="0" w:type="dxa"/>
            <w:vAlign w:val="bottom"/>
          </w:tcPr>
          <w:p>
            <w:pPr>
              <w:spacing w:after="0"/>
              <w:rPr>
                <w:sz w:val="1"/>
                <w:szCs w:val="1"/>
                <w:color w:val="auto"/>
              </w:rPr>
            </w:pPr>
          </w:p>
        </w:tc>
      </w:tr>
      <w:tr>
        <w:trPr>
          <w:trHeight w:val="716"/>
        </w:trPr>
        <w:tc>
          <w:tcPr>
            <w:tcW w:w="4840" w:type="dxa"/>
            <w:vAlign w:val="bottom"/>
          </w:tcPr>
          <w:p>
            <w:pPr>
              <w:jc w:val="center"/>
              <w:spacing w:after="0"/>
              <w:rPr>
                <w:sz w:val="20"/>
                <w:szCs w:val="20"/>
                <w:color w:val="auto"/>
              </w:rPr>
            </w:pPr>
            <w:r>
              <w:rPr>
                <w:rFonts w:ascii="Arial" w:cs="Arial" w:eastAsia="Arial" w:hAnsi="Arial"/>
                <w:sz w:val="20"/>
                <w:szCs w:val="20"/>
                <w:color w:val="auto"/>
                <w:w w:val="94"/>
              </w:rPr>
              <w:t>Director</w:t>
            </w:r>
          </w:p>
        </w:tc>
        <w:tc>
          <w:tcPr>
            <w:tcW w:w="8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20"/>
                <w:szCs w:val="20"/>
                <w:color w:val="auto"/>
                <w:w w:val="89"/>
              </w:rPr>
              <w:t>February 22, 2024</w:t>
            </w:r>
          </w:p>
        </w:tc>
        <w:tc>
          <w:tcPr>
            <w:tcW w:w="0" w:type="dxa"/>
            <w:vAlign w:val="bottom"/>
          </w:tcPr>
          <w:p>
            <w:pPr>
              <w:spacing w:after="0"/>
              <w:rPr>
                <w:sz w:val="1"/>
                <w:szCs w:val="1"/>
                <w:color w:val="auto"/>
              </w:rPr>
            </w:pPr>
          </w:p>
        </w:tc>
      </w:tr>
      <w:tr>
        <w:trPr>
          <w:trHeight w:val="716"/>
        </w:trPr>
        <w:tc>
          <w:tcPr>
            <w:tcW w:w="4840" w:type="dxa"/>
            <w:vAlign w:val="bottom"/>
          </w:tcPr>
          <w:p>
            <w:pPr>
              <w:jc w:val="center"/>
              <w:spacing w:after="0"/>
              <w:rPr>
                <w:sz w:val="20"/>
                <w:szCs w:val="20"/>
                <w:color w:val="auto"/>
              </w:rPr>
            </w:pPr>
            <w:r>
              <w:rPr>
                <w:rFonts w:ascii="Arial" w:cs="Arial" w:eastAsia="Arial" w:hAnsi="Arial"/>
                <w:sz w:val="20"/>
                <w:szCs w:val="20"/>
                <w:color w:val="auto"/>
                <w:w w:val="94"/>
              </w:rPr>
              <w:t>Director</w:t>
            </w:r>
          </w:p>
        </w:tc>
        <w:tc>
          <w:tcPr>
            <w:tcW w:w="8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20"/>
                <w:szCs w:val="20"/>
                <w:color w:val="auto"/>
                <w:w w:val="89"/>
              </w:rPr>
              <w:t>February 22, 2024</w:t>
            </w:r>
          </w:p>
        </w:tc>
        <w:tc>
          <w:tcPr>
            <w:tcW w:w="0" w:type="dxa"/>
            <w:vAlign w:val="bottom"/>
          </w:tcPr>
          <w:p>
            <w:pPr>
              <w:spacing w:after="0"/>
              <w:rPr>
                <w:sz w:val="1"/>
                <w:szCs w:val="1"/>
                <w:color w:val="auto"/>
              </w:rPr>
            </w:pPr>
          </w:p>
        </w:tc>
      </w:tr>
      <w:tr>
        <w:trPr>
          <w:trHeight w:val="716"/>
        </w:trPr>
        <w:tc>
          <w:tcPr>
            <w:tcW w:w="4840" w:type="dxa"/>
            <w:vAlign w:val="bottom"/>
          </w:tcPr>
          <w:p>
            <w:pPr>
              <w:jc w:val="center"/>
              <w:spacing w:after="0"/>
              <w:rPr>
                <w:sz w:val="20"/>
                <w:szCs w:val="20"/>
                <w:color w:val="auto"/>
              </w:rPr>
            </w:pPr>
            <w:r>
              <w:rPr>
                <w:rFonts w:ascii="Arial" w:cs="Arial" w:eastAsia="Arial" w:hAnsi="Arial"/>
                <w:sz w:val="20"/>
                <w:szCs w:val="20"/>
                <w:color w:val="auto"/>
                <w:w w:val="94"/>
              </w:rPr>
              <w:t>Director</w:t>
            </w:r>
          </w:p>
        </w:tc>
        <w:tc>
          <w:tcPr>
            <w:tcW w:w="8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20"/>
                <w:szCs w:val="20"/>
                <w:color w:val="auto"/>
                <w:w w:val="89"/>
              </w:rPr>
              <w:t>February 22, 2024</w:t>
            </w:r>
          </w:p>
        </w:tc>
        <w:tc>
          <w:tcPr>
            <w:tcW w:w="0" w:type="dxa"/>
            <w:vAlign w:val="bottom"/>
          </w:tcPr>
          <w:p>
            <w:pPr>
              <w:spacing w:after="0"/>
              <w:rPr>
                <w:sz w:val="1"/>
                <w:szCs w:val="1"/>
                <w:color w:val="auto"/>
              </w:rPr>
            </w:pPr>
          </w:p>
        </w:tc>
      </w:tr>
      <w:tr>
        <w:trPr>
          <w:trHeight w:val="716"/>
        </w:trPr>
        <w:tc>
          <w:tcPr>
            <w:tcW w:w="4840" w:type="dxa"/>
            <w:vAlign w:val="bottom"/>
          </w:tcPr>
          <w:p>
            <w:pPr>
              <w:jc w:val="center"/>
              <w:spacing w:after="0"/>
              <w:rPr>
                <w:sz w:val="20"/>
                <w:szCs w:val="20"/>
                <w:color w:val="auto"/>
              </w:rPr>
            </w:pPr>
            <w:r>
              <w:rPr>
                <w:rFonts w:ascii="Arial" w:cs="Arial" w:eastAsia="Arial" w:hAnsi="Arial"/>
                <w:sz w:val="20"/>
                <w:szCs w:val="20"/>
                <w:color w:val="auto"/>
                <w:w w:val="94"/>
              </w:rPr>
              <w:t>Director</w:t>
            </w:r>
          </w:p>
        </w:tc>
        <w:tc>
          <w:tcPr>
            <w:tcW w:w="8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20"/>
                <w:szCs w:val="20"/>
                <w:color w:val="auto"/>
                <w:w w:val="89"/>
              </w:rPr>
              <w:t>February 22, 2024</w:t>
            </w:r>
          </w:p>
        </w:tc>
        <w:tc>
          <w:tcPr>
            <w:tcW w:w="0" w:type="dxa"/>
            <w:vAlign w:val="bottom"/>
          </w:tcPr>
          <w:p>
            <w:pPr>
              <w:spacing w:after="0"/>
              <w:rPr>
                <w:sz w:val="1"/>
                <w:szCs w:val="1"/>
                <w:color w:val="auto"/>
              </w:rPr>
            </w:pPr>
          </w:p>
        </w:tc>
      </w:tr>
    </w:tbl>
    <w:p>
      <w:pPr>
        <w:spacing w:after="0" w:line="385" w:lineRule="exact"/>
        <w:rPr>
          <w:sz w:val="20"/>
          <w:szCs w:val="20"/>
          <w:color w:val="auto"/>
        </w:rPr>
      </w:pPr>
    </w:p>
    <w:p>
      <w:pPr>
        <w:sectPr>
          <w:pgSz w:w="11880" w:h="15480" w:orient="portrait"/>
          <w:cols w:equalWidth="0" w:num="2">
            <w:col w:w="2920" w:space="380"/>
            <w:col w:w="6900"/>
          </w:cols>
          <w:pgMar w:left="840" w:top="404" w:right="8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137</w:t>
      </w:r>
    </w:p>
    <w:p>
      <w:pPr>
        <w:sectPr>
          <w:pgSz w:w="11880" w:h="15480" w:orient="portrait"/>
          <w:cols w:equalWidth="0" w:num="1">
            <w:col w:w="10200"/>
          </w:cols>
          <w:pgMar w:left="840" w:top="404" w:right="840" w:bottom="0" w:gutter="0" w:footer="0" w:header="0"/>
          <w:type w:val="continuous"/>
        </w:sectPr>
      </w:pPr>
    </w:p>
    <w:bookmarkStart w:id="139" w:name="page140"/>
    <w:bookmarkEnd w:id="13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(This page has been left blank intentionally.)</w:t>
      </w:r>
    </w:p>
    <w:p>
      <w:pPr>
        <w:sectPr>
          <w:pgSz w:w="11880" w:h="15480" w:orient="portrait"/>
          <w:cols w:equalWidth="0" w:num="1">
            <w:col w:w="9000"/>
          </w:cols>
          <w:pgMar w:left="1440" w:top="1440" w:right="1440" w:bottom="1440" w:gutter="0" w:footer="0" w:header="0"/>
        </w:sectPr>
      </w:pPr>
    </w:p>
    <w:bookmarkStart w:id="140" w:name="page141"/>
    <w:bookmarkEnd w:id="14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(This page has been left blank intentionally.)</w:t>
      </w:r>
    </w:p>
    <w:p>
      <w:pPr>
        <w:sectPr>
          <w:pgSz w:w="11880" w:h="15480" w:orient="portrait"/>
          <w:cols w:equalWidth="0" w:num="1">
            <w:col w:w="9000"/>
          </w:cols>
          <w:pgMar w:left="1440" w:top="1440" w:right="1440" w:bottom="1440" w:gutter="0" w:footer="0" w:header="0"/>
        </w:sectPr>
      </w:pPr>
    </w:p>
    <w:bookmarkStart w:id="141" w:name="page142"/>
    <w:bookmarkEnd w:id="14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(This page has been left blank intentionally.)</w:t>
      </w:r>
    </w:p>
    <w:p>
      <w:pPr>
        <w:sectPr>
          <w:pgSz w:w="11880" w:h="15480" w:orient="portrait"/>
          <w:cols w:equalWidth="0" w:num="1">
            <w:col w:w="9000"/>
          </w:cols>
          <w:pgMar w:left="1440" w:top="1440" w:right="1440" w:bottom="1440" w:gutter="0" w:footer="0" w:header="0"/>
        </w:sectPr>
      </w:pPr>
    </w:p>
    <w:bookmarkStart w:id="142" w:name="page143"/>
    <w:bookmarkEnd w:id="1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309">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43" w:name="page144"/>
    <w:bookmarkEnd w:id="1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310">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1"/>
          <w:szCs w:val="21"/>
          <w:b w:val="1"/>
          <w:bCs w:val="1"/>
          <w:color w:val="001B76"/>
        </w:rPr>
        <w:t>Clearway Energy, Inc.</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color w:val="2563A0"/>
        </w:rPr>
        <w:t>300 Carnegie Center</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color w:val="2563A0"/>
        </w:rPr>
        <w:t>Suite 300</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color w:val="2563A0"/>
        </w:rPr>
        <w:t>Princeton, NJ</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color w:val="2563A0"/>
        </w:rPr>
        <w:t>08540-6213</w:t>
      </w:r>
    </w:p>
    <w:sectPr>
      <w:pgSz w:w="11880" w:h="15480" w:orient="portrait"/>
      <w:cols w:equalWidth="0" w:num="1">
        <w:col w:w="9820"/>
      </w:cols>
      <w:pgMar w:left="6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1)"/>
      <w:numFmt w:val="lowerLetter"/>
      <w:start w:val="1"/>
    </w:lvl>
  </w:abstractNum>
  <w:abstractNum w:abstractNumId="3">
    <w:nsid w:val="6DE91B18"/>
    <w:multiLevelType w:val="hybridMultilevel"/>
    <w:lvl w:ilvl="0">
      <w:lvlJc w:val="left"/>
      <w:lvlText w:val="(%1)"/>
      <w:numFmt w:val="lowerLetter"/>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
      <w:numFmt w:val="bullet"/>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
      <w:numFmt w:val="bullet"/>
      <w:start w:val="1"/>
    </w:lvl>
  </w:abstractNum>
  <w:abstractNum w:abstractNumId="10">
    <w:nsid w:val="3DC240FB"/>
    <w:multiLevelType w:val="hybridMultilevel"/>
    <w:lvl w:ilvl="0">
      <w:lvlJc w:val="left"/>
      <w:lvlText w:val="•"/>
      <w:numFmt w:val="bullet"/>
      <w:start w:val="1"/>
    </w:lvl>
  </w:abstractNum>
  <w:abstractNum w:abstractNumId="11">
    <w:nsid w:val="1BA026FA"/>
    <w:multiLevelType w:val="hybridMultilevel"/>
    <w:lvl w:ilvl="0">
      <w:lvlJc w:val="left"/>
      <w:lvlText w:val="•"/>
      <w:numFmt w:val="bullet"/>
      <w:start w:val="1"/>
    </w:lvl>
  </w:abstractNum>
  <w:abstractNum w:abstractNumId="12">
    <w:nsid w:val="79A1DEAA"/>
    <w:multiLevelType w:val="hybridMultilevel"/>
    <w:lvl w:ilvl="0">
      <w:lvlJc w:val="left"/>
      <w:lvlText w:val="(%1)"/>
      <w:numFmt w:val="lowerRoman"/>
      <w:start w:val="2"/>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
      <w:numFmt w:val="bullet"/>
      <w:start w:val="1"/>
    </w:lvl>
  </w:abstractNum>
  <w:abstractNum w:abstractNumId="15">
    <w:nsid w:val="70C6A529"/>
    <w:multiLevelType w:val="hybridMultilevel"/>
    <w:lvl w:ilvl="0">
      <w:lvlJc w:val="left"/>
      <w:lvlText w:val="•"/>
      <w:numFmt w:val="bullet"/>
      <w:start w:val="1"/>
    </w:lvl>
  </w:abstractNum>
  <w:abstractNum w:abstractNumId="16">
    <w:nsid w:val="520EEDD1"/>
    <w:multiLevelType w:val="hybridMultilevel"/>
    <w:lvl w:ilvl="0">
      <w:lvlJc w:val="left"/>
      <w:lvlText w:val="•"/>
      <w:numFmt w:val="bullet"/>
      <w:start w:val="1"/>
    </w:lvl>
  </w:abstractNum>
  <w:abstractNum w:abstractNumId="17">
    <w:nsid w:val="374A3FE6"/>
    <w:multiLevelType w:val="hybridMultilevel"/>
    <w:lvl w:ilvl="0">
      <w:lvlJc w:val="left"/>
      <w:lvlText w:val="(%1)"/>
      <w:numFmt w:val="lowerLetter"/>
      <w:start w:val="1"/>
    </w:lvl>
  </w:abstractNum>
  <w:abstractNum w:abstractNumId="18">
    <w:nsid w:val="4F4EF005"/>
    <w:multiLevelType w:val="hybridMultilevel"/>
    <w:lvl w:ilvl="0">
      <w:lvlJc w:val="left"/>
      <w:lvlText w:val="•"/>
      <w:numFmt w:val="bullet"/>
      <w:start w:val="1"/>
    </w:lvl>
  </w:abstractNum>
  <w:abstractNum w:abstractNumId="19">
    <w:nsid w:val="23F9C13C"/>
    <w:multiLevelType w:val="hybridMultilevel"/>
    <w:lvl w:ilvl="0">
      <w:lvlJc w:val="left"/>
      <w:lvlText w:val="•"/>
      <w:numFmt w:val="bullet"/>
      <w:start w:val="1"/>
    </w:lvl>
  </w:abstractNum>
  <w:abstractNum w:abstractNumId="20">
    <w:nsid w:val="649BB77C"/>
    <w:multiLevelType w:val="hybridMultilevel"/>
    <w:lvl w:ilvl="0">
      <w:lvlJc w:val="left"/>
      <w:lvlText w:val="•"/>
      <w:numFmt w:val="bullet"/>
      <w:start w:val="1"/>
    </w:lvl>
  </w:abstractNum>
  <w:abstractNum w:abstractNumId="21">
    <w:nsid w:val="275AC794"/>
    <w:multiLevelType w:val="hybridMultilevel"/>
    <w:lvl w:ilvl="0">
      <w:lvlJc w:val="left"/>
      <w:lvlText w:val="•"/>
      <w:numFmt w:val="bullet"/>
      <w:start w:val="1"/>
    </w:lvl>
  </w:abstractNum>
  <w:abstractNum w:abstractNumId="22">
    <w:nsid w:val="39386575"/>
    <w:multiLevelType w:val="hybridMultilevel"/>
    <w:lvl w:ilvl="0">
      <w:lvlJc w:val="left"/>
      <w:lvlText w:val="•"/>
      <w:numFmt w:val="bullet"/>
      <w:start w:val="1"/>
    </w:lvl>
  </w:abstractNum>
  <w:abstractNum w:abstractNumId="23">
    <w:nsid w:val="1CF10FD8"/>
    <w:multiLevelType w:val="hybridMultilevel"/>
    <w:lvl w:ilvl="0">
      <w:lvlJc w:val="left"/>
      <w:lvlText w:val="•"/>
      <w:numFmt w:val="bullet"/>
      <w:start w:val="1"/>
    </w:lvl>
  </w:abstractNum>
  <w:abstractNum w:abstractNumId="24">
    <w:nsid w:val="180115BE"/>
    <w:multiLevelType w:val="hybridMultilevel"/>
    <w:lvl w:ilvl="0">
      <w:lvlJc w:val="left"/>
      <w:lvlText w:val="•"/>
      <w:numFmt w:val="bullet"/>
      <w:start w:val="1"/>
    </w:lvl>
  </w:abstractNum>
  <w:abstractNum w:abstractNumId="25">
    <w:nsid w:val="235BA861"/>
    <w:multiLevelType w:val="hybridMultilevel"/>
    <w:lvl w:ilvl="0">
      <w:lvlJc w:val="left"/>
      <w:lvlText w:val="(%1)"/>
      <w:numFmt w:val="lowerLetter"/>
      <w:start w:val="1"/>
    </w:lvl>
  </w:abstractNum>
  <w:abstractNum w:abstractNumId="26">
    <w:nsid w:val="47398C89"/>
    <w:multiLevelType w:val="hybridMultilevel"/>
    <w:lvl w:ilvl="0">
      <w:lvlJc w:val="left"/>
      <w:lvlText w:val="$"/>
      <w:numFmt w:val="bullet"/>
      <w:start w:val="1"/>
    </w:lvl>
  </w:abstractNum>
  <w:abstractNum w:abstractNumId="27">
    <w:nsid w:val="354FE9F9"/>
    <w:multiLevelType w:val="hybridMultilevel"/>
    <w:lvl w:ilvl="0">
      <w:lvlJc w:val="left"/>
      <w:lvlText w:val="$"/>
      <w:numFmt w:val="bullet"/>
      <w:start w:val="1"/>
    </w:lvl>
  </w:abstractNum>
  <w:abstractNum w:abstractNumId="28">
    <w:nsid w:val="15B5AF5C"/>
    <w:multiLevelType w:val="hybridMultilevel"/>
    <w:lvl w:ilvl="0">
      <w:lvlJc w:val="left"/>
      <w:lvlText w:val="$"/>
      <w:numFmt w:val="bullet"/>
      <w:start w:val="1"/>
    </w:lvl>
  </w:abstractNum>
  <w:abstractNum w:abstractNumId="29">
    <w:nsid w:val="741226BB"/>
    <w:multiLevelType w:val="hybridMultilevel"/>
    <w:lvl w:ilvl="0">
      <w:lvlJc w:val="left"/>
      <w:lvlText w:val="$"/>
      <w:numFmt w:val="bullet"/>
      <w:start w:val="1"/>
    </w:lvl>
  </w:abstractNum>
  <w:abstractNum w:abstractNumId="30">
    <w:nsid w:val="D34B6A8"/>
    <w:multiLevelType w:val="hybridMultilevel"/>
    <w:lvl w:ilvl="0">
      <w:lvlJc w:val="left"/>
      <w:lvlText w:val="$"/>
      <w:numFmt w:val="bullet"/>
      <w:start w:val="1"/>
    </w:lvl>
  </w:abstractNum>
  <w:abstractNum w:abstractNumId="31">
    <w:nsid w:val="10233C99"/>
    <w:multiLevelType w:val="hybridMultilevel"/>
    <w:lvl w:ilvl="0">
      <w:lvlJc w:val="left"/>
      <w:lvlText w:val="$"/>
      <w:numFmt w:val="bullet"/>
      <w:start w:val="1"/>
    </w:lvl>
  </w:abstractNum>
  <w:abstractNum w:abstractNumId="32">
    <w:nsid w:val="3F6AB60F"/>
    <w:multiLevelType w:val="hybridMultilevel"/>
    <w:lvl w:ilvl="0">
      <w:lvlJc w:val="left"/>
      <w:lvlText w:val="(%1)"/>
      <w:numFmt w:val="lowerLetter"/>
      <w:start w:val="1"/>
    </w:lvl>
  </w:abstractNum>
  <w:abstractNum w:abstractNumId="33">
    <w:nsid w:val="61574095"/>
    <w:multiLevelType w:val="hybridMultilevel"/>
    <w:lvl w:ilvl="0">
      <w:lvlJc w:val="left"/>
      <w:lvlText w:val="$"/>
      <w:numFmt w:val="bullet"/>
      <w:start w:val="1"/>
    </w:lvl>
  </w:abstractNum>
  <w:abstractNum w:abstractNumId="34">
    <w:nsid w:val="7E0C57B1"/>
    <w:multiLevelType w:val="hybridMultilevel"/>
    <w:lvl w:ilvl="0">
      <w:lvlJc w:val="left"/>
      <w:lvlText w:val="$"/>
      <w:numFmt w:val="bullet"/>
      <w:start w:val="1"/>
    </w:lvl>
  </w:abstractNum>
  <w:abstractNum w:abstractNumId="35">
    <w:nsid w:val="77AE35EB"/>
    <w:multiLevelType w:val="hybridMultilevel"/>
    <w:lvl w:ilvl="0">
      <w:lvlJc w:val="left"/>
      <w:lvlText w:val="$"/>
      <w:numFmt w:val="bullet"/>
      <w:start w:val="1"/>
    </w:lvl>
  </w:abstractNum>
  <w:abstractNum w:abstractNumId="36">
    <w:nsid w:val="579BE4F1"/>
    <w:multiLevelType w:val="hybridMultilevel"/>
    <w:lvl w:ilvl="0">
      <w:lvlJc w:val="left"/>
      <w:lvlText w:val="$"/>
      <w:numFmt w:val="bullet"/>
      <w:start w:val="1"/>
    </w:lvl>
  </w:abstractNum>
  <w:abstractNum w:abstractNumId="37">
    <w:nsid w:val="310C50B3"/>
    <w:multiLevelType w:val="hybridMultilevel"/>
    <w:lvl w:ilvl="0">
      <w:lvlJc w:val="left"/>
      <w:lvlText w:val="(%1)"/>
      <w:numFmt w:val="lowerRoman"/>
      <w:start w:val="1"/>
    </w:lvl>
  </w:abstractNum>
  <w:abstractNum w:abstractNumId="38">
    <w:nsid w:val="5FF87E05"/>
    <w:multiLevelType w:val="hybridMultilevel"/>
    <w:lvl w:ilvl="0">
      <w:lvlJc w:val="left"/>
      <w:lvlText w:val="(%1)"/>
      <w:numFmt w:val="lowerLetter"/>
      <w:start w:val="1"/>
    </w:lvl>
  </w:abstractNum>
  <w:abstractNum w:abstractNumId="39">
    <w:nsid w:val="2F305DEF"/>
    <w:multiLevelType w:val="hybridMultilevel"/>
    <w:lvl w:ilvl="0">
      <w:lvlJc w:val="left"/>
      <w:lvlText w:val="(%1)"/>
      <w:numFmt w:val="lowerLetter"/>
      <w:start w:val="1"/>
    </w:lvl>
  </w:abstractNum>
  <w:abstractNum w:abstractNumId="40">
    <w:nsid w:val="25A70BF7"/>
    <w:multiLevelType w:val="hybridMultilevel"/>
    <w:lvl w:ilvl="0">
      <w:lvlJc w:val="left"/>
      <w:lvlText w:val="$"/>
      <w:numFmt w:val="bullet"/>
      <w:start w:val="1"/>
    </w:lvl>
  </w:abstractNum>
  <w:abstractNum w:abstractNumId="41">
    <w:nsid w:val="1DBABF00"/>
    <w:multiLevelType w:val="hybridMultilevel"/>
    <w:lvl w:ilvl="0">
      <w:lvlJc w:val="left"/>
      <w:lvlText w:val="$"/>
      <w:numFmt w:val="bullet"/>
      <w:start w:val="1"/>
    </w:lvl>
  </w:abstractNum>
  <w:abstractNum w:abstractNumId="42">
    <w:nsid w:val="4AD084E9"/>
    <w:multiLevelType w:val="hybridMultilevel"/>
    <w:lvl w:ilvl="0">
      <w:lvlJc w:val="left"/>
      <w:lvlText w:val="$"/>
      <w:numFmt w:val="bullet"/>
      <w:start w:val="1"/>
    </w:lvl>
  </w:abstractNum>
  <w:abstractNum w:abstractNumId="43">
    <w:nsid w:val="1F48EAA1"/>
    <w:multiLevelType w:val="hybridMultilevel"/>
    <w:lvl w:ilvl="0">
      <w:lvlJc w:val="left"/>
      <w:lvlText w:val="$"/>
      <w:numFmt w:val="bullet"/>
      <w:start w:val="1"/>
    </w:lvl>
  </w:abstractNum>
  <w:abstractNum w:abstractNumId="44">
    <w:nsid w:val="1381823A"/>
    <w:multiLevelType w:val="hybridMultilevel"/>
    <w:lvl w:ilvl="0">
      <w:lvlJc w:val="left"/>
      <w:lvlText w:val="%1."/>
      <w:numFmt w:val="decimal"/>
      <w:start w:val="1"/>
    </w:lvl>
  </w:abstractNum>
  <w:abstractNum w:abstractNumId="45">
    <w:nsid w:val="5DB70AE5"/>
    <w:multiLevelType w:val="hybridMultilevel"/>
    <w:lvl w:ilvl="0">
      <w:lvlJc w:val="left"/>
      <w:lvlText w:val="(%1)"/>
      <w:numFmt w:val="decimal"/>
      <w:start w:val="1"/>
    </w:lvl>
  </w:abstractNum>
  <w:abstractNum w:abstractNumId="46">
    <w:nsid w:val="100F8FCA"/>
    <w:multiLevelType w:val="hybridMultilevel"/>
    <w:lvl w:ilvl="0">
      <w:lvlJc w:val="left"/>
      <w:lvlText w:val="(%1)"/>
      <w:numFmt w:val="lowerLetter"/>
      <w:start w:val="2"/>
    </w:lvl>
  </w:abstractNum>
  <w:abstractNum w:abstractNumId="47">
    <w:nsid w:val="6590700B"/>
    <w:multiLevelType w:val="hybridMultilevel"/>
    <w:lvl w:ilvl="0">
      <w:lvlJc w:val="left"/>
      <w:lvlText w:val="(%1)"/>
      <w:numFmt w:val="lowerLetter"/>
      <w:start w:val="1"/>
    </w:lvl>
  </w:abstractNum>
  <w:abstractNum w:abstractNumId="48">
    <w:nsid w:val="15014ACB"/>
    <w:multiLevelType w:val="hybridMultilevel"/>
    <w:lvl w:ilvl="0">
      <w:lvlJc w:val="left"/>
      <w:lvlText w:val="(%1)"/>
      <w:numFmt w:val="lowerLetter"/>
      <w:start w:val="1"/>
    </w:lvl>
  </w:abstractNum>
  <w:abstractNum w:abstractNumId="49">
    <w:nsid w:val="5F5E7FD0"/>
    <w:multiLevelType w:val="hybridMultilevel"/>
    <w:lvl w:ilvl="0">
      <w:lvlJc w:val="left"/>
      <w:lvlText w:val="(%1)"/>
      <w:numFmt w:val="lowerLetter"/>
      <w:start w:val="1"/>
    </w:lvl>
  </w:abstractNum>
  <w:abstractNum w:abstractNumId="50">
    <w:nsid w:val="98A3148"/>
    <w:multiLevelType w:val="hybridMultilevel"/>
    <w:lvl w:ilvl="0">
      <w:lvlJc w:val="left"/>
      <w:lvlText w:val="•"/>
      <w:numFmt w:val="bullet"/>
      <w:start w:val="1"/>
    </w:lvl>
  </w:abstractNum>
  <w:abstractNum w:abstractNumId="51">
    <w:nsid w:val="799D0247"/>
    <w:multiLevelType w:val="hybridMultilevel"/>
    <w:lvl w:ilvl="0">
      <w:lvlJc w:val="left"/>
      <w:lvlText w:val="(%1)"/>
      <w:numFmt w:val="lowerLetter"/>
      <w:start w:val="1"/>
    </w:lvl>
  </w:abstractNum>
  <w:abstractNum w:abstractNumId="52">
    <w:nsid w:val="6B94764"/>
    <w:multiLevelType w:val="hybridMultilevel"/>
    <w:lvl w:ilvl="0">
      <w:lvlJc w:val="left"/>
      <w:lvlText w:val="(%1)"/>
      <w:numFmt w:val="lowerLetter"/>
      <w:start w:val="1"/>
    </w:lvl>
  </w:abstractNum>
  <w:abstractNum w:abstractNumId="53">
    <w:nsid w:val="42C296BD"/>
    <w:multiLevelType w:val="hybridMultilevel"/>
    <w:lvl w:ilvl="0">
      <w:lvlJc w:val="left"/>
      <w:lvlText w:val="(%1)"/>
      <w:numFmt w:val="lowerLetter"/>
      <w:start w:val="1"/>
    </w:lvl>
  </w:abstractNum>
  <w:abstractNum w:abstractNumId="54">
    <w:nsid w:val="168E121F"/>
    <w:multiLevelType w:val="hybridMultilevel"/>
    <w:lvl w:ilvl="0">
      <w:lvlJc w:val="left"/>
      <w:lvlText w:val="(%1)"/>
      <w:numFmt w:val="lowerLetter"/>
      <w:start w:val="1"/>
    </w:lvl>
  </w:abstractNum>
  <w:abstractNum w:abstractNumId="55">
    <w:nsid w:val="1EBA5D23"/>
    <w:multiLevelType w:val="hybridMultilevel"/>
    <w:lvl w:ilvl="0">
      <w:lvlJc w:val="left"/>
      <w:lvlText w:val="(%1)"/>
      <w:numFmt w:val="lowerLetter"/>
      <w:start w:val="1"/>
    </w:lvl>
  </w:abstractNum>
  <w:abstractNum w:abstractNumId="56">
    <w:nsid w:val="661E3F1E"/>
    <w:multiLevelType w:val="hybridMultilevel"/>
    <w:lvl w:ilvl="0">
      <w:lvlJc w:val="left"/>
      <w:lvlText w:val="(%1)"/>
      <w:numFmt w:val="lowerLetter"/>
      <w:start w:val="1"/>
    </w:lvl>
  </w:abstractNum>
  <w:abstractNum w:abstractNumId="57">
    <w:nsid w:val="5DC79EA8"/>
    <w:multiLevelType w:val="hybridMultilevel"/>
    <w:lvl w:ilvl="0">
      <w:lvlJc w:val="left"/>
      <w:lvlText w:val="(%1)"/>
      <w:numFmt w:val="lowerLetter"/>
      <w:start w:val="1"/>
    </w:lvl>
  </w:abstractNum>
  <w:abstractNum w:abstractNumId="58">
    <w:nsid w:val="540A471C"/>
    <w:multiLevelType w:val="hybridMultilevel"/>
    <w:lvl w:ilvl="0">
      <w:lvlJc w:val="left"/>
      <w:lvlText w:val="(%1)"/>
      <w:numFmt w:val="lowerLetter"/>
      <w:start w:val="1"/>
    </w:lvl>
  </w:abstractNum>
  <w:abstractNum w:abstractNumId="59">
    <w:nsid w:val="7BD3EE7B"/>
    <w:multiLevelType w:val="hybridMultilevel"/>
    <w:lvl w:ilvl="0">
      <w:lvlJc w:val="left"/>
      <w:lvlText w:val="(%1)"/>
      <w:numFmt w:val="lowerLetter"/>
      <w:start w:val="1"/>
    </w:lvl>
  </w:abstractNum>
  <w:abstractNum w:abstractNumId="60">
    <w:nsid w:val="51D9C564"/>
    <w:multiLevelType w:val="hybridMultilevel"/>
    <w:lvl w:ilvl="0">
      <w:lvlJc w:val="left"/>
      <w:lvlText w:val="(%1)"/>
      <w:numFmt w:val="lowerLetter"/>
      <w:start w:val="1"/>
    </w:lvl>
  </w:abstractNum>
  <w:abstractNum w:abstractNumId="61">
    <w:nsid w:val="613EFDC5"/>
    <w:multiLevelType w:val="hybridMultilevel"/>
    <w:lvl w:ilvl="0">
      <w:lvlJc w:val="left"/>
      <w:lvlText w:val="(%1)"/>
      <w:numFmt w:val="lowerLetter"/>
      <w:start w:val="1"/>
    </w:lvl>
  </w:abstractNum>
  <w:abstractNum w:abstractNumId="62">
    <w:nsid w:val="BF72B14"/>
    <w:multiLevelType w:val="hybridMultilevel"/>
    <w:lvl w:ilvl="0">
      <w:lvlJc w:val="left"/>
      <w:lvlText w:val="(%1)"/>
      <w:numFmt w:val="lowerLetter"/>
      <w:start w:val="1"/>
    </w:lvl>
  </w:abstractNum>
  <w:abstractNum w:abstractNumId="63">
    <w:nsid w:val="11447B73"/>
    <w:multiLevelType w:val="hybridMultilevel"/>
    <w:lvl w:ilvl="0">
      <w:lvlJc w:val="left"/>
      <w:lvlText w:val="(%1)"/>
      <w:numFmt w:val="lowerLetter"/>
      <w:start w:val="1"/>
    </w:lvl>
  </w:abstractNum>
  <w:abstractNum w:abstractNumId="64">
    <w:nsid w:val="42963E5A"/>
    <w:multiLevelType w:val="hybridMultilevel"/>
    <w:lvl w:ilvl="0">
      <w:lvlJc w:val="left"/>
      <w:lvlText w:val="•"/>
      <w:numFmt w:val="bullet"/>
      <w:start w:val="1"/>
    </w:lvl>
  </w:abstractNum>
  <w:abstractNum w:abstractNumId="65">
    <w:nsid w:val="A0382C5"/>
    <w:multiLevelType w:val="hybridMultilevel"/>
    <w:lvl w:ilvl="0">
      <w:lvlJc w:val="left"/>
      <w:lvlText w:val="\emdash "/>
      <w:numFmt w:val="bullet"/>
      <w:start w:val="1"/>
    </w:lvl>
  </w:abstractNum>
  <w:abstractNum w:abstractNumId="66">
    <w:nsid w:val="8F2B15E"/>
    <w:multiLevelType w:val="hybridMultilevel"/>
    <w:lvl w:ilvl="0">
      <w:lvlJc w:val="left"/>
      <w:lvlText w:val="(%1)"/>
      <w:numFmt w:val="lowerLetter"/>
      <w:start w:val="1"/>
    </w:lvl>
  </w:abstractNum>
  <w:abstractNum w:abstractNumId="67">
    <w:nsid w:val="1A32234B"/>
    <w:multiLevelType w:val="hybridMultilevel"/>
    <w:lvl w:ilvl="0">
      <w:lvlJc w:val="left"/>
      <w:lvlText w:val="(%1)"/>
      <w:numFmt w:val="lowerLetter"/>
      <w:start w:val="1"/>
    </w:lvl>
  </w:abstractNum>
  <w:abstractNum w:abstractNumId="68">
    <w:nsid w:val="3B0FD379"/>
    <w:multiLevelType w:val="hybridMultilevel"/>
    <w:lvl w:ilvl="0">
      <w:lvlJc w:val="left"/>
      <w:lvlText w:val="(%1)"/>
      <w:numFmt w:val="lowerRoman"/>
      <w:start w:val="2"/>
    </w:lvl>
  </w:abstractNum>
  <w:abstractNum w:abstractNumId="69">
    <w:nsid w:val="68EB2F63"/>
    <w:multiLevelType w:val="hybridMultilevel"/>
    <w:lvl w:ilvl="0">
      <w:lvlJc w:val="left"/>
      <w:lvlText w:val="(%1)"/>
      <w:numFmt w:val="lowerLetter"/>
      <w:start w:val="1"/>
    </w:lvl>
  </w:abstractNum>
  <w:abstractNum w:abstractNumId="70">
    <w:nsid w:val="4962813B"/>
    <w:multiLevelType w:val="hybridMultilevel"/>
    <w:lvl w:ilvl="0">
      <w:lvlJc w:val="left"/>
      <w:lvlText w:val="(%1)"/>
      <w:numFmt w:val="lowerLetter"/>
      <w:start w:val="1"/>
    </w:lvl>
  </w:abstractNum>
  <w:abstractNum w:abstractNumId="71">
    <w:nsid w:val="60B6DF70"/>
    <w:multiLevelType w:val="hybridMultilevel"/>
    <w:lvl w:ilvl="0">
      <w:lvlJc w:val="left"/>
      <w:lvlText w:val="•"/>
      <w:numFmt w:val="bullet"/>
      <w:start w:val="1"/>
    </w:lvl>
  </w:abstractNum>
  <w:abstractNum w:abstractNumId="72">
    <w:nsid w:val="6A5EE64"/>
    <w:multiLevelType w:val="hybridMultilevel"/>
    <w:lvl w:ilvl="0">
      <w:lvlJc w:val="left"/>
      <w:lvlText w:val="•"/>
      <w:numFmt w:val="bullet"/>
      <w:start w:val="1"/>
    </w:lvl>
  </w:abstractNum>
  <w:abstractNum w:abstractNumId="73">
    <w:nsid w:val="14330624"/>
    <w:multiLevelType w:val="hybridMultilevel"/>
    <w:lvl w:ilvl="0">
      <w:lvlJc w:val="left"/>
      <w:lvlText w:val="(%1)"/>
      <w:numFmt w:val="lowerLetter"/>
      <w:start w:val="1"/>
    </w:lvl>
  </w:abstractNum>
  <w:abstractNum w:abstractNumId="74">
    <w:nsid w:val="7FFFCA11"/>
    <w:multiLevelType w:val="hybridMultilevel"/>
    <w:lvl w:ilvl="0">
      <w:lvlJc w:val="left"/>
      <w:lvlText w:val="(%1)"/>
      <w:numFmt w:val="lowerLetter"/>
      <w:start w:val="1"/>
    </w:lvl>
  </w:abstractNum>
  <w:abstractNum w:abstractNumId="75">
    <w:nsid w:val="1A27709E"/>
    <w:multiLevelType w:val="hybridMultilevel"/>
    <w:lvl w:ilvl="0">
      <w:lvlJc w:val="left"/>
      <w:lvlText w:val="(%1)"/>
      <w:numFmt w:val="lowerRoman"/>
      <w:start w:val="4"/>
    </w:lvl>
  </w:abstractNum>
  <w:abstractNum w:abstractNumId="76">
    <w:nsid w:val="71EA1109"/>
    <w:multiLevelType w:val="hybridMultilevel"/>
    <w:lvl w:ilvl="0">
      <w:lvlJc w:val="left"/>
      <w:lvlText w:val="(%1)"/>
      <w:numFmt w:val="lowerLetter"/>
      <w:start w:val="1"/>
    </w:lvl>
  </w:abstractNum>
  <w:abstractNum w:abstractNumId="77">
    <w:nsid w:val="100F59DC"/>
    <w:multiLevelType w:val="hybridMultilevel"/>
    <w:lvl w:ilvl="0">
      <w:lvlJc w:val="left"/>
      <w:lvlText w:val="(%1)"/>
      <w:numFmt w:val="lowerLetter"/>
      <w:start w:val="1"/>
    </w:lvl>
  </w:abstractNum>
  <w:abstractNum w:abstractNumId="78">
    <w:nsid w:val="7FB7E0AA"/>
    <w:multiLevelType w:val="hybridMultilevel"/>
    <w:lvl w:ilvl="0">
      <w:lvlJc w:val="left"/>
      <w:lvlText w:val="(%1)"/>
      <w:numFmt w:val="lowerLetter"/>
      <w:start w:val="1"/>
    </w:lvl>
  </w:abstractNum>
  <w:abstractNum w:abstractNumId="79">
    <w:nsid w:val="6EB5BD4"/>
    <w:multiLevelType w:val="hybridMultilevel"/>
    <w:lvl w:ilvl="0">
      <w:lvlJc w:val="left"/>
      <w:lvlText w:val="(%1)"/>
      <w:numFmt w:val="lowerLetter"/>
      <w:start w:val="1"/>
    </w:lvl>
  </w:abstractNum>
  <w:abstractNum w:abstractNumId="80">
    <w:nsid w:val="6F6DD9AC"/>
    <w:multiLevelType w:val="hybridMultilevel"/>
    <w:lvl w:ilvl="0">
      <w:lvlJc w:val="left"/>
      <w:lvlText w:val="(%1)"/>
      <w:numFmt w:val="lowerLetter"/>
      <w:start w:val="1"/>
    </w:lvl>
  </w:abstractNum>
  <w:abstractNum w:abstractNumId="81">
    <w:nsid w:val="94211F2"/>
    <w:multiLevelType w:val="hybridMultilevel"/>
    <w:lvl w:ilvl="0">
      <w:lvlJc w:val="left"/>
      <w:lvlText w:val="(%1)"/>
      <w:numFmt w:val="lowerLetter"/>
      <w:start w:val="1"/>
    </w:lvl>
  </w:abstractNum>
  <w:abstractNum w:abstractNumId="82">
    <w:nsid w:val="885E1B"/>
    <w:multiLevelType w:val="hybridMultilevel"/>
    <w:lvl w:ilvl="0">
      <w:lvlJc w:val="left"/>
      <w:lvlText w:val="(%1)"/>
      <w:numFmt w:val="lowerRoman"/>
      <w:start w:val="1"/>
    </w:lvl>
  </w:abstractNum>
  <w:abstractNum w:abstractNumId="83">
    <w:nsid w:val="76272110"/>
    <w:multiLevelType w:val="hybridMultilevel"/>
    <w:lvl w:ilvl="0">
      <w:lvlJc w:val="left"/>
      <w:lvlText w:val="(%1)"/>
      <w:numFmt w:val="lowerLetter"/>
      <w:start w:val="1"/>
    </w:lvl>
  </w:abstractNum>
  <w:abstractNum w:abstractNumId="84">
    <w:nsid w:val="4C04A8AF"/>
    <w:multiLevelType w:val="hybridMultilevel"/>
    <w:lvl w:ilvl="0">
      <w:lvlJc w:val="left"/>
      <w:lvlText w:val="(%1)"/>
      <w:numFmt w:val="lowerLetter"/>
      <w:start w:val="1"/>
    </w:lvl>
  </w:abstractNum>
  <w:abstractNum w:abstractNumId="85">
    <w:nsid w:val="1716703B"/>
    <w:multiLevelType w:val="hybridMultilevel"/>
    <w:lvl w:ilvl="0">
      <w:lvlJc w:val="left"/>
      <w:lvlText w:val="(%1)"/>
      <w:numFmt w:val="lowerLetter"/>
      <w:start w:val="1"/>
    </w:lvl>
  </w:abstractNum>
  <w:abstractNum w:abstractNumId="86">
    <w:nsid w:val="14E17E33"/>
    <w:multiLevelType w:val="hybridMultilevel"/>
    <w:lvl w:ilvl="0">
      <w:lvlJc w:val="left"/>
      <w:lvlText w:val="%1"/>
      <w:numFmt w:val="decimal"/>
      <w:start w:val="97"/>
    </w:lvl>
  </w:abstractNum>
  <w:abstractNum w:abstractNumId="87">
    <w:nsid w:val="3222E7CD"/>
    <w:multiLevelType w:val="hybridMultilevel"/>
    <w:lvl w:ilvl="0">
      <w:lvlJc w:val="left"/>
      <w:lvlText w:val="†"/>
      <w:numFmt w:val="bullet"/>
      <w:start w:val="1"/>
    </w:lvl>
    <w:lvl w:ilvl="1">
      <w:lvlJc w:val="left"/>
      <w:lvlText w:val="%2"/>
      <w:numFmt w:val="decimal"/>
      <w:start w:val="104"/>
    </w:lvl>
  </w:abstractNum>
  <w:abstractNum w:abstractNumId="88">
    <w:nsid w:val="74DE0EE3"/>
    <w:multiLevelType w:val="hybridMultilevel"/>
    <w:lvl w:ilvl="0">
      <w:lvlJc w:val="left"/>
      <w:lvlText w:val="*"/>
      <w:numFmt w:val="bullet"/>
      <w:start w:val="1"/>
    </w:lvl>
  </w:abstractNum>
  <w:abstractNum w:abstractNumId="89">
    <w:nsid w:val="68EBC55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2024-03-15T11:28:30Z</dcterms:created>
  <dcterms:modified xsi:type="dcterms:W3CDTF">2024-03-15T11:28:30Z</dcterms:modified>
</cp:coreProperties>
</file>