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3" w:lineRule="exact"/>
        <w:rPr>
          <w:sz w:val="24"/>
          <w:szCs w:val="24"/>
          <w:color w:val="auto"/>
        </w:rPr>
      </w:pPr>
    </w:p>
    <w:p>
      <w:pPr>
        <w:ind w:left="2900"/>
        <w:spacing w:after="0"/>
        <w:rPr>
          <w:sz w:val="20"/>
          <w:szCs w:val="20"/>
          <w:color w:val="auto"/>
        </w:rPr>
      </w:pPr>
      <w:r>
        <w:rPr>
          <w:rFonts w:ascii="Arial" w:cs="Arial" w:eastAsia="Arial" w:hAnsi="Arial"/>
          <w:sz w:val="18"/>
          <w:szCs w:val="18"/>
          <w:b w:val="1"/>
          <w:bCs w:val="1"/>
          <w:color w:val="auto"/>
        </w:rPr>
        <w:t>As filed with the Securities and Exchange Commission on May 3, 2021.</w:t>
      </w:r>
    </w:p>
    <w:p>
      <w:pPr>
        <w:spacing w:after="0" w:line="27" w:lineRule="exact"/>
        <w:rPr>
          <w:sz w:val="24"/>
          <w:szCs w:val="24"/>
          <w:color w:val="auto"/>
        </w:rPr>
      </w:pPr>
    </w:p>
    <w:p>
      <w:pPr>
        <w:ind w:left="832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S-8</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Clearway Energy,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4540" w:type="dxa"/>
            <w:vAlign w:val="bottom"/>
          </w:tcPr>
          <w:p>
            <w:pPr>
              <w:jc w:val="center"/>
              <w:ind w:right="1570"/>
              <w:spacing w:after="0"/>
              <w:rPr>
                <w:sz w:val="20"/>
                <w:szCs w:val="20"/>
                <w:color w:val="auto"/>
              </w:rPr>
            </w:pPr>
            <w:r>
              <w:rPr>
                <w:rFonts w:ascii="Arial" w:cs="Arial" w:eastAsia="Arial" w:hAnsi="Arial"/>
                <w:sz w:val="18"/>
                <w:szCs w:val="18"/>
                <w:b w:val="1"/>
                <w:bCs w:val="1"/>
                <w:color w:val="auto"/>
                <w:w w:val="91"/>
              </w:rPr>
              <w:t>Delaware</w:t>
            </w:r>
          </w:p>
        </w:tc>
        <w:tc>
          <w:tcPr>
            <w:tcW w:w="3340" w:type="dxa"/>
            <w:vAlign w:val="bottom"/>
          </w:tcPr>
          <w:p>
            <w:pPr>
              <w:jc w:val="right"/>
              <w:ind w:right="310"/>
              <w:spacing w:after="0"/>
              <w:rPr>
                <w:sz w:val="20"/>
                <w:szCs w:val="20"/>
                <w:color w:val="auto"/>
              </w:rPr>
            </w:pPr>
            <w:r>
              <w:rPr>
                <w:rFonts w:ascii="Arial" w:cs="Arial" w:eastAsia="Arial" w:hAnsi="Arial"/>
                <w:sz w:val="18"/>
                <w:szCs w:val="18"/>
                <w:b w:val="1"/>
                <w:bCs w:val="1"/>
                <w:color w:val="auto"/>
              </w:rPr>
              <w:t>46-1777204</w:t>
            </w:r>
          </w:p>
        </w:tc>
      </w:tr>
      <w:tr>
        <w:trPr>
          <w:trHeight w:val="216"/>
        </w:trPr>
        <w:tc>
          <w:tcPr>
            <w:tcW w:w="4540" w:type="dxa"/>
            <w:vAlign w:val="bottom"/>
          </w:tcPr>
          <w:p>
            <w:pPr>
              <w:jc w:val="center"/>
              <w:ind w:right="1590"/>
              <w:spacing w:after="0"/>
              <w:rPr>
                <w:sz w:val="20"/>
                <w:szCs w:val="20"/>
                <w:color w:val="auto"/>
              </w:rPr>
            </w:pPr>
            <w:r>
              <w:rPr>
                <w:rFonts w:ascii="Arial" w:cs="Arial" w:eastAsia="Arial" w:hAnsi="Arial"/>
                <w:sz w:val="18"/>
                <w:szCs w:val="18"/>
                <w:color w:val="auto"/>
                <w:w w:val="92"/>
              </w:rPr>
              <w:t>(State or other jurisdiction</w:t>
            </w:r>
          </w:p>
        </w:tc>
        <w:tc>
          <w:tcPr>
            <w:tcW w:w="3340" w:type="dxa"/>
            <w:vAlign w:val="bottom"/>
          </w:tcPr>
          <w:p>
            <w:pPr>
              <w:jc w:val="center"/>
              <w:ind w:left="1590"/>
              <w:spacing w:after="0"/>
              <w:rPr>
                <w:sz w:val="20"/>
                <w:szCs w:val="20"/>
                <w:color w:val="auto"/>
              </w:rPr>
            </w:pPr>
            <w:r>
              <w:rPr>
                <w:rFonts w:ascii="Arial" w:cs="Arial" w:eastAsia="Arial" w:hAnsi="Arial"/>
                <w:sz w:val="18"/>
                <w:szCs w:val="18"/>
                <w:color w:val="auto"/>
                <w:w w:val="92"/>
              </w:rPr>
              <w:t>(I.R.S. Employer</w:t>
            </w:r>
          </w:p>
        </w:tc>
      </w:tr>
      <w:tr>
        <w:trPr>
          <w:trHeight w:val="230"/>
        </w:trPr>
        <w:tc>
          <w:tcPr>
            <w:tcW w:w="4540" w:type="dxa"/>
            <w:vAlign w:val="bottom"/>
          </w:tcPr>
          <w:p>
            <w:pPr>
              <w:jc w:val="center"/>
              <w:ind w:right="1570"/>
              <w:spacing w:after="0"/>
              <w:rPr>
                <w:sz w:val="20"/>
                <w:szCs w:val="20"/>
                <w:color w:val="auto"/>
              </w:rPr>
            </w:pPr>
            <w:r>
              <w:rPr>
                <w:rFonts w:ascii="Arial" w:cs="Arial" w:eastAsia="Arial" w:hAnsi="Arial"/>
                <w:sz w:val="18"/>
                <w:szCs w:val="18"/>
                <w:color w:val="auto"/>
                <w:w w:val="92"/>
              </w:rPr>
              <w:t>of incorporation or organization)</w:t>
            </w:r>
          </w:p>
        </w:tc>
        <w:tc>
          <w:tcPr>
            <w:tcW w:w="3340" w:type="dxa"/>
            <w:vAlign w:val="bottom"/>
          </w:tcPr>
          <w:p>
            <w:pPr>
              <w:jc w:val="center"/>
              <w:ind w:left="1590"/>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4540" w:type="dxa"/>
            <w:vAlign w:val="bottom"/>
          </w:tcPr>
          <w:p>
            <w:pPr>
              <w:jc w:val="center"/>
              <w:ind w:right="1570"/>
              <w:spacing w:after="0"/>
              <w:rPr>
                <w:sz w:val="20"/>
                <w:szCs w:val="20"/>
                <w:color w:val="auto"/>
              </w:rPr>
            </w:pPr>
            <w:r>
              <w:rPr>
                <w:rFonts w:ascii="Arial" w:cs="Arial" w:eastAsia="Arial" w:hAnsi="Arial"/>
                <w:sz w:val="18"/>
                <w:szCs w:val="18"/>
                <w:b w:val="1"/>
                <w:bCs w:val="1"/>
                <w:color w:val="auto"/>
                <w:w w:val="89"/>
              </w:rPr>
              <w:t>300 Carnegie Center, Suite 300</w:t>
            </w:r>
          </w:p>
        </w:tc>
        <w:tc>
          <w:tcPr>
            <w:tcW w:w="3340" w:type="dxa"/>
            <w:vAlign w:val="bottom"/>
          </w:tcPr>
          <w:p>
            <w:pPr>
              <w:spacing w:after="0"/>
              <w:rPr>
                <w:sz w:val="24"/>
                <w:szCs w:val="24"/>
                <w:color w:val="auto"/>
              </w:rPr>
            </w:pPr>
          </w:p>
        </w:tc>
      </w:tr>
      <w:tr>
        <w:trPr>
          <w:trHeight w:val="220"/>
        </w:trPr>
        <w:tc>
          <w:tcPr>
            <w:tcW w:w="4540" w:type="dxa"/>
            <w:vAlign w:val="bottom"/>
          </w:tcPr>
          <w:p>
            <w:pPr>
              <w:jc w:val="center"/>
              <w:ind w:right="1570"/>
              <w:spacing w:after="0"/>
              <w:rPr>
                <w:sz w:val="20"/>
                <w:szCs w:val="20"/>
                <w:color w:val="auto"/>
              </w:rPr>
            </w:pPr>
            <w:r>
              <w:rPr>
                <w:rFonts w:ascii="Arial" w:cs="Arial" w:eastAsia="Arial" w:hAnsi="Arial"/>
                <w:sz w:val="18"/>
                <w:szCs w:val="18"/>
                <w:b w:val="1"/>
                <w:bCs w:val="1"/>
                <w:color w:val="auto"/>
                <w:w w:val="89"/>
              </w:rPr>
              <w:t>Princeton, New Jersey</w:t>
            </w:r>
          </w:p>
        </w:tc>
        <w:tc>
          <w:tcPr>
            <w:tcW w:w="3340" w:type="dxa"/>
            <w:vAlign w:val="bottom"/>
          </w:tcPr>
          <w:p>
            <w:pPr>
              <w:jc w:val="right"/>
              <w:ind w:right="510"/>
              <w:spacing w:after="0"/>
              <w:rPr>
                <w:sz w:val="20"/>
                <w:szCs w:val="20"/>
                <w:color w:val="auto"/>
              </w:rPr>
            </w:pPr>
            <w:r>
              <w:rPr>
                <w:rFonts w:ascii="Arial" w:cs="Arial" w:eastAsia="Arial" w:hAnsi="Arial"/>
                <w:sz w:val="18"/>
                <w:szCs w:val="18"/>
                <w:b w:val="1"/>
                <w:bCs w:val="1"/>
                <w:color w:val="auto"/>
              </w:rPr>
              <w:t>08540</w:t>
            </w:r>
          </w:p>
        </w:tc>
      </w:tr>
      <w:tr>
        <w:trPr>
          <w:trHeight w:val="230"/>
        </w:trPr>
        <w:tc>
          <w:tcPr>
            <w:tcW w:w="4540" w:type="dxa"/>
            <w:vAlign w:val="bottom"/>
          </w:tcPr>
          <w:p>
            <w:pPr>
              <w:jc w:val="center"/>
              <w:ind w:right="1590"/>
              <w:spacing w:after="0"/>
              <w:rPr>
                <w:sz w:val="20"/>
                <w:szCs w:val="20"/>
                <w:color w:val="auto"/>
              </w:rPr>
            </w:pPr>
            <w:r>
              <w:rPr>
                <w:rFonts w:ascii="Arial" w:cs="Arial" w:eastAsia="Arial" w:hAnsi="Arial"/>
                <w:sz w:val="18"/>
                <w:szCs w:val="18"/>
                <w:color w:val="auto"/>
                <w:w w:val="92"/>
              </w:rPr>
              <w:t>(Address of principal executive offices)</w:t>
            </w:r>
          </w:p>
        </w:tc>
        <w:tc>
          <w:tcPr>
            <w:tcW w:w="3340" w:type="dxa"/>
            <w:vAlign w:val="bottom"/>
          </w:tcPr>
          <w:p>
            <w:pPr>
              <w:jc w:val="center"/>
              <w:ind w:left="1590"/>
              <w:spacing w:after="0"/>
              <w:rPr>
                <w:sz w:val="20"/>
                <w:szCs w:val="20"/>
                <w:color w:val="auto"/>
              </w:rPr>
            </w:pPr>
            <w:r>
              <w:rPr>
                <w:rFonts w:ascii="Arial" w:cs="Arial" w:eastAsia="Arial" w:hAnsi="Arial"/>
                <w:sz w:val="18"/>
                <w:szCs w:val="18"/>
                <w:color w:val="auto"/>
                <w:w w:val="91"/>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308610</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Clearway Energy, Inc. Amended and Restated 2013 Equity Incentive Plan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Kevin P. Malcarney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Counsel and Corporate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300 Carnegie Center, Suite 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Princeton, New Jersey 08540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including area code, of agent for service)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Copy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 Preston Bernhisel</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Baker Botts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2001 Ross Avenue, Suite 900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Dallas, Texas 75201-2980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(214) 953-6783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Facsimile: (214) 661-4783</w:t>
      </w:r>
    </w:p>
    <w:p>
      <w:pPr>
        <w:spacing w:after="0" w:line="211"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p>
      <w:pPr>
        <w:spacing w:after="0" w:line="207" w:lineRule="exact"/>
        <w:tabs>
          <w:tab w:leader="none" w:pos="98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51" w:lineRule="exact"/>
        <w:rPr>
          <w:sz w:val="24"/>
          <w:szCs w:val="24"/>
          <w:color w:val="auto"/>
        </w:rPr>
      </w:pPr>
    </w:p>
    <w:p>
      <w:pPr>
        <w:spacing w:after="0" w:line="207" w:lineRule="exact"/>
        <w:tabs>
          <w:tab w:leader="none" w:pos="9040" w:val="left"/>
        </w:tabs>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9"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9"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159385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3960" w:type="dxa"/>
            <w:vAlign w:val="bottom"/>
            <w:gridSpan w:val="8"/>
          </w:tcPr>
          <w:p>
            <w:pPr>
              <w:ind w:left="120"/>
              <w:spacing w:after="0"/>
              <w:rPr>
                <w:sz w:val="20"/>
                <w:szCs w:val="20"/>
                <w:color w:val="auto"/>
              </w:rPr>
            </w:pPr>
            <w:r>
              <w:rPr>
                <w:rFonts w:ascii="Arial" w:cs="Arial" w:eastAsia="Arial" w:hAnsi="Arial"/>
                <w:sz w:val="18"/>
                <w:szCs w:val="18"/>
                <w:b w:val="1"/>
                <w:bCs w:val="1"/>
                <w:color w:val="auto"/>
              </w:rPr>
              <w:t>CALCULATION OF REGISTRATION FEE</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Amount to be</w:t>
            </w:r>
          </w:p>
        </w:tc>
        <w:tc>
          <w:tcPr>
            <w:tcW w:w="1800" w:type="dxa"/>
            <w:vAlign w:val="bottom"/>
            <w:gridSpan w:val="4"/>
          </w:tcPr>
          <w:p>
            <w:pPr>
              <w:ind w:left="100"/>
              <w:spacing w:after="0"/>
              <w:rPr>
                <w:sz w:val="20"/>
                <w:szCs w:val="20"/>
                <w:color w:val="auto"/>
              </w:rPr>
            </w:pPr>
            <w:r>
              <w:rPr>
                <w:rFonts w:ascii="Arial" w:cs="Arial" w:eastAsia="Arial" w:hAnsi="Arial"/>
                <w:sz w:val="18"/>
                <w:szCs w:val="18"/>
                <w:b w:val="1"/>
                <w:bCs w:val="1"/>
                <w:color w:val="auto"/>
                <w:w w:val="98"/>
              </w:rPr>
              <w:t>Proposed Maximum</w:t>
            </w:r>
          </w:p>
        </w:tc>
        <w:tc>
          <w:tcPr>
            <w:tcW w:w="1880" w:type="dxa"/>
            <w:vAlign w:val="bottom"/>
            <w:gridSpan w:val="4"/>
          </w:tcPr>
          <w:p>
            <w:pPr>
              <w:ind w:left="120"/>
              <w:spacing w:after="0"/>
              <w:rPr>
                <w:sz w:val="20"/>
                <w:szCs w:val="20"/>
                <w:color w:val="auto"/>
              </w:rPr>
            </w:pPr>
            <w:r>
              <w:rPr>
                <w:rFonts w:ascii="Arial" w:cs="Arial" w:eastAsia="Arial" w:hAnsi="Arial"/>
                <w:sz w:val="18"/>
                <w:szCs w:val="18"/>
                <w:b w:val="1"/>
                <w:bCs w:val="1"/>
                <w:color w:val="auto"/>
              </w:rPr>
              <w:t>Proposed Maximum</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780" w:type="dxa"/>
            <w:vAlign w:val="bottom"/>
          </w:tcPr>
          <w:p>
            <w:pPr>
              <w:jc w:val="center"/>
              <w:ind w:left="670"/>
              <w:spacing w:after="0"/>
              <w:rPr>
                <w:sz w:val="20"/>
                <w:szCs w:val="20"/>
                <w:color w:val="auto"/>
              </w:rPr>
            </w:pPr>
            <w:r>
              <w:rPr>
                <w:rFonts w:ascii="Arial" w:cs="Arial" w:eastAsia="Arial" w:hAnsi="Arial"/>
                <w:sz w:val="18"/>
                <w:szCs w:val="18"/>
                <w:b w:val="1"/>
                <w:bCs w:val="1"/>
                <w:color w:val="auto"/>
                <w:w w:val="89"/>
              </w:rPr>
              <w:t>Title of Securities to be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Registered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Offering</w:t>
            </w:r>
          </w:p>
        </w:tc>
        <w:tc>
          <w:tcPr>
            <w:tcW w:w="120" w:type="dxa"/>
            <w:vAlign w:val="bottom"/>
          </w:tcPr>
          <w:p>
            <w:pPr>
              <w:spacing w:after="0"/>
              <w:rPr>
                <w:sz w:val="18"/>
                <w:szCs w:val="18"/>
                <w:color w:val="auto"/>
              </w:rPr>
            </w:pPr>
          </w:p>
        </w:tc>
        <w:tc>
          <w:tcPr>
            <w:tcW w:w="1760" w:type="dxa"/>
            <w:vAlign w:val="bottom"/>
            <w:gridSpan w:val="3"/>
          </w:tcPr>
          <w:p>
            <w:pPr>
              <w:spacing w:after="0"/>
              <w:rPr>
                <w:sz w:val="20"/>
                <w:szCs w:val="20"/>
                <w:color w:val="auto"/>
              </w:rPr>
            </w:pPr>
            <w:r>
              <w:rPr>
                <w:rFonts w:ascii="Arial" w:cs="Arial" w:eastAsia="Arial" w:hAnsi="Arial"/>
                <w:sz w:val="18"/>
                <w:szCs w:val="18"/>
                <w:b w:val="1"/>
                <w:bCs w:val="1"/>
                <w:color w:val="auto"/>
              </w:rPr>
              <w:t>Aggregate Offering</w:t>
            </w:r>
          </w:p>
        </w:tc>
        <w:tc>
          <w:tcPr>
            <w:tcW w:w="200" w:type="dxa"/>
            <w:vAlign w:val="bottom"/>
          </w:tcPr>
          <w:p>
            <w:pPr>
              <w:spacing w:after="0"/>
              <w:rPr>
                <w:sz w:val="18"/>
                <w:szCs w:val="18"/>
                <w:color w:val="auto"/>
              </w:rPr>
            </w:pPr>
          </w:p>
        </w:tc>
        <w:tc>
          <w:tcPr>
            <w:tcW w:w="142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 of</w:t>
            </w:r>
          </w:p>
        </w:tc>
      </w:tr>
      <w:tr>
        <w:trPr>
          <w:trHeight w:val="234"/>
        </w:trPr>
        <w:tc>
          <w:tcPr>
            <w:tcW w:w="3780" w:type="dxa"/>
            <w:vAlign w:val="bottom"/>
          </w:tcPr>
          <w:p>
            <w:pPr>
              <w:jc w:val="center"/>
              <w:ind w:left="670"/>
              <w:spacing w:after="0"/>
              <w:rPr>
                <w:sz w:val="20"/>
                <w:szCs w:val="20"/>
                <w:color w:val="auto"/>
              </w:rPr>
            </w:pPr>
            <w:r>
              <w:rPr>
                <w:rFonts w:ascii="Arial" w:cs="Arial" w:eastAsia="Arial" w:hAnsi="Arial"/>
                <w:sz w:val="18"/>
                <w:szCs w:val="18"/>
                <w:b w:val="1"/>
                <w:bCs w:val="1"/>
                <w:color w:val="auto"/>
                <w:w w:val="88"/>
              </w:rPr>
              <w:t>Registered</w:t>
            </w:r>
          </w:p>
        </w:tc>
        <w:tc>
          <w:tcPr>
            <w:tcW w:w="2040" w:type="dxa"/>
            <w:vAlign w:val="bottom"/>
            <w:gridSpan w:val="3"/>
          </w:tcPr>
          <w:p>
            <w:pPr>
              <w:jc w:val="center"/>
              <w:ind w:left="770"/>
              <w:spacing w:after="0"/>
              <w:rPr>
                <w:sz w:val="20"/>
                <w:szCs w:val="20"/>
                <w:color w:val="auto"/>
              </w:rPr>
            </w:pPr>
            <w:r>
              <w:rPr>
                <w:rFonts w:ascii="Arial" w:cs="Arial" w:eastAsia="Arial" w:hAnsi="Arial"/>
                <w:sz w:val="18"/>
                <w:szCs w:val="18"/>
                <w:b w:val="1"/>
                <w:bCs w:val="1"/>
                <w:color w:val="auto"/>
                <w:w w:val="95"/>
              </w:rPr>
              <w:t>(1)(2)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Price Per Share (3)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2"/>
          </w:tcPr>
          <w:p>
            <w:pPr>
              <w:ind w:left="180"/>
              <w:spacing w:after="0"/>
              <w:rPr>
                <w:sz w:val="20"/>
                <w:szCs w:val="20"/>
                <w:color w:val="auto"/>
              </w:rPr>
            </w:pPr>
            <w:r>
              <w:rPr>
                <w:rFonts w:ascii="Arial" w:cs="Arial" w:eastAsia="Arial" w:hAnsi="Arial"/>
                <w:sz w:val="18"/>
                <w:szCs w:val="18"/>
                <w:b w:val="1"/>
                <w:bCs w:val="1"/>
                <w:color w:val="auto"/>
              </w:rPr>
              <w:t>Price (3)</w:t>
            </w: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w w:val="95"/>
              </w:rPr>
              <w:t>Registration Fee (4)</w:t>
            </w:r>
          </w:p>
        </w:tc>
      </w:tr>
      <w:tr>
        <w:trPr>
          <w:trHeight w:val="223"/>
        </w:trPr>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Class A Common Stock, par value $0.01 per share</w:t>
            </w: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66,875,000</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7,296.06</w:t>
            </w:r>
          </w:p>
        </w:tc>
        <w:tc>
          <w:tcPr>
            <w:tcW w:w="100" w:type="dxa"/>
            <w:vAlign w:val="bottom"/>
            <w:tcBorders>
              <w:top w:val="single" w:sz="8" w:color="CCEEFF"/>
            </w:tcBorders>
            <w:shd w:val="clear" w:color="auto" w:fill="CCEEFF"/>
          </w:tcPr>
          <w:p>
            <w:pPr>
              <w:spacing w:after="0"/>
              <w:rPr>
                <w:sz w:val="19"/>
                <w:szCs w:val="19"/>
                <w:color w:val="auto"/>
              </w:rPr>
            </w:pPr>
          </w:p>
        </w:tc>
      </w:tr>
      <w:tr>
        <w:trPr>
          <w:trHeight w:val="209"/>
        </w:trPr>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2"/>
              </w:rPr>
              <w:t>Class C Common Stock, par value $0.01 per share</w:t>
            </w:r>
          </w:p>
        </w:tc>
        <w:tc>
          <w:tcPr>
            <w:tcW w:w="7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72,300,000</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7,887.93</w:t>
            </w:r>
          </w:p>
        </w:tc>
        <w:tc>
          <w:tcPr>
            <w:tcW w:w="100" w:type="dxa"/>
            <w:vAlign w:val="bottom"/>
            <w:tcBorders>
              <w:bottom w:val="single" w:sz="8" w:color="CCEEFF"/>
            </w:tcBorders>
          </w:tcPr>
          <w:p>
            <w:pPr>
              <w:spacing w:after="0"/>
              <w:rPr>
                <w:sz w:val="18"/>
                <w:szCs w:val="18"/>
                <w:color w:val="auto"/>
              </w:rPr>
            </w:pPr>
          </w:p>
        </w:tc>
      </w:tr>
      <w:tr>
        <w:trPr>
          <w:trHeight w:val="223"/>
        </w:trPr>
        <w:tc>
          <w:tcPr>
            <w:tcW w:w="3780" w:type="dxa"/>
            <w:vAlign w:val="bottom"/>
            <w:tcBorders>
              <w:bottom w:val="single" w:sz="8" w:color="CCEEFF"/>
            </w:tcBorders>
            <w:shd w:val="clear" w:color="auto" w:fill="CCEEFF"/>
          </w:tcPr>
          <w:p>
            <w:pPr>
              <w:jc w:val="center"/>
              <w:ind w:left="670"/>
              <w:spacing w:after="0"/>
              <w:rPr>
                <w:sz w:val="20"/>
                <w:szCs w:val="20"/>
                <w:color w:val="auto"/>
              </w:rPr>
            </w:pPr>
            <w:r>
              <w:rPr>
                <w:rFonts w:ascii="Arial" w:cs="Arial" w:eastAsia="Arial" w:hAnsi="Arial"/>
                <w:sz w:val="18"/>
                <w:szCs w:val="18"/>
                <w:b w:val="1"/>
                <w:bCs w:val="1"/>
                <w:color w:val="auto"/>
                <w:w w:val="88"/>
              </w:rPr>
              <w:t>Total</w:t>
            </w: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15,183.99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 w:lineRule="exact"/>
        <w:rPr>
          <w:sz w:val="24"/>
          <w:szCs w:val="24"/>
          <w:color w:val="auto"/>
        </w:rPr>
      </w:pPr>
    </w:p>
    <w:p>
      <w:pPr>
        <w:sectPr>
          <w:pgSz w:w="11900" w:h="16951" w:orient="portrait"/>
          <w:cols w:equalWidth="0" w:num="1">
            <w:col w:w="11240"/>
          </w:cols>
          <w:pgMar w:left="320" w:top="229" w:right="339" w:bottom="0" w:gutter="0" w:footer="0" w:header="0"/>
        </w:sectPr>
      </w:pPr>
    </w:p>
    <w:p>
      <w:pPr>
        <w:jc w:val="both"/>
        <w:ind w:left="660" w:hanging="328"/>
        <w:spacing w:after="0" w:line="302" w:lineRule="auto"/>
        <w:tabs>
          <w:tab w:leader="none" w:pos="660" w:val="left"/>
        </w:tabs>
        <w:numPr>
          <w:ilvl w:val="0"/>
          <w:numId w:val="1"/>
        </w:numPr>
        <w:rPr>
          <w:rFonts w:ascii="Arial" w:cs="Arial" w:eastAsia="Arial" w:hAnsi="Arial"/>
          <w:sz w:val="16"/>
          <w:szCs w:val="16"/>
          <w:b w:val="1"/>
          <w:bCs w:val="1"/>
          <w:color w:val="auto"/>
        </w:rPr>
      </w:pPr>
      <w:r>
        <w:rPr>
          <w:rFonts w:ascii="Arial" w:cs="Arial" w:eastAsia="Arial" w:hAnsi="Arial"/>
          <w:sz w:val="16"/>
          <w:szCs w:val="16"/>
          <w:color w:val="auto"/>
        </w:rPr>
        <w:t>This Registration Statement registers 2,500,000 shares of Class A common stock of Clearway Energy, Inc. (the “Registrant”) and 2,500,000 shares of Class C common stock of the Registrant, in each case, issuable pursuant to the Registrant’s Amended and Restated 2013 Equity Incentive Plan as a result of the increase in shares reserved under such plan that was approved by the Registrant’s stockholders on April 29, 2021. The Registrant</w:t>
      </w:r>
    </w:p>
    <w:p>
      <w:pPr>
        <w:sectPr>
          <w:pgSz w:w="11900" w:h="16951" w:orient="portrait"/>
          <w:cols w:equalWidth="0" w:num="1">
            <w:col w:w="11240"/>
          </w:cols>
          <w:pgMar w:left="320" w:top="229" w:right="339" w:bottom="0" w:gutter="0" w:footer="0" w:header="0"/>
          <w:type w:val="continuous"/>
        </w:sectPr>
      </w:pPr>
    </w:p>
    <w:bookmarkStart w:id="1" w:name="page2"/>
    <w:bookmarkEnd w:id="1"/>
    <w:p>
      <w:pPr>
        <w:ind w:left="328"/>
        <w:spacing w:after="0" w:line="277" w:lineRule="auto"/>
        <w:rPr>
          <w:sz w:val="20"/>
          <w:szCs w:val="20"/>
          <w:color w:val="auto"/>
        </w:rPr>
      </w:pPr>
      <w:r>
        <w:rPr>
          <w:rFonts w:ascii="Arial" w:cs="Arial" w:eastAsia="Arial" w:hAnsi="Arial"/>
          <w:sz w:val="18"/>
          <w:szCs w:val="18"/>
          <w:color w:val="auto"/>
        </w:rPr>
        <w:t>may issue up to 4,500,000 shares of Class A common stock and/or Class C common stock, but in no event shall the Registrant be entitled to issue more than an aggregate of 4,500,000 shares of Class A common stock and Class C common stock under such plan.</w:t>
      </w:r>
    </w:p>
    <w:p>
      <w:pPr>
        <w:spacing w:after="0" w:line="170" w:lineRule="exact"/>
        <w:rPr>
          <w:sz w:val="20"/>
          <w:szCs w:val="20"/>
          <w:color w:val="auto"/>
        </w:rPr>
      </w:pPr>
    </w:p>
    <w:p>
      <w:pPr>
        <w:jc w:val="both"/>
        <w:ind w:left="328" w:hanging="328"/>
        <w:spacing w:after="0" w:line="259" w:lineRule="auto"/>
        <w:tabs>
          <w:tab w:leader="none" w:pos="32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In addition, pursuant to Rule 416 under the Securities Act of 1933, as amended (the “Securities Act”), this Registration Statement also covers any additional shares of Class A common stock or Class C common stock which become issuable because of any stock dividend, stock split, recapitalization or any other similar transaction effected without the receipt of consideration which results in an increase in the number of the outstanding shares of Class A common stock or Class C common stock.</w:t>
      </w:r>
    </w:p>
    <w:p>
      <w:pPr>
        <w:spacing w:after="0" w:line="186" w:lineRule="exact"/>
        <w:rPr>
          <w:rFonts w:ascii="Arial" w:cs="Arial" w:eastAsia="Arial" w:hAnsi="Arial"/>
          <w:sz w:val="18"/>
          <w:szCs w:val="18"/>
          <w:b w:val="1"/>
          <w:bCs w:val="1"/>
          <w:color w:val="auto"/>
        </w:rPr>
      </w:pPr>
    </w:p>
    <w:p>
      <w:pPr>
        <w:jc w:val="both"/>
        <w:ind w:left="328" w:hanging="328"/>
        <w:spacing w:after="0" w:line="263" w:lineRule="auto"/>
        <w:tabs>
          <w:tab w:leader="none" w:pos="32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Estimated solely for the purpose of calculating the registration fee in accordance with Rule 457(c) and (h) under the Securities Act based on the average of the high and low prices of the Class A common stock and the Class C common stock of the Registrant, as applicable, as reported on The New York Stock Exchange on April 28, 2021.</w:t>
      </w:r>
    </w:p>
    <w:p>
      <w:pPr>
        <w:spacing w:after="0" w:line="183" w:lineRule="exact"/>
        <w:rPr>
          <w:rFonts w:ascii="Arial" w:cs="Arial" w:eastAsia="Arial" w:hAnsi="Arial"/>
          <w:sz w:val="18"/>
          <w:szCs w:val="18"/>
          <w:b w:val="1"/>
          <w:bCs w:val="1"/>
          <w:color w:val="auto"/>
        </w:rPr>
      </w:pPr>
    </w:p>
    <w:p>
      <w:pPr>
        <w:ind w:left="328" w:hanging="328"/>
        <w:spacing w:after="0" w:line="277" w:lineRule="auto"/>
        <w:tabs>
          <w:tab w:leader="none" w:pos="32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Determined in accordance with Section 6(b) of the Securities Act at a rate equal to $109.10 per $1,000,000 of the Proposed Maximum Aggregate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151765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168910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485775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12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April 29, 2021, the Registrant’s stockholders approved the amendment and restatement of the Clearway Energy, Inc. Amended and Restated 2013 Equity Incentive Plan (as amended and restated effective February 19, 2021, the “Plan”) to, among other things, (i) increase the number of shares available for issuance under the Plan from an aggregate of 2,000,000 shares of Class A common stock and/or Class C common stock, which were previously authorized for issuance under the Plan, to an aggregate of 4,500,000 shares of Class A common stock and/or Class C common stock, (ii) extend the term of the Plan until February 19, 2031, (iii) remove obsolete references to Section 162(m) of the Internal Revenue Code of 1986, as amended, and (iv) adjust the limitations under the Plan with respect to the aggregate number of shares subject to awards and/or value of awards that may be granted to a participant during a fiscal year, including by applying such limitations by type of award. The Plan was approved by the Board of Directors of the Registrant on February 19, 2021, subject to shareholder approval.</w:t>
      </w:r>
    </w:p>
    <w:p>
      <w:pPr>
        <w:spacing w:after="0" w:line="178" w:lineRule="exact"/>
        <w:rPr>
          <w:sz w:val="20"/>
          <w:szCs w:val="20"/>
          <w:color w:val="auto"/>
        </w:rPr>
      </w:pPr>
    </w:p>
    <w:p>
      <w:pPr>
        <w:ind w:right="180" w:firstLine="648"/>
        <w:spacing w:after="0" w:line="272" w:lineRule="auto"/>
        <w:rPr>
          <w:rFonts w:ascii="Arial" w:cs="Arial" w:eastAsia="Arial" w:hAnsi="Arial"/>
          <w:sz w:val="17"/>
          <w:szCs w:val="17"/>
          <w:color w:val="auto"/>
        </w:rPr>
      </w:pPr>
      <w:r>
        <w:rPr>
          <w:rFonts w:ascii="Arial" w:cs="Arial" w:eastAsia="Arial" w:hAnsi="Arial"/>
          <w:sz w:val="17"/>
          <w:szCs w:val="17"/>
          <w:color w:val="auto"/>
        </w:rPr>
        <w:t>This Registration Statement (the “Registration Statement”) is being filed, in accordance with General Instruction E to Form S-8, to register the issuance of an aggregate of up to 2,500,000 additional shares of Class A common stock and an aggregate of up to 2,500,000 additional shares of Class C common stock for issuance under the Plan. The Registrant previously filed a Registration Statement on Form S-8 with the Securities and Exchange Commission (the “Commission”) on August 4, 2015 (</w:t>
      </w:r>
      <w:hyperlink r:id="rId18">
        <w:r>
          <w:rPr>
            <w:rFonts w:ascii="Arial" w:cs="Arial" w:eastAsia="Arial" w:hAnsi="Arial"/>
            <w:sz w:val="17"/>
            <w:szCs w:val="17"/>
            <w:u w:val="single" w:color="auto"/>
            <w:color w:val="0000EE"/>
          </w:rPr>
          <w:t>File No. 333-206061</w:t>
        </w:r>
      </w:hyperlink>
      <w:r>
        <w:rPr>
          <w:rFonts w:ascii="Arial" w:cs="Arial" w:eastAsia="Arial" w:hAnsi="Arial"/>
          <w:sz w:val="17"/>
          <w:szCs w:val="17"/>
          <w:color w:val="auto"/>
        </w:rPr>
        <w:t>) covering 2,000,000 shares of Class A common stock and 2,000,000 shares of Class C common stock authorized for issuance under the Plan (the “Prior Registration Statement”). Except as supplemented by the information set forth below, the contents of the Prior Registration Statement are incorporated herein by reference. Unless the context otherwise requires, references in this Registration Statement to “us” or “we” are references to Clearway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incorporate by reference the following documents filed by us with the Commission:</w:t>
      </w:r>
    </w:p>
    <w:p>
      <w:pPr>
        <w:spacing w:after="0" w:line="225"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our </w:t>
      </w:r>
      <w:hyperlink r:id="rId20">
        <w:r>
          <w:rPr>
            <w:rFonts w:ascii="Arial" w:cs="Arial" w:eastAsia="Arial" w:hAnsi="Arial"/>
            <w:sz w:val="18"/>
            <w:szCs w:val="18"/>
            <w:u w:val="single" w:color="auto"/>
            <w:color w:val="0000EE"/>
          </w:rPr>
          <w:t>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2020, filed on March 1, 2021;</w:t>
      </w:r>
    </w:p>
    <w:p>
      <w:pPr>
        <w:spacing w:after="0" w:line="225" w:lineRule="exact"/>
        <w:rPr>
          <w:rFonts w:ascii="Arial" w:cs="Arial" w:eastAsia="Arial" w:hAnsi="Arial"/>
          <w:sz w:val="18"/>
          <w:szCs w:val="18"/>
          <w:color w:val="auto"/>
        </w:rPr>
      </w:pPr>
    </w:p>
    <w:p>
      <w:pPr>
        <w:ind w:left="1300" w:right="60" w:hanging="644"/>
        <w:spacing w:after="0" w:line="263" w:lineRule="auto"/>
        <w:tabs>
          <w:tab w:leader="none" w:pos="1300" w:val="left"/>
        </w:tabs>
        <w:numPr>
          <w:ilvl w:val="0"/>
          <w:numId w:val="3"/>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with the Commission on </w:t>
      </w:r>
      <w:hyperlink r:id="rId21">
        <w:r>
          <w:rPr>
            <w:rFonts w:ascii="Arial" w:cs="Arial" w:eastAsia="Arial" w:hAnsi="Arial"/>
            <w:sz w:val="18"/>
            <w:szCs w:val="18"/>
            <w:u w:val="single" w:color="auto"/>
            <w:color w:val="0000EE"/>
          </w:rPr>
          <w:t>February 3, 2021</w:t>
        </w:r>
      </w:hyperlink>
      <w:r>
        <w:rPr>
          <w:rFonts w:ascii="Arial" w:cs="Arial" w:eastAsia="Arial" w:hAnsi="Arial"/>
          <w:sz w:val="18"/>
          <w:szCs w:val="18"/>
          <w:color w:val="auto"/>
        </w:rPr>
        <w:t xml:space="preserve">, </w:t>
      </w:r>
      <w:hyperlink r:id="rId22">
        <w:r>
          <w:rPr>
            <w:rFonts w:ascii="Arial" w:cs="Arial" w:eastAsia="Arial" w:hAnsi="Arial"/>
            <w:sz w:val="18"/>
            <w:szCs w:val="18"/>
            <w:u w:val="single" w:color="auto"/>
            <w:color w:val="0000EE"/>
          </w:rPr>
          <w:t>February 5, 2021</w:t>
        </w:r>
      </w:hyperlink>
      <w:r>
        <w:rPr>
          <w:rFonts w:ascii="Arial" w:cs="Arial" w:eastAsia="Arial" w:hAnsi="Arial"/>
          <w:sz w:val="18"/>
          <w:szCs w:val="18"/>
          <w:color w:val="auto"/>
        </w:rPr>
        <w:t xml:space="preserve">, </w:t>
      </w:r>
      <w:hyperlink r:id="rId23">
        <w:r>
          <w:rPr>
            <w:rFonts w:ascii="Arial" w:cs="Arial" w:eastAsia="Arial" w:hAnsi="Arial"/>
            <w:sz w:val="18"/>
            <w:szCs w:val="18"/>
            <w:u w:val="single" w:color="auto"/>
            <w:color w:val="0000EE"/>
          </w:rPr>
          <w:t>March 2, 2021</w:t>
        </w:r>
      </w:hyperlink>
      <w:r>
        <w:rPr>
          <w:rFonts w:ascii="Arial" w:cs="Arial" w:eastAsia="Arial" w:hAnsi="Arial"/>
          <w:sz w:val="18"/>
          <w:szCs w:val="18"/>
          <w:color w:val="auto"/>
        </w:rPr>
        <w:t xml:space="preserve">, </w:t>
      </w:r>
      <w:hyperlink r:id="rId24">
        <w:r>
          <w:rPr>
            <w:rFonts w:ascii="Arial" w:cs="Arial" w:eastAsia="Arial" w:hAnsi="Arial"/>
            <w:sz w:val="18"/>
            <w:szCs w:val="18"/>
            <w:u w:val="single" w:color="auto"/>
            <w:color w:val="0000EE"/>
          </w:rPr>
          <w:t>March 2, 2021</w:t>
        </w:r>
      </w:hyperlink>
      <w:r>
        <w:rPr>
          <w:rFonts w:ascii="Arial" w:cs="Arial" w:eastAsia="Arial" w:hAnsi="Arial"/>
          <w:sz w:val="18"/>
          <w:szCs w:val="18"/>
          <w:color w:val="auto"/>
        </w:rPr>
        <w:t xml:space="preserve">, </w:t>
      </w:r>
      <w:hyperlink r:id="rId25">
        <w:r>
          <w:rPr>
            <w:rFonts w:ascii="Arial" w:cs="Arial" w:eastAsia="Arial" w:hAnsi="Arial"/>
            <w:sz w:val="18"/>
            <w:szCs w:val="18"/>
            <w:u w:val="single" w:color="auto"/>
            <w:color w:val="0000EE"/>
          </w:rPr>
          <w:t>March 9, 2021</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6">
        <w:r>
          <w:rPr>
            <w:rFonts w:ascii="Arial" w:cs="Arial" w:eastAsia="Arial" w:hAnsi="Arial"/>
            <w:sz w:val="18"/>
            <w:szCs w:val="18"/>
            <w:u w:val="single" w:color="auto"/>
            <w:color w:val="0000EE"/>
          </w:rPr>
          <w:t xml:space="preserve">March 15, 2021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27">
        <w:r>
          <w:rPr>
            <w:rFonts w:ascii="Arial" w:cs="Arial" w:eastAsia="Arial" w:hAnsi="Arial"/>
            <w:sz w:val="18"/>
            <w:szCs w:val="18"/>
            <w:u w:val="single" w:color="auto"/>
            <w:color w:val="0000EE"/>
          </w:rPr>
          <w:t xml:space="preserve">May 3, 2021 </w:t>
        </w:r>
      </w:hyperlink>
      <w:r>
        <w:rPr>
          <w:rFonts w:ascii="Arial" w:cs="Arial" w:eastAsia="Arial" w:hAnsi="Arial"/>
          <w:sz w:val="18"/>
          <w:szCs w:val="18"/>
          <w:color w:val="000000"/>
        </w:rPr>
        <w:t>(in</w:t>
      </w:r>
      <w:r>
        <w:rPr>
          <w:rFonts w:ascii="Arial" w:cs="Arial" w:eastAsia="Arial" w:hAnsi="Arial"/>
          <w:sz w:val="18"/>
          <w:szCs w:val="18"/>
          <w:color w:val="0000EE"/>
        </w:rPr>
        <w:t xml:space="preserve"> </w:t>
      </w:r>
      <w:r>
        <w:rPr>
          <w:rFonts w:ascii="Arial" w:cs="Arial" w:eastAsia="Arial" w:hAnsi="Arial"/>
          <w:sz w:val="18"/>
          <w:szCs w:val="18"/>
          <w:color w:val="000000"/>
        </w:rPr>
        <w:t>each case, excluding any information in any Current Report on Form 8-K furnished</w:t>
      </w:r>
      <w:r>
        <w:rPr>
          <w:rFonts w:ascii="Arial" w:cs="Arial" w:eastAsia="Arial" w:hAnsi="Arial"/>
          <w:sz w:val="18"/>
          <w:szCs w:val="18"/>
          <w:color w:val="0000EE"/>
        </w:rPr>
        <w:t xml:space="preserve"> </w:t>
      </w:r>
      <w:r>
        <w:rPr>
          <w:rFonts w:ascii="Arial" w:cs="Arial" w:eastAsia="Arial" w:hAnsi="Arial"/>
          <w:sz w:val="18"/>
          <w:szCs w:val="18"/>
          <w:color w:val="000000"/>
        </w:rPr>
        <w:t>pursuant to Item 2.02 or 7.01); and</w:t>
      </w:r>
    </w:p>
    <w:p>
      <w:pPr>
        <w:spacing w:after="0" w:line="183" w:lineRule="exact"/>
        <w:rPr>
          <w:rFonts w:ascii="Arial" w:cs="Arial" w:eastAsia="Arial" w:hAnsi="Arial"/>
          <w:sz w:val="18"/>
          <w:szCs w:val="18"/>
          <w:color w:val="0000EE"/>
        </w:rPr>
      </w:pPr>
    </w:p>
    <w:p>
      <w:pPr>
        <w:ind w:left="1300" w:right="60" w:hanging="644"/>
        <w:spacing w:after="0" w:line="311" w:lineRule="auto"/>
        <w:tabs>
          <w:tab w:leader="none" w:pos="1300" w:val="left"/>
        </w:tabs>
        <w:numPr>
          <w:ilvl w:val="0"/>
          <w:numId w:val="3"/>
        </w:numPr>
        <w:rPr>
          <w:rFonts w:ascii="Arial" w:cs="Arial" w:eastAsia="Arial" w:hAnsi="Arial"/>
          <w:sz w:val="16"/>
          <w:szCs w:val="16"/>
          <w:color w:val="0000EE"/>
        </w:rPr>
      </w:pPr>
      <w:hyperlink r:id="rId28">
        <w:r>
          <w:rPr>
            <w:rFonts w:ascii="Arial" w:cs="Arial" w:eastAsia="Arial" w:hAnsi="Arial"/>
            <w:sz w:val="16"/>
            <w:szCs w:val="16"/>
            <w:color w:val="auto"/>
          </w:rPr>
          <w:t xml:space="preserve">the description of our Class A common stock and Class C common stock contained in our </w:t>
        </w:r>
        <w:r>
          <w:rPr>
            <w:rFonts w:ascii="Arial" w:cs="Arial" w:eastAsia="Arial" w:hAnsi="Arial"/>
            <w:sz w:val="16"/>
            <w:szCs w:val="16"/>
            <w:u w:val="single" w:color="auto"/>
            <w:color w:val="0000EE"/>
          </w:rPr>
          <w:t>Amendment No. 1 to Registration Statement</w:t>
        </w:r>
      </w:hyperlink>
      <w:r>
        <w:rPr>
          <w:rFonts w:ascii="Arial" w:cs="Arial" w:eastAsia="Arial" w:hAnsi="Arial"/>
          <w:sz w:val="16"/>
          <w:szCs w:val="16"/>
          <w:color w:val="auto"/>
        </w:rPr>
        <w:t xml:space="preserve"> </w:t>
      </w:r>
      <w:hyperlink r:id="rId28">
        <w:r>
          <w:rPr>
            <w:rFonts w:ascii="Arial" w:cs="Arial" w:eastAsia="Arial" w:hAnsi="Arial"/>
            <w:sz w:val="16"/>
            <w:szCs w:val="16"/>
            <w:u w:val="single" w:color="auto"/>
            <w:color w:val="0000EE"/>
          </w:rPr>
          <w:t>on Form 8-A</w:t>
        </w:r>
        <w:r>
          <w:rPr>
            <w:rFonts w:ascii="Arial" w:cs="Arial" w:eastAsia="Arial" w:hAnsi="Arial"/>
            <w:sz w:val="16"/>
            <w:szCs w:val="16"/>
            <w:color w:val="0000EE"/>
          </w:rPr>
          <w:t xml:space="preserve"> </w:t>
        </w:r>
        <w:r>
          <w:rPr>
            <w:rFonts w:ascii="Arial" w:cs="Arial" w:eastAsia="Arial" w:hAnsi="Arial"/>
            <w:sz w:val="16"/>
            <w:szCs w:val="16"/>
            <w:color w:val="000000"/>
          </w:rPr>
          <w:t xml:space="preserve">(File No. 001-36002) filed with the Commission on May 8, 2015, pursuant to Section 12(b) of the Securities Exchange </w:t>
        </w:r>
      </w:hyperlink>
      <w:r>
        <w:rPr>
          <w:rFonts w:ascii="Arial" w:cs="Arial" w:eastAsia="Arial" w:hAnsi="Arial"/>
          <w:sz w:val="16"/>
          <w:szCs w:val="16"/>
          <w:color w:val="0000EE"/>
        </w:rPr>
        <w:t xml:space="preserve">Act </w:t>
      </w:r>
      <w:r>
        <w:rPr>
          <w:rFonts w:ascii="Arial" w:cs="Arial" w:eastAsia="Arial" w:hAnsi="Arial"/>
          <w:sz w:val="16"/>
          <w:szCs w:val="16"/>
          <w:color w:val="000000"/>
        </w:rPr>
        <w:t>of 1934, as amended (the “Exchange Act”), including any amendments or reports filed for the purpose of updating such description.</w:t>
      </w:r>
    </w:p>
    <w:p>
      <w:pPr>
        <w:spacing w:after="0" w:line="149" w:lineRule="exact"/>
        <w:rPr>
          <w:rFonts w:ascii="Arial" w:cs="Arial" w:eastAsia="Arial" w:hAnsi="Arial"/>
          <w:sz w:val="16"/>
          <w:szCs w:val="16"/>
          <w:color w:val="auto"/>
        </w:rPr>
      </w:pPr>
    </w:p>
    <w:p>
      <w:pPr>
        <w:ind w:firstLine="648"/>
        <w:spacing w:after="0" w:line="259" w:lineRule="auto"/>
        <w:rPr>
          <w:sz w:val="20"/>
          <w:szCs w:val="20"/>
          <w:color w:val="auto"/>
        </w:rPr>
      </w:pPr>
      <w:r>
        <w:rPr>
          <w:rFonts w:ascii="Arial" w:cs="Arial" w:eastAsia="Arial" w:hAnsi="Arial"/>
          <w:sz w:val="18"/>
          <w:szCs w:val="18"/>
          <w:color w:val="auto"/>
        </w:rPr>
        <w:t>All documents filed by us with the Commission pursuant to Sections 13(a), 13(c), 14, and 15(d) of the Exchange Act subsequent to the date of this Registration Statement and prior to the filing of a post-effective amendment to this Registration Statement that indicates that all securities offered hereby have been sold or that deregisters all securities then remaining unsold, shall be deemed to be incorporated in this Registration Statement by reference and to be a part hereof from the date of filing of such documents.</w:t>
      </w:r>
    </w:p>
    <w:p>
      <w:pPr>
        <w:spacing w:after="0" w:line="187" w:lineRule="exact"/>
        <w:rPr>
          <w:rFonts w:ascii="Arial" w:cs="Arial" w:eastAsia="Arial" w:hAnsi="Arial"/>
          <w:sz w:val="16"/>
          <w:szCs w:val="16"/>
          <w:color w:val="auto"/>
        </w:rPr>
      </w:pPr>
    </w:p>
    <w:p>
      <w:pPr>
        <w:jc w:val="both"/>
        <w:ind w:right="520" w:firstLine="648"/>
        <w:spacing w:after="0" w:line="301" w:lineRule="auto"/>
        <w:rPr>
          <w:sz w:val="20"/>
          <w:szCs w:val="20"/>
          <w:color w:val="auto"/>
        </w:rPr>
      </w:pPr>
      <w:r>
        <w:rPr>
          <w:rFonts w:ascii="Arial" w:cs="Arial" w:eastAsia="Arial" w:hAnsi="Arial"/>
          <w:sz w:val="16"/>
          <w:szCs w:val="16"/>
          <w:color w:val="auto"/>
        </w:rPr>
        <w:t>Any statement contained in this Registration Statement, in an amendment hereto or in a document incorporated by reference herein shall be deemed modified or superseded for purposes of this Registration Statement to the extent that a statement contained herein, in any subsequently filed supplement to this Registration Statement or any document that is also incorporated by reference herein modifies or supersedes such statement. Any statement so modified or superseded shall not be deemed, except as so modified or superseded, to constitute a part of this Registration Statement.</w:t>
      </w:r>
    </w:p>
    <w:p>
      <w:pPr>
        <w:spacing w:after="0" w:line="153"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5" w:lineRule="exact"/>
        <w:rPr>
          <w:rFonts w:ascii="Arial" w:cs="Arial" w:eastAsia="Arial" w:hAnsi="Arial"/>
          <w:sz w:val="16"/>
          <w:szCs w:val="16"/>
          <w:color w:val="auto"/>
        </w:rPr>
      </w:pPr>
    </w:p>
    <w:p>
      <w:pPr>
        <w:spacing w:after="0"/>
        <w:tabs>
          <w:tab w:leader="none" w:pos="578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rFonts w:ascii="Arial" w:cs="Arial" w:eastAsia="Arial" w:hAnsi="Arial"/>
          <w:sz w:val="16"/>
          <w:szCs w:val="16"/>
          <w:color w:val="auto"/>
        </w:rPr>
      </w:pPr>
    </w:p>
    <w:p>
      <w:pPr>
        <w:ind w:left="1000" w:right="40" w:hanging="1241"/>
        <w:spacing w:after="0" w:line="263" w:lineRule="auto"/>
        <w:tabs>
          <w:tab w:leader="none" w:pos="980" w:val="left"/>
        </w:tabs>
        <w:rPr>
          <w:rFonts w:ascii="Arial" w:cs="Arial" w:eastAsia="Arial" w:hAnsi="Arial"/>
          <w:sz w:val="18"/>
          <w:szCs w:val="18"/>
          <w:u w:val="single" w:color="auto"/>
          <w:color w:val="0000EE"/>
        </w:rPr>
      </w:pPr>
      <w:hyperlink r:id="rId30">
        <w:r>
          <w:rPr>
            <w:rFonts w:ascii="Arial" w:cs="Arial" w:eastAsia="Arial" w:hAnsi="Arial"/>
            <w:sz w:val="18"/>
            <w:szCs w:val="18"/>
            <w:u w:val="single" w:color="auto"/>
            <w:color w:val="0000EE"/>
          </w:rPr>
          <w:t>4.1</w:t>
        </w:r>
      </w:hyperlink>
      <w:r>
        <w:rPr>
          <w:rFonts w:ascii="Arial" w:cs="Arial" w:eastAsia="Arial" w:hAnsi="Arial"/>
          <w:sz w:val="18"/>
          <w:szCs w:val="18"/>
          <w:u w:val="single" w:color="auto"/>
          <w:color w:val="0000EE"/>
        </w:rPr>
        <w:tab/>
      </w:r>
      <w:hyperlink r:id="rId30">
        <w:r>
          <w:rPr>
            <w:rFonts w:ascii="Arial" w:cs="Arial" w:eastAsia="Arial" w:hAnsi="Arial"/>
            <w:sz w:val="18"/>
            <w:szCs w:val="18"/>
            <w:u w:val="single" w:color="auto"/>
            <w:color w:val="0000EE"/>
          </w:rPr>
          <w:t>— Clearway Energy, Inc. Amended and Restated 2013 Equity Incentive Plan, as amended and restated effective February 19, 2021</w:t>
        </w:r>
      </w:hyperlink>
      <w:r>
        <w:rPr>
          <w:rFonts w:ascii="Arial" w:cs="Arial" w:eastAsia="Arial" w:hAnsi="Arial"/>
          <w:sz w:val="18"/>
          <w:szCs w:val="18"/>
          <w:u w:val="single" w:color="auto"/>
          <w:color w:val="0000EE"/>
        </w:rPr>
        <w:t xml:space="preserve"> </w:t>
      </w:r>
      <w:hyperlink r:id="rId30">
        <w:r>
          <w:rPr>
            <w:rFonts w:ascii="Arial" w:cs="Arial" w:eastAsia="Arial" w:hAnsi="Arial"/>
            <w:sz w:val="18"/>
            <w:szCs w:val="18"/>
            <w:u w:val="single" w:color="auto"/>
            <w:color w:val="0000EE"/>
          </w:rPr>
          <w:t>(incorporated by reference to Exhibit 10.1 to our Current Report on Form 8-K dated April 29, 2021, filed with the Commission on May 3,</w:t>
        </w:r>
      </w:hyperlink>
      <w:r>
        <w:rPr>
          <w:rFonts w:ascii="Arial" w:cs="Arial" w:eastAsia="Arial" w:hAnsi="Arial"/>
          <w:sz w:val="18"/>
          <w:szCs w:val="18"/>
          <w:u w:val="single" w:color="auto"/>
          <w:color w:val="0000EE"/>
        </w:rPr>
        <w:t xml:space="preserve"> </w:t>
      </w:r>
      <w:hyperlink r:id="rId30">
        <w:r>
          <w:rPr>
            <w:rFonts w:ascii="Arial" w:cs="Arial" w:eastAsia="Arial" w:hAnsi="Arial"/>
            <w:sz w:val="18"/>
            <w:szCs w:val="18"/>
            <w:u w:val="single" w:color="auto"/>
            <w:color w:val="0000EE"/>
          </w:rPr>
          <w:t>2021, file No. 001-36002).</w:t>
        </w:r>
      </w:hyperlink>
    </w:p>
    <w:p>
      <w:pPr>
        <w:spacing w:after="0" w:line="184" w:lineRule="exact"/>
        <w:rPr>
          <w:rFonts w:ascii="Arial" w:cs="Arial" w:eastAsia="Arial" w:hAnsi="Arial"/>
          <w:sz w:val="18"/>
          <w:szCs w:val="18"/>
          <w:u w:val="single" w:color="auto"/>
          <w:color w:val="0000EE"/>
        </w:rPr>
      </w:pPr>
    </w:p>
    <w:p>
      <w:pPr>
        <w:spacing w:after="0"/>
        <w:tabs>
          <w:tab w:leader="none" w:pos="400" w:val="left"/>
          <w:tab w:leader="none" w:pos="980" w:val="left"/>
        </w:tabs>
        <w:rPr>
          <w:rFonts w:ascii="Arial" w:cs="Arial" w:eastAsia="Arial" w:hAnsi="Arial"/>
          <w:sz w:val="17"/>
          <w:szCs w:val="17"/>
          <w:u w:val="single" w:color="auto"/>
          <w:color w:val="0000EE"/>
        </w:rPr>
      </w:pPr>
      <w:hyperlink w:anchor="page6">
        <w:r>
          <w:rPr>
            <w:rFonts w:ascii="Arial" w:cs="Arial" w:eastAsia="Arial" w:hAnsi="Arial"/>
            <w:sz w:val="18"/>
            <w:szCs w:val="18"/>
            <w:u w:val="single" w:color="auto"/>
            <w:color w:val="0000EE"/>
          </w:rPr>
          <w:t>5.1</w:t>
        </w:r>
      </w:hyperlink>
      <w:r>
        <w:rPr>
          <w:rFonts w:ascii="Arial" w:cs="Arial" w:eastAsia="Arial" w:hAnsi="Arial"/>
          <w:sz w:val="18"/>
          <w:szCs w:val="18"/>
          <w:u w:val="single" w:color="auto"/>
          <w:color w:val="0000EE"/>
        </w:rPr>
        <w:tab/>
        <w:t>*</w:t>
        <w:tab/>
      </w:r>
      <w:hyperlink w:anchor="page6">
        <w:r>
          <w:rPr>
            <w:rFonts w:ascii="Arial" w:cs="Arial" w:eastAsia="Arial" w:hAnsi="Arial"/>
            <w:sz w:val="17"/>
            <w:szCs w:val="17"/>
            <w:u w:val="single" w:color="auto"/>
            <w:color w:val="0000EE"/>
          </w:rPr>
          <w:t>— Opinion of Baker Botts L.L.P.</w:t>
        </w:r>
      </w:hyperlink>
    </w:p>
    <w:p>
      <w:pPr>
        <w:spacing w:after="0" w:line="225" w:lineRule="exact"/>
        <w:rPr>
          <w:sz w:val="20"/>
          <w:szCs w:val="20"/>
          <w:color w:val="auto"/>
        </w:rPr>
      </w:pPr>
    </w:p>
    <w:p>
      <w:pPr>
        <w:spacing w:after="0"/>
        <w:tabs>
          <w:tab w:leader="none" w:pos="980" w:val="left"/>
        </w:tabs>
        <w:rPr>
          <w:rFonts w:ascii="Arial" w:cs="Arial" w:eastAsia="Arial" w:hAnsi="Arial"/>
          <w:sz w:val="16"/>
          <w:szCs w:val="16"/>
          <w:u w:val="single" w:color="auto"/>
          <w:color w:val="0000EE"/>
        </w:rPr>
      </w:pPr>
      <w:hyperlink w:anchor="page8">
        <w:r>
          <w:rPr>
            <w:rFonts w:ascii="Arial" w:cs="Arial" w:eastAsia="Arial" w:hAnsi="Arial"/>
            <w:sz w:val="18"/>
            <w:szCs w:val="18"/>
            <w:u w:val="single" w:color="auto"/>
            <w:color w:val="0000EE"/>
          </w:rPr>
          <w:t>23.1 *</w:t>
        </w:r>
      </w:hyperlink>
      <w:r>
        <w:rPr>
          <w:rFonts w:ascii="Arial" w:cs="Arial" w:eastAsia="Arial" w:hAnsi="Arial"/>
          <w:sz w:val="18"/>
          <w:szCs w:val="18"/>
          <w:u w:val="single" w:color="auto"/>
          <w:color w:val="0000EE"/>
        </w:rPr>
        <w:tab/>
      </w:r>
      <w:hyperlink w:anchor="page8">
        <w:r>
          <w:rPr>
            <w:rFonts w:ascii="Arial" w:cs="Arial" w:eastAsia="Arial" w:hAnsi="Arial"/>
            <w:sz w:val="16"/>
            <w:szCs w:val="16"/>
            <w:u w:val="single" w:color="auto"/>
            <w:color w:val="0000EE"/>
          </w:rPr>
          <w:t>— Consent of KPMG LLP.</w:t>
        </w:r>
      </w:hyperlink>
    </w:p>
    <w:p>
      <w:pPr>
        <w:spacing w:after="0" w:line="225" w:lineRule="exact"/>
        <w:rPr>
          <w:sz w:val="20"/>
          <w:szCs w:val="20"/>
          <w:color w:val="auto"/>
        </w:rPr>
      </w:pPr>
    </w:p>
    <w:p>
      <w:pPr>
        <w:spacing w:after="0"/>
        <w:tabs>
          <w:tab w:leader="none" w:pos="980" w:val="left"/>
        </w:tabs>
        <w:rPr>
          <w:rFonts w:ascii="Arial" w:cs="Arial" w:eastAsia="Arial" w:hAnsi="Arial"/>
          <w:sz w:val="16"/>
          <w:szCs w:val="16"/>
          <w:u w:val="single" w:color="auto"/>
          <w:color w:val="0000EE"/>
        </w:rPr>
      </w:pPr>
      <w:hyperlink w:anchor="page6">
        <w:r>
          <w:rPr>
            <w:rFonts w:ascii="Arial" w:cs="Arial" w:eastAsia="Arial" w:hAnsi="Arial"/>
            <w:sz w:val="18"/>
            <w:szCs w:val="18"/>
            <w:u w:val="single" w:color="auto"/>
            <w:color w:val="0000EE"/>
          </w:rPr>
          <w:t>23.2 *</w:t>
        </w:r>
      </w:hyperlink>
      <w:r>
        <w:rPr>
          <w:rFonts w:ascii="Arial" w:cs="Arial" w:eastAsia="Arial" w:hAnsi="Arial"/>
          <w:sz w:val="18"/>
          <w:szCs w:val="18"/>
          <w:u w:val="single" w:color="auto"/>
          <w:color w:val="0000EE"/>
        </w:rPr>
        <w:tab/>
      </w:r>
      <w:hyperlink w:anchor="page6">
        <w:r>
          <w:rPr>
            <w:rFonts w:ascii="Arial" w:cs="Arial" w:eastAsia="Arial" w:hAnsi="Arial"/>
            <w:sz w:val="16"/>
            <w:szCs w:val="16"/>
            <w:u w:val="single" w:color="auto"/>
            <w:color w:val="0000EE"/>
          </w:rPr>
          <w:t>— Consent of Baker Botts L.L.P. (included in Exhibit 5.1).</w:t>
        </w:r>
      </w:hyperlink>
    </w:p>
    <w:p>
      <w:pPr>
        <w:spacing w:after="0" w:line="225" w:lineRule="exact"/>
        <w:rPr>
          <w:sz w:val="20"/>
          <w:szCs w:val="20"/>
          <w:color w:val="auto"/>
        </w:rPr>
      </w:pPr>
    </w:p>
    <w:p>
      <w:pPr>
        <w:spacing w:after="0"/>
        <w:tabs>
          <w:tab w:leader="none" w:pos="98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24.1 *</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 Power of Attorney (included on the signature page to this Registration Statement).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7830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this Registration Statement on Form S-8 and has duly caused this Registration Statement to be signed on its behalf by the undersigned, thereunto duly authorized, in the City of Princeton, State of New Jersey, on this 3rd day of May, 2021.</w:t>
      </w:r>
    </w:p>
    <w:p>
      <w:pPr>
        <w:spacing w:after="0" w:line="16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INC.</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Christopher S. Sotos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(Principal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Each person whose signature appears below hereby constitutes and appoints Christopher S. Sotos, Kevin P. Malcarney and Michael A. Brown, and each or any of them, any of whom may act without the joinder of the other, as his lawful attorneys-in-fact and agents, with full power of substitution and resubstitution for him in any and all capacities, to sign this Registration Statement and any and all amendments (including pre-effective and post-effective amendments) to this Registration Statement, and to file such registration statement and all such amendments or supplements, with all exhibits thereto, and other documents in connection therewith, with the Commission, granting unto said attorneys-in-fact and agents full power and authority to do and perform each and every act and thing requisite and necessary in connection with such matters and hereby ratifying and confirming all that such attorneys-in-fact and agents or his or her substitutes may do or cause to be done by virtue hereof.</w:t>
      </w:r>
    </w:p>
    <w:p>
      <w:pPr>
        <w:spacing w:after="0" w:line="17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220" w:type="dxa"/>
            <w:vAlign w:val="bottom"/>
          </w:tcPr>
          <w:p>
            <w:pPr>
              <w:spacing w:after="0"/>
              <w:rPr>
                <w:sz w:val="20"/>
                <w:szCs w:val="20"/>
                <w:color w:val="auto"/>
              </w:rPr>
            </w:pPr>
          </w:p>
        </w:tc>
        <w:tc>
          <w:tcPr>
            <w:tcW w:w="5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00" w:type="dxa"/>
            <w:vAlign w:val="bottom"/>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Date</w:t>
            </w:r>
          </w:p>
        </w:tc>
      </w:tr>
      <w:tr>
        <w:trPr>
          <w:trHeight w:val="425"/>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CHRISTOPHER S. SOTOS</w:t>
            </w:r>
          </w:p>
        </w:tc>
        <w:tc>
          <w:tcPr>
            <w:tcW w:w="220" w:type="dxa"/>
            <w:vAlign w:val="bottom"/>
          </w:tcPr>
          <w:p>
            <w:pPr>
              <w:spacing w:after="0"/>
              <w:rPr>
                <w:sz w:val="24"/>
                <w:szCs w:val="24"/>
                <w:color w:val="auto"/>
              </w:rPr>
            </w:pPr>
          </w:p>
        </w:tc>
        <w:tc>
          <w:tcPr>
            <w:tcW w:w="55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President, Chief Executive Officer and Director</w:t>
            </w:r>
          </w:p>
        </w:tc>
        <w:tc>
          <w:tcPr>
            <w:tcW w:w="2020" w:type="dxa"/>
            <w:vAlign w:val="bottom"/>
          </w:tcPr>
          <w:p>
            <w:pPr>
              <w:jc w:val="right"/>
              <w:spacing w:after="0"/>
              <w:rPr>
                <w:sz w:val="20"/>
                <w:szCs w:val="20"/>
                <w:color w:val="auto"/>
              </w:rPr>
            </w:pPr>
            <w:r>
              <w:rPr>
                <w:rFonts w:ascii="Arial" w:cs="Arial" w:eastAsia="Arial" w:hAnsi="Arial"/>
                <w:sz w:val="18"/>
                <w:szCs w:val="18"/>
                <w:color w:val="auto"/>
              </w:rPr>
              <w:t>May 3, 2021</w:t>
            </w:r>
          </w:p>
        </w:tc>
      </w:tr>
      <w:tr>
        <w:trPr>
          <w:trHeight w:val="224"/>
        </w:trPr>
        <w:tc>
          <w:tcPr>
            <w:tcW w:w="3500" w:type="dxa"/>
            <w:vAlign w:val="bottom"/>
          </w:tcPr>
          <w:p>
            <w:pPr>
              <w:jc w:val="center"/>
              <w:ind w:left="90"/>
              <w:spacing w:after="0"/>
              <w:rPr>
                <w:sz w:val="20"/>
                <w:szCs w:val="20"/>
                <w:color w:val="auto"/>
              </w:rPr>
            </w:pPr>
            <w:r>
              <w:rPr>
                <w:rFonts w:ascii="Arial" w:cs="Arial" w:eastAsia="Arial" w:hAnsi="Arial"/>
                <w:sz w:val="18"/>
                <w:szCs w:val="18"/>
                <w:color w:val="auto"/>
                <w:w w:val="89"/>
              </w:rPr>
              <w:t>Christopher S. Sotos</w:t>
            </w:r>
          </w:p>
        </w:tc>
        <w:tc>
          <w:tcPr>
            <w:tcW w:w="220" w:type="dxa"/>
            <w:vAlign w:val="bottom"/>
          </w:tcPr>
          <w:p>
            <w:pPr>
              <w:spacing w:after="0"/>
              <w:rPr>
                <w:sz w:val="19"/>
                <w:szCs w:val="19"/>
                <w:color w:val="auto"/>
              </w:rPr>
            </w:pPr>
          </w:p>
        </w:tc>
        <w:tc>
          <w:tcPr>
            <w:tcW w:w="55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(Principal Executive Officer)</w:t>
            </w:r>
          </w:p>
        </w:tc>
        <w:tc>
          <w:tcPr>
            <w:tcW w:w="2020" w:type="dxa"/>
            <w:vAlign w:val="bottom"/>
          </w:tcPr>
          <w:p>
            <w:pPr>
              <w:spacing w:after="0"/>
              <w:rPr>
                <w:sz w:val="19"/>
                <w:szCs w:val="19"/>
                <w:color w:val="auto"/>
              </w:rPr>
            </w:pPr>
          </w:p>
        </w:tc>
      </w:tr>
      <w:tr>
        <w:trPr>
          <w:trHeight w:val="418"/>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CHAD PLOTKIN</w:t>
            </w:r>
          </w:p>
        </w:tc>
        <w:tc>
          <w:tcPr>
            <w:tcW w:w="220" w:type="dxa"/>
            <w:vAlign w:val="bottom"/>
          </w:tcPr>
          <w:p>
            <w:pPr>
              <w:spacing w:after="0"/>
              <w:rPr>
                <w:sz w:val="24"/>
                <w:szCs w:val="24"/>
                <w:color w:val="auto"/>
              </w:rPr>
            </w:pPr>
          </w:p>
        </w:tc>
        <w:tc>
          <w:tcPr>
            <w:tcW w:w="55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Chief Financial Officer</w:t>
            </w:r>
          </w:p>
        </w:tc>
        <w:tc>
          <w:tcPr>
            <w:tcW w:w="2020" w:type="dxa"/>
            <w:vAlign w:val="bottom"/>
          </w:tcPr>
          <w:p>
            <w:pPr>
              <w:jc w:val="right"/>
              <w:spacing w:after="0"/>
              <w:rPr>
                <w:sz w:val="20"/>
                <w:szCs w:val="20"/>
                <w:color w:val="auto"/>
              </w:rPr>
            </w:pPr>
            <w:r>
              <w:rPr>
                <w:rFonts w:ascii="Arial" w:cs="Arial" w:eastAsia="Arial" w:hAnsi="Arial"/>
                <w:sz w:val="18"/>
                <w:szCs w:val="18"/>
                <w:color w:val="auto"/>
              </w:rPr>
              <w:t>May 3, 2021</w:t>
            </w:r>
          </w:p>
        </w:tc>
      </w:tr>
      <w:tr>
        <w:trPr>
          <w:trHeight w:val="224"/>
        </w:trPr>
        <w:tc>
          <w:tcPr>
            <w:tcW w:w="3500" w:type="dxa"/>
            <w:vAlign w:val="bottom"/>
          </w:tcPr>
          <w:p>
            <w:pPr>
              <w:jc w:val="center"/>
              <w:spacing w:after="0"/>
              <w:rPr>
                <w:sz w:val="20"/>
                <w:szCs w:val="20"/>
                <w:color w:val="auto"/>
              </w:rPr>
            </w:pPr>
            <w:r>
              <w:rPr>
                <w:rFonts w:ascii="Arial" w:cs="Arial" w:eastAsia="Arial" w:hAnsi="Arial"/>
                <w:sz w:val="18"/>
                <w:szCs w:val="18"/>
                <w:color w:val="auto"/>
                <w:w w:val="92"/>
              </w:rPr>
              <w:t>Chad Plotkin</w:t>
            </w:r>
          </w:p>
        </w:tc>
        <w:tc>
          <w:tcPr>
            <w:tcW w:w="220" w:type="dxa"/>
            <w:vAlign w:val="bottom"/>
          </w:tcPr>
          <w:p>
            <w:pPr>
              <w:spacing w:after="0"/>
              <w:rPr>
                <w:sz w:val="19"/>
                <w:szCs w:val="19"/>
                <w:color w:val="auto"/>
              </w:rPr>
            </w:pPr>
          </w:p>
        </w:tc>
        <w:tc>
          <w:tcPr>
            <w:tcW w:w="550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(Principal Financial Officer)</w:t>
            </w:r>
          </w:p>
        </w:tc>
        <w:tc>
          <w:tcPr>
            <w:tcW w:w="2020" w:type="dxa"/>
            <w:vAlign w:val="bottom"/>
          </w:tcPr>
          <w:p>
            <w:pPr>
              <w:spacing w:after="0"/>
              <w:rPr>
                <w:sz w:val="19"/>
                <w:szCs w:val="19"/>
                <w:color w:val="auto"/>
              </w:rPr>
            </w:pPr>
          </w:p>
        </w:tc>
      </w:tr>
      <w:tr>
        <w:trPr>
          <w:trHeight w:val="418"/>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SARAH RUBENSTEIN</w:t>
            </w:r>
          </w:p>
        </w:tc>
        <w:tc>
          <w:tcPr>
            <w:tcW w:w="220" w:type="dxa"/>
            <w:vAlign w:val="bottom"/>
          </w:tcPr>
          <w:p>
            <w:pPr>
              <w:spacing w:after="0"/>
              <w:rPr>
                <w:sz w:val="24"/>
                <w:szCs w:val="24"/>
                <w:color w:val="auto"/>
              </w:rPr>
            </w:pPr>
          </w:p>
        </w:tc>
        <w:tc>
          <w:tcPr>
            <w:tcW w:w="55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Vice President, Accounting &amp; Controller</w:t>
            </w:r>
          </w:p>
        </w:tc>
        <w:tc>
          <w:tcPr>
            <w:tcW w:w="2020" w:type="dxa"/>
            <w:vAlign w:val="bottom"/>
          </w:tcPr>
          <w:p>
            <w:pPr>
              <w:jc w:val="right"/>
              <w:spacing w:after="0"/>
              <w:rPr>
                <w:sz w:val="20"/>
                <w:szCs w:val="20"/>
                <w:color w:val="auto"/>
              </w:rPr>
            </w:pPr>
            <w:r>
              <w:rPr>
                <w:rFonts w:ascii="Arial" w:cs="Arial" w:eastAsia="Arial" w:hAnsi="Arial"/>
                <w:sz w:val="18"/>
                <w:szCs w:val="18"/>
                <w:color w:val="auto"/>
              </w:rPr>
              <w:t>May 3, 2021</w:t>
            </w:r>
          </w:p>
        </w:tc>
      </w:tr>
      <w:tr>
        <w:trPr>
          <w:trHeight w:val="224"/>
        </w:trPr>
        <w:tc>
          <w:tcPr>
            <w:tcW w:w="3500" w:type="dxa"/>
            <w:vAlign w:val="bottom"/>
          </w:tcPr>
          <w:p>
            <w:pPr>
              <w:jc w:val="center"/>
              <w:ind w:left="90"/>
              <w:spacing w:after="0"/>
              <w:rPr>
                <w:sz w:val="20"/>
                <w:szCs w:val="20"/>
                <w:color w:val="auto"/>
              </w:rPr>
            </w:pPr>
            <w:r>
              <w:rPr>
                <w:rFonts w:ascii="Arial" w:cs="Arial" w:eastAsia="Arial" w:hAnsi="Arial"/>
                <w:sz w:val="18"/>
                <w:szCs w:val="18"/>
                <w:color w:val="auto"/>
                <w:w w:val="88"/>
              </w:rPr>
              <w:t>Sarah Rubenstein</w:t>
            </w:r>
          </w:p>
        </w:tc>
        <w:tc>
          <w:tcPr>
            <w:tcW w:w="220" w:type="dxa"/>
            <w:vAlign w:val="bottom"/>
          </w:tcPr>
          <w:p>
            <w:pPr>
              <w:spacing w:after="0"/>
              <w:rPr>
                <w:sz w:val="19"/>
                <w:szCs w:val="19"/>
                <w:color w:val="auto"/>
              </w:rPr>
            </w:pPr>
          </w:p>
        </w:tc>
        <w:tc>
          <w:tcPr>
            <w:tcW w:w="55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(Principal Accounting Officer)</w:t>
            </w:r>
          </w:p>
        </w:tc>
        <w:tc>
          <w:tcPr>
            <w:tcW w:w="2020" w:type="dxa"/>
            <w:vAlign w:val="bottom"/>
          </w:tcPr>
          <w:p>
            <w:pPr>
              <w:spacing w:after="0"/>
              <w:rPr>
                <w:sz w:val="19"/>
                <w:szCs w:val="19"/>
                <w:color w:val="auto"/>
              </w:rPr>
            </w:pPr>
          </w:p>
        </w:tc>
      </w:tr>
      <w:tr>
        <w:trPr>
          <w:trHeight w:val="418"/>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JONATHAN BRAM</w:t>
            </w:r>
          </w:p>
        </w:tc>
        <w:tc>
          <w:tcPr>
            <w:tcW w:w="220" w:type="dxa"/>
            <w:vAlign w:val="bottom"/>
          </w:tcPr>
          <w:p>
            <w:pPr>
              <w:spacing w:after="0"/>
              <w:rPr>
                <w:sz w:val="24"/>
                <w:szCs w:val="24"/>
                <w:color w:val="auto"/>
              </w:rPr>
            </w:pPr>
          </w:p>
        </w:tc>
        <w:tc>
          <w:tcPr>
            <w:tcW w:w="55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Chairman of the Board</w:t>
            </w:r>
          </w:p>
        </w:tc>
        <w:tc>
          <w:tcPr>
            <w:tcW w:w="2020" w:type="dxa"/>
            <w:vAlign w:val="bottom"/>
          </w:tcPr>
          <w:p>
            <w:pPr>
              <w:jc w:val="right"/>
              <w:spacing w:after="0"/>
              <w:rPr>
                <w:sz w:val="20"/>
                <w:szCs w:val="20"/>
                <w:color w:val="auto"/>
              </w:rPr>
            </w:pPr>
            <w:r>
              <w:rPr>
                <w:rFonts w:ascii="Arial" w:cs="Arial" w:eastAsia="Arial" w:hAnsi="Arial"/>
                <w:sz w:val="18"/>
                <w:szCs w:val="18"/>
                <w:color w:val="auto"/>
              </w:rPr>
              <w:t>May 3, 2021</w:t>
            </w:r>
          </w:p>
        </w:tc>
      </w:tr>
      <w:tr>
        <w:trPr>
          <w:trHeight w:val="224"/>
        </w:trPr>
        <w:tc>
          <w:tcPr>
            <w:tcW w:w="3500" w:type="dxa"/>
            <w:vAlign w:val="bottom"/>
          </w:tcPr>
          <w:p>
            <w:pPr>
              <w:jc w:val="center"/>
              <w:ind w:left="90"/>
              <w:spacing w:after="0"/>
              <w:rPr>
                <w:sz w:val="20"/>
                <w:szCs w:val="20"/>
                <w:color w:val="auto"/>
              </w:rPr>
            </w:pPr>
            <w:r>
              <w:rPr>
                <w:rFonts w:ascii="Arial" w:cs="Arial" w:eastAsia="Arial" w:hAnsi="Arial"/>
                <w:sz w:val="18"/>
                <w:szCs w:val="18"/>
                <w:color w:val="auto"/>
                <w:w w:val="88"/>
              </w:rPr>
              <w:t>Jonathan Bram</w:t>
            </w:r>
          </w:p>
        </w:tc>
        <w:tc>
          <w:tcPr>
            <w:tcW w:w="2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8"/>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NATHANIEL ANSCHUETZ</w:t>
            </w:r>
          </w:p>
        </w:tc>
        <w:tc>
          <w:tcPr>
            <w:tcW w:w="220" w:type="dxa"/>
            <w:vAlign w:val="bottom"/>
          </w:tcPr>
          <w:p>
            <w:pPr>
              <w:spacing w:after="0"/>
              <w:rPr>
                <w:sz w:val="24"/>
                <w:szCs w:val="24"/>
                <w:color w:val="auto"/>
              </w:rPr>
            </w:pPr>
          </w:p>
        </w:tc>
        <w:tc>
          <w:tcPr>
            <w:tcW w:w="55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020" w:type="dxa"/>
            <w:vAlign w:val="bottom"/>
          </w:tcPr>
          <w:p>
            <w:pPr>
              <w:jc w:val="right"/>
              <w:spacing w:after="0"/>
              <w:rPr>
                <w:sz w:val="20"/>
                <w:szCs w:val="20"/>
                <w:color w:val="auto"/>
              </w:rPr>
            </w:pPr>
            <w:r>
              <w:rPr>
                <w:rFonts w:ascii="Arial" w:cs="Arial" w:eastAsia="Arial" w:hAnsi="Arial"/>
                <w:sz w:val="18"/>
                <w:szCs w:val="18"/>
                <w:color w:val="auto"/>
              </w:rPr>
              <w:t>May 3, 2021</w:t>
            </w:r>
          </w:p>
        </w:tc>
      </w:tr>
      <w:tr>
        <w:trPr>
          <w:trHeight w:val="224"/>
        </w:trPr>
        <w:tc>
          <w:tcPr>
            <w:tcW w:w="3500" w:type="dxa"/>
            <w:vAlign w:val="bottom"/>
          </w:tcPr>
          <w:p>
            <w:pPr>
              <w:jc w:val="center"/>
              <w:ind w:left="90"/>
              <w:spacing w:after="0"/>
              <w:rPr>
                <w:sz w:val="20"/>
                <w:szCs w:val="20"/>
                <w:color w:val="auto"/>
              </w:rPr>
            </w:pPr>
            <w:r>
              <w:rPr>
                <w:rFonts w:ascii="Arial" w:cs="Arial" w:eastAsia="Arial" w:hAnsi="Arial"/>
                <w:sz w:val="18"/>
                <w:szCs w:val="18"/>
                <w:color w:val="auto"/>
                <w:w w:val="92"/>
              </w:rPr>
              <w:t>Nathaniel Anschuetz</w:t>
            </w:r>
          </w:p>
        </w:tc>
        <w:tc>
          <w:tcPr>
            <w:tcW w:w="2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8"/>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BRIAN FORD</w:t>
            </w:r>
          </w:p>
        </w:tc>
        <w:tc>
          <w:tcPr>
            <w:tcW w:w="220" w:type="dxa"/>
            <w:vAlign w:val="bottom"/>
          </w:tcPr>
          <w:p>
            <w:pPr>
              <w:spacing w:after="0"/>
              <w:rPr>
                <w:sz w:val="24"/>
                <w:szCs w:val="24"/>
                <w:color w:val="auto"/>
              </w:rPr>
            </w:pPr>
          </w:p>
        </w:tc>
        <w:tc>
          <w:tcPr>
            <w:tcW w:w="55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020" w:type="dxa"/>
            <w:vAlign w:val="bottom"/>
          </w:tcPr>
          <w:p>
            <w:pPr>
              <w:jc w:val="right"/>
              <w:spacing w:after="0"/>
              <w:rPr>
                <w:sz w:val="20"/>
                <w:szCs w:val="20"/>
                <w:color w:val="auto"/>
              </w:rPr>
            </w:pPr>
            <w:r>
              <w:rPr>
                <w:rFonts w:ascii="Arial" w:cs="Arial" w:eastAsia="Arial" w:hAnsi="Arial"/>
                <w:sz w:val="18"/>
                <w:szCs w:val="18"/>
                <w:color w:val="auto"/>
              </w:rPr>
              <w:t>May 3, 2021</w:t>
            </w:r>
          </w:p>
        </w:tc>
      </w:tr>
      <w:tr>
        <w:trPr>
          <w:trHeight w:val="224"/>
        </w:trPr>
        <w:tc>
          <w:tcPr>
            <w:tcW w:w="3500" w:type="dxa"/>
            <w:vAlign w:val="bottom"/>
          </w:tcPr>
          <w:p>
            <w:pPr>
              <w:jc w:val="center"/>
              <w:ind w:left="90"/>
              <w:spacing w:after="0"/>
              <w:rPr>
                <w:sz w:val="20"/>
                <w:szCs w:val="20"/>
                <w:color w:val="auto"/>
              </w:rPr>
            </w:pPr>
            <w:r>
              <w:rPr>
                <w:rFonts w:ascii="Arial" w:cs="Arial" w:eastAsia="Arial" w:hAnsi="Arial"/>
                <w:sz w:val="18"/>
                <w:szCs w:val="18"/>
                <w:color w:val="auto"/>
                <w:w w:val="95"/>
              </w:rPr>
              <w:t>Brian Ford</w:t>
            </w:r>
          </w:p>
        </w:tc>
        <w:tc>
          <w:tcPr>
            <w:tcW w:w="2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8"/>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BRUCE MACLENNAN</w:t>
            </w:r>
          </w:p>
        </w:tc>
        <w:tc>
          <w:tcPr>
            <w:tcW w:w="220" w:type="dxa"/>
            <w:vAlign w:val="bottom"/>
          </w:tcPr>
          <w:p>
            <w:pPr>
              <w:spacing w:after="0"/>
              <w:rPr>
                <w:sz w:val="24"/>
                <w:szCs w:val="24"/>
                <w:color w:val="auto"/>
              </w:rPr>
            </w:pPr>
          </w:p>
        </w:tc>
        <w:tc>
          <w:tcPr>
            <w:tcW w:w="55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020" w:type="dxa"/>
            <w:vAlign w:val="bottom"/>
          </w:tcPr>
          <w:p>
            <w:pPr>
              <w:jc w:val="right"/>
              <w:spacing w:after="0"/>
              <w:rPr>
                <w:sz w:val="20"/>
                <w:szCs w:val="20"/>
                <w:color w:val="auto"/>
              </w:rPr>
            </w:pPr>
            <w:r>
              <w:rPr>
                <w:rFonts w:ascii="Arial" w:cs="Arial" w:eastAsia="Arial" w:hAnsi="Arial"/>
                <w:sz w:val="18"/>
                <w:szCs w:val="18"/>
                <w:color w:val="auto"/>
              </w:rPr>
              <w:t>May 3, 2021</w:t>
            </w:r>
          </w:p>
        </w:tc>
      </w:tr>
      <w:tr>
        <w:trPr>
          <w:trHeight w:val="224"/>
        </w:trPr>
        <w:tc>
          <w:tcPr>
            <w:tcW w:w="3500" w:type="dxa"/>
            <w:vAlign w:val="bottom"/>
          </w:tcPr>
          <w:p>
            <w:pPr>
              <w:jc w:val="center"/>
              <w:ind w:left="90"/>
              <w:spacing w:after="0"/>
              <w:rPr>
                <w:sz w:val="20"/>
                <w:szCs w:val="20"/>
                <w:color w:val="auto"/>
              </w:rPr>
            </w:pPr>
            <w:r>
              <w:rPr>
                <w:rFonts w:ascii="Arial" w:cs="Arial" w:eastAsia="Arial" w:hAnsi="Arial"/>
                <w:sz w:val="18"/>
                <w:szCs w:val="18"/>
                <w:color w:val="auto"/>
                <w:w w:val="90"/>
              </w:rPr>
              <w:t>Bruce MacLennan</w:t>
            </w:r>
          </w:p>
        </w:tc>
        <w:tc>
          <w:tcPr>
            <w:tcW w:w="2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8"/>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FERRELL MCCLEAN</w:t>
            </w:r>
          </w:p>
        </w:tc>
        <w:tc>
          <w:tcPr>
            <w:tcW w:w="220" w:type="dxa"/>
            <w:vAlign w:val="bottom"/>
          </w:tcPr>
          <w:p>
            <w:pPr>
              <w:spacing w:after="0"/>
              <w:rPr>
                <w:sz w:val="24"/>
                <w:szCs w:val="24"/>
                <w:color w:val="auto"/>
              </w:rPr>
            </w:pPr>
          </w:p>
        </w:tc>
        <w:tc>
          <w:tcPr>
            <w:tcW w:w="55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020" w:type="dxa"/>
            <w:vAlign w:val="bottom"/>
          </w:tcPr>
          <w:p>
            <w:pPr>
              <w:jc w:val="right"/>
              <w:spacing w:after="0"/>
              <w:rPr>
                <w:sz w:val="20"/>
                <w:szCs w:val="20"/>
                <w:color w:val="auto"/>
              </w:rPr>
            </w:pPr>
            <w:r>
              <w:rPr>
                <w:rFonts w:ascii="Arial" w:cs="Arial" w:eastAsia="Arial" w:hAnsi="Arial"/>
                <w:sz w:val="18"/>
                <w:szCs w:val="18"/>
                <w:color w:val="auto"/>
              </w:rPr>
              <w:t>May 3, 2021</w:t>
            </w:r>
          </w:p>
        </w:tc>
      </w:tr>
      <w:tr>
        <w:trPr>
          <w:trHeight w:val="224"/>
        </w:trPr>
        <w:tc>
          <w:tcPr>
            <w:tcW w:w="3500" w:type="dxa"/>
            <w:vAlign w:val="bottom"/>
          </w:tcPr>
          <w:p>
            <w:pPr>
              <w:jc w:val="center"/>
              <w:spacing w:after="0"/>
              <w:rPr>
                <w:sz w:val="20"/>
                <w:szCs w:val="20"/>
                <w:color w:val="auto"/>
              </w:rPr>
            </w:pPr>
            <w:r>
              <w:rPr>
                <w:rFonts w:ascii="Arial" w:cs="Arial" w:eastAsia="Arial" w:hAnsi="Arial"/>
                <w:sz w:val="18"/>
                <w:szCs w:val="18"/>
                <w:color w:val="auto"/>
                <w:w w:val="92"/>
              </w:rPr>
              <w:t>Ferrell McClean</w:t>
            </w:r>
          </w:p>
        </w:tc>
        <w:tc>
          <w:tcPr>
            <w:tcW w:w="2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8"/>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DANIEL B. MORE</w:t>
            </w:r>
          </w:p>
        </w:tc>
        <w:tc>
          <w:tcPr>
            <w:tcW w:w="220" w:type="dxa"/>
            <w:vAlign w:val="bottom"/>
          </w:tcPr>
          <w:p>
            <w:pPr>
              <w:spacing w:after="0"/>
              <w:rPr>
                <w:sz w:val="24"/>
                <w:szCs w:val="24"/>
                <w:color w:val="auto"/>
              </w:rPr>
            </w:pPr>
          </w:p>
        </w:tc>
        <w:tc>
          <w:tcPr>
            <w:tcW w:w="55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020" w:type="dxa"/>
            <w:vAlign w:val="bottom"/>
          </w:tcPr>
          <w:p>
            <w:pPr>
              <w:jc w:val="right"/>
              <w:spacing w:after="0"/>
              <w:rPr>
                <w:sz w:val="20"/>
                <w:szCs w:val="20"/>
                <w:color w:val="auto"/>
              </w:rPr>
            </w:pPr>
            <w:r>
              <w:rPr>
                <w:rFonts w:ascii="Arial" w:cs="Arial" w:eastAsia="Arial" w:hAnsi="Arial"/>
                <w:sz w:val="18"/>
                <w:szCs w:val="18"/>
                <w:color w:val="auto"/>
              </w:rPr>
              <w:t>May 3, 2021</w:t>
            </w:r>
          </w:p>
        </w:tc>
      </w:tr>
      <w:tr>
        <w:trPr>
          <w:trHeight w:val="224"/>
        </w:trPr>
        <w:tc>
          <w:tcPr>
            <w:tcW w:w="3500" w:type="dxa"/>
            <w:vAlign w:val="bottom"/>
          </w:tcPr>
          <w:p>
            <w:pPr>
              <w:jc w:val="center"/>
              <w:spacing w:after="0"/>
              <w:rPr>
                <w:sz w:val="20"/>
                <w:szCs w:val="20"/>
                <w:color w:val="auto"/>
              </w:rPr>
            </w:pPr>
            <w:r>
              <w:rPr>
                <w:rFonts w:ascii="Arial" w:cs="Arial" w:eastAsia="Arial" w:hAnsi="Arial"/>
                <w:sz w:val="18"/>
                <w:szCs w:val="18"/>
                <w:color w:val="auto"/>
                <w:w w:val="95"/>
              </w:rPr>
              <w:t>Daniel B. More</w:t>
            </w:r>
          </w:p>
        </w:tc>
        <w:tc>
          <w:tcPr>
            <w:tcW w:w="2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8"/>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E. STANLEY O’NEAL</w:t>
            </w:r>
          </w:p>
        </w:tc>
        <w:tc>
          <w:tcPr>
            <w:tcW w:w="220" w:type="dxa"/>
            <w:vAlign w:val="bottom"/>
          </w:tcPr>
          <w:p>
            <w:pPr>
              <w:spacing w:after="0"/>
              <w:rPr>
                <w:sz w:val="24"/>
                <w:szCs w:val="24"/>
                <w:color w:val="auto"/>
              </w:rPr>
            </w:pPr>
          </w:p>
        </w:tc>
        <w:tc>
          <w:tcPr>
            <w:tcW w:w="55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020" w:type="dxa"/>
            <w:vAlign w:val="bottom"/>
          </w:tcPr>
          <w:p>
            <w:pPr>
              <w:jc w:val="right"/>
              <w:spacing w:after="0"/>
              <w:rPr>
                <w:sz w:val="20"/>
                <w:szCs w:val="20"/>
                <w:color w:val="auto"/>
              </w:rPr>
            </w:pPr>
            <w:r>
              <w:rPr>
                <w:rFonts w:ascii="Arial" w:cs="Arial" w:eastAsia="Arial" w:hAnsi="Arial"/>
                <w:sz w:val="18"/>
                <w:szCs w:val="18"/>
                <w:color w:val="auto"/>
              </w:rPr>
              <w:t>May 3, 2021</w:t>
            </w:r>
          </w:p>
        </w:tc>
      </w:tr>
      <w:tr>
        <w:trPr>
          <w:trHeight w:val="224"/>
        </w:trPr>
        <w:tc>
          <w:tcPr>
            <w:tcW w:w="3500" w:type="dxa"/>
            <w:vAlign w:val="bottom"/>
          </w:tcPr>
          <w:p>
            <w:pPr>
              <w:jc w:val="center"/>
              <w:ind w:left="90"/>
              <w:spacing w:after="0"/>
              <w:rPr>
                <w:sz w:val="20"/>
                <w:szCs w:val="20"/>
                <w:color w:val="auto"/>
              </w:rPr>
            </w:pPr>
            <w:r>
              <w:rPr>
                <w:rFonts w:ascii="Arial" w:cs="Arial" w:eastAsia="Arial" w:hAnsi="Arial"/>
                <w:sz w:val="18"/>
                <w:szCs w:val="18"/>
                <w:color w:val="auto"/>
                <w:w w:val="92"/>
              </w:rPr>
              <w:t>E. Stanley O’Neal</w:t>
            </w:r>
          </w:p>
        </w:tc>
        <w:tc>
          <w:tcPr>
            <w:tcW w:w="2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8"/>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SCOTT STANLEY</w:t>
            </w:r>
          </w:p>
        </w:tc>
        <w:tc>
          <w:tcPr>
            <w:tcW w:w="220" w:type="dxa"/>
            <w:vAlign w:val="bottom"/>
          </w:tcPr>
          <w:p>
            <w:pPr>
              <w:spacing w:after="0"/>
              <w:rPr>
                <w:sz w:val="24"/>
                <w:szCs w:val="24"/>
                <w:color w:val="auto"/>
              </w:rPr>
            </w:pPr>
          </w:p>
        </w:tc>
        <w:tc>
          <w:tcPr>
            <w:tcW w:w="55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020" w:type="dxa"/>
            <w:vAlign w:val="bottom"/>
          </w:tcPr>
          <w:p>
            <w:pPr>
              <w:jc w:val="right"/>
              <w:spacing w:after="0"/>
              <w:rPr>
                <w:sz w:val="20"/>
                <w:szCs w:val="20"/>
                <w:color w:val="auto"/>
              </w:rPr>
            </w:pPr>
            <w:r>
              <w:rPr>
                <w:rFonts w:ascii="Arial" w:cs="Arial" w:eastAsia="Arial" w:hAnsi="Arial"/>
                <w:sz w:val="18"/>
                <w:szCs w:val="18"/>
                <w:color w:val="auto"/>
              </w:rPr>
              <w:t>May 3, 2021</w:t>
            </w:r>
          </w:p>
        </w:tc>
      </w:tr>
      <w:tr>
        <w:trPr>
          <w:trHeight w:val="224"/>
        </w:trPr>
        <w:tc>
          <w:tcPr>
            <w:tcW w:w="3500" w:type="dxa"/>
            <w:vAlign w:val="bottom"/>
          </w:tcPr>
          <w:p>
            <w:pPr>
              <w:jc w:val="center"/>
              <w:ind w:left="90"/>
              <w:spacing w:after="0"/>
              <w:rPr>
                <w:sz w:val="20"/>
                <w:szCs w:val="20"/>
                <w:color w:val="auto"/>
              </w:rPr>
            </w:pPr>
            <w:r>
              <w:rPr>
                <w:rFonts w:ascii="Arial" w:cs="Arial" w:eastAsia="Arial" w:hAnsi="Arial"/>
                <w:sz w:val="18"/>
                <w:szCs w:val="18"/>
                <w:color w:val="auto"/>
                <w:w w:val="90"/>
              </w:rPr>
              <w:t>Scott Stanley</w:t>
            </w:r>
          </w:p>
        </w:tc>
        <w:tc>
          <w:tcPr>
            <w:tcW w:w="2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tbl>
      <w:tblPr>
        <w:tblLayout w:type="fixed"/>
        <w:tblInd w:w="542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700" w:type="dxa"/>
            <w:vAlign w:val="bottom"/>
          </w:tcPr>
          <w:p>
            <w:pPr>
              <w:ind w:left="860"/>
              <w:spacing w:after="0"/>
              <w:rPr>
                <w:sz w:val="20"/>
                <w:szCs w:val="20"/>
                <w:color w:val="auto"/>
              </w:rPr>
            </w:pPr>
            <w:r>
              <w:rPr>
                <w:rFonts w:ascii="Arial" w:cs="Arial" w:eastAsia="Arial" w:hAnsi="Arial"/>
                <w:sz w:val="18"/>
                <w:szCs w:val="18"/>
                <w:b w:val="1"/>
                <w:bCs w:val="1"/>
                <w:color w:val="auto"/>
                <w:w w:val="91"/>
              </w:rPr>
              <w:t>Exhibit 5.1</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2001 ROSS AVENUE</w:t>
            </w:r>
          </w:p>
        </w:tc>
        <w:tc>
          <w:tcPr>
            <w:tcW w:w="1940" w:type="dxa"/>
            <w:vAlign w:val="bottom"/>
          </w:tcPr>
          <w:p>
            <w:pPr>
              <w:ind w:left="580"/>
              <w:spacing w:after="0"/>
              <w:rPr>
                <w:sz w:val="20"/>
                <w:szCs w:val="20"/>
                <w:color w:val="auto"/>
              </w:rPr>
            </w:pPr>
            <w:r>
              <w:rPr>
                <w:rFonts w:ascii="Arial" w:cs="Arial" w:eastAsia="Arial" w:hAnsi="Arial"/>
                <w:sz w:val="18"/>
                <w:szCs w:val="18"/>
                <w:color w:val="auto"/>
              </w:rPr>
              <w:t>AUSTIN</w:t>
            </w:r>
          </w:p>
        </w:tc>
        <w:tc>
          <w:tcPr>
            <w:tcW w:w="1700" w:type="dxa"/>
            <w:vAlign w:val="bottom"/>
          </w:tcPr>
          <w:p>
            <w:pPr>
              <w:ind w:left="280"/>
              <w:spacing w:after="0"/>
              <w:rPr>
                <w:sz w:val="20"/>
                <w:szCs w:val="20"/>
                <w:color w:val="auto"/>
              </w:rPr>
            </w:pPr>
            <w:r>
              <w:rPr>
                <w:rFonts w:ascii="Arial" w:cs="Arial" w:eastAsia="Arial" w:hAnsi="Arial"/>
                <w:sz w:val="18"/>
                <w:szCs w:val="18"/>
                <w:color w:val="auto"/>
              </w:rPr>
              <w:t>MOSCOW</w:t>
            </w:r>
          </w:p>
        </w:tc>
      </w:tr>
      <w:tr>
        <w:trPr>
          <w:trHeight w:val="212"/>
        </w:trPr>
        <w:tc>
          <w:tcPr>
            <w:tcW w:w="2180" w:type="dxa"/>
            <w:vAlign w:val="bottom"/>
          </w:tcPr>
          <w:p>
            <w:pPr>
              <w:spacing w:after="0"/>
              <w:rPr>
                <w:sz w:val="20"/>
                <w:szCs w:val="20"/>
                <w:color w:val="auto"/>
              </w:rPr>
            </w:pPr>
            <w:r>
              <w:rPr>
                <w:rFonts w:ascii="Arial" w:cs="Arial" w:eastAsia="Arial" w:hAnsi="Arial"/>
                <w:sz w:val="18"/>
                <w:szCs w:val="18"/>
                <w:color w:val="auto"/>
              </w:rPr>
              <w:t>DALLAS, TEXAS</w:t>
            </w:r>
          </w:p>
        </w:tc>
        <w:tc>
          <w:tcPr>
            <w:tcW w:w="1940" w:type="dxa"/>
            <w:vAlign w:val="bottom"/>
          </w:tcPr>
          <w:p>
            <w:pPr>
              <w:ind w:left="580"/>
              <w:spacing w:after="0"/>
              <w:rPr>
                <w:sz w:val="20"/>
                <w:szCs w:val="20"/>
                <w:color w:val="auto"/>
              </w:rPr>
            </w:pPr>
            <w:r>
              <w:rPr>
                <w:rFonts w:ascii="Arial" w:cs="Arial" w:eastAsia="Arial" w:hAnsi="Arial"/>
                <w:sz w:val="18"/>
                <w:szCs w:val="18"/>
                <w:color w:val="auto"/>
              </w:rPr>
              <w:t>BRUSSELS</w:t>
            </w:r>
          </w:p>
        </w:tc>
        <w:tc>
          <w:tcPr>
            <w:tcW w:w="1700" w:type="dxa"/>
            <w:vAlign w:val="bottom"/>
          </w:tcPr>
          <w:p>
            <w:pPr>
              <w:ind w:left="280"/>
              <w:spacing w:after="0"/>
              <w:rPr>
                <w:sz w:val="20"/>
                <w:szCs w:val="20"/>
                <w:color w:val="auto"/>
              </w:rPr>
            </w:pPr>
            <w:r>
              <w:rPr>
                <w:rFonts w:ascii="Arial" w:cs="Arial" w:eastAsia="Arial" w:hAnsi="Arial"/>
                <w:sz w:val="18"/>
                <w:szCs w:val="18"/>
                <w:color w:val="auto"/>
              </w:rPr>
              <w:t>NEW YORK</w:t>
            </w:r>
          </w:p>
        </w:tc>
      </w:tr>
      <w:tr>
        <w:trPr>
          <w:trHeight w:val="220"/>
        </w:trPr>
        <w:tc>
          <w:tcPr>
            <w:tcW w:w="2180" w:type="dxa"/>
            <w:vAlign w:val="bottom"/>
          </w:tcPr>
          <w:p>
            <w:pPr>
              <w:spacing w:after="0"/>
              <w:rPr>
                <w:sz w:val="20"/>
                <w:szCs w:val="20"/>
                <w:color w:val="auto"/>
              </w:rPr>
            </w:pPr>
            <w:r>
              <w:rPr>
                <w:rFonts w:ascii="Arial" w:cs="Arial" w:eastAsia="Arial" w:hAnsi="Arial"/>
                <w:sz w:val="18"/>
                <w:szCs w:val="18"/>
                <w:color w:val="auto"/>
              </w:rPr>
              <w:t>75201-2980</w:t>
            </w:r>
          </w:p>
        </w:tc>
        <w:tc>
          <w:tcPr>
            <w:tcW w:w="1940" w:type="dxa"/>
            <w:vAlign w:val="bottom"/>
          </w:tcPr>
          <w:p>
            <w:pPr>
              <w:ind w:left="580"/>
              <w:spacing w:after="0"/>
              <w:rPr>
                <w:sz w:val="20"/>
                <w:szCs w:val="20"/>
                <w:color w:val="auto"/>
              </w:rPr>
            </w:pPr>
            <w:r>
              <w:rPr>
                <w:rFonts w:ascii="Arial" w:cs="Arial" w:eastAsia="Arial" w:hAnsi="Arial"/>
                <w:sz w:val="18"/>
                <w:szCs w:val="18"/>
                <w:b w:val="1"/>
                <w:bCs w:val="1"/>
                <w:color w:val="auto"/>
              </w:rPr>
              <w:t>DALLAS</w:t>
            </w:r>
          </w:p>
        </w:tc>
        <w:tc>
          <w:tcPr>
            <w:tcW w:w="1700" w:type="dxa"/>
            <w:vAlign w:val="bottom"/>
          </w:tcPr>
          <w:p>
            <w:pPr>
              <w:ind w:left="280"/>
              <w:spacing w:after="0"/>
              <w:rPr>
                <w:sz w:val="20"/>
                <w:szCs w:val="20"/>
                <w:color w:val="auto"/>
              </w:rPr>
            </w:pPr>
            <w:r>
              <w:rPr>
                <w:rFonts w:ascii="Arial" w:cs="Arial" w:eastAsia="Arial" w:hAnsi="Arial"/>
                <w:sz w:val="18"/>
                <w:szCs w:val="18"/>
                <w:color w:val="auto"/>
              </w:rPr>
              <w:t>PALO ALTO</w:t>
            </w:r>
          </w:p>
        </w:tc>
      </w:tr>
      <w:tr>
        <w:trPr>
          <w:trHeight w:val="216"/>
        </w:trPr>
        <w:tc>
          <w:tcPr>
            <w:tcW w:w="2180" w:type="dxa"/>
            <w:vAlign w:val="bottom"/>
          </w:tcPr>
          <w:p>
            <w:pPr>
              <w:spacing w:after="0"/>
              <w:rPr>
                <w:sz w:val="18"/>
                <w:szCs w:val="18"/>
                <w:color w:val="auto"/>
              </w:rPr>
            </w:pPr>
          </w:p>
        </w:tc>
        <w:tc>
          <w:tcPr>
            <w:tcW w:w="1940" w:type="dxa"/>
            <w:vAlign w:val="bottom"/>
          </w:tcPr>
          <w:p>
            <w:pPr>
              <w:ind w:left="580"/>
              <w:spacing w:after="0"/>
              <w:rPr>
                <w:sz w:val="20"/>
                <w:szCs w:val="20"/>
                <w:color w:val="auto"/>
              </w:rPr>
            </w:pPr>
            <w:r>
              <w:rPr>
                <w:rFonts w:ascii="Arial" w:cs="Arial" w:eastAsia="Arial" w:hAnsi="Arial"/>
                <w:sz w:val="18"/>
                <w:szCs w:val="18"/>
                <w:color w:val="auto"/>
              </w:rPr>
              <w:t>DUBAI</w:t>
            </w:r>
          </w:p>
        </w:tc>
        <w:tc>
          <w:tcPr>
            <w:tcW w:w="1700" w:type="dxa"/>
            <w:vAlign w:val="bottom"/>
          </w:tcPr>
          <w:p>
            <w:pPr>
              <w:ind w:left="280"/>
              <w:spacing w:after="0"/>
              <w:rPr>
                <w:sz w:val="20"/>
                <w:szCs w:val="20"/>
                <w:color w:val="auto"/>
              </w:rPr>
            </w:pPr>
            <w:r>
              <w:rPr>
                <w:rFonts w:ascii="Arial" w:cs="Arial" w:eastAsia="Arial" w:hAnsi="Arial"/>
                <w:sz w:val="18"/>
                <w:szCs w:val="18"/>
                <w:color w:val="auto"/>
              </w:rPr>
              <w:t>RIYADH</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TEL +1 214.953.6500</w:t>
            </w:r>
          </w:p>
        </w:tc>
        <w:tc>
          <w:tcPr>
            <w:tcW w:w="1940" w:type="dxa"/>
            <w:vAlign w:val="bottom"/>
          </w:tcPr>
          <w:p>
            <w:pPr>
              <w:ind w:left="580"/>
              <w:spacing w:after="0"/>
              <w:rPr>
                <w:sz w:val="20"/>
                <w:szCs w:val="20"/>
                <w:color w:val="auto"/>
              </w:rPr>
            </w:pPr>
            <w:r>
              <w:rPr>
                <w:rFonts w:ascii="Arial" w:cs="Arial" w:eastAsia="Arial" w:hAnsi="Arial"/>
                <w:sz w:val="18"/>
                <w:szCs w:val="18"/>
                <w:color w:val="auto"/>
              </w:rPr>
              <w:t>HONG KONG</w:t>
            </w:r>
          </w:p>
        </w:tc>
        <w:tc>
          <w:tcPr>
            <w:tcW w:w="1700" w:type="dxa"/>
            <w:vAlign w:val="bottom"/>
          </w:tcPr>
          <w:p>
            <w:pPr>
              <w:ind w:left="280"/>
              <w:spacing w:after="0"/>
              <w:rPr>
                <w:sz w:val="20"/>
                <w:szCs w:val="20"/>
                <w:color w:val="auto"/>
              </w:rPr>
            </w:pPr>
            <w:r>
              <w:rPr>
                <w:rFonts w:ascii="Arial" w:cs="Arial" w:eastAsia="Arial" w:hAnsi="Arial"/>
                <w:sz w:val="18"/>
                <w:szCs w:val="18"/>
                <w:color w:val="auto"/>
                <w:w w:val="94"/>
              </w:rPr>
              <w:t>SAN FRANCISCO</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FAX +1 214.953.6503</w:t>
            </w:r>
          </w:p>
        </w:tc>
        <w:tc>
          <w:tcPr>
            <w:tcW w:w="1940" w:type="dxa"/>
            <w:vAlign w:val="bottom"/>
          </w:tcPr>
          <w:p>
            <w:pPr>
              <w:ind w:left="580"/>
              <w:spacing w:after="0"/>
              <w:rPr>
                <w:sz w:val="20"/>
                <w:szCs w:val="20"/>
                <w:color w:val="auto"/>
              </w:rPr>
            </w:pPr>
            <w:r>
              <w:rPr>
                <w:rFonts w:ascii="Arial" w:cs="Arial" w:eastAsia="Arial" w:hAnsi="Arial"/>
                <w:sz w:val="18"/>
                <w:szCs w:val="18"/>
                <w:color w:val="auto"/>
              </w:rPr>
              <w:t>HOUSTON</w:t>
            </w:r>
          </w:p>
        </w:tc>
        <w:tc>
          <w:tcPr>
            <w:tcW w:w="1700" w:type="dxa"/>
            <w:vAlign w:val="bottom"/>
          </w:tcPr>
          <w:p>
            <w:pPr>
              <w:ind w:left="280"/>
              <w:spacing w:after="0"/>
              <w:rPr>
                <w:sz w:val="20"/>
                <w:szCs w:val="20"/>
                <w:color w:val="auto"/>
              </w:rPr>
            </w:pPr>
            <w:r>
              <w:rPr>
                <w:rFonts w:ascii="Arial" w:cs="Arial" w:eastAsia="Arial" w:hAnsi="Arial"/>
                <w:sz w:val="18"/>
                <w:szCs w:val="18"/>
                <w:color w:val="auto"/>
              </w:rPr>
              <w:t>WASHINGTON</w:t>
            </w: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BakerBotts.com</w:t>
            </w:r>
          </w:p>
        </w:tc>
        <w:tc>
          <w:tcPr>
            <w:tcW w:w="1940" w:type="dxa"/>
            <w:vAlign w:val="bottom"/>
          </w:tcPr>
          <w:p>
            <w:pPr>
              <w:ind w:left="580"/>
              <w:spacing w:after="0"/>
              <w:rPr>
                <w:sz w:val="20"/>
                <w:szCs w:val="20"/>
                <w:color w:val="auto"/>
              </w:rPr>
            </w:pPr>
            <w:r>
              <w:rPr>
                <w:rFonts w:ascii="Arial" w:cs="Arial" w:eastAsia="Arial" w:hAnsi="Arial"/>
                <w:sz w:val="18"/>
                <w:szCs w:val="18"/>
                <w:color w:val="auto"/>
              </w:rPr>
              <w:t>LONDON</w:t>
            </w:r>
          </w:p>
        </w:tc>
        <w:tc>
          <w:tcPr>
            <w:tcW w:w="1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2057400" cy="2825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2057400" cy="28257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May 3,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Princeton, New Jersey 08540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520" w:firstLine="1296"/>
        <w:spacing w:after="0" w:line="254" w:lineRule="auto"/>
        <w:rPr>
          <w:sz w:val="20"/>
          <w:szCs w:val="20"/>
          <w:color w:val="auto"/>
        </w:rPr>
      </w:pPr>
      <w:r>
        <w:rPr>
          <w:rFonts w:ascii="Arial" w:cs="Arial" w:eastAsia="Arial" w:hAnsi="Arial"/>
          <w:sz w:val="18"/>
          <w:szCs w:val="18"/>
          <w:color w:val="auto"/>
        </w:rPr>
        <w:t>We have acted as counsel to Clearway Energy, Inc., a Delaware corporation (“CWEN”), with respect to certain legal matters in connection with the Registration Statement on Form S-8 (the “Registration Statement”) to be filed by CWEN with the Securities and Exchange Commission (the “Commission”) under the Securities Act of 1933, as amended (the “Securities Act”), relating to an aggregate of up to 2,500,000 additional shares of Class A common stock of CWEN and an aggregate of up to 2,500,000 additional shares of Class C common stock of CWEN (collectively, the “Common Stock”) that may be issued pursuant to the Clearway Energy, Inc. Amended and Restated 2013 Equity Incentive Plan (as amended and restated effective February 19, 2021, the “Plan”). At your request, this opinion is being furnished to you for filing as Exhibit 5.1 to the Registration Statement.</w:t>
      </w:r>
    </w:p>
    <w:p>
      <w:pPr>
        <w:spacing w:after="0" w:line="195" w:lineRule="exact"/>
        <w:rPr>
          <w:sz w:val="20"/>
          <w:szCs w:val="20"/>
          <w:color w:val="auto"/>
        </w:rPr>
      </w:pPr>
    </w:p>
    <w:p>
      <w:pPr>
        <w:ind w:right="20" w:firstLine="1296"/>
        <w:spacing w:after="0" w:line="255" w:lineRule="auto"/>
        <w:rPr>
          <w:sz w:val="20"/>
          <w:szCs w:val="20"/>
          <w:color w:val="auto"/>
        </w:rPr>
      </w:pPr>
      <w:r>
        <w:rPr>
          <w:rFonts w:ascii="Arial" w:cs="Arial" w:eastAsia="Arial" w:hAnsi="Arial"/>
          <w:sz w:val="18"/>
          <w:szCs w:val="18"/>
          <w:color w:val="auto"/>
        </w:rPr>
        <w:t>In our capacity as your counsel in the connection referred to above and as a basis for the opinion hereinafter expressed, we have examined (i) the Plan, (ii) the Fourth Amended and Restated Bylaws of CWEN and the Amended and Restated Certificate of Incorporation of CWEN, each as amended to date, (iii) originals, or copies certified or otherwise identified, of the corporate records of CWEN, including minute books of CWEN as furnished to us by CWEN, (iv) originals, or copies certified or otherwise identified, of certificates of public officials and of representatives of CWEN, (v) the Registration Statement and (vi) statutes, including the Delaware General Corporation Law (the “DGCL”), and other instruments and documents as we deemed necessary or advisable as a basis for the opinion hereinafter expressed.</w:t>
      </w:r>
    </w:p>
    <w:p>
      <w:pPr>
        <w:spacing w:after="0" w:line="192" w:lineRule="exact"/>
        <w:rPr>
          <w:sz w:val="20"/>
          <w:szCs w:val="20"/>
          <w:color w:val="auto"/>
        </w:rPr>
      </w:pPr>
    </w:p>
    <w:p>
      <w:pPr>
        <w:ind w:right="140" w:firstLine="1296"/>
        <w:spacing w:after="0" w:line="275" w:lineRule="auto"/>
        <w:rPr>
          <w:sz w:val="20"/>
          <w:szCs w:val="20"/>
          <w:color w:val="auto"/>
        </w:rPr>
      </w:pPr>
      <w:r>
        <w:rPr>
          <w:rFonts w:ascii="Arial" w:cs="Arial" w:eastAsia="Arial" w:hAnsi="Arial"/>
          <w:sz w:val="17"/>
          <w:szCs w:val="17"/>
          <w:color w:val="auto"/>
        </w:rPr>
        <w:t>In giving the opinion set forth below, we have relied, without independent investigation or verification, to the extent we deemed appropriate, upon the certificates, statements or other representations of officers or other representatives of CWEN and public officials, with respect to the accuracy of the factual matters contained in or covered by such certificates, statements or representations. In making our examination, we have assumed that all signatures on all documents examined by us are genuine, that all documents submitted to us as originals are authentic and complete, and that all documents submitted to us as copies are true and correct copies of the originals thereof.</w:t>
      </w:r>
    </w:p>
    <w:p>
      <w:pPr>
        <w:spacing w:after="0" w:line="176" w:lineRule="exact"/>
        <w:rPr>
          <w:sz w:val="20"/>
          <w:szCs w:val="20"/>
          <w:color w:val="auto"/>
        </w:rPr>
      </w:pPr>
    </w:p>
    <w:p>
      <w:pPr>
        <w:ind w:right="100" w:firstLine="1296"/>
        <w:spacing w:after="0" w:line="255" w:lineRule="auto"/>
        <w:rPr>
          <w:sz w:val="20"/>
          <w:szCs w:val="20"/>
          <w:color w:val="auto"/>
        </w:rPr>
      </w:pPr>
      <w:r>
        <w:rPr>
          <w:rFonts w:ascii="Arial" w:cs="Arial" w:eastAsia="Arial" w:hAnsi="Arial"/>
          <w:sz w:val="18"/>
          <w:szCs w:val="18"/>
          <w:color w:val="auto"/>
        </w:rPr>
        <w:t>Based upon the foregoing and subject to the assumptions, limitations and qualifications set forth herein, we are of the opinion that, when issued and delivered from time to time in accordance with the provisions of the Plan and otherwise in accordance with the terms and conditions of the applicable award, including, if applicable, the lapse of any restrictions relating thereto, the satisfaction of any performance conditions associated therewith and any requisite determinations by or pursuant to the authority of the Board of Directors of CWEN or a duly constituted and acting committee thereof as provided therein, the Common Stock will be duly authorized by all necessary corporate action on the part of CWEN,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right"/>
        <w:spacing w:after="0"/>
        <w:tabs>
          <w:tab w:leader="none" w:pos="900" w:val="left"/>
        </w:tabs>
        <w:rPr>
          <w:sz w:val="20"/>
          <w:szCs w:val="20"/>
          <w:color w:val="auto"/>
        </w:rPr>
      </w:pPr>
      <w:r>
        <w:rPr>
          <w:rFonts w:ascii="Arial" w:cs="Arial" w:eastAsia="Arial" w:hAnsi="Arial"/>
          <w:sz w:val="18"/>
          <w:szCs w:val="18"/>
          <w:color w:val="auto"/>
        </w:rPr>
        <w:t>- 2 -</w:t>
      </w:r>
      <w:r>
        <w:rPr>
          <w:sz w:val="20"/>
          <w:szCs w:val="20"/>
          <w:color w:val="auto"/>
        </w:rPr>
        <w:tab/>
      </w:r>
      <w:r>
        <w:rPr>
          <w:rFonts w:ascii="Arial" w:cs="Arial" w:eastAsia="Arial" w:hAnsi="Arial"/>
          <w:sz w:val="16"/>
          <w:szCs w:val="16"/>
          <w:color w:val="auto"/>
        </w:rPr>
        <w:t>May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1388745" cy="2311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38874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340" w:firstLine="1296"/>
        <w:spacing w:after="0" w:line="277" w:lineRule="auto"/>
        <w:rPr>
          <w:sz w:val="20"/>
          <w:szCs w:val="20"/>
          <w:color w:val="auto"/>
        </w:rPr>
      </w:pPr>
      <w:r>
        <w:rPr>
          <w:rFonts w:ascii="Arial" w:cs="Arial" w:eastAsia="Arial" w:hAnsi="Arial"/>
          <w:sz w:val="18"/>
          <w:szCs w:val="18"/>
          <w:color w:val="auto"/>
        </w:rPr>
        <w:t>This opinion is limited to the original issuance of Common Stock by CWEN and does not cover Common Stock delivered by CWEN following the reacquisition of the same by CWEN.</w:t>
      </w:r>
    </w:p>
    <w:p>
      <w:pPr>
        <w:spacing w:after="0" w:line="170" w:lineRule="exact"/>
        <w:rPr>
          <w:sz w:val="20"/>
          <w:szCs w:val="20"/>
          <w:color w:val="auto"/>
        </w:rPr>
      </w:pPr>
    </w:p>
    <w:p>
      <w:pPr>
        <w:ind w:right="60" w:firstLine="1296"/>
        <w:spacing w:after="0" w:line="263" w:lineRule="auto"/>
        <w:rPr>
          <w:sz w:val="20"/>
          <w:szCs w:val="20"/>
          <w:color w:val="auto"/>
        </w:rPr>
      </w:pPr>
      <w:r>
        <w:rPr>
          <w:rFonts w:ascii="Arial" w:cs="Arial" w:eastAsia="Arial" w:hAnsi="Arial"/>
          <w:sz w:val="18"/>
          <w:szCs w:val="18"/>
          <w:color w:val="auto"/>
        </w:rPr>
        <w:t>This opinion is limited in all respects to the DGCL, and applicable reported judicial decisions, rules and regulations interpreting and implementing the DGCL, and the federal laws of the United States of America, in each case as in effect on the date hereof. We express no opinion as to the effect of the laws of any other jurisdiction.</w:t>
      </w:r>
    </w:p>
    <w:p>
      <w:pPr>
        <w:spacing w:after="0" w:line="184" w:lineRule="exact"/>
        <w:rPr>
          <w:sz w:val="20"/>
          <w:szCs w:val="20"/>
          <w:color w:val="auto"/>
        </w:rPr>
      </w:pPr>
    </w:p>
    <w:p>
      <w:pPr>
        <w:ind w:right="60" w:firstLine="1296"/>
        <w:spacing w:after="0" w:line="263" w:lineRule="auto"/>
        <w:rPr>
          <w:sz w:val="20"/>
          <w:szCs w:val="20"/>
          <w:color w:val="auto"/>
        </w:rPr>
      </w:pPr>
      <w:r>
        <w:rPr>
          <w:rFonts w:ascii="Arial" w:cs="Arial" w:eastAsia="Arial" w:hAnsi="Arial"/>
          <w:sz w:val="18"/>
          <w:szCs w:val="18"/>
          <w:color w:val="auto"/>
        </w:rPr>
        <w:t>We hereby consent to the filing of this opinion as Exhibit 5.1 to the Registration Statement. In giving this consent, we do not hereby admit that we are in the category of persons whose consent is required under Section 7 of the Securities Act or the rules and regulations of the Commission thereunder.</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Baker Botts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Inc:</w:t>
      </w:r>
    </w:p>
    <w:p>
      <w:pPr>
        <w:spacing w:after="0" w:line="21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We consent to the use of our report dated March 1, 2021 with respect to the consolidated balance sheets of Clearway Energy, Inc. and subsidiaries as of December 31, 2020 and 2019, and the related consolidated statements of operations, comprehensive income (loss), stockholders’ equity and cash flows for each of the years in the three-year period ended December 31, 2020, and the related notes and financial statement schedules “Schedule I - Condensed Financial Information of Registrant” and “Schedule II - Valuation and Qualifying Accounts,” and to the use of our report dated March 1, 2021 on the effectiveness of internal control over financial reporting as of December 31, 2020, incorporated by reference herein.</w:t>
      </w:r>
    </w:p>
    <w:p>
      <w:pPr>
        <w:spacing w:after="0" w:line="17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Our report dated March 1, 2021 refers to changes in accounting principle, the Company’s adoption of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Topic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9"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jpeg"/><Relationship Id="rId36" Type="http://schemas.openxmlformats.org/officeDocument/2006/relationships/image" Target="media/image18.png"/><Relationship Id="rId37" Type="http://schemas.openxmlformats.org/officeDocument/2006/relationships/image" Target="media/image19.jpeg"/><Relationship Id="rId38" Type="http://schemas.openxmlformats.org/officeDocument/2006/relationships/image" Target="media/image20.png"/><Relationship Id="rId39" Type="http://schemas.openxmlformats.org/officeDocument/2006/relationships/image" Target="media/image21.png"/><Relationship Id="rId18" Type="http://schemas.openxmlformats.org/officeDocument/2006/relationships/hyperlink" Target="https://www.sec.gov/Archives/edgar/data/1567683/000110465915055630/a15-16767_1s8.htm" TargetMode="External"/><Relationship Id="rId20" Type="http://schemas.openxmlformats.org/officeDocument/2006/relationships/hyperlink" Target="https://www.sec.gov/ix?doc=/Archives/edgar/data/1567683/000156768321000009/cwen-20201231.htm" TargetMode="External"/><Relationship Id="rId21" Type="http://schemas.openxmlformats.org/officeDocument/2006/relationships/hyperlink" Target="https://www.sec.gov/ix?doc=/Archives/edgar/data/1567683/000110465921011612/tm215220d1_8k.htm" TargetMode="External"/><Relationship Id="rId22" Type="http://schemas.openxmlformats.org/officeDocument/2006/relationships/hyperlink" Target="https://www.sec.gov/ix?doc=/Archives/edgar/data/1567683/000110465921012966/tm215220d2_8k.htm" TargetMode="External"/><Relationship Id="rId23" Type="http://schemas.openxmlformats.org/officeDocument/2006/relationships/hyperlink" Target="https://www.sec.gov/ix?doc=/Archives/edgar/data/1567683/000110465921030794/tm218352d2_8k.htm" TargetMode="External"/><Relationship Id="rId24" Type="http://schemas.openxmlformats.org/officeDocument/2006/relationships/hyperlink" Target="https://www.sec.gov/ix?doc=/Archives/edgar/data/1567683/000110465921030398/tm218352d1_8k.htm" TargetMode="External"/><Relationship Id="rId25" Type="http://schemas.openxmlformats.org/officeDocument/2006/relationships/hyperlink" Target="https://www.sec.gov/ix?doc=/Archives/edgar/data/1567683/000110465921033800/tm219068d1_8k.htm" TargetMode="External"/><Relationship Id="rId26" Type="http://schemas.openxmlformats.org/officeDocument/2006/relationships/hyperlink" Target="https://www.sec.gov/ix?doc=/Archives/edgar/data/1567683/000110465921036280/tm219707d1_8k.htm" TargetMode="External"/><Relationship Id="rId27" Type="http://schemas.openxmlformats.org/officeDocument/2006/relationships/hyperlink" Target="http://www.sec.gov/ix?doc=/Archives/edgar/data/1567683/000110465921060252/tm2114475d1_8k.htm" TargetMode="External"/><Relationship Id="rId28" Type="http://schemas.openxmlformats.org/officeDocument/2006/relationships/hyperlink" Target="https://www.sec.gov/Archives/edgar/data/1567683/000110465915036311/a15-11016_18a12ba.htm" TargetMode="External"/><Relationship Id="rId30" Type="http://schemas.openxmlformats.org/officeDocument/2006/relationships/hyperlink" Target="http://www.sec.gov/Archives/edgar/data/1567683/000110465921060252/tm2114475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2021-05-03T15:57:53Z</dcterms:created>
  <dcterms:modified xsi:type="dcterms:W3CDTF">2021-05-03T15:57:53Z</dcterms:modified>
</cp:coreProperties>
</file>