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spacing w:after="0"/>
        <w:tabs>
          <w:tab w:leader="none" w:pos="3100" w:val="left"/>
        </w:tabs>
        <w:rPr>
          <w:sz w:val="20"/>
          <w:szCs w:val="20"/>
          <w:color w:val="auto"/>
        </w:rPr>
      </w:pPr>
      <w:r>
        <w:rPr>
          <w:rFonts w:ascii="Arial" w:cs="Arial" w:eastAsia="Arial" w:hAnsi="Arial"/>
          <w:sz w:val="58"/>
          <w:szCs w:val="58"/>
          <w:color w:val="FFFAFD"/>
        </w:rPr>
        <w:t>F O R M</w:t>
        <w:tab/>
        <w:t>1 0 - K</w:t>
      </w:r>
    </w:p>
    <w:p>
      <w:pPr>
        <w:sectPr>
          <w:pgSz w:w="11880" w:h="15480" w:orient="portrait"/>
          <w:cols w:equalWidth="0" w:num="1">
            <w:col w:w="9660"/>
          </w:cols>
          <w:pgMar w:left="780" w:top="1440" w:right="1440" w:bottom="1440" w:gutter="0" w:footer="0" w:header="0"/>
        </w:sectPr>
      </w:pPr>
    </w:p>
    <w:bookmarkStart w:id="1" w:name="page2"/>
    <w:bookmarkEnd w:id="1"/>
    <w:p>
      <w:pPr>
        <w:spacing w:after="0"/>
        <w:rPr>
          <w:sz w:val="20"/>
          <w:szCs w:val="20"/>
          <w:color w:val="auto"/>
        </w:rPr>
      </w:pPr>
      <w:r>
        <w:rPr>
          <w:rFonts w:ascii="Arial" w:cs="Arial" w:eastAsia="Arial" w:hAnsi="Arial"/>
          <w:sz w:val="48"/>
          <w:szCs w:val="48"/>
          <w:color w:val="001B77"/>
        </w:rPr>
        <w:t>STOCKHOLDER INFORMATION</w:t>
      </w:r>
    </w:p>
    <w:p>
      <w:pPr>
        <w:spacing w:after="0" w:line="200" w:lineRule="exact"/>
        <w:rPr>
          <w:sz w:val="20"/>
          <w:szCs w:val="20"/>
          <w:color w:val="auto"/>
        </w:rPr>
      </w:pPr>
    </w:p>
    <w:p>
      <w:pPr>
        <w:spacing w:after="0" w:line="243" w:lineRule="exact"/>
        <w:rPr>
          <w:sz w:val="20"/>
          <w:szCs w:val="20"/>
          <w:color w:val="auto"/>
        </w:rPr>
      </w:pPr>
    </w:p>
    <w:p>
      <w:pPr>
        <w:ind w:right="4680"/>
        <w:spacing w:after="0" w:line="357" w:lineRule="auto"/>
        <w:rPr>
          <w:sz w:val="20"/>
          <w:szCs w:val="20"/>
          <w:color w:val="auto"/>
        </w:rPr>
      </w:pPr>
      <w:r>
        <w:rPr>
          <w:rFonts w:ascii="Arial" w:cs="Arial" w:eastAsia="Arial" w:hAnsi="Arial"/>
          <w:sz w:val="21"/>
          <w:szCs w:val="21"/>
          <w:color w:val="6BC6D2"/>
        </w:rPr>
        <w:t>STOCK TRANSFER AGENT &amp; REGISTRAR Shareholder correspondence should be mailed to:</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2"/>
          <w:szCs w:val="22"/>
          <w:color w:val="001B77"/>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PO Box 505000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Louisville KY 40233-5000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1B77"/>
        </w:rPr>
        <w:t>STOCKHOLDER INQUIRIES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BC6D2"/>
        </w:rPr>
        <w:t>Overnight correspondence should be mailed to:</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2"/>
          <w:szCs w:val="22"/>
          <w:color w:val="001B77"/>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462 South 4th Street Suite 1600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Louisville KY 40202</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1 (877) 373-6374</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1B77"/>
        </w:rPr>
        <w:t xml:space="preserve">Email: </w:t>
      </w:r>
      <w:r>
        <w:rPr>
          <w:rFonts w:ascii="Arial" w:cs="Arial" w:eastAsia="Arial" w:hAnsi="Arial"/>
          <w:sz w:val="22"/>
          <w:szCs w:val="22"/>
          <w:color w:val="6BC6D2"/>
        </w:rPr>
        <w:t>shareholder@computershare.com</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1B77"/>
        </w:rPr>
        <w:t xml:space="preserve">Online inquires: </w:t>
      </w:r>
      <w:r>
        <w:rPr>
          <w:rFonts w:ascii="Arial" w:cs="Arial" w:eastAsia="Arial" w:hAnsi="Arial"/>
          <w:sz w:val="22"/>
          <w:szCs w:val="22"/>
          <w:color w:val="6BC6D2"/>
        </w:rPr>
        <w:t>www-us.computershare.com/Investor/#Contact</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1B77"/>
        </w:rPr>
        <w:t xml:space="preserve">Website: </w:t>
      </w:r>
      <w:r>
        <w:rPr>
          <w:rFonts w:ascii="Arial" w:cs="Arial" w:eastAsia="Arial" w:hAnsi="Arial"/>
          <w:sz w:val="22"/>
          <w:szCs w:val="22"/>
          <w:color w:val="6BC6D2"/>
        </w:rPr>
        <w:t>www.computershare.com/investor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1B77"/>
        </w:rPr>
        <w:t>Send certificates for transfers &amp; address changes to:</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2"/>
          <w:szCs w:val="22"/>
          <w:color w:val="001B77"/>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PO Box 505000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BC6D2"/>
        </w:rPr>
        <w:t>Louisville KY 40233-5000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1B77"/>
        </w:rPr>
        <w:t>STOCK LISTING</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BC6D2"/>
        </w:rPr>
        <w:t>Clearway Energy’s Class A and Class C common stock are listed on the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6BC6D2"/>
        </w:rPr>
        <w:t>New York Stock Exchange under the ticker symbols CWEN.A and CWEN respectively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001B77"/>
        </w:rPr>
        <w:t>FINANCIAL INFORMATION</w:t>
      </w:r>
    </w:p>
    <w:p>
      <w:pPr>
        <w:spacing w:after="0" w:line="127" w:lineRule="exact"/>
        <w:rPr>
          <w:sz w:val="20"/>
          <w:szCs w:val="20"/>
          <w:color w:val="auto"/>
        </w:rPr>
      </w:pPr>
    </w:p>
    <w:p>
      <w:pPr>
        <w:ind w:right="3300"/>
        <w:spacing w:after="0" w:line="366" w:lineRule="auto"/>
        <w:rPr>
          <w:sz w:val="20"/>
          <w:szCs w:val="20"/>
          <w:color w:val="auto"/>
        </w:rPr>
      </w:pPr>
      <w:r>
        <w:rPr>
          <w:rFonts w:ascii="Arial" w:cs="Arial" w:eastAsia="Arial" w:hAnsi="Arial"/>
          <w:sz w:val="21"/>
          <w:szCs w:val="21"/>
          <w:color w:val="6BC6D2"/>
        </w:rPr>
        <w:t>Clearway Energy’s Annual Report Form 10-K Proxy Statement and other SEC Filings are available at www.clearwayenergy.com</w:t>
      </w:r>
    </w:p>
    <w:p>
      <w:pPr>
        <w:sectPr>
          <w:pgSz w:w="11880" w:h="15480" w:orient="portrait"/>
          <w:cols w:equalWidth="0" w:num="1">
            <w:col w:w="9520"/>
          </w:cols>
          <w:pgMar w:left="920" w:top="85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619125</wp:posOffset>
            </wp:positionH>
            <wp:positionV relativeFrom="page">
              <wp:posOffset>281305</wp:posOffset>
            </wp:positionV>
            <wp:extent cx="633412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25400"/>
                    </a:xfrm>
                    <a:prstGeom prst="rect">
                      <a:avLst/>
                    </a:prstGeom>
                    <a:noFill/>
                  </pic:spPr>
                </pic:pic>
              </a:graphicData>
            </a:graphic>
          </wp:anchor>
        </w:drawing>
        <w:drawing>
          <wp:anchor simplePos="0" relativeHeight="251657728" behindDoc="1" locked="0" layoutInCell="0" allowOverlap="1">
            <wp:simplePos x="0" y="0"/>
            <wp:positionH relativeFrom="page">
              <wp:posOffset>619125</wp:posOffset>
            </wp:positionH>
            <wp:positionV relativeFrom="page">
              <wp:posOffset>335280</wp:posOffset>
            </wp:positionV>
            <wp:extent cx="633412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4125" cy="12700"/>
                    </a:xfrm>
                    <a:prstGeom prst="rect">
                      <a:avLst/>
                    </a:prstGeom>
                    <a:noFill/>
                  </pic:spPr>
                </pic:pic>
              </a:graphicData>
            </a:graphic>
          </wp:anchor>
        </w:drawing>
        <w:t>UNITED STATES SECURITIES AND EXCHANGE COMMISSION</w:t>
      </w:r>
    </w:p>
    <w:p>
      <w:pPr>
        <w:jc w:val="center"/>
        <w:spacing w:after="0" w:line="232" w:lineRule="auto"/>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0"/>
          <w:szCs w:val="20"/>
          <w:color w:val="auto"/>
        </w:rPr>
      </w:pPr>
    </w:p>
    <w:p>
      <w:pPr>
        <w:ind w:left="600" w:hanging="303"/>
        <w:spacing w:after="0"/>
        <w:tabs>
          <w:tab w:leader="none" w:pos="600" w:val="left"/>
        </w:tabs>
        <w:numPr>
          <w:ilvl w:val="0"/>
          <w:numId w:val="1"/>
        </w:numPr>
        <w:rPr>
          <w:rFonts w:ascii="MS PGothic" w:cs="MS PGothic" w:eastAsia="MS PGothic" w:hAnsi="MS PGothic"/>
          <w:sz w:val="20"/>
          <w:szCs w:val="20"/>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7" w:lineRule="exact"/>
        <w:rPr>
          <w:sz w:val="20"/>
          <w:szCs w:val="20"/>
          <w:color w:val="auto"/>
        </w:rPr>
      </w:pPr>
    </w:p>
    <w:p>
      <w:pPr>
        <w:ind w:left="600"/>
        <w:spacing w:after="0"/>
        <w:tabs>
          <w:tab w:leader="none" w:pos="292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2024</w:t>
      </w:r>
    </w:p>
    <w:p>
      <w:pPr>
        <w:spacing w:after="0" w:line="49" w:lineRule="exact"/>
        <w:rPr>
          <w:sz w:val="20"/>
          <w:szCs w:val="20"/>
          <w:color w:val="auto"/>
        </w:rPr>
      </w:pPr>
    </w:p>
    <w:p>
      <w:pPr>
        <w:ind w:left="600" w:hanging="303"/>
        <w:spacing w:after="0"/>
        <w:tabs>
          <w:tab w:leader="none" w:pos="600" w:val="left"/>
        </w:tabs>
        <w:numPr>
          <w:ilvl w:val="0"/>
          <w:numId w:val="2"/>
        </w:numPr>
        <w:rPr>
          <w:rFonts w:ascii="MS PGothic" w:cs="MS PGothic" w:eastAsia="MS PGothic" w:hAnsi="MS PGothic"/>
          <w:sz w:val="20"/>
          <w:szCs w:val="20"/>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ind w:left="600"/>
        <w:spacing w:after="0"/>
        <w:rPr>
          <w:rFonts w:ascii="MS PGothic" w:cs="MS PGothic" w:eastAsia="MS PGothic" w:hAnsi="MS PGothic"/>
          <w:sz w:val="20"/>
          <w:szCs w:val="20"/>
          <w:b w:val="1"/>
          <w:bCs w:val="1"/>
          <w:color w:val="auto"/>
        </w:rPr>
      </w:pPr>
      <w:r>
        <w:rPr>
          <w:rFonts w:ascii="Arial" w:cs="Arial" w:eastAsia="Arial" w:hAnsi="Arial"/>
          <w:sz w:val="18"/>
          <w:szCs w:val="18"/>
          <w:b w:val="1"/>
          <w:bCs w:val="1"/>
          <w:color w:val="auto"/>
        </w:rPr>
        <w:t>to.</w:t>
      </w:r>
      <w:r>
        <w:rPr>
          <w:rFonts w:ascii="Arial" w:cs="Arial" w:eastAsia="Arial" w:hAnsi="Arial"/>
          <w:sz w:val="17"/>
          <w:szCs w:val="17"/>
          <w:b w:val="1"/>
          <w:bCs w:val="1"/>
          <w:color w:val="auto"/>
        </w:rPr>
        <w:t>FortheTransitionperiodfrom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001-36002</w:t>
      </w:r>
    </w:p>
    <w:p>
      <w:pPr>
        <w:jc w:val="center"/>
        <w:spacing w:after="0"/>
        <w:rPr>
          <w:sz w:val="20"/>
          <w:szCs w:val="20"/>
          <w:color w:val="auto"/>
        </w:rPr>
      </w:pPr>
      <w:r>
        <w:rPr>
          <w:rFonts w:ascii="Arial" w:cs="Arial" w:eastAsia="Arial" w:hAnsi="Arial"/>
          <w:sz w:val="44"/>
          <w:szCs w:val="44"/>
          <w:b w:val="1"/>
          <w:bCs w:val="1"/>
          <w:color w:val="auto"/>
        </w:rPr>
        <w:t>Clearway Energy, Inc.</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265"/>
        </w:trPr>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000" w:type="dxa"/>
            <w:vAlign w:val="bottom"/>
            <w:gridSpan w:val="6"/>
          </w:tcPr>
          <w:p>
            <w:pPr>
              <w:jc w:val="center"/>
              <w:ind w:left="268"/>
              <w:spacing w:after="0"/>
              <w:rPr>
                <w:sz w:val="20"/>
                <w:szCs w:val="20"/>
                <w:color w:val="auto"/>
              </w:rPr>
            </w:pPr>
            <w:r>
              <w:rPr>
                <w:rFonts w:ascii="Arial" w:cs="Arial" w:eastAsia="Arial" w:hAnsi="Arial"/>
                <w:sz w:val="20"/>
                <w:szCs w:val="20"/>
                <w:b w:val="1"/>
                <w:bCs w:val="1"/>
                <w:i w:val="1"/>
                <w:iCs w:val="1"/>
                <w:color w:val="auto"/>
                <w:w w:val="85"/>
              </w:rPr>
              <w:t>(Exact name of registrant as specified in its charter)</w:t>
            </w:r>
          </w:p>
        </w:tc>
        <w:tc>
          <w:tcPr>
            <w:tcW w:w="1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1080" w:type="dxa"/>
            <w:vAlign w:val="bottom"/>
          </w:tcPr>
          <w:p>
            <w:pPr>
              <w:spacing w:after="0"/>
              <w:rPr>
                <w:sz w:val="24"/>
                <w:szCs w:val="24"/>
                <w:color w:val="auto"/>
              </w:rPr>
            </w:pPr>
          </w:p>
        </w:tc>
        <w:tc>
          <w:tcPr>
            <w:tcW w:w="2600" w:type="dxa"/>
            <w:vAlign w:val="bottom"/>
            <w:gridSpan w:val="2"/>
          </w:tcPr>
          <w:p>
            <w:pPr>
              <w:jc w:val="center"/>
              <w:ind w:right="1008"/>
              <w:spacing w:after="0"/>
              <w:rPr>
                <w:sz w:val="20"/>
                <w:szCs w:val="20"/>
                <w:color w:val="auto"/>
              </w:rPr>
            </w:pPr>
            <w:r>
              <w:rPr>
                <w:rFonts w:ascii="Arial" w:cs="Arial" w:eastAsia="Arial" w:hAnsi="Arial"/>
                <w:sz w:val="20"/>
                <w:szCs w:val="20"/>
                <w:b w:val="1"/>
                <w:bCs w:val="1"/>
                <w:color w:val="auto"/>
                <w:w w:val="93"/>
              </w:rPr>
              <w:t>Delaware</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jc w:val="right"/>
              <w:ind w:right="220"/>
              <w:spacing w:after="0"/>
              <w:rPr>
                <w:sz w:val="20"/>
                <w:szCs w:val="20"/>
                <w:color w:val="auto"/>
              </w:rPr>
            </w:pPr>
            <w:r>
              <w:rPr>
                <w:rFonts w:ascii="Arial" w:cs="Arial" w:eastAsia="Arial" w:hAnsi="Arial"/>
                <w:sz w:val="20"/>
                <w:szCs w:val="20"/>
                <w:b w:val="1"/>
                <w:bCs w:val="1"/>
                <w:color w:val="auto"/>
              </w:rPr>
              <w:t>46-1777204</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jc w:val="center"/>
              <w:spacing w:after="0" w:line="227" w:lineRule="exact"/>
              <w:rPr>
                <w:sz w:val="20"/>
                <w:szCs w:val="20"/>
                <w:color w:val="auto"/>
              </w:rPr>
            </w:pPr>
            <w:r>
              <w:rPr>
                <w:rFonts w:ascii="Arial" w:cs="Arial" w:eastAsia="Arial" w:hAnsi="Arial"/>
                <w:sz w:val="20"/>
                <w:szCs w:val="20"/>
                <w:b w:val="1"/>
                <w:bCs w:val="1"/>
                <w:i w:val="1"/>
                <w:iCs w:val="1"/>
                <w:color w:val="auto"/>
                <w:w w:val="85"/>
              </w:rPr>
              <w:t>(State or other jurisdiction</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00" w:type="dxa"/>
            <w:vAlign w:val="bottom"/>
          </w:tcPr>
          <w:p>
            <w:pPr>
              <w:jc w:val="center"/>
              <w:spacing w:after="0" w:line="227" w:lineRule="exact"/>
              <w:rPr>
                <w:sz w:val="20"/>
                <w:szCs w:val="20"/>
                <w:color w:val="auto"/>
              </w:rPr>
            </w:pPr>
            <w:r>
              <w:rPr>
                <w:rFonts w:ascii="Arial" w:cs="Arial" w:eastAsia="Arial" w:hAnsi="Arial"/>
                <w:sz w:val="20"/>
                <w:szCs w:val="20"/>
                <w:b w:val="1"/>
                <w:bCs w:val="1"/>
                <w:i w:val="1"/>
                <w:iCs w:val="1"/>
                <w:color w:val="auto"/>
                <w:w w:val="87"/>
              </w:rPr>
              <w:t>(I.R.S. Employer</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680" w:type="dxa"/>
            <w:vAlign w:val="bottom"/>
            <w:gridSpan w:val="3"/>
          </w:tcPr>
          <w:p>
            <w:pPr>
              <w:jc w:val="center"/>
              <w:spacing w:after="0"/>
              <w:rPr>
                <w:sz w:val="20"/>
                <w:szCs w:val="20"/>
                <w:color w:val="auto"/>
              </w:rPr>
            </w:pPr>
            <w:r>
              <w:rPr>
                <w:rFonts w:ascii="Arial" w:cs="Arial" w:eastAsia="Arial" w:hAnsi="Arial"/>
                <w:sz w:val="20"/>
                <w:szCs w:val="20"/>
                <w:b w:val="1"/>
                <w:bCs w:val="1"/>
                <w:i w:val="1"/>
                <w:iCs w:val="1"/>
                <w:color w:val="auto"/>
                <w:w w:val="87"/>
              </w:rPr>
              <w:t>of incorporation or organization)</w:t>
            </w: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7"/>
              </w:rPr>
              <w:t>Identification No.)</w:t>
            </w: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3680" w:type="dxa"/>
            <w:vAlign w:val="bottom"/>
            <w:gridSpan w:val="3"/>
          </w:tcPr>
          <w:p>
            <w:pPr>
              <w:jc w:val="center"/>
              <w:spacing w:after="0"/>
              <w:rPr>
                <w:sz w:val="20"/>
                <w:szCs w:val="20"/>
                <w:color w:val="auto"/>
              </w:rPr>
            </w:pPr>
            <w:r>
              <w:rPr>
                <w:rFonts w:ascii="Arial" w:cs="Arial" w:eastAsia="Arial" w:hAnsi="Arial"/>
                <w:sz w:val="20"/>
                <w:szCs w:val="20"/>
                <w:b w:val="1"/>
                <w:bCs w:val="1"/>
                <w:color w:val="auto"/>
                <w:w w:val="90"/>
              </w:rPr>
              <w:t>300 Carnegie Center, Suite 300</w:t>
            </w:r>
          </w:p>
        </w:tc>
        <w:tc>
          <w:tcPr>
            <w:tcW w:w="1100" w:type="dxa"/>
            <w:vAlign w:val="bottom"/>
            <w:gridSpan w:val="2"/>
          </w:tcPr>
          <w:p>
            <w:pPr>
              <w:ind w:left="200"/>
              <w:spacing w:after="0"/>
              <w:rPr>
                <w:sz w:val="20"/>
                <w:szCs w:val="20"/>
                <w:color w:val="auto"/>
              </w:rPr>
            </w:pPr>
            <w:r>
              <w:rPr>
                <w:rFonts w:ascii="Arial" w:cs="Arial" w:eastAsia="Arial" w:hAnsi="Arial"/>
                <w:sz w:val="20"/>
                <w:szCs w:val="20"/>
                <w:b w:val="1"/>
                <w:bCs w:val="1"/>
                <w:color w:val="auto"/>
                <w:w w:val="95"/>
              </w:rPr>
              <w:t>Princeton</w:t>
            </w:r>
          </w:p>
        </w:tc>
        <w:tc>
          <w:tcPr>
            <w:tcW w:w="2040" w:type="dxa"/>
            <w:vAlign w:val="bottom"/>
            <w:gridSpan w:val="2"/>
          </w:tcPr>
          <w:p>
            <w:pPr>
              <w:ind w:left="600"/>
              <w:spacing w:after="0"/>
              <w:rPr>
                <w:sz w:val="20"/>
                <w:szCs w:val="20"/>
                <w:color w:val="auto"/>
              </w:rPr>
            </w:pPr>
            <w:r>
              <w:rPr>
                <w:rFonts w:ascii="Arial" w:cs="Arial" w:eastAsia="Arial" w:hAnsi="Arial"/>
                <w:sz w:val="20"/>
                <w:szCs w:val="20"/>
                <w:b w:val="1"/>
                <w:bCs w:val="1"/>
                <w:color w:val="auto"/>
              </w:rPr>
              <w:t>New Jersey</w:t>
            </w:r>
          </w:p>
        </w:tc>
        <w:tc>
          <w:tcPr>
            <w:tcW w:w="760" w:type="dxa"/>
            <w:vAlign w:val="bottom"/>
          </w:tcPr>
          <w:p>
            <w:pPr>
              <w:spacing w:after="0"/>
              <w:rPr>
                <w:sz w:val="24"/>
                <w:szCs w:val="24"/>
                <w:color w:val="auto"/>
              </w:rPr>
            </w:pPr>
          </w:p>
        </w:tc>
        <w:tc>
          <w:tcPr>
            <w:tcW w:w="1700" w:type="dxa"/>
            <w:vAlign w:val="bottom"/>
          </w:tcPr>
          <w:p>
            <w:pPr>
              <w:jc w:val="right"/>
              <w:ind w:right="460"/>
              <w:spacing w:after="0"/>
              <w:rPr>
                <w:sz w:val="20"/>
                <w:szCs w:val="20"/>
                <w:color w:val="auto"/>
              </w:rPr>
            </w:pPr>
            <w:r>
              <w:rPr>
                <w:rFonts w:ascii="Arial" w:cs="Arial" w:eastAsia="Arial" w:hAnsi="Arial"/>
                <w:sz w:val="20"/>
                <w:szCs w:val="20"/>
                <w:b w:val="1"/>
                <w:bCs w:val="1"/>
                <w:color w:val="auto"/>
              </w:rPr>
              <w:t>08540</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80" w:type="dxa"/>
            <w:vAlign w:val="bottom"/>
          </w:tcPr>
          <w:p>
            <w:pPr>
              <w:spacing w:after="0"/>
              <w:rPr>
                <w:sz w:val="24"/>
                <w:szCs w:val="24"/>
                <w:color w:val="auto"/>
              </w:rPr>
            </w:pPr>
          </w:p>
        </w:tc>
        <w:tc>
          <w:tcPr>
            <w:tcW w:w="5740" w:type="dxa"/>
            <w:vAlign w:val="bottom"/>
            <w:gridSpan w:val="6"/>
          </w:tcPr>
          <w:p>
            <w:pPr>
              <w:ind w:left="760"/>
              <w:spacing w:after="0"/>
              <w:rPr>
                <w:sz w:val="20"/>
                <w:szCs w:val="20"/>
                <w:color w:val="auto"/>
              </w:rPr>
            </w:pPr>
            <w:r>
              <w:rPr>
                <w:rFonts w:ascii="Arial" w:cs="Arial" w:eastAsia="Arial" w:hAnsi="Arial"/>
                <w:sz w:val="20"/>
                <w:szCs w:val="20"/>
                <w:b w:val="1"/>
                <w:bCs w:val="1"/>
                <w:i w:val="1"/>
                <w:iCs w:val="1"/>
                <w:color w:val="auto"/>
              </w:rPr>
              <w:t>(Address of principal executive offices)</w:t>
            </w:r>
          </w:p>
        </w:tc>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8"/>
              </w:rPr>
              <w:t>(Zip Code)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3"/>
          </w:tcPr>
          <w:p>
            <w:pPr>
              <w:jc w:val="center"/>
              <w:ind w:left="685"/>
              <w:spacing w:after="0"/>
              <w:rPr>
                <w:sz w:val="20"/>
                <w:szCs w:val="20"/>
                <w:color w:val="auto"/>
              </w:rPr>
            </w:pPr>
            <w:r>
              <w:rPr>
                <w:rFonts w:ascii="Arial" w:cs="Arial" w:eastAsia="Arial" w:hAnsi="Arial"/>
                <w:sz w:val="18"/>
                <w:szCs w:val="18"/>
                <w:b w:val="1"/>
                <w:bCs w:val="1"/>
                <w:color w:val="auto"/>
                <w:w w:val="90"/>
              </w:rPr>
              <w:t>(609) 608-1525</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gridSpan w:val="6"/>
          </w:tcPr>
          <w:p>
            <w:pPr>
              <w:jc w:val="center"/>
              <w:ind w:left="268"/>
              <w:spacing w:after="0"/>
              <w:rPr>
                <w:sz w:val="20"/>
                <w:szCs w:val="20"/>
                <w:color w:val="auto"/>
              </w:rPr>
            </w:pPr>
            <w:r>
              <w:rPr>
                <w:rFonts w:ascii="Arial" w:cs="Arial" w:eastAsia="Arial" w:hAnsi="Arial"/>
                <w:sz w:val="18"/>
                <w:szCs w:val="18"/>
                <w:color w:val="auto"/>
                <w:w w:val="90"/>
              </w:rPr>
              <w:t>(Registrant’s telephone number, including area code)</w:t>
            </w: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0" w:type="dxa"/>
            <w:vAlign w:val="bottom"/>
            <w:gridSpan w:val="6"/>
          </w:tcPr>
          <w:p>
            <w:pPr>
              <w:jc w:val="center"/>
              <w:ind w:left="268"/>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2600" w:type="dxa"/>
            <w:vAlign w:val="bottom"/>
            <w:gridSpan w:val="2"/>
          </w:tcPr>
          <w:p>
            <w:pPr>
              <w:jc w:val="center"/>
              <w:ind w:right="1008"/>
              <w:spacing w:after="0"/>
              <w:rPr>
                <w:sz w:val="20"/>
                <w:szCs w:val="20"/>
                <w:color w:val="auto"/>
              </w:rPr>
            </w:pPr>
            <w:r>
              <w:rPr>
                <w:rFonts w:ascii="Arial" w:cs="Arial" w:eastAsia="Arial" w:hAnsi="Arial"/>
                <w:sz w:val="20"/>
                <w:szCs w:val="20"/>
                <w:b w:val="1"/>
                <w:bCs w:val="1"/>
                <w:color w:val="auto"/>
                <w:w w:val="87"/>
              </w:rPr>
              <w:t>Title of each class</w:t>
            </w:r>
          </w:p>
        </w:tc>
        <w:tc>
          <w:tcPr>
            <w:tcW w:w="780" w:type="dxa"/>
            <w:vAlign w:val="bottom"/>
          </w:tcPr>
          <w:p>
            <w:pPr>
              <w:spacing w:after="0"/>
              <w:rPr>
                <w:sz w:val="23"/>
                <w:szCs w:val="23"/>
                <w:color w:val="auto"/>
              </w:rPr>
            </w:pPr>
          </w:p>
        </w:tc>
        <w:tc>
          <w:tcPr>
            <w:tcW w:w="2360" w:type="dxa"/>
            <w:vAlign w:val="bottom"/>
            <w:gridSpan w:val="3"/>
          </w:tcPr>
          <w:p>
            <w:pPr>
              <w:jc w:val="center"/>
              <w:ind w:right="760"/>
              <w:spacing w:after="0"/>
              <w:rPr>
                <w:sz w:val="20"/>
                <w:szCs w:val="20"/>
                <w:color w:val="auto"/>
              </w:rPr>
            </w:pPr>
            <w:r>
              <w:rPr>
                <w:rFonts w:ascii="Arial" w:cs="Arial" w:eastAsia="Arial" w:hAnsi="Arial"/>
                <w:sz w:val="20"/>
                <w:szCs w:val="20"/>
                <w:b w:val="1"/>
                <w:bCs w:val="1"/>
                <w:color w:val="auto"/>
                <w:w w:val="91"/>
              </w:rPr>
              <w:t>Trading Symbol(s)</w:t>
            </w:r>
          </w:p>
        </w:tc>
        <w:tc>
          <w:tcPr>
            <w:tcW w:w="3720" w:type="dxa"/>
            <w:vAlign w:val="bottom"/>
            <w:gridSpan w:val="4"/>
          </w:tcPr>
          <w:p>
            <w:pPr>
              <w:spacing w:after="0"/>
              <w:rPr>
                <w:sz w:val="20"/>
                <w:szCs w:val="20"/>
                <w:color w:val="auto"/>
              </w:rPr>
            </w:pPr>
            <w:r>
              <w:rPr>
                <w:rFonts w:ascii="Arial" w:cs="Arial" w:eastAsia="Arial" w:hAnsi="Arial"/>
                <w:sz w:val="20"/>
                <w:szCs w:val="20"/>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680" w:type="dxa"/>
            <w:vAlign w:val="bottom"/>
            <w:gridSpan w:val="3"/>
          </w:tcPr>
          <w:p>
            <w:pPr>
              <w:jc w:val="center"/>
              <w:spacing w:after="0"/>
              <w:rPr>
                <w:sz w:val="20"/>
                <w:szCs w:val="20"/>
                <w:color w:val="auto"/>
              </w:rPr>
            </w:pPr>
            <w:r>
              <w:rPr>
                <w:rFonts w:ascii="Arial" w:cs="Arial" w:eastAsia="Arial" w:hAnsi="Arial"/>
                <w:sz w:val="20"/>
                <w:szCs w:val="20"/>
                <w:color w:val="auto"/>
                <w:w w:val="91"/>
              </w:rPr>
              <w:t>Class A Common Stock, par value $0.01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jc w:val="center"/>
              <w:ind w:right="1100"/>
              <w:spacing w:after="0"/>
              <w:rPr>
                <w:sz w:val="20"/>
                <w:szCs w:val="20"/>
                <w:color w:val="auto"/>
              </w:rPr>
            </w:pPr>
            <w:r>
              <w:rPr>
                <w:rFonts w:ascii="Arial" w:cs="Arial" w:eastAsia="Arial" w:hAnsi="Arial"/>
                <w:sz w:val="20"/>
                <w:szCs w:val="20"/>
                <w:color w:val="auto"/>
                <w:w w:val="97"/>
              </w:rPr>
              <w:t>CWEN.A</w:t>
            </w:r>
          </w:p>
        </w:tc>
        <w:tc>
          <w:tcPr>
            <w:tcW w:w="760" w:type="dxa"/>
            <w:vAlign w:val="bottom"/>
          </w:tcPr>
          <w:p>
            <w:pPr>
              <w:spacing w:after="0"/>
              <w:rPr>
                <w:sz w:val="24"/>
                <w:szCs w:val="24"/>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20"/>
                <w:szCs w:val="20"/>
                <w:color w:val="auto"/>
                <w:w w:val="91"/>
              </w:rPr>
              <w:t>New York Stock Exchange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gridSpan w:val="3"/>
          </w:tcPr>
          <w:p>
            <w:pPr>
              <w:jc w:val="center"/>
              <w:spacing w:after="0"/>
              <w:rPr>
                <w:sz w:val="20"/>
                <w:szCs w:val="20"/>
                <w:color w:val="auto"/>
              </w:rPr>
            </w:pPr>
            <w:r>
              <w:rPr>
                <w:rFonts w:ascii="Arial" w:cs="Arial" w:eastAsia="Arial" w:hAnsi="Arial"/>
                <w:sz w:val="20"/>
                <w:szCs w:val="20"/>
                <w:color w:val="auto"/>
                <w:w w:val="89"/>
              </w:rPr>
              <w:t>Class C Common Stock, par value $0.01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20"/>
                <w:szCs w:val="20"/>
                <w:color w:val="auto"/>
                <w:w w:val="98"/>
              </w:rPr>
              <w:t>CWEN</w:t>
            </w:r>
          </w:p>
        </w:tc>
        <w:tc>
          <w:tcPr>
            <w:tcW w:w="760" w:type="dxa"/>
            <w:vAlign w:val="bottom"/>
          </w:tcPr>
          <w:p>
            <w:pPr>
              <w:spacing w:after="0"/>
              <w:rPr>
                <w:sz w:val="24"/>
                <w:szCs w:val="24"/>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20"/>
                <w:szCs w:val="20"/>
                <w:color w:val="auto"/>
                <w:w w:val="91"/>
              </w:rPr>
              <w:t>New York Stock Exchange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0" w:type="dxa"/>
            <w:vAlign w:val="bottom"/>
            <w:gridSpan w:val="6"/>
          </w:tcPr>
          <w:p>
            <w:pPr>
              <w:ind w:left="60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None</w:t>
            </w: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vMerge w:val="restart"/>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p>
        </w:tc>
        <w:tc>
          <w:tcPr>
            <w:tcW w:w="680" w:type="dxa"/>
            <w:vAlign w:val="bottom"/>
            <w:vMerge w:val="restart"/>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c>
          <w:tcPr>
            <w:tcW w:w="0" w:type="dxa"/>
            <w:vAlign w:val="bottom"/>
          </w:tcPr>
          <w:p>
            <w:pPr>
              <w:spacing w:after="0"/>
              <w:rPr>
                <w:sz w:val="1"/>
                <w:szCs w:val="1"/>
                <w:color w:val="auto"/>
              </w:rPr>
            </w:pPr>
          </w:p>
        </w:tc>
      </w:tr>
      <w:tr>
        <w:trPr>
          <w:trHeight w:val="223"/>
        </w:trPr>
        <w:tc>
          <w:tcPr>
            <w:tcW w:w="7580" w:type="dxa"/>
            <w:vAlign w:val="bottom"/>
            <w:gridSpan w:val="8"/>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17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9280" w:type="dxa"/>
            <w:vAlign w:val="bottom"/>
            <w:gridSpan w:val="9"/>
          </w:tcPr>
          <w:p>
            <w:pPr>
              <w:spacing w:after="0"/>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ndicate by check mark if the registrant is not required to file reports pursuant to Section 13 or Section 15(d) of the Exchange Act.</w:t>
            </w:r>
          </w:p>
        </w:tc>
        <w:tc>
          <w:tcPr>
            <w:tcW w:w="580" w:type="dxa"/>
            <w:vAlign w:val="bottom"/>
          </w:tcPr>
          <w:p>
            <w:pPr>
              <w:jc w:val="right"/>
              <w:ind w:right="2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b w:val="1"/>
                <w:bCs w:val="1"/>
                <w:color w:val="auto"/>
                <w:w w:val="95"/>
              </w:rPr>
              <w:t>☐</w:t>
            </w:r>
          </w:p>
        </w:tc>
        <w:tc>
          <w:tcPr>
            <w:tcW w:w="68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right="380" w:firstLine="27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84" w:lineRule="exact"/>
        <w:tabs>
          <w:tab w:leader="none" w:pos="9620" w:val="left"/>
          <w:tab w:leader="none" w:pos="1018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43" w:lineRule="exact"/>
        <w:rPr>
          <w:sz w:val="20"/>
          <w:szCs w:val="20"/>
          <w:color w:val="auto"/>
        </w:rPr>
      </w:pPr>
    </w:p>
    <w:p>
      <w:pPr>
        <w:spacing w:after="0" w:line="184" w:lineRule="exact"/>
        <w:tabs>
          <w:tab w:leader="none" w:pos="9620" w:val="left"/>
          <w:tab w:leader="none" w:pos="10180" w:val="left"/>
        </w:tabs>
        <w:rPr>
          <w:sz w:val="20"/>
          <w:szCs w:val="20"/>
          <w:color w:val="auto"/>
        </w:rPr>
      </w:pPr>
      <w:r>
        <w:rPr>
          <w:rFonts w:ascii="Arial" w:cs="Arial" w:eastAsia="Arial" w:hAnsi="Arial"/>
          <w:sz w:val="16"/>
          <w:szCs w:val="16"/>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90" w:lineRule="exact"/>
        <w:rPr>
          <w:sz w:val="20"/>
          <w:szCs w:val="20"/>
          <w:color w:val="auto"/>
        </w:rPr>
      </w:pPr>
    </w:p>
    <w:p>
      <w:pPr>
        <w:jc w:val="both"/>
        <w:ind w:firstLine="270"/>
        <w:spacing w:after="0" w:line="22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80"/>
        </w:trPr>
        <w:tc>
          <w:tcPr>
            <w:tcW w:w="2260" w:type="dxa"/>
            <w:vAlign w:val="bottom"/>
          </w:tcPr>
          <w:p>
            <w:pPr>
              <w:jc w:val="center"/>
              <w:ind w:right="360"/>
              <w:spacing w:after="0"/>
              <w:rPr>
                <w:sz w:val="20"/>
                <w:szCs w:val="20"/>
                <w:color w:val="auto"/>
              </w:rPr>
            </w:pPr>
            <w:r>
              <w:rPr>
                <w:rFonts w:ascii="Arial" w:cs="Arial" w:eastAsia="Arial" w:hAnsi="Arial"/>
                <w:sz w:val="20"/>
                <w:szCs w:val="20"/>
                <w:color w:val="auto"/>
                <w:w w:val="90"/>
              </w:rPr>
              <w:t>Large accelerated filer</w:t>
            </w:r>
          </w:p>
        </w:tc>
        <w:tc>
          <w:tcPr>
            <w:tcW w:w="1180" w:type="dxa"/>
            <w:vAlign w:val="bottom"/>
          </w:tcPr>
          <w:p>
            <w:pPr>
              <w:ind w:left="4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220" w:type="dxa"/>
            <w:vAlign w:val="bottom"/>
          </w:tcPr>
          <w:p>
            <w:pPr>
              <w:ind w:left="540"/>
              <w:spacing w:after="0"/>
              <w:rPr>
                <w:sz w:val="20"/>
                <w:szCs w:val="20"/>
                <w:color w:val="auto"/>
              </w:rPr>
            </w:pPr>
            <w:r>
              <w:rPr>
                <w:rFonts w:ascii="Arial" w:cs="Arial" w:eastAsia="Arial" w:hAnsi="Arial"/>
                <w:sz w:val="20"/>
                <w:szCs w:val="20"/>
                <w:color w:val="auto"/>
              </w:rPr>
              <w:t>Accelerated filer</w:t>
            </w:r>
          </w:p>
        </w:tc>
        <w:tc>
          <w:tcPr>
            <w:tcW w:w="640" w:type="dxa"/>
            <w:vAlign w:val="bottom"/>
          </w:tcPr>
          <w:p>
            <w:pPr>
              <w:ind w:left="48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85"/>
        </w:trPr>
        <w:tc>
          <w:tcPr>
            <w:tcW w:w="2260" w:type="dxa"/>
            <w:vAlign w:val="bottom"/>
          </w:tcPr>
          <w:p>
            <w:pPr>
              <w:jc w:val="center"/>
              <w:ind w:right="360"/>
              <w:spacing w:after="0"/>
              <w:rPr>
                <w:sz w:val="20"/>
                <w:szCs w:val="20"/>
                <w:color w:val="auto"/>
              </w:rPr>
            </w:pPr>
            <w:r>
              <w:rPr>
                <w:rFonts w:ascii="Arial" w:cs="Arial" w:eastAsia="Arial" w:hAnsi="Arial"/>
                <w:sz w:val="20"/>
                <w:szCs w:val="20"/>
                <w:color w:val="auto"/>
                <w:w w:val="91"/>
              </w:rPr>
              <w:t>Non-accelerated filer</w:t>
            </w:r>
          </w:p>
        </w:tc>
        <w:tc>
          <w:tcPr>
            <w:tcW w:w="1180" w:type="dxa"/>
            <w:vAlign w:val="bottom"/>
          </w:tcPr>
          <w:p>
            <w:pPr>
              <w:ind w:left="4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220" w:type="dxa"/>
            <w:vAlign w:val="bottom"/>
          </w:tcPr>
          <w:p>
            <w:pPr>
              <w:ind w:left="540"/>
              <w:spacing w:after="0"/>
              <w:rPr>
                <w:sz w:val="20"/>
                <w:szCs w:val="20"/>
                <w:color w:val="auto"/>
              </w:rPr>
            </w:pPr>
            <w:r>
              <w:rPr>
                <w:rFonts w:ascii="Arial" w:cs="Arial" w:eastAsia="Arial" w:hAnsi="Arial"/>
                <w:sz w:val="20"/>
                <w:szCs w:val="20"/>
                <w:color w:val="auto"/>
              </w:rPr>
              <w:t>Smaller reporting company</w:t>
            </w:r>
          </w:p>
        </w:tc>
        <w:tc>
          <w:tcPr>
            <w:tcW w:w="640" w:type="dxa"/>
            <w:vAlign w:val="bottom"/>
          </w:tcPr>
          <w:p>
            <w:pPr>
              <w:ind w:left="48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85"/>
        </w:trPr>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Arial" w:cs="Arial" w:eastAsia="Arial" w:hAnsi="Arial"/>
                <w:sz w:val="20"/>
                <w:szCs w:val="20"/>
                <w:color w:val="auto"/>
              </w:rPr>
              <w:t>Emerging growth company</w:t>
            </w:r>
          </w:p>
        </w:tc>
        <w:tc>
          <w:tcPr>
            <w:tcW w:w="640" w:type="dxa"/>
            <w:vAlign w:val="bottom"/>
          </w:tcPr>
          <w:p>
            <w:pPr>
              <w:ind w:left="480"/>
              <w:spacing w:after="0" w:line="191" w:lineRule="exact"/>
              <w:rPr>
                <w:sz w:val="20"/>
                <w:szCs w:val="20"/>
                <w:color w:val="auto"/>
              </w:rPr>
            </w:pPr>
            <w:r>
              <w:rPr>
                <w:rFonts w:ascii="MS PGothic" w:cs="MS PGothic" w:eastAsia="MS PGothic" w:hAnsi="MS PGothic"/>
                <w:sz w:val="19"/>
                <w:szCs w:val="19"/>
                <w:b w:val="1"/>
                <w:bCs w:val="1"/>
                <w:color w:val="auto"/>
                <w:w w:val="73"/>
              </w:rPr>
              <w:t>☐</w:t>
            </w:r>
          </w:p>
        </w:tc>
      </w:tr>
    </w:tbl>
    <w:p>
      <w:pPr>
        <w:spacing w:after="0" w:line="57" w:lineRule="exact"/>
        <w:rPr>
          <w:sz w:val="20"/>
          <w:szCs w:val="20"/>
          <w:color w:val="auto"/>
        </w:rPr>
      </w:pPr>
    </w:p>
    <w:p>
      <w:pPr>
        <w:ind w:firstLine="27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ind w:left="280"/>
        <w:spacing w:after="0" w:line="184" w:lineRule="exact"/>
        <w:tabs>
          <w:tab w:leader="none" w:pos="9620" w:val="left"/>
          <w:tab w:leader="none" w:pos="10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rFonts w:ascii="Arial" w:cs="Arial" w:eastAsia="Arial" w:hAnsi="Arial"/>
          <w:sz w:val="16"/>
          <w:szCs w:val="16"/>
          <w:color w:val="auto"/>
        </w:rPr>
        <w:tab/>
        <w:t xml:space="preserve">No </w:t>
      </w:r>
      <w:r>
        <w:rPr>
          <w:rFonts w:ascii="Arial" w:cs="Arial" w:eastAsia="Arial" w:hAnsi="Arial"/>
          <w:sz w:val="16"/>
          <w:szCs w:val="16"/>
          <w:b w:val="1"/>
          <w:bCs w:val="1"/>
          <w:color w:val="auto"/>
        </w:rPr>
        <w:t>x</w:t>
      </w:r>
    </w:p>
    <w:p>
      <w:pPr>
        <w:spacing w:after="0" w:line="67" w:lineRule="exact"/>
        <w:rPr>
          <w:sz w:val="20"/>
          <w:szCs w:val="20"/>
          <w:color w:val="auto"/>
        </w:rPr>
      </w:pPr>
    </w:p>
    <w:p>
      <w:pPr>
        <w:ind w:firstLine="270"/>
        <w:spacing w:after="0" w:line="330"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4"/>
          <w:szCs w:val="14"/>
          <w:b w:val="1"/>
          <w:bCs w:val="1"/>
          <w:color w:val="auto"/>
        </w:rPr>
        <w:t>x</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w:t>
      </w:r>
    </w:p>
    <w:p>
      <w:pPr>
        <w:spacing w:after="0" w:line="19" w:lineRule="exact"/>
        <w:rPr>
          <w:sz w:val="20"/>
          <w:szCs w:val="20"/>
          <w:color w:val="auto"/>
        </w:rPr>
      </w:pPr>
    </w:p>
    <w:p>
      <w:pPr>
        <w:spacing w:after="0" w:line="184" w:lineRule="exact"/>
        <w:tabs>
          <w:tab w:leader="none" w:pos="10780" w:val="left"/>
        </w:tabs>
        <w:rPr>
          <w:sz w:val="20"/>
          <w:szCs w:val="20"/>
          <w:color w:val="auto"/>
        </w:rPr>
      </w:pPr>
      <w:r>
        <w:rPr>
          <w:rFonts w:ascii="Arial" w:cs="Arial" w:eastAsia="Arial" w:hAnsi="Arial"/>
          <w:sz w:val="16"/>
          <w:szCs w:val="16"/>
          <w:color w:val="auto"/>
        </w:rPr>
        <w:t>correction of an error to previously issued financial statements.</w:t>
      </w:r>
      <w:r>
        <w:rPr>
          <w:sz w:val="20"/>
          <w:szCs w:val="20"/>
          <w:color w:val="auto"/>
        </w:rPr>
        <w:tab/>
      </w:r>
      <w:r>
        <w:rPr>
          <w:rFonts w:ascii="MS PGothic" w:cs="MS PGothic" w:eastAsia="MS PGothic" w:hAnsi="MS PGothic"/>
          <w:sz w:val="12"/>
          <w:szCs w:val="12"/>
          <w:b w:val="1"/>
          <w:bCs w:val="1"/>
          <w:color w:val="auto"/>
        </w:rPr>
        <w: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w:t>
      </w:r>
    </w:p>
    <w:p>
      <w:pPr>
        <w:spacing w:after="0" w:line="19" w:lineRule="exact"/>
        <w:rPr>
          <w:sz w:val="20"/>
          <w:szCs w:val="20"/>
          <w:color w:val="auto"/>
        </w:rPr>
      </w:pPr>
    </w:p>
    <w:p>
      <w:pPr>
        <w:spacing w:after="0" w:line="184" w:lineRule="exact"/>
        <w:tabs>
          <w:tab w:leader="none" w:pos="10780" w:val="left"/>
        </w:tabs>
        <w:rPr>
          <w:sz w:val="20"/>
          <w:szCs w:val="20"/>
          <w:color w:val="auto"/>
        </w:rPr>
      </w:pPr>
      <w:r>
        <w:rPr>
          <w:rFonts w:ascii="Arial" w:cs="Arial" w:eastAsia="Arial" w:hAnsi="Arial"/>
          <w:sz w:val="16"/>
          <w:szCs w:val="16"/>
          <w:color w:val="auto"/>
        </w:rPr>
        <w:t>registrant’s executive officers during the relevant recovery period pursuant to §240.10D-1(b).</w:t>
      </w:r>
      <w:r>
        <w:rPr>
          <w:sz w:val="20"/>
          <w:szCs w:val="20"/>
          <w:color w:val="auto"/>
        </w:rPr>
        <w:tab/>
      </w:r>
      <w:r>
        <w:rPr>
          <w:rFonts w:ascii="MS PGothic" w:cs="MS PGothic" w:eastAsia="MS PGothic" w:hAnsi="MS PGothic"/>
          <w:sz w:val="12"/>
          <w:szCs w:val="12"/>
          <w:b w:val="1"/>
          <w:bCs w:val="1"/>
          <w:color w:val="auto"/>
        </w:rPr>
        <w:t>☐</w:t>
      </w:r>
    </w:p>
    <w:p>
      <w:pPr>
        <w:spacing w:after="0" w:line="80" w:lineRule="exact"/>
        <w:rPr>
          <w:sz w:val="20"/>
          <w:szCs w:val="20"/>
          <w:color w:val="auto"/>
        </w:rPr>
      </w:pPr>
    </w:p>
    <w:p>
      <w:pPr>
        <w:ind w:firstLine="270"/>
        <w:spacing w:after="0" w:line="283" w:lineRule="auto"/>
        <w:rPr>
          <w:sz w:val="20"/>
          <w:szCs w:val="20"/>
          <w:color w:val="auto"/>
        </w:rPr>
      </w:pPr>
      <w:r>
        <w:rPr>
          <w:rFonts w:ascii="Arial" w:cs="Arial" w:eastAsia="Arial" w:hAnsi="Arial"/>
          <w:sz w:val="16"/>
          <w:szCs w:val="16"/>
          <w:color w:val="auto"/>
        </w:rPr>
        <w:t>As of the last business day of the most recently completed second fiscal quarter, the aggregate market value of the common stock of the registrant held by non-affiliates was approximately $2,047 million based on the closing sale prices of such shares as reported on the New York Stock Exchange.</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35" w:lineRule="exact"/>
        <w:rPr>
          <w:sz w:val="20"/>
          <w:szCs w:val="20"/>
          <w:color w:val="auto"/>
        </w:rPr>
      </w:pPr>
    </w:p>
    <w:tbl>
      <w:tblPr>
        <w:tblLayout w:type="fixed"/>
        <w:tblInd w:w="182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3200" w:type="dxa"/>
            <w:vAlign w:val="bottom"/>
            <w:gridSpan w:val="2"/>
          </w:tcPr>
          <w:p>
            <w:pPr>
              <w:jc w:val="center"/>
              <w:ind w:right="2820"/>
              <w:spacing w:after="0"/>
              <w:rPr>
                <w:sz w:val="20"/>
                <w:szCs w:val="20"/>
                <w:color w:val="auto"/>
              </w:rPr>
            </w:pPr>
            <w:r>
              <w:rPr>
                <w:rFonts w:ascii="Arial" w:cs="Arial" w:eastAsia="Arial" w:hAnsi="Arial"/>
                <w:sz w:val="17"/>
                <w:szCs w:val="17"/>
                <w:b w:val="1"/>
                <w:bCs w:val="1"/>
                <w:color w:val="auto"/>
                <w:w w:val="83"/>
              </w:rPr>
              <w:t>Class</w:t>
            </w:r>
          </w:p>
        </w:tc>
        <w:tc>
          <w:tcPr>
            <w:tcW w:w="2380" w:type="dxa"/>
            <w:vAlign w:val="bottom"/>
          </w:tcPr>
          <w:p>
            <w:pPr>
              <w:jc w:val="center"/>
              <w:spacing w:after="0"/>
              <w:rPr>
                <w:sz w:val="20"/>
                <w:szCs w:val="20"/>
                <w:color w:val="auto"/>
              </w:rPr>
            </w:pPr>
            <w:r>
              <w:rPr>
                <w:rFonts w:ascii="Arial" w:cs="Arial" w:eastAsia="Arial" w:hAnsi="Arial"/>
                <w:sz w:val="17"/>
                <w:szCs w:val="17"/>
                <w:b w:val="1"/>
                <w:bCs w:val="1"/>
                <w:color w:val="auto"/>
                <w:w w:val="91"/>
              </w:rPr>
              <w:t>Outstanding at January 31, 2025</w:t>
            </w:r>
          </w:p>
        </w:tc>
      </w:tr>
      <w:tr>
        <w:trPr>
          <w:trHeight w:val="20"/>
        </w:trPr>
        <w:tc>
          <w:tcPr>
            <w:tcW w:w="1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58"/>
        </w:trPr>
        <w:tc>
          <w:tcPr>
            <w:tcW w:w="4740" w:type="dxa"/>
            <w:vAlign w:val="bottom"/>
            <w:gridSpan w:val="3"/>
          </w:tcPr>
          <w:p>
            <w:pPr>
              <w:jc w:val="center"/>
              <w:ind w:right="1260"/>
              <w:spacing w:after="0"/>
              <w:rPr>
                <w:sz w:val="20"/>
                <w:szCs w:val="20"/>
                <w:color w:val="auto"/>
              </w:rPr>
            </w:pPr>
            <w:r>
              <w:rPr>
                <w:rFonts w:ascii="Arial" w:cs="Arial" w:eastAsia="Arial" w:hAnsi="Arial"/>
                <w:sz w:val="17"/>
                <w:szCs w:val="17"/>
                <w:color w:val="auto"/>
                <w:w w:val="89"/>
              </w:rPr>
              <w:t>Common Stock, Class A,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34,613,853</w:t>
            </w:r>
          </w:p>
        </w:tc>
      </w:tr>
      <w:tr>
        <w:trPr>
          <w:trHeight w:val="240"/>
        </w:trPr>
        <w:tc>
          <w:tcPr>
            <w:tcW w:w="4740" w:type="dxa"/>
            <w:vAlign w:val="bottom"/>
            <w:gridSpan w:val="3"/>
          </w:tcPr>
          <w:p>
            <w:pPr>
              <w:jc w:val="center"/>
              <w:ind w:right="1280"/>
              <w:spacing w:after="0"/>
              <w:rPr>
                <w:sz w:val="20"/>
                <w:szCs w:val="20"/>
                <w:color w:val="auto"/>
              </w:rPr>
            </w:pPr>
            <w:r>
              <w:rPr>
                <w:rFonts w:ascii="Arial" w:cs="Arial" w:eastAsia="Arial" w:hAnsi="Arial"/>
                <w:sz w:val="17"/>
                <w:szCs w:val="17"/>
                <w:color w:val="auto"/>
                <w:w w:val="89"/>
              </w:rPr>
              <w:t>Common Stock, Class B,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42,738,750</w:t>
            </w:r>
          </w:p>
        </w:tc>
      </w:tr>
      <w:tr>
        <w:trPr>
          <w:trHeight w:val="240"/>
        </w:trPr>
        <w:tc>
          <w:tcPr>
            <w:tcW w:w="4740" w:type="dxa"/>
            <w:vAlign w:val="bottom"/>
            <w:gridSpan w:val="3"/>
          </w:tcPr>
          <w:p>
            <w:pPr>
              <w:jc w:val="center"/>
              <w:ind w:right="1280"/>
              <w:spacing w:after="0"/>
              <w:rPr>
                <w:sz w:val="20"/>
                <w:szCs w:val="20"/>
                <w:color w:val="auto"/>
              </w:rPr>
            </w:pPr>
            <w:r>
              <w:rPr>
                <w:rFonts w:ascii="Arial" w:cs="Arial" w:eastAsia="Arial" w:hAnsi="Arial"/>
                <w:sz w:val="17"/>
                <w:szCs w:val="17"/>
                <w:color w:val="auto"/>
                <w:w w:val="89"/>
              </w:rPr>
              <w:t>Common Stock, Class C,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82,833,226</w:t>
            </w:r>
          </w:p>
        </w:tc>
      </w:tr>
      <w:tr>
        <w:trPr>
          <w:trHeight w:val="240"/>
        </w:trPr>
        <w:tc>
          <w:tcPr>
            <w:tcW w:w="4740" w:type="dxa"/>
            <w:vAlign w:val="bottom"/>
            <w:gridSpan w:val="3"/>
          </w:tcPr>
          <w:p>
            <w:pPr>
              <w:jc w:val="center"/>
              <w:ind w:right="1260"/>
              <w:spacing w:after="0"/>
              <w:rPr>
                <w:sz w:val="20"/>
                <w:szCs w:val="20"/>
                <w:color w:val="auto"/>
              </w:rPr>
            </w:pPr>
            <w:r>
              <w:rPr>
                <w:rFonts w:ascii="Arial" w:cs="Arial" w:eastAsia="Arial" w:hAnsi="Arial"/>
                <w:sz w:val="17"/>
                <w:szCs w:val="17"/>
                <w:color w:val="auto"/>
                <w:w w:val="89"/>
              </w:rPr>
              <w:t>Common Stock, Class D,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41,961,750</w:t>
            </w:r>
          </w:p>
        </w:tc>
      </w:tr>
    </w:tbl>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Portions of the Registrant’s Definitive Proxy Statement relating to its 2025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36830</wp:posOffset>
            </wp:positionV>
            <wp:extent cx="633412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125" cy="1270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78105</wp:posOffset>
            </wp:positionV>
            <wp:extent cx="633412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125" cy="25400"/>
                    </a:xfrm>
                    <a:prstGeom prst="rect">
                      <a:avLst/>
                    </a:prstGeom>
                    <a:noFill/>
                  </pic:spPr>
                </pic:pic>
              </a:graphicData>
            </a:graphic>
          </wp:anchor>
        </w:drawing>
      </w:r>
    </w:p>
    <w:p>
      <w:pPr>
        <w:sectPr>
          <w:pgSz w:w="11880" w:h="15480" w:orient="portrait"/>
          <w:cols w:equalWidth="0" w:num="1">
            <w:col w:w="11080"/>
          </w:cols>
          <w:pgMar w:left="400" w:top="675" w:right="400" w:bottom="4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0"/>
        </w:trPr>
        <w:tc>
          <w:tcPr>
            <w:tcW w:w="9520" w:type="dxa"/>
            <w:vAlign w:val="bottom"/>
          </w:tcPr>
          <w:p>
            <w:pPr>
              <w:ind w:left="3980"/>
              <w:spacing w:after="0"/>
              <w:rPr>
                <w:sz w:val="20"/>
                <w:szCs w:val="20"/>
                <w:color w:val="auto"/>
              </w:rPr>
            </w:pPr>
            <w:r>
              <w:rPr>
                <w:rFonts w:ascii="Arial" w:cs="Arial" w:eastAsia="Arial" w:hAnsi="Arial"/>
                <w:sz w:val="20"/>
                <w:szCs w:val="20"/>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9520" w:type="dxa"/>
            <w:vAlign w:val="bottom"/>
          </w:tcPr>
          <w:p>
            <w:pPr>
              <w:ind w:left="4820"/>
              <w:spacing w:after="0"/>
              <w:rPr>
                <w:sz w:val="20"/>
                <w:szCs w:val="20"/>
                <w:color w:val="auto"/>
              </w:rPr>
            </w:pPr>
            <w:r>
              <w:rPr>
                <w:rFonts w:ascii="Arial" w:cs="Arial" w:eastAsia="Arial" w:hAnsi="Arial"/>
                <w:sz w:val="20"/>
                <w:szCs w:val="20"/>
                <w:b w:val="1"/>
                <w:bCs w:val="1"/>
                <w:color w:val="auto"/>
              </w:rPr>
              <w:t>Index</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9520" w:type="dxa"/>
            <w:vAlign w:val="bottom"/>
          </w:tcPr>
          <w:p>
            <w:pPr>
              <w:spacing w:after="0"/>
              <w:rPr>
                <w:sz w:val="20"/>
                <w:szCs w:val="20"/>
                <w:color w:val="auto"/>
              </w:rPr>
            </w:pPr>
            <w:r>
              <w:rPr>
                <w:rFonts w:ascii="Arial" w:cs="Arial" w:eastAsia="Arial" w:hAnsi="Arial"/>
                <w:sz w:val="20"/>
                <w:szCs w:val="20"/>
                <w:color w:val="auto"/>
              </w:rPr>
              <w:t>GLOSSARY OF TERMS</w:t>
            </w: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00"/>
        </w:trPr>
        <w:tc>
          <w:tcPr>
            <w:tcW w:w="952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 — Business</w:t>
            </w: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1A — Risk Factors</w:t>
            </w:r>
          </w:p>
        </w:tc>
        <w:tc>
          <w:tcPr>
            <w:tcW w:w="6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1B — Unresolved Staff Comments</w:t>
            </w:r>
          </w:p>
        </w:tc>
        <w:tc>
          <w:tcPr>
            <w:tcW w:w="6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1C — Cybersecurity</w:t>
            </w:r>
          </w:p>
        </w:tc>
        <w:tc>
          <w:tcPr>
            <w:tcW w:w="60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2 — Properties</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3 — Legal Proceedings</w:t>
            </w:r>
          </w:p>
        </w:tc>
        <w:tc>
          <w:tcPr>
            <w:tcW w:w="6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4 — Mine Safety Disclosures</w:t>
            </w:r>
          </w:p>
        </w:tc>
        <w:tc>
          <w:tcPr>
            <w:tcW w:w="6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300"/>
        </w:trPr>
        <w:tc>
          <w:tcPr>
            <w:tcW w:w="952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6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35"/>
        </w:trPr>
        <w:tc>
          <w:tcPr>
            <w:tcW w:w="9520" w:type="dxa"/>
            <w:vAlign w:val="bottom"/>
          </w:tcPr>
          <w:p>
            <w:pPr>
              <w:ind w:left="220"/>
              <w:spacing w:after="0"/>
              <w:rPr>
                <w:sz w:val="20"/>
                <w:szCs w:val="20"/>
                <w:color w:val="auto"/>
              </w:rPr>
            </w:pPr>
            <w:r>
              <w:rPr>
                <w:rFonts w:ascii="Arial" w:cs="Arial" w:eastAsia="Arial" w:hAnsi="Arial"/>
                <w:sz w:val="20"/>
                <w:szCs w:val="20"/>
                <w:color w:val="auto"/>
                <w:w w:val="94"/>
              </w:rPr>
              <w:t>Item 5 — Market for Registrant’s Common Equity, Related Stockholder Matters and Issuer Purchases of Equity</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61"/>
        </w:trPr>
        <w:tc>
          <w:tcPr>
            <w:tcW w:w="9520" w:type="dxa"/>
            <w:vAlign w:val="bottom"/>
          </w:tcPr>
          <w:p>
            <w:pPr>
              <w:ind w:left="220"/>
              <w:spacing w:after="0"/>
              <w:rPr>
                <w:sz w:val="20"/>
                <w:szCs w:val="20"/>
                <w:color w:val="auto"/>
              </w:rPr>
            </w:pPr>
            <w:r>
              <w:rPr>
                <w:rFonts w:ascii="Arial" w:cs="Arial" w:eastAsia="Arial" w:hAnsi="Arial"/>
                <w:sz w:val="20"/>
                <w:szCs w:val="20"/>
                <w:color w:val="auto"/>
              </w:rPr>
              <w:t>Securities</w:t>
            </w: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9520" w:type="dxa"/>
            <w:vAlign w:val="bottom"/>
          </w:tcPr>
          <w:p>
            <w:pPr>
              <w:ind w:left="220"/>
              <w:spacing w:after="0"/>
              <w:rPr>
                <w:sz w:val="20"/>
                <w:szCs w:val="20"/>
                <w:color w:val="auto"/>
              </w:rPr>
            </w:pPr>
            <w:r>
              <w:rPr>
                <w:rFonts w:ascii="Arial" w:cs="Arial" w:eastAsia="Arial" w:hAnsi="Arial"/>
                <w:sz w:val="20"/>
                <w:szCs w:val="20"/>
                <w:color w:val="auto"/>
              </w:rPr>
              <w:t>Item 6 — Reserved</w:t>
            </w:r>
          </w:p>
        </w:tc>
        <w:tc>
          <w:tcPr>
            <w:tcW w:w="6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7 — 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7A — 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8 — Financial Statements and Supplementary Data</w:t>
            </w:r>
          </w:p>
        </w:tc>
        <w:tc>
          <w:tcPr>
            <w:tcW w:w="6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9 — 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9A — Controls and Procedures</w:t>
            </w:r>
          </w:p>
        </w:tc>
        <w:tc>
          <w:tcPr>
            <w:tcW w:w="60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9B — Other Information</w:t>
            </w:r>
          </w:p>
        </w:tc>
        <w:tc>
          <w:tcPr>
            <w:tcW w:w="60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300"/>
        </w:trPr>
        <w:tc>
          <w:tcPr>
            <w:tcW w:w="952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60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10 — Information about 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11 — Executive Compensation</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w w:val="93"/>
              </w:rPr>
              <w:t>Item 12 — Security Ownership of Certain Beneficial Owners and Management and Related Stockholder Matters</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13 — 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14 — Principal Accounting Fees and Services</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300"/>
        </w:trPr>
        <w:tc>
          <w:tcPr>
            <w:tcW w:w="952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60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15 — Exhibits, Financial Statement Schedules</w:t>
            </w:r>
          </w:p>
        </w:tc>
        <w:tc>
          <w:tcPr>
            <w:tcW w:w="60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300"/>
        </w:trPr>
        <w:tc>
          <w:tcPr>
            <w:tcW w:w="9520" w:type="dxa"/>
            <w:vAlign w:val="bottom"/>
          </w:tcPr>
          <w:p>
            <w:pPr>
              <w:spacing w:after="0"/>
              <w:rPr>
                <w:sz w:val="20"/>
                <w:szCs w:val="20"/>
                <w:color w:val="auto"/>
              </w:rPr>
            </w:pPr>
            <w:r>
              <w:rPr>
                <w:rFonts w:ascii="Arial" w:cs="Arial" w:eastAsia="Arial" w:hAnsi="Arial"/>
                <w:sz w:val="20"/>
                <w:szCs w:val="20"/>
                <w:b w:val="1"/>
                <w:bCs w:val="1"/>
                <w:color w:val="auto"/>
              </w:rPr>
              <w:t>EXHIBIT INDEX</w:t>
            </w:r>
          </w:p>
        </w:tc>
        <w:tc>
          <w:tcPr>
            <w:tcW w:w="60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300"/>
        </w:trPr>
        <w:tc>
          <w:tcPr>
            <w:tcW w:w="9520" w:type="dxa"/>
            <w:vAlign w:val="bottom"/>
          </w:tcPr>
          <w:p>
            <w:pPr>
              <w:ind w:left="220"/>
              <w:spacing w:after="0"/>
              <w:rPr>
                <w:sz w:val="20"/>
                <w:szCs w:val="20"/>
                <w:color w:val="auto"/>
              </w:rPr>
            </w:pPr>
            <w:r>
              <w:rPr>
                <w:rFonts w:ascii="Arial" w:cs="Arial" w:eastAsia="Arial" w:hAnsi="Arial"/>
                <w:sz w:val="20"/>
                <w:szCs w:val="20"/>
                <w:color w:val="auto"/>
              </w:rPr>
              <w:t>Item 16 — Form 10-K Summary</w:t>
            </w:r>
          </w:p>
        </w:tc>
        <w:tc>
          <w:tcPr>
            <w:tcW w:w="600" w:type="dxa"/>
            <w:vAlign w:val="bottom"/>
          </w:tcPr>
          <w:p>
            <w:pPr>
              <w:jc w:val="right"/>
              <w:spacing w:after="0"/>
              <w:rPr>
                <w:sz w:val="20"/>
                <w:szCs w:val="20"/>
                <w:color w:val="auto"/>
              </w:rPr>
            </w:pPr>
            <w:r>
              <w:rPr>
                <w:rFonts w:ascii="Arial" w:cs="Arial" w:eastAsia="Arial" w:hAnsi="Arial"/>
                <w:sz w:val="20"/>
                <w:szCs w:val="20"/>
                <w:color w:val="auto"/>
              </w:rPr>
              <w:t>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20"/>
          </w:cols>
          <w:pgMar w:left="880" w:top="36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880" w:h="15480" w:orient="portrait"/>
          <w:cols w:equalWidth="0" w:num="1">
            <w:col w:w="10120"/>
          </w:cols>
          <w:pgMar w:left="880" w:top="360" w:right="880" w:bottom="0" w:gutter="0" w:footer="0" w:header="0"/>
          <w:type w:val="continuous"/>
        </w:sectPr>
      </w:pPr>
    </w:p>
    <w:bookmarkStart w:id="4" w:name="page5"/>
    <w:bookmarkEnd w:id="4"/>
    <w:p>
      <w:pPr>
        <w:spacing w:after="0" w:line="233" w:lineRule="auto"/>
        <w:framePr w:w="2200" w:h="201" w:wrap="auto" w:vAnchor="page" w:hAnchor="page" w:x="820" w:y="8467"/>
        <w:rPr>
          <w:rFonts w:ascii="Arial" w:cs="Arial" w:eastAsia="Arial" w:hAnsi="Arial"/>
          <w:sz w:val="18"/>
          <w:szCs w:val="18"/>
          <w:color w:val="auto"/>
        </w:rPr>
      </w:pPr>
      <w:r>
        <w:rPr>
          <w:rFonts w:ascii="Arial" w:cs="Arial" w:eastAsia="Arial" w:hAnsi="Arial"/>
          <w:sz w:val="18"/>
          <w:szCs w:val="18"/>
          <w:color w:val="auto"/>
        </w:rPr>
        <w:t>Capistrano Wind Portfolio</w:t>
      </w:r>
    </w:p>
    <w:p>
      <w:pPr>
        <w:spacing w:after="0" w:line="233" w:lineRule="auto"/>
        <w:framePr w:w="480" w:h="201" w:wrap="auto" w:vAnchor="page" w:hAnchor="page" w:x="820" w:y="8962"/>
        <w:rPr>
          <w:rFonts w:ascii="Arial" w:cs="Arial" w:eastAsia="Arial" w:hAnsi="Arial"/>
          <w:sz w:val="18"/>
          <w:szCs w:val="18"/>
          <w:color w:val="auto"/>
        </w:rPr>
      </w:pPr>
      <w:r>
        <w:rPr>
          <w:rFonts w:ascii="Arial" w:cs="Arial" w:eastAsia="Arial" w:hAnsi="Arial"/>
          <w:sz w:val="18"/>
          <w:szCs w:val="18"/>
          <w:color w:val="auto"/>
        </w:rPr>
        <w:t>CEG</w:t>
      </w:r>
    </w:p>
    <w:p>
      <w:pPr>
        <w:spacing w:after="0" w:line="220" w:lineRule="auto"/>
        <w:framePr w:w="1820" w:h="401" w:wrap="auto" w:vAnchor="page" w:hAnchor="page" w:x="820" w:y="9262"/>
        <w:rPr>
          <w:rFonts w:ascii="Arial" w:cs="Arial" w:eastAsia="Arial" w:hAnsi="Arial"/>
          <w:sz w:val="19"/>
          <w:szCs w:val="19"/>
          <w:color w:val="auto"/>
        </w:rPr>
      </w:pPr>
      <w:r>
        <w:rPr>
          <w:rFonts w:ascii="Arial" w:cs="Arial" w:eastAsia="Arial" w:hAnsi="Arial"/>
          <w:sz w:val="19"/>
          <w:szCs w:val="19"/>
          <w:color w:val="auto"/>
        </w:rPr>
        <w:t>CEG Master Services Agreement</w:t>
      </w:r>
    </w:p>
    <w:p>
      <w:pPr>
        <w:spacing w:after="0" w:line="233" w:lineRule="auto"/>
        <w:framePr w:w="1900" w:h="201" w:wrap="auto" w:vAnchor="page" w:hAnchor="page" w:x="820" w:y="9967"/>
        <w:rPr>
          <w:rFonts w:ascii="Arial" w:cs="Arial" w:eastAsia="Arial" w:hAnsi="Arial"/>
          <w:sz w:val="18"/>
          <w:szCs w:val="18"/>
          <w:color w:val="auto"/>
        </w:rPr>
      </w:pPr>
      <w:r>
        <w:rPr>
          <w:rFonts w:ascii="Arial" w:cs="Arial" w:eastAsia="Arial" w:hAnsi="Arial"/>
          <w:sz w:val="18"/>
          <w:szCs w:val="18"/>
          <w:color w:val="auto"/>
        </w:rPr>
        <w:t>Clearway Energy LLC</w:t>
      </w:r>
    </w:p>
    <w:p>
      <w:pPr>
        <w:spacing w:after="0" w:line="233" w:lineRule="auto"/>
        <w:framePr w:w="2460" w:h="201" w:wrap="auto" w:vAnchor="page" w:hAnchor="page" w:x="820" w:y="10672"/>
        <w:rPr>
          <w:rFonts w:ascii="Arial" w:cs="Arial" w:eastAsia="Arial" w:hAnsi="Arial"/>
          <w:sz w:val="18"/>
          <w:szCs w:val="18"/>
          <w:color w:val="auto"/>
        </w:rPr>
      </w:pPr>
      <w:r>
        <w:rPr>
          <w:rFonts w:ascii="Arial" w:cs="Arial" w:eastAsia="Arial" w:hAnsi="Arial"/>
          <w:sz w:val="18"/>
          <w:szCs w:val="18"/>
          <w:color w:val="auto"/>
        </w:rPr>
        <w:t>Clearway Energy Group LLC</w:t>
      </w:r>
    </w:p>
    <w:p>
      <w:pPr>
        <w:spacing w:after="0" w:line="233" w:lineRule="auto"/>
        <w:framePr w:w="2320" w:h="201" w:wrap="auto" w:vAnchor="page" w:hAnchor="page" w:x="820" w:y="11572"/>
        <w:rPr>
          <w:rFonts w:ascii="Arial" w:cs="Arial" w:eastAsia="Arial" w:hAnsi="Arial"/>
          <w:sz w:val="18"/>
          <w:szCs w:val="18"/>
          <w:color w:val="auto"/>
        </w:rPr>
      </w:pPr>
      <w:r>
        <w:rPr>
          <w:rFonts w:ascii="Arial" w:cs="Arial" w:eastAsia="Arial" w:hAnsi="Arial"/>
          <w:sz w:val="18"/>
          <w:szCs w:val="18"/>
          <w:color w:val="auto"/>
        </w:rPr>
        <w:t>Clearway Energy Operating</w:t>
      </w:r>
    </w:p>
    <w:p>
      <w:pPr>
        <w:spacing w:after="0" w:line="210" w:lineRule="auto"/>
        <w:framePr w:w="460" w:h="201" w:wrap="auto" w:vAnchor="page" w:hAnchor="page" w:x="820" w:y="11772"/>
        <w:rPr>
          <w:rFonts w:ascii="Arial" w:cs="Arial" w:eastAsia="Arial" w:hAnsi="Arial"/>
          <w:sz w:val="20"/>
          <w:szCs w:val="20"/>
          <w:color w:val="auto"/>
        </w:rPr>
      </w:pPr>
      <w:r>
        <w:rPr>
          <w:rFonts w:ascii="Arial" w:cs="Arial" w:eastAsia="Arial" w:hAnsi="Arial"/>
          <w:sz w:val="20"/>
          <w:szCs w:val="20"/>
          <w:color w:val="auto"/>
        </w:rPr>
        <w:t>LLC</w:t>
      </w:r>
    </w:p>
    <w:p>
      <w:pPr>
        <w:spacing w:after="0" w:line="233" w:lineRule="auto"/>
        <w:framePr w:w="1460" w:h="201" w:wrap="auto" w:vAnchor="page" w:hAnchor="page" w:x="820" w:y="12067"/>
        <w:rPr>
          <w:rFonts w:ascii="Arial" w:cs="Arial" w:eastAsia="Arial" w:hAnsi="Arial"/>
          <w:sz w:val="18"/>
          <w:szCs w:val="18"/>
          <w:color w:val="auto"/>
        </w:rPr>
      </w:pPr>
      <w:r>
        <w:rPr>
          <w:rFonts w:ascii="Arial" w:cs="Arial" w:eastAsia="Arial" w:hAnsi="Arial"/>
          <w:sz w:val="18"/>
          <w:szCs w:val="18"/>
          <w:color w:val="auto"/>
        </w:rPr>
        <w:t>Clearway Renew</w:t>
      </w:r>
    </w:p>
    <w:p>
      <w:pPr>
        <w:spacing w:after="0" w:line="233" w:lineRule="auto"/>
        <w:framePr w:w="500" w:h="201" w:wrap="auto" w:vAnchor="page" w:hAnchor="page" w:x="820" w:y="12367"/>
        <w:rPr>
          <w:rFonts w:ascii="Arial" w:cs="Arial" w:eastAsia="Arial" w:hAnsi="Arial"/>
          <w:sz w:val="18"/>
          <w:szCs w:val="18"/>
          <w:color w:val="auto"/>
        </w:rPr>
      </w:pPr>
      <w:r>
        <w:rPr>
          <w:rFonts w:ascii="Arial" w:cs="Arial" w:eastAsia="Arial" w:hAnsi="Arial"/>
          <w:sz w:val="18"/>
          <w:szCs w:val="18"/>
          <w:color w:val="auto"/>
        </w:rPr>
        <w:t>COD</w:t>
      </w:r>
    </w:p>
    <w:p>
      <w:pPr>
        <w:spacing w:after="0" w:line="290" w:lineRule="auto"/>
        <w:framePr w:w="860" w:h="501" w:wrap="auto" w:vAnchor="page" w:hAnchor="page" w:x="820" w:y="12667"/>
        <w:rPr>
          <w:rFonts w:ascii="Arial" w:cs="Arial" w:eastAsia="Arial" w:hAnsi="Arial"/>
          <w:sz w:val="18"/>
          <w:szCs w:val="18"/>
          <w:color w:val="auto"/>
        </w:rPr>
      </w:pPr>
      <w:r>
        <w:rPr>
          <w:rFonts w:ascii="Arial" w:cs="Arial" w:eastAsia="Arial" w:hAnsi="Arial"/>
          <w:sz w:val="18"/>
          <w:szCs w:val="18"/>
          <w:color w:val="auto"/>
        </w:rPr>
        <w:t>Code Company</w:t>
      </w:r>
    </w:p>
    <w:p>
      <w:pPr>
        <w:spacing w:after="0" w:line="233" w:lineRule="auto"/>
        <w:framePr w:w="600" w:h="201" w:wrap="auto" w:vAnchor="page" w:hAnchor="page" w:x="820" w:y="13267"/>
        <w:rPr>
          <w:rFonts w:ascii="Arial" w:cs="Arial" w:eastAsia="Arial" w:hAnsi="Arial"/>
          <w:sz w:val="18"/>
          <w:szCs w:val="18"/>
          <w:color w:val="auto"/>
        </w:rPr>
      </w:pPr>
      <w:r>
        <w:rPr>
          <w:rFonts w:ascii="Arial" w:cs="Arial" w:eastAsia="Arial" w:hAnsi="Arial"/>
          <w:sz w:val="18"/>
          <w:szCs w:val="18"/>
          <w:color w:val="auto"/>
        </w:rPr>
        <w:t>CVSR</w:t>
      </w:r>
    </w:p>
    <w:p>
      <w:pPr>
        <w:spacing w:after="0" w:line="290" w:lineRule="auto"/>
        <w:framePr w:w="1460" w:h="501" w:wrap="auto" w:vAnchor="page" w:hAnchor="page" w:x="820" w:y="13567"/>
        <w:rPr>
          <w:rFonts w:ascii="Arial" w:cs="Arial" w:eastAsia="Arial" w:hAnsi="Arial"/>
          <w:sz w:val="18"/>
          <w:szCs w:val="18"/>
          <w:color w:val="auto"/>
        </w:rPr>
      </w:pPr>
      <w:r>
        <w:rPr>
          <w:rFonts w:ascii="Arial" w:cs="Arial" w:eastAsia="Arial" w:hAnsi="Arial"/>
          <w:sz w:val="18"/>
          <w:szCs w:val="18"/>
          <w:color w:val="auto"/>
        </w:rPr>
        <w:t>CVSR Holdco Distributed Solar</w:t>
      </w:r>
    </w:p>
    <w:p>
      <w:pPr>
        <w:jc w:val="center"/>
        <w:spacing w:after="0"/>
        <w:rPr>
          <w:sz w:val="20"/>
          <w:szCs w:val="20"/>
          <w:color w:val="auto"/>
        </w:rPr>
      </w:pPr>
      <w:r>
        <w:rPr>
          <w:rFonts w:ascii="Arial" w:cs="Arial" w:eastAsia="Arial" w:hAnsi="Arial"/>
          <w:sz w:val="20"/>
          <w:szCs w:val="20"/>
          <w:b w:val="1"/>
          <w:bCs w:val="1"/>
          <w:color w:val="auto"/>
        </w:rPr>
        <w:t>GLOSSARY OF TERMS</w:t>
      </w:r>
    </w:p>
    <w:p>
      <w:pPr>
        <w:spacing w:after="0" w:line="197" w:lineRule="exact"/>
        <w:rPr>
          <w:rFonts w:ascii="Arial" w:cs="Arial" w:eastAsia="Arial" w:hAnsi="Arial"/>
          <w:sz w:val="18"/>
          <w:szCs w:val="18"/>
          <w:color w:val="auto"/>
        </w:rPr>
      </w:pPr>
    </w:p>
    <w:p>
      <w:pPr>
        <w:jc w:val="center"/>
        <w:ind w:right="200"/>
        <w:spacing w:after="0"/>
        <w:rPr>
          <w:sz w:val="20"/>
          <w:szCs w:val="20"/>
          <w:color w:val="auto"/>
        </w:rPr>
      </w:pPr>
      <w:r>
        <w:rPr>
          <w:rFonts w:ascii="Arial" w:cs="Arial" w:eastAsia="Arial" w:hAnsi="Arial"/>
          <w:sz w:val="19"/>
          <w:szCs w:val="19"/>
          <w:color w:val="auto"/>
        </w:rPr>
        <w:t>When the following terms and abbreviations appear in the text of this report, they have the meanings indicated below:</w:t>
      </w:r>
    </w:p>
    <w:p>
      <w:pPr>
        <w:spacing w:after="0" w:line="67"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2028 Senior Notes</w:t>
      </w:r>
      <w:r>
        <w:rPr>
          <w:sz w:val="20"/>
          <w:szCs w:val="20"/>
          <w:color w:val="auto"/>
        </w:rPr>
        <w:tab/>
      </w:r>
      <w:r>
        <w:rPr>
          <w:rFonts w:ascii="Arial" w:cs="Arial" w:eastAsia="Arial" w:hAnsi="Arial"/>
          <w:sz w:val="18"/>
          <w:szCs w:val="18"/>
          <w:color w:val="auto"/>
        </w:rPr>
        <w:t>$850 million aggregate principal amount of 4.75% unsecured senior notes due 2028, issued</w:t>
      </w:r>
    </w:p>
    <w:p>
      <w:pPr>
        <w:ind w:left="2620"/>
        <w:spacing w:after="0"/>
        <w:rPr>
          <w:sz w:val="20"/>
          <w:szCs w:val="20"/>
          <w:color w:val="auto"/>
        </w:rPr>
      </w:pPr>
      <w:r>
        <w:rPr>
          <w:rFonts w:ascii="Arial" w:cs="Arial" w:eastAsia="Arial" w:hAnsi="Arial"/>
          <w:sz w:val="20"/>
          <w:szCs w:val="20"/>
          <w:color w:val="auto"/>
        </w:rPr>
        <w:t>by Clearway Energy Operating LLC</w:t>
      </w:r>
    </w:p>
    <w:p>
      <w:pPr>
        <w:spacing w:after="0" w:line="35"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2031 Senior Notes</w:t>
      </w:r>
      <w:r>
        <w:rPr>
          <w:sz w:val="20"/>
          <w:szCs w:val="20"/>
          <w:color w:val="auto"/>
        </w:rPr>
        <w:tab/>
      </w:r>
      <w:r>
        <w:rPr>
          <w:rFonts w:ascii="Arial" w:cs="Arial" w:eastAsia="Arial" w:hAnsi="Arial"/>
          <w:sz w:val="18"/>
          <w:szCs w:val="18"/>
          <w:color w:val="auto"/>
        </w:rPr>
        <w:t>$925 million aggregate principal amount of 3.75% unsecured senior notes due 2031, issued</w:t>
      </w:r>
    </w:p>
    <w:p>
      <w:pPr>
        <w:ind w:left="2620"/>
        <w:spacing w:after="0"/>
        <w:rPr>
          <w:sz w:val="20"/>
          <w:szCs w:val="20"/>
          <w:color w:val="auto"/>
        </w:rPr>
      </w:pPr>
      <w:r>
        <w:rPr>
          <w:rFonts w:ascii="Arial" w:cs="Arial" w:eastAsia="Arial" w:hAnsi="Arial"/>
          <w:sz w:val="20"/>
          <w:szCs w:val="20"/>
          <w:color w:val="auto"/>
        </w:rPr>
        <w:t>by Clearway Energy Operating LLC</w:t>
      </w:r>
    </w:p>
    <w:p>
      <w:pPr>
        <w:spacing w:after="0" w:line="35"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2032 Senior Notes</w:t>
      </w:r>
      <w:r>
        <w:rPr>
          <w:sz w:val="20"/>
          <w:szCs w:val="20"/>
          <w:color w:val="auto"/>
        </w:rPr>
        <w:tab/>
      </w:r>
      <w:r>
        <w:rPr>
          <w:rFonts w:ascii="Arial" w:cs="Arial" w:eastAsia="Arial" w:hAnsi="Arial"/>
          <w:sz w:val="18"/>
          <w:szCs w:val="18"/>
          <w:color w:val="auto"/>
        </w:rPr>
        <w:t>$350 million aggregate principal amount of 3.75% unsecured senior notes due 2032, issued</w:t>
      </w:r>
    </w:p>
    <w:p>
      <w:pPr>
        <w:ind w:left="2620"/>
        <w:spacing w:after="0"/>
        <w:rPr>
          <w:sz w:val="20"/>
          <w:szCs w:val="20"/>
          <w:color w:val="auto"/>
        </w:rPr>
      </w:pPr>
      <w:r>
        <w:rPr>
          <w:rFonts w:ascii="Arial" w:cs="Arial" w:eastAsia="Arial" w:hAnsi="Arial"/>
          <w:sz w:val="20"/>
          <w:szCs w:val="20"/>
          <w:color w:val="auto"/>
        </w:rPr>
        <w:t>by Clearway Energy Operating LLC</w:t>
      </w:r>
    </w:p>
    <w:p>
      <w:pPr>
        <w:spacing w:after="0" w:line="35"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Adjusted EBITDA</w:t>
      </w:r>
      <w:r>
        <w:rPr>
          <w:sz w:val="20"/>
          <w:szCs w:val="20"/>
          <w:color w:val="auto"/>
        </w:rPr>
        <w:tab/>
      </w:r>
      <w:r>
        <w:rPr>
          <w:rFonts w:ascii="Arial" w:cs="Arial" w:eastAsia="Arial" w:hAnsi="Arial"/>
          <w:sz w:val="19"/>
          <w:szCs w:val="19"/>
          <w:color w:val="auto"/>
        </w:rPr>
        <w:t>A  non-GAAP  measure,  represents  earnings  before  interest  (including  loss  on  debt</w:t>
      </w:r>
    </w:p>
    <w:p>
      <w:pPr>
        <w:ind w:left="2620"/>
        <w:spacing w:after="0" w:line="219" w:lineRule="auto"/>
        <w:rPr>
          <w:sz w:val="20"/>
          <w:szCs w:val="20"/>
          <w:color w:val="auto"/>
        </w:rPr>
      </w:pPr>
      <w:r>
        <w:rPr>
          <w:rFonts w:ascii="Arial" w:cs="Arial" w:eastAsia="Arial" w:hAnsi="Arial"/>
          <w:sz w:val="19"/>
          <w:szCs w:val="19"/>
          <w:color w:val="auto"/>
        </w:rPr>
        <w:t>extinguishment), tax, depreciation and amortization adjusted for mark-to-market gains or</w:t>
      </w:r>
    </w:p>
    <w:p>
      <w:pPr>
        <w:ind w:left="2620"/>
        <w:spacing w:after="0" w:line="232" w:lineRule="auto"/>
        <w:rPr>
          <w:sz w:val="20"/>
          <w:szCs w:val="20"/>
          <w:color w:val="auto"/>
        </w:rPr>
      </w:pPr>
      <w:r>
        <w:rPr>
          <w:rFonts w:ascii="Arial" w:cs="Arial" w:eastAsia="Arial" w:hAnsi="Arial"/>
          <w:sz w:val="18"/>
          <w:szCs w:val="18"/>
          <w:color w:val="auto"/>
        </w:rPr>
        <w:t>losses, asset write offs and impairments; and factors which the Company does not consider</w:t>
      </w:r>
    </w:p>
    <w:p>
      <w:pPr>
        <w:spacing w:after="0" w:line="1" w:lineRule="exact"/>
        <w:rPr>
          <w:rFonts w:ascii="Arial" w:cs="Arial" w:eastAsia="Arial" w:hAnsi="Arial"/>
          <w:sz w:val="18"/>
          <w:szCs w:val="18"/>
          <w:color w:val="auto"/>
        </w:rPr>
      </w:pPr>
    </w:p>
    <w:p>
      <w:pPr>
        <w:ind w:left="2620"/>
        <w:spacing w:after="0"/>
        <w:rPr>
          <w:sz w:val="20"/>
          <w:szCs w:val="20"/>
          <w:color w:val="auto"/>
        </w:rPr>
      </w:pPr>
      <w:r>
        <w:rPr>
          <w:rFonts w:ascii="Arial" w:cs="Arial" w:eastAsia="Arial" w:hAnsi="Arial"/>
          <w:sz w:val="20"/>
          <w:szCs w:val="20"/>
          <w:color w:val="auto"/>
        </w:rPr>
        <w:t>indicative of future operating performance</w:t>
      </w:r>
    </w:p>
    <w:p>
      <w:pPr>
        <w:spacing w:after="0" w:line="70"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ARO</w:t>
      </w:r>
      <w:r>
        <w:rPr>
          <w:sz w:val="20"/>
          <w:szCs w:val="20"/>
          <w:color w:val="auto"/>
        </w:rPr>
        <w:tab/>
      </w:r>
      <w:r>
        <w:rPr>
          <w:rFonts w:ascii="Arial" w:cs="Arial" w:eastAsia="Arial" w:hAnsi="Arial"/>
          <w:sz w:val="20"/>
          <w:szCs w:val="20"/>
          <w:color w:val="auto"/>
        </w:rPr>
        <w:t>Asset Retirement Obligation</w:t>
      </w:r>
    </w:p>
    <w:p>
      <w:pPr>
        <w:spacing w:after="0" w:line="63"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18"/>
          <w:szCs w:val="18"/>
          <w:color w:val="auto"/>
        </w:rPr>
        <w:t>ASC</w:t>
      </w:r>
      <w:r>
        <w:rPr>
          <w:sz w:val="20"/>
          <w:szCs w:val="20"/>
          <w:color w:val="auto"/>
        </w:rPr>
        <w:tab/>
      </w:r>
      <w:r>
        <w:rPr>
          <w:rFonts w:ascii="Arial" w:cs="Arial" w:eastAsia="Arial" w:hAnsi="Arial"/>
          <w:sz w:val="18"/>
          <w:szCs w:val="18"/>
          <w:color w:val="auto"/>
        </w:rPr>
        <w:t>The FASB Accounting Standards Codification, which the FASB established as the source of</w:t>
      </w:r>
    </w:p>
    <w:p>
      <w:pPr>
        <w:jc w:val="center"/>
        <w:ind w:right="3300"/>
        <w:spacing w:after="0"/>
        <w:rPr>
          <w:sz w:val="20"/>
          <w:szCs w:val="20"/>
          <w:color w:val="auto"/>
        </w:rPr>
      </w:pPr>
      <w:r>
        <w:rPr>
          <w:rFonts w:ascii="Arial" w:cs="Arial" w:eastAsia="Arial" w:hAnsi="Arial"/>
          <w:sz w:val="20"/>
          <w:szCs w:val="20"/>
          <w:color w:val="auto"/>
        </w:rPr>
        <w:t>authoritative GAAP</w:t>
      </w:r>
    </w:p>
    <w:p>
      <w:pPr>
        <w:spacing w:after="0" w:line="65"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ASU</w:t>
      </w:r>
      <w:r>
        <w:rPr>
          <w:sz w:val="20"/>
          <w:szCs w:val="20"/>
          <w:color w:val="auto"/>
        </w:rPr>
        <w:tab/>
      </w:r>
      <w:r>
        <w:rPr>
          <w:rFonts w:ascii="Arial" w:cs="Arial" w:eastAsia="Arial" w:hAnsi="Arial"/>
          <w:sz w:val="20"/>
          <w:szCs w:val="20"/>
          <w:color w:val="auto"/>
        </w:rPr>
        <w:t>Accounting Standards Updates – updates to the ASC</w:t>
      </w:r>
    </w:p>
    <w:p>
      <w:pPr>
        <w:spacing w:after="0" w:line="70"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ATM Program</w:t>
      </w:r>
      <w:r>
        <w:rPr>
          <w:sz w:val="20"/>
          <w:szCs w:val="20"/>
          <w:color w:val="auto"/>
        </w:rPr>
        <w:tab/>
      </w:r>
      <w:r>
        <w:rPr>
          <w:rFonts w:ascii="Arial" w:cs="Arial" w:eastAsia="Arial" w:hAnsi="Arial"/>
          <w:sz w:val="18"/>
          <w:szCs w:val="18"/>
          <w:color w:val="auto"/>
        </w:rPr>
        <w:t>At-The-Market Equity Offering Program</w:t>
      </w:r>
    </w:p>
    <w:p>
      <w:pPr>
        <w:spacing w:after="0" w:line="70"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BESS</w:t>
      </w:r>
      <w:r>
        <w:rPr>
          <w:sz w:val="20"/>
          <w:szCs w:val="20"/>
          <w:color w:val="auto"/>
        </w:rPr>
        <w:tab/>
      </w:r>
      <w:r>
        <w:rPr>
          <w:rFonts w:ascii="Arial" w:cs="Arial" w:eastAsia="Arial" w:hAnsi="Arial"/>
          <w:sz w:val="20"/>
          <w:szCs w:val="20"/>
          <w:color w:val="auto"/>
        </w:rPr>
        <w:t>Battery energy storage system</w:t>
      </w:r>
    </w:p>
    <w:p>
      <w:pPr>
        <w:spacing w:after="0" w:line="70"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BlackRock</w:t>
      </w:r>
      <w:r>
        <w:rPr>
          <w:sz w:val="20"/>
          <w:szCs w:val="20"/>
          <w:color w:val="auto"/>
        </w:rPr>
        <w:tab/>
      </w:r>
      <w:r>
        <w:rPr>
          <w:rFonts w:ascii="Arial" w:cs="Arial" w:eastAsia="Arial" w:hAnsi="Arial"/>
          <w:sz w:val="20"/>
          <w:szCs w:val="20"/>
          <w:color w:val="auto"/>
        </w:rPr>
        <w:t>BlackRock, Inc., a publicly-traded global investment management firm</w:t>
      </w:r>
    </w:p>
    <w:p>
      <w:pPr>
        <w:spacing w:after="0" w:line="40"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Black Start</w:t>
      </w:r>
      <w:r>
        <w:rPr>
          <w:sz w:val="20"/>
          <w:szCs w:val="20"/>
          <w:color w:val="auto"/>
        </w:rPr>
        <w:tab/>
      </w:r>
      <w:r>
        <w:rPr>
          <w:rFonts w:ascii="Arial" w:cs="Arial" w:eastAsia="Arial" w:hAnsi="Arial"/>
          <w:sz w:val="19"/>
          <w:szCs w:val="19"/>
          <w:color w:val="auto"/>
        </w:rPr>
        <w:t>The capability of a generating asset to restore the grid in the event of a blackout without</w:t>
      </w:r>
    </w:p>
    <w:p>
      <w:pPr>
        <w:jc w:val="center"/>
        <w:ind w:right="160"/>
        <w:spacing w:after="0"/>
        <w:rPr>
          <w:sz w:val="20"/>
          <w:szCs w:val="20"/>
          <w:color w:val="auto"/>
        </w:rPr>
      </w:pPr>
      <w:r>
        <w:rPr>
          <w:rFonts w:ascii="Arial" w:cs="Arial" w:eastAsia="Arial" w:hAnsi="Arial"/>
          <w:sz w:val="20"/>
          <w:szCs w:val="20"/>
          <w:color w:val="auto"/>
        </w:rPr>
        <w:t>relying on the external electric power transmission network</w:t>
      </w:r>
    </w:p>
    <w:p>
      <w:pPr>
        <w:spacing w:after="0" w:line="58"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18"/>
          <w:szCs w:val="18"/>
          <w:color w:val="auto"/>
        </w:rPr>
        <w:t>CAFD</w:t>
      </w:r>
      <w:r>
        <w:rPr>
          <w:sz w:val="20"/>
          <w:szCs w:val="20"/>
          <w:color w:val="auto"/>
        </w:rPr>
        <w:tab/>
      </w:r>
      <w:r>
        <w:rPr>
          <w:rFonts w:ascii="Arial" w:cs="Arial" w:eastAsia="Arial" w:hAnsi="Arial"/>
          <w:sz w:val="18"/>
          <w:szCs w:val="18"/>
          <w:color w:val="auto"/>
        </w:rPr>
        <w:t>A non-GAAP measure, Cash Available for Distribution is defined as of December 31, 2024</w:t>
      </w:r>
    </w:p>
    <w:p>
      <w:pPr>
        <w:jc w:val="right"/>
        <w:spacing w:after="0" w:line="208" w:lineRule="auto"/>
        <w:rPr>
          <w:sz w:val="20"/>
          <w:szCs w:val="20"/>
          <w:color w:val="auto"/>
        </w:rPr>
      </w:pPr>
      <w:r>
        <w:rPr>
          <w:rFonts w:ascii="Arial" w:cs="Arial" w:eastAsia="Arial" w:hAnsi="Arial"/>
          <w:sz w:val="20"/>
          <w:szCs w:val="20"/>
          <w:color w:val="auto"/>
        </w:rPr>
        <w:t>as Adjusted EBITDA plus cash distributions/return of investment from unconsolidated</w:t>
      </w:r>
    </w:p>
    <w:p>
      <w:pPr>
        <w:ind w:left="2620"/>
        <w:spacing w:after="0" w:line="232" w:lineRule="auto"/>
        <w:rPr>
          <w:sz w:val="20"/>
          <w:szCs w:val="20"/>
          <w:color w:val="auto"/>
        </w:rPr>
      </w:pPr>
      <w:r>
        <w:rPr>
          <w:rFonts w:ascii="Arial" w:cs="Arial" w:eastAsia="Arial" w:hAnsi="Arial"/>
          <w:sz w:val="18"/>
          <w:szCs w:val="18"/>
          <w:color w:val="auto"/>
        </w:rPr>
        <w:t>affiliates,  cash  receipts  from  notes  receivable,  cash  contributions  from  noncontrolling</w:t>
      </w:r>
    </w:p>
    <w:p>
      <w:pPr>
        <w:ind w:left="2620"/>
        <w:spacing w:after="0" w:line="220" w:lineRule="auto"/>
        <w:rPr>
          <w:sz w:val="20"/>
          <w:szCs w:val="20"/>
          <w:color w:val="auto"/>
        </w:rPr>
      </w:pPr>
      <w:r>
        <w:rPr>
          <w:rFonts w:ascii="Arial" w:cs="Arial" w:eastAsia="Arial" w:hAnsi="Arial"/>
          <w:sz w:val="19"/>
          <w:szCs w:val="19"/>
          <w:color w:val="auto"/>
        </w:rPr>
        <w:t>interests, adjustments to reflect sales-type lease cash payments and payments for lease</w:t>
      </w:r>
    </w:p>
    <w:p>
      <w:pPr>
        <w:ind w:left="2620"/>
        <w:spacing w:after="0" w:line="232" w:lineRule="auto"/>
        <w:tabs>
          <w:tab w:leader="none" w:pos="3560" w:val="left"/>
          <w:tab w:leader="none" w:pos="4060" w:val="left"/>
          <w:tab w:leader="none" w:pos="4600" w:val="left"/>
          <w:tab w:leader="none" w:pos="5800" w:val="left"/>
          <w:tab w:leader="none" w:pos="6140" w:val="left"/>
          <w:tab w:leader="none" w:pos="7500" w:val="left"/>
          <w:tab w:leader="none" w:pos="8400" w:val="left"/>
          <w:tab w:leader="none" w:pos="9600" w:val="left"/>
        </w:tabs>
        <w:rPr>
          <w:sz w:val="20"/>
          <w:szCs w:val="20"/>
          <w:color w:val="auto"/>
        </w:rPr>
      </w:pPr>
      <w:r>
        <w:rPr>
          <w:rFonts w:ascii="Arial" w:cs="Arial" w:eastAsia="Arial" w:hAnsi="Arial"/>
          <w:sz w:val="20"/>
          <w:szCs w:val="20"/>
          <w:color w:val="auto"/>
        </w:rPr>
        <w:t>expenses,</w:t>
        <w:tab/>
        <w:t>less</w:t>
        <w:tab/>
        <w:t>cash</w:t>
        <w:tab/>
        <w:t>distributions</w:t>
        <w:tab/>
        <w:t>to</w:t>
        <w:tab/>
        <w:t>noncontrolling</w:t>
        <w:tab/>
        <w:t>interests,</w:t>
        <w:tab/>
        <w:t>maintenance</w:t>
      </w:r>
      <w:r>
        <w:rPr>
          <w:sz w:val="20"/>
          <w:szCs w:val="20"/>
          <w:color w:val="auto"/>
        </w:rPr>
        <w:tab/>
      </w:r>
      <w:r>
        <w:rPr>
          <w:rFonts w:ascii="Arial" w:cs="Arial" w:eastAsia="Arial" w:hAnsi="Arial"/>
          <w:sz w:val="18"/>
          <w:szCs w:val="18"/>
          <w:color w:val="auto"/>
        </w:rPr>
        <w:t>capital</w:t>
      </w:r>
    </w:p>
    <w:p>
      <w:pPr>
        <w:ind w:left="2620"/>
        <w:spacing w:after="0" w:line="231" w:lineRule="auto"/>
        <w:rPr>
          <w:sz w:val="20"/>
          <w:szCs w:val="20"/>
          <w:color w:val="auto"/>
        </w:rPr>
      </w:pPr>
      <w:r>
        <w:rPr>
          <w:rFonts w:ascii="Arial" w:cs="Arial" w:eastAsia="Arial" w:hAnsi="Arial"/>
          <w:sz w:val="18"/>
          <w:szCs w:val="18"/>
          <w:color w:val="auto"/>
        </w:rPr>
        <w:t>expenditures, pro-rata Adjusted EBITDA from unconsolidated affiliates, cash interest paid,</w:t>
      </w:r>
    </w:p>
    <w:p>
      <w:pPr>
        <w:ind w:left="2620"/>
        <w:spacing w:after="0" w:line="232" w:lineRule="auto"/>
        <w:rPr>
          <w:sz w:val="20"/>
          <w:szCs w:val="20"/>
          <w:color w:val="auto"/>
        </w:rPr>
      </w:pPr>
      <w:r>
        <w:rPr>
          <w:rFonts w:ascii="Arial" w:cs="Arial" w:eastAsia="Arial" w:hAnsi="Arial"/>
          <w:sz w:val="18"/>
          <w:szCs w:val="18"/>
          <w:color w:val="auto"/>
        </w:rPr>
        <w:t>income taxes paid, principal amortization of indebtedness, changes in prepaid and accrued</w:t>
      </w:r>
    </w:p>
    <w:p>
      <w:pPr>
        <w:spacing w:after="0" w:line="1" w:lineRule="exact"/>
        <w:rPr>
          <w:rFonts w:ascii="Arial" w:cs="Arial" w:eastAsia="Arial" w:hAnsi="Arial"/>
          <w:sz w:val="18"/>
          <w:szCs w:val="18"/>
          <w:color w:val="auto"/>
        </w:rPr>
      </w:pPr>
    </w:p>
    <w:p>
      <w:pPr>
        <w:ind w:left="2620"/>
        <w:spacing w:after="0"/>
        <w:rPr>
          <w:sz w:val="20"/>
          <w:szCs w:val="20"/>
          <w:color w:val="auto"/>
        </w:rPr>
      </w:pPr>
      <w:r>
        <w:rPr>
          <w:rFonts w:ascii="Arial" w:cs="Arial" w:eastAsia="Arial" w:hAnsi="Arial"/>
          <w:sz w:val="20"/>
          <w:szCs w:val="20"/>
          <w:color w:val="auto"/>
        </w:rPr>
        <w:t>capacity payments, and adjusted for development expenses</w:t>
      </w:r>
    </w:p>
    <w:p>
      <w:pPr>
        <w:spacing w:after="0" w:line="65" w:lineRule="exact"/>
        <w:rPr>
          <w:rFonts w:ascii="Arial" w:cs="Arial" w:eastAsia="Arial" w:hAnsi="Arial"/>
          <w:sz w:val="18"/>
          <w:szCs w:val="18"/>
          <w:color w:val="auto"/>
        </w:rPr>
      </w:pPr>
    </w:p>
    <w:p>
      <w:pPr>
        <w:spacing w:after="0"/>
        <w:tabs>
          <w:tab w:leader="none" w:pos="2600" w:val="left"/>
        </w:tabs>
        <w:rPr>
          <w:sz w:val="20"/>
          <w:szCs w:val="20"/>
          <w:color w:val="auto"/>
        </w:rPr>
      </w:pPr>
      <w:r>
        <w:rPr>
          <w:rFonts w:ascii="Arial" w:cs="Arial" w:eastAsia="Arial" w:hAnsi="Arial"/>
          <w:sz w:val="20"/>
          <w:szCs w:val="20"/>
          <w:color w:val="auto"/>
        </w:rPr>
        <w:t>CAISO</w:t>
      </w:r>
      <w:r>
        <w:rPr>
          <w:sz w:val="20"/>
          <w:szCs w:val="20"/>
          <w:color w:val="auto"/>
        </w:rPr>
        <w:tab/>
      </w:r>
      <w:r>
        <w:rPr>
          <w:rFonts w:ascii="Arial" w:cs="Arial" w:eastAsia="Arial" w:hAnsi="Arial"/>
          <w:sz w:val="20"/>
          <w:szCs w:val="20"/>
          <w:color w:val="auto"/>
        </w:rPr>
        <w:t>California Independent System Operator</w:t>
      </w:r>
    </w:p>
    <w:p>
      <w:pPr>
        <w:spacing w:after="0" w:line="40" w:lineRule="exact"/>
        <w:rPr>
          <w:rFonts w:ascii="Arial" w:cs="Arial" w:eastAsia="Arial" w:hAnsi="Arial"/>
          <w:sz w:val="18"/>
          <w:szCs w:val="18"/>
          <w:color w:val="auto"/>
        </w:rPr>
      </w:pPr>
    </w:p>
    <w:p>
      <w:pPr>
        <w:spacing w:after="0"/>
        <w:tabs>
          <w:tab w:leader="none" w:pos="1020" w:val="left"/>
          <w:tab w:leader="none" w:pos="1920" w:val="left"/>
        </w:tabs>
        <w:rPr>
          <w:sz w:val="20"/>
          <w:szCs w:val="20"/>
          <w:color w:val="auto"/>
        </w:rPr>
      </w:pPr>
      <w:r>
        <w:rPr>
          <w:rFonts w:ascii="Arial" w:cs="Arial" w:eastAsia="Arial" w:hAnsi="Arial"/>
          <w:sz w:val="20"/>
          <w:szCs w:val="20"/>
          <w:color w:val="auto"/>
        </w:rPr>
        <w:t>Capistrano</w:t>
        <w:tab/>
        <w:t>Portfolio</w:t>
      </w:r>
      <w:r>
        <w:rPr>
          <w:sz w:val="20"/>
          <w:szCs w:val="20"/>
          <w:color w:val="auto"/>
        </w:rPr>
        <w:tab/>
      </w:r>
      <w:r>
        <w:rPr>
          <w:rFonts w:ascii="Arial" w:cs="Arial" w:eastAsia="Arial" w:hAnsi="Arial"/>
          <w:sz w:val="18"/>
          <w:szCs w:val="18"/>
          <w:color w:val="auto"/>
        </w:rPr>
        <w:t>Holdco The holding company that owns four wind facilities representing 263 MW of capacity, which</w:t>
      </w:r>
    </w:p>
    <w:p>
      <w:pPr>
        <w:spacing w:after="0"/>
        <w:tabs>
          <w:tab w:leader="none" w:pos="2600" w:val="left"/>
        </w:tabs>
        <w:rPr>
          <w:sz w:val="20"/>
          <w:szCs w:val="20"/>
          <w:color w:val="auto"/>
        </w:rPr>
      </w:pPr>
      <w:r>
        <w:rPr>
          <w:rFonts w:ascii="Arial" w:cs="Arial" w:eastAsia="Arial" w:hAnsi="Arial"/>
          <w:sz w:val="20"/>
          <w:szCs w:val="20"/>
          <w:color w:val="auto"/>
        </w:rPr>
        <w:t>LLC</w:t>
      </w:r>
      <w:r>
        <w:rPr>
          <w:sz w:val="20"/>
          <w:szCs w:val="20"/>
          <w:color w:val="auto"/>
        </w:rPr>
        <w:tab/>
      </w:r>
      <w:r>
        <w:rPr>
          <w:rFonts w:ascii="Arial" w:cs="Arial" w:eastAsia="Arial" w:hAnsi="Arial"/>
          <w:sz w:val="20"/>
          <w:szCs w:val="20"/>
          <w:color w:val="auto"/>
        </w:rPr>
        <w:t>includes Broken Bow, Crofton Bluffs, Mountain Wind 1 and Mountain Wind 2</w:t>
      </w:r>
    </w:p>
    <w:p>
      <w:pPr>
        <w:spacing w:after="0" w:line="65" w:lineRule="exact"/>
        <w:rPr>
          <w:rFonts w:ascii="Arial" w:cs="Arial" w:eastAsia="Arial" w:hAnsi="Arial"/>
          <w:sz w:val="18"/>
          <w:szCs w:val="18"/>
          <w:color w:val="auto"/>
        </w:rPr>
      </w:pPr>
    </w:p>
    <w:p>
      <w:pPr>
        <w:jc w:val="both"/>
        <w:ind w:left="2620"/>
        <w:spacing w:after="0" w:line="266" w:lineRule="auto"/>
        <w:rPr>
          <w:sz w:val="20"/>
          <w:szCs w:val="20"/>
          <w:color w:val="auto"/>
        </w:rPr>
      </w:pPr>
      <w:r>
        <w:rPr>
          <w:rFonts w:ascii="Arial" w:cs="Arial" w:eastAsia="Arial" w:hAnsi="Arial"/>
          <w:sz w:val="19"/>
          <w:szCs w:val="19"/>
          <w:color w:val="auto"/>
        </w:rPr>
        <w:t>Portfolio of wind facilities acquired from Clearway Renew on August 22, 2022, which includes Broken Bow, Cedro Hill, Crofton Bluffs, Mountain Wind 1 and Mountain Wind 2</w:t>
      </w:r>
    </w:p>
    <w:p>
      <w:pPr>
        <w:spacing w:after="0" w:line="11" w:lineRule="exact"/>
        <w:rPr>
          <w:rFonts w:ascii="Arial" w:cs="Arial" w:eastAsia="Arial" w:hAnsi="Arial"/>
          <w:sz w:val="18"/>
          <w:szCs w:val="18"/>
          <w:color w:val="auto"/>
        </w:rPr>
      </w:pPr>
    </w:p>
    <w:p>
      <w:pPr>
        <w:ind w:left="2620"/>
        <w:spacing w:after="0"/>
        <w:rPr>
          <w:sz w:val="20"/>
          <w:szCs w:val="20"/>
          <w:color w:val="auto"/>
        </w:rPr>
      </w:pPr>
      <w:r>
        <w:rPr>
          <w:rFonts w:ascii="Arial" w:cs="Arial" w:eastAsia="Arial" w:hAnsi="Arial"/>
          <w:sz w:val="20"/>
          <w:szCs w:val="20"/>
          <w:color w:val="auto"/>
        </w:rPr>
        <w:t>Clearway Energy Group LLC (formerly Zephyr Renewables LLC)</w:t>
      </w:r>
    </w:p>
    <w:p>
      <w:pPr>
        <w:spacing w:after="0" w:line="70" w:lineRule="exact"/>
        <w:rPr>
          <w:rFonts w:ascii="Arial" w:cs="Arial" w:eastAsia="Arial" w:hAnsi="Arial"/>
          <w:sz w:val="18"/>
          <w:szCs w:val="18"/>
          <w:color w:val="auto"/>
        </w:rPr>
      </w:pPr>
    </w:p>
    <w:p>
      <w:pPr>
        <w:jc w:val="both"/>
        <w:ind w:left="2620"/>
        <w:spacing w:after="0" w:line="230" w:lineRule="auto"/>
        <w:rPr>
          <w:sz w:val="20"/>
          <w:szCs w:val="20"/>
          <w:color w:val="auto"/>
        </w:rPr>
      </w:pPr>
      <w:r>
        <w:rPr>
          <w:rFonts w:ascii="Arial" w:cs="Arial" w:eastAsia="Arial" w:hAnsi="Arial"/>
          <w:sz w:val="20"/>
          <w:szCs w:val="20"/>
          <w:color w:val="auto"/>
        </w:rPr>
        <w:t>Amended and Restated Master Services Agreement and Payroll Sharing Agreement, effective as of January 1, 2025, among the Company, Clearway Energy Finance Inc., Clearway Energy LLC, Clearway Energy Operating LLC and CEG</w:t>
      </w:r>
    </w:p>
    <w:p>
      <w:pPr>
        <w:spacing w:after="0" w:line="44" w:lineRule="exact"/>
        <w:rPr>
          <w:rFonts w:ascii="Arial" w:cs="Arial" w:eastAsia="Arial" w:hAnsi="Arial"/>
          <w:sz w:val="18"/>
          <w:szCs w:val="18"/>
          <w:color w:val="auto"/>
        </w:rPr>
      </w:pPr>
    </w:p>
    <w:p>
      <w:pPr>
        <w:jc w:val="both"/>
        <w:ind w:left="2620"/>
        <w:spacing w:after="0" w:line="230" w:lineRule="auto"/>
        <w:rPr>
          <w:sz w:val="20"/>
          <w:szCs w:val="20"/>
          <w:color w:val="auto"/>
        </w:rPr>
      </w:pPr>
      <w:r>
        <w:rPr>
          <w:rFonts w:ascii="Arial" w:cs="Arial" w:eastAsia="Arial" w:hAnsi="Arial"/>
          <w:sz w:val="20"/>
          <w:szCs w:val="20"/>
          <w:color w:val="auto"/>
        </w:rPr>
        <w:t>The holding company through which the facilities are owned by Clearway Energy Group LLC, the holder of Class B and Class D units, and Clearway Energy, Inc., the holder of the Class A and Class C units</w:t>
      </w:r>
    </w:p>
    <w:p>
      <w:pPr>
        <w:spacing w:after="0" w:line="44" w:lineRule="exact"/>
        <w:rPr>
          <w:rFonts w:ascii="Arial" w:cs="Arial" w:eastAsia="Arial" w:hAnsi="Arial"/>
          <w:sz w:val="18"/>
          <w:szCs w:val="18"/>
          <w:color w:val="auto"/>
        </w:rPr>
      </w:pPr>
    </w:p>
    <w:p>
      <w:pPr>
        <w:jc w:val="both"/>
        <w:ind w:left="2620"/>
        <w:spacing w:after="0" w:line="252" w:lineRule="auto"/>
        <w:rPr>
          <w:sz w:val="20"/>
          <w:szCs w:val="20"/>
          <w:color w:val="auto"/>
        </w:rPr>
      </w:pPr>
      <w:r>
        <w:rPr>
          <w:rFonts w:ascii="Arial" w:cs="Arial" w:eastAsia="Arial" w:hAnsi="Arial"/>
          <w:sz w:val="18"/>
          <w:szCs w:val="18"/>
          <w:color w:val="auto"/>
        </w:rPr>
        <w:t>The holder of all shares of the Company’s Class B and Class D common stock and Clearway Energy LLC’s Class B and Class D units, and from time to time, possibly shares of Clearway Energy, Inc.’s Class A and/or Class C common stock. Clearway Energy Group LLC is a leading developer of renewable, energy storage and power infrastructure in the U.S.</w:t>
      </w:r>
    </w:p>
    <w:p>
      <w:pPr>
        <w:spacing w:after="0" w:line="31" w:lineRule="exact"/>
        <w:rPr>
          <w:rFonts w:ascii="Arial" w:cs="Arial" w:eastAsia="Arial" w:hAnsi="Arial"/>
          <w:sz w:val="18"/>
          <w:szCs w:val="18"/>
          <w:color w:val="auto"/>
        </w:rPr>
      </w:pPr>
    </w:p>
    <w:p>
      <w:pPr>
        <w:ind w:left="2620"/>
        <w:spacing w:after="0"/>
        <w:rPr>
          <w:sz w:val="20"/>
          <w:szCs w:val="20"/>
          <w:color w:val="auto"/>
        </w:rPr>
      </w:pPr>
      <w:r>
        <w:rPr>
          <w:rFonts w:ascii="Arial" w:cs="Arial" w:eastAsia="Arial" w:hAnsi="Arial"/>
          <w:sz w:val="20"/>
          <w:szCs w:val="20"/>
          <w:color w:val="auto"/>
        </w:rPr>
        <w:t>The holder of the facility assets that are owned by Clearway Energy LLC</w:t>
      </w:r>
    </w:p>
    <w:p>
      <w:pPr>
        <w:spacing w:after="0" w:line="265" w:lineRule="exact"/>
        <w:rPr>
          <w:rFonts w:ascii="Arial" w:cs="Arial" w:eastAsia="Arial" w:hAnsi="Arial"/>
          <w:sz w:val="18"/>
          <w:szCs w:val="18"/>
          <w:color w:val="auto"/>
        </w:rPr>
      </w:pPr>
    </w:p>
    <w:p>
      <w:pPr>
        <w:ind w:left="2620" w:right="1180"/>
        <w:spacing w:after="0" w:line="313" w:lineRule="auto"/>
        <w:rPr>
          <w:sz w:val="20"/>
          <w:szCs w:val="20"/>
          <w:color w:val="auto"/>
        </w:rPr>
      </w:pPr>
      <w:r>
        <w:rPr>
          <w:rFonts w:ascii="Arial" w:cs="Arial" w:eastAsia="Arial" w:hAnsi="Arial"/>
          <w:sz w:val="20"/>
          <w:szCs w:val="20"/>
          <w:color w:val="auto"/>
        </w:rPr>
        <w:t>Clearway Renew LLC, a subsidiary of CEG, and its wholly-owned subsidiaries Commercial Operation Date</w:t>
      </w:r>
    </w:p>
    <w:p>
      <w:pPr>
        <w:ind w:left="2620"/>
        <w:spacing w:after="0"/>
        <w:rPr>
          <w:sz w:val="20"/>
          <w:szCs w:val="20"/>
          <w:color w:val="auto"/>
        </w:rPr>
      </w:pPr>
      <w:r>
        <w:rPr>
          <w:rFonts w:ascii="Arial" w:cs="Arial" w:eastAsia="Arial" w:hAnsi="Arial"/>
          <w:sz w:val="20"/>
          <w:szCs w:val="20"/>
          <w:color w:val="auto"/>
        </w:rPr>
        <w:t>Internal Revenue Code of 1986, as amended</w:t>
      </w:r>
    </w:p>
    <w:p>
      <w:pPr>
        <w:spacing w:after="0" w:line="70" w:lineRule="exact"/>
        <w:rPr>
          <w:rFonts w:ascii="Arial" w:cs="Arial" w:eastAsia="Arial" w:hAnsi="Arial"/>
          <w:sz w:val="18"/>
          <w:szCs w:val="18"/>
          <w:color w:val="auto"/>
        </w:rPr>
      </w:pPr>
    </w:p>
    <w:p>
      <w:pPr>
        <w:ind w:left="2620" w:right="2280"/>
        <w:spacing w:after="0" w:line="313" w:lineRule="auto"/>
        <w:rPr>
          <w:sz w:val="20"/>
          <w:szCs w:val="20"/>
          <w:color w:val="auto"/>
        </w:rPr>
      </w:pPr>
      <w:r>
        <w:rPr>
          <w:rFonts w:ascii="Arial" w:cs="Arial" w:eastAsia="Arial" w:hAnsi="Arial"/>
          <w:sz w:val="20"/>
          <w:szCs w:val="20"/>
          <w:color w:val="auto"/>
        </w:rPr>
        <w:t>Clearway Energy, Inc., together with its consolidated subsidiaries California Valley Solar Ranch</w:t>
      </w:r>
    </w:p>
    <w:p>
      <w:pPr>
        <w:ind w:left="2620"/>
        <w:spacing w:after="0"/>
        <w:rPr>
          <w:sz w:val="20"/>
          <w:szCs w:val="20"/>
          <w:color w:val="auto"/>
        </w:rPr>
      </w:pPr>
      <w:r>
        <w:rPr>
          <w:rFonts w:ascii="Arial" w:cs="Arial" w:eastAsia="Arial" w:hAnsi="Arial"/>
          <w:sz w:val="20"/>
          <w:szCs w:val="20"/>
          <w:color w:val="auto"/>
        </w:rPr>
        <w:t>CVSR Holdco LLC, the indirect owner of CVSR</w:t>
      </w:r>
    </w:p>
    <w:p>
      <w:pPr>
        <w:spacing w:after="0" w:line="70" w:lineRule="exact"/>
        <w:rPr>
          <w:rFonts w:ascii="Arial" w:cs="Arial" w:eastAsia="Arial" w:hAnsi="Arial"/>
          <w:sz w:val="18"/>
          <w:szCs w:val="18"/>
          <w:color w:val="auto"/>
        </w:rPr>
      </w:pPr>
    </w:p>
    <w:p>
      <w:pPr>
        <w:jc w:val="both"/>
        <w:ind w:left="2620"/>
        <w:spacing w:after="0" w:line="230" w:lineRule="auto"/>
        <w:rPr>
          <w:sz w:val="20"/>
          <w:szCs w:val="20"/>
          <w:color w:val="auto"/>
        </w:rPr>
      </w:pPr>
      <w:r>
        <w:rPr>
          <w:rFonts w:ascii="Arial" w:cs="Arial" w:eastAsia="Arial" w:hAnsi="Arial"/>
          <w:sz w:val="20"/>
          <w:szCs w:val="20"/>
          <w:color w:val="auto"/>
        </w:rPr>
        <w:t>Solar power facilities, typically less than 20 MW in size (on an alternating current, or AC, basis), that primarily sell power produced to customers for usage on site, or are interconnected to sell power into the local distribution grid</w:t>
      </w:r>
    </w:p>
    <w:p>
      <w:pPr>
        <w:sectPr>
          <w:pgSz w:w="11880" w:h="15480" w:orient="portrait"/>
          <w:cols w:equalWidth="0" w:num="1">
            <w:col w:w="10160"/>
          </w:cols>
          <w:pgMar w:left="860" w:top="360" w:right="860" w:bottom="0" w:gutter="0" w:footer="0" w:header="0"/>
        </w:sectPr>
      </w:pPr>
    </w:p>
    <w:p>
      <w:pPr>
        <w:spacing w:after="0" w:line="37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880" w:h="15480" w:orient="portrait"/>
          <w:cols w:equalWidth="0" w:num="1">
            <w:col w:w="10160"/>
          </w:cols>
          <w:pgMar w:left="860" w:top="360" w:right="860" w:bottom="0" w:gutter="0" w:footer="0" w:header="0"/>
          <w:type w:val="continuous"/>
        </w:sectPr>
      </w:pPr>
    </w:p>
    <w:bookmarkStart w:id="5" w:name="page6"/>
    <w:bookmarkEnd w:id="5"/>
    <w:p>
      <w:pPr>
        <w:spacing w:after="0"/>
        <w:tabs>
          <w:tab w:leader="none" w:pos="2600" w:val="left"/>
        </w:tabs>
        <w:rPr>
          <w:sz w:val="20"/>
          <w:szCs w:val="20"/>
          <w:color w:val="auto"/>
        </w:rPr>
      </w:pPr>
      <w:r>
        <w:rPr>
          <w:rFonts w:ascii="Arial" w:cs="Arial" w:eastAsia="Arial" w:hAnsi="Arial"/>
          <w:sz w:val="20"/>
          <w:szCs w:val="20"/>
          <w:color w:val="auto"/>
        </w:rPr>
        <w:t>Drop Down Assets</w:t>
      </w:r>
      <w:r>
        <w:rPr>
          <w:sz w:val="20"/>
          <w:szCs w:val="20"/>
          <w:color w:val="auto"/>
        </w:rPr>
        <w:tab/>
      </w:r>
      <w:r>
        <w:rPr>
          <w:rFonts w:ascii="Arial" w:cs="Arial" w:eastAsia="Arial" w:hAnsi="Arial"/>
          <w:sz w:val="18"/>
          <w:szCs w:val="18"/>
          <w:color w:val="auto"/>
        </w:rPr>
        <w:t>Assets under common control acquired by the Company from CEG</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EPA</w:t>
      </w:r>
      <w:r>
        <w:rPr>
          <w:sz w:val="20"/>
          <w:szCs w:val="20"/>
          <w:color w:val="auto"/>
        </w:rPr>
        <w:tab/>
      </w:r>
      <w:r>
        <w:rPr>
          <w:rFonts w:ascii="Arial" w:cs="Arial" w:eastAsia="Arial" w:hAnsi="Arial"/>
          <w:sz w:val="20"/>
          <w:szCs w:val="20"/>
          <w:color w:val="auto"/>
        </w:rPr>
        <w:t>United States Environmental Protection Agency</w:t>
      </w:r>
    </w:p>
    <w:p>
      <w:pPr>
        <w:spacing w:after="0" w:line="52" w:lineRule="exact"/>
        <w:rPr>
          <w:sz w:val="20"/>
          <w:szCs w:val="20"/>
          <w:color w:val="auto"/>
        </w:rPr>
      </w:pPr>
    </w:p>
    <w:p>
      <w:pPr>
        <w:spacing w:after="0"/>
        <w:tabs>
          <w:tab w:leader="none" w:pos="2600" w:val="left"/>
        </w:tabs>
        <w:rPr>
          <w:sz w:val="20"/>
          <w:szCs w:val="20"/>
          <w:color w:val="auto"/>
        </w:rPr>
      </w:pPr>
      <w:r>
        <w:rPr>
          <w:rFonts w:ascii="Arial" w:cs="Arial" w:eastAsia="Arial" w:hAnsi="Arial"/>
          <w:sz w:val="19"/>
          <w:szCs w:val="19"/>
          <w:color w:val="auto"/>
        </w:rPr>
        <w:t>ERCOT</w:t>
      </w:r>
      <w:r>
        <w:rPr>
          <w:sz w:val="20"/>
          <w:szCs w:val="20"/>
          <w:color w:val="auto"/>
        </w:rPr>
        <w:tab/>
      </w:r>
      <w:r>
        <w:rPr>
          <w:rFonts w:ascii="Arial" w:cs="Arial" w:eastAsia="Arial" w:hAnsi="Arial"/>
          <w:sz w:val="19"/>
          <w:szCs w:val="19"/>
          <w:color w:val="auto"/>
        </w:rPr>
        <w:t>Electric Reliability Council of Texas, the ISO and the regional reliability coordinator of the</w:t>
      </w:r>
    </w:p>
    <w:p>
      <w:pPr>
        <w:ind w:left="2620"/>
        <w:spacing w:after="0"/>
        <w:rPr>
          <w:sz w:val="20"/>
          <w:szCs w:val="20"/>
          <w:color w:val="auto"/>
        </w:rPr>
      </w:pPr>
      <w:r>
        <w:rPr>
          <w:rFonts w:ascii="Arial" w:cs="Arial" w:eastAsia="Arial" w:hAnsi="Arial"/>
          <w:sz w:val="20"/>
          <w:szCs w:val="20"/>
          <w:color w:val="auto"/>
        </w:rPr>
        <w:t>various electricity systems within Texas</w:t>
      </w:r>
    </w:p>
    <w:p>
      <w:pPr>
        <w:spacing w:after="0" w:line="65"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EWG</w:t>
      </w:r>
      <w:r>
        <w:rPr>
          <w:sz w:val="20"/>
          <w:szCs w:val="20"/>
          <w:color w:val="auto"/>
        </w:rPr>
        <w:tab/>
      </w:r>
      <w:r>
        <w:rPr>
          <w:rFonts w:ascii="Arial" w:cs="Arial" w:eastAsia="Arial" w:hAnsi="Arial"/>
          <w:sz w:val="20"/>
          <w:szCs w:val="20"/>
          <w:color w:val="auto"/>
        </w:rPr>
        <w:t>Exempt Wholesale Generator</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Exchange Act</w:t>
      </w:r>
      <w:r>
        <w:rPr>
          <w:sz w:val="20"/>
          <w:szCs w:val="20"/>
          <w:color w:val="auto"/>
        </w:rPr>
        <w:tab/>
      </w:r>
      <w:r>
        <w:rPr>
          <w:rFonts w:ascii="Arial" w:cs="Arial" w:eastAsia="Arial" w:hAnsi="Arial"/>
          <w:sz w:val="17"/>
          <w:szCs w:val="17"/>
          <w:color w:val="auto"/>
        </w:rPr>
        <w:t>The Securities Exchange Act of 1934, as amended</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FASB</w:t>
      </w:r>
      <w:r>
        <w:rPr>
          <w:sz w:val="20"/>
          <w:szCs w:val="20"/>
          <w:color w:val="auto"/>
        </w:rPr>
        <w:tab/>
      </w:r>
      <w:r>
        <w:rPr>
          <w:rFonts w:ascii="Arial" w:cs="Arial" w:eastAsia="Arial" w:hAnsi="Arial"/>
          <w:sz w:val="20"/>
          <w:szCs w:val="20"/>
          <w:color w:val="auto"/>
        </w:rPr>
        <w:t>Financial Accounting Standards Board</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FERC</w:t>
      </w:r>
      <w:r>
        <w:rPr>
          <w:sz w:val="20"/>
          <w:szCs w:val="20"/>
          <w:color w:val="auto"/>
        </w:rPr>
        <w:tab/>
      </w:r>
      <w:r>
        <w:rPr>
          <w:rFonts w:ascii="Arial" w:cs="Arial" w:eastAsia="Arial" w:hAnsi="Arial"/>
          <w:sz w:val="20"/>
          <w:szCs w:val="20"/>
          <w:color w:val="auto"/>
        </w:rPr>
        <w:t>Federal Energy Regulatory Commission</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Flexible Generation</w:t>
      </w:r>
      <w:r>
        <w:rPr>
          <w:sz w:val="20"/>
          <w:szCs w:val="20"/>
          <w:color w:val="auto"/>
        </w:rPr>
        <w:tab/>
      </w:r>
      <w:r>
        <w:rPr>
          <w:rFonts w:ascii="Arial" w:cs="Arial" w:eastAsia="Arial" w:hAnsi="Arial"/>
          <w:sz w:val="18"/>
          <w:szCs w:val="18"/>
          <w:color w:val="auto"/>
        </w:rPr>
        <w:t>Formerly the Conventional Generation segment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FPA</w:t>
      </w:r>
      <w:r>
        <w:rPr>
          <w:sz w:val="20"/>
          <w:szCs w:val="20"/>
          <w:color w:val="auto"/>
        </w:rPr>
        <w:tab/>
      </w:r>
      <w:r>
        <w:rPr>
          <w:rFonts w:ascii="Arial" w:cs="Arial" w:eastAsia="Arial" w:hAnsi="Arial"/>
          <w:sz w:val="20"/>
          <w:szCs w:val="20"/>
          <w:color w:val="auto"/>
        </w:rPr>
        <w:t>Federal Power Act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FWS</w:t>
      </w:r>
      <w:r>
        <w:rPr>
          <w:sz w:val="20"/>
          <w:szCs w:val="20"/>
          <w:color w:val="auto"/>
        </w:rPr>
        <w:tab/>
      </w:r>
      <w:r>
        <w:rPr>
          <w:rFonts w:ascii="Arial" w:cs="Arial" w:eastAsia="Arial" w:hAnsi="Arial"/>
          <w:sz w:val="20"/>
          <w:szCs w:val="20"/>
          <w:color w:val="auto"/>
        </w:rPr>
        <w:t>U.S. Fish &amp; Wildlife Service</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GAAP</w:t>
      </w:r>
      <w:r>
        <w:rPr>
          <w:sz w:val="20"/>
          <w:szCs w:val="20"/>
          <w:color w:val="auto"/>
        </w:rPr>
        <w:tab/>
      </w:r>
      <w:r>
        <w:rPr>
          <w:rFonts w:ascii="Arial" w:cs="Arial" w:eastAsia="Arial" w:hAnsi="Arial"/>
          <w:sz w:val="20"/>
          <w:szCs w:val="20"/>
          <w:color w:val="auto"/>
        </w:rPr>
        <w:t>Accounting principles generally accepted in the U.S.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GenConn</w:t>
      </w:r>
      <w:r>
        <w:rPr>
          <w:sz w:val="20"/>
          <w:szCs w:val="20"/>
          <w:color w:val="auto"/>
        </w:rPr>
        <w:tab/>
      </w:r>
      <w:r>
        <w:rPr>
          <w:rFonts w:ascii="Arial" w:cs="Arial" w:eastAsia="Arial" w:hAnsi="Arial"/>
          <w:sz w:val="20"/>
          <w:szCs w:val="20"/>
          <w:color w:val="auto"/>
        </w:rPr>
        <w:t>GenConn Energy LLC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GHG</w:t>
      </w:r>
      <w:r>
        <w:rPr>
          <w:sz w:val="20"/>
          <w:szCs w:val="20"/>
          <w:color w:val="auto"/>
        </w:rPr>
        <w:tab/>
      </w:r>
      <w:r>
        <w:rPr>
          <w:rFonts w:ascii="Arial" w:cs="Arial" w:eastAsia="Arial" w:hAnsi="Arial"/>
          <w:sz w:val="20"/>
          <w:szCs w:val="20"/>
          <w:color w:val="auto"/>
        </w:rPr>
        <w:t>Greenhouse gas</w:t>
      </w:r>
    </w:p>
    <w:p>
      <w:pPr>
        <w:spacing w:after="0" w:line="52" w:lineRule="exact"/>
        <w:rPr>
          <w:sz w:val="20"/>
          <w:szCs w:val="20"/>
          <w:color w:val="auto"/>
        </w:rPr>
      </w:pPr>
    </w:p>
    <w:p>
      <w:pPr>
        <w:spacing w:after="0"/>
        <w:tabs>
          <w:tab w:leader="none" w:pos="2600" w:val="left"/>
        </w:tabs>
        <w:rPr>
          <w:sz w:val="20"/>
          <w:szCs w:val="20"/>
          <w:color w:val="auto"/>
        </w:rPr>
      </w:pPr>
      <w:r>
        <w:rPr>
          <w:rFonts w:ascii="Arial" w:cs="Arial" w:eastAsia="Arial" w:hAnsi="Arial"/>
          <w:sz w:val="19"/>
          <w:szCs w:val="19"/>
          <w:color w:val="auto"/>
        </w:rPr>
        <w:t>GIM</w:t>
      </w:r>
      <w:r>
        <w:rPr>
          <w:sz w:val="20"/>
          <w:szCs w:val="20"/>
          <w:color w:val="auto"/>
        </w:rPr>
        <w:tab/>
      </w:r>
      <w:r>
        <w:rPr>
          <w:rFonts w:ascii="Arial" w:cs="Arial" w:eastAsia="Arial" w:hAnsi="Arial"/>
          <w:sz w:val="19"/>
          <w:szCs w:val="19"/>
          <w:color w:val="auto"/>
        </w:rPr>
        <w:t>Global Infrastructure Management, LLC, the manager of GIP and an indirect subsidiary of</w:t>
      </w:r>
    </w:p>
    <w:p>
      <w:pPr>
        <w:ind w:left="2620"/>
        <w:spacing w:after="0"/>
        <w:rPr>
          <w:sz w:val="20"/>
          <w:szCs w:val="20"/>
          <w:color w:val="auto"/>
        </w:rPr>
      </w:pPr>
      <w:r>
        <w:rPr>
          <w:rFonts w:ascii="Arial" w:cs="Arial" w:eastAsia="Arial" w:hAnsi="Arial"/>
          <w:sz w:val="20"/>
          <w:szCs w:val="20"/>
          <w:color w:val="auto"/>
        </w:rPr>
        <w:t>BlackRock</w:t>
      </w:r>
    </w:p>
    <w:p>
      <w:pPr>
        <w:spacing w:after="0" w:line="58"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GIP</w:t>
      </w:r>
      <w:r>
        <w:rPr>
          <w:sz w:val="20"/>
          <w:szCs w:val="20"/>
          <w:color w:val="auto"/>
        </w:rPr>
        <w:tab/>
      </w:r>
      <w:r>
        <w:rPr>
          <w:rFonts w:ascii="Arial" w:cs="Arial" w:eastAsia="Arial" w:hAnsi="Arial"/>
          <w:sz w:val="18"/>
          <w:szCs w:val="18"/>
          <w:color w:val="auto"/>
        </w:rPr>
        <w:t>Global Infrastructure Partners, an infrastructure fund manager managed by GIM that makes</w:t>
      </w:r>
    </w:p>
    <w:p>
      <w:pPr>
        <w:ind w:left="2620"/>
        <w:spacing w:after="0" w:line="241" w:lineRule="auto"/>
        <w:rPr>
          <w:sz w:val="20"/>
          <w:szCs w:val="20"/>
          <w:color w:val="auto"/>
        </w:rPr>
      </w:pPr>
      <w:r>
        <w:rPr>
          <w:rFonts w:ascii="Arial" w:cs="Arial" w:eastAsia="Arial" w:hAnsi="Arial"/>
          <w:sz w:val="20"/>
          <w:szCs w:val="20"/>
          <w:color w:val="auto"/>
        </w:rPr>
        <w:t>equity and debt investments in infrastructure assets and businesses. GIM is an indirect subsidiary of BlackRock.</w:t>
      </w:r>
    </w:p>
    <w:p>
      <w:pPr>
        <w:spacing w:after="0" w:line="43"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GW</w:t>
      </w:r>
      <w:r>
        <w:rPr>
          <w:sz w:val="20"/>
          <w:szCs w:val="20"/>
          <w:color w:val="auto"/>
        </w:rPr>
        <w:tab/>
      </w:r>
      <w:r>
        <w:rPr>
          <w:rFonts w:ascii="Arial" w:cs="Arial" w:eastAsia="Arial" w:hAnsi="Arial"/>
          <w:sz w:val="20"/>
          <w:szCs w:val="20"/>
          <w:color w:val="auto"/>
        </w:rPr>
        <w:t>Gigawatt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HLBV</w:t>
      </w:r>
      <w:r>
        <w:rPr>
          <w:sz w:val="20"/>
          <w:szCs w:val="20"/>
          <w:color w:val="auto"/>
        </w:rPr>
        <w:tab/>
      </w:r>
      <w:r>
        <w:rPr>
          <w:rFonts w:ascii="Arial" w:cs="Arial" w:eastAsia="Arial" w:hAnsi="Arial"/>
          <w:sz w:val="20"/>
          <w:szCs w:val="20"/>
          <w:color w:val="auto"/>
        </w:rPr>
        <w:t>Hypothetical Liquidation at Book Value</w:t>
      </w:r>
    </w:p>
    <w:p>
      <w:pPr>
        <w:spacing w:after="0" w:line="4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Honeycomb Portfolio</w:t>
      </w:r>
      <w:r>
        <w:rPr>
          <w:sz w:val="20"/>
          <w:szCs w:val="20"/>
          <w:color w:val="auto"/>
        </w:rPr>
        <w:tab/>
      </w:r>
      <w:r>
        <w:rPr>
          <w:rFonts w:ascii="Arial" w:cs="Arial" w:eastAsia="Arial" w:hAnsi="Arial"/>
          <w:sz w:val="19"/>
          <w:szCs w:val="19"/>
          <w:color w:val="auto"/>
        </w:rPr>
        <w:t>Four BESS facilities under construction in Utah, representing 320 MW of capacity, which</w:t>
      </w:r>
    </w:p>
    <w:p>
      <w:pPr>
        <w:ind w:left="2620"/>
        <w:spacing w:after="0" w:line="241" w:lineRule="auto"/>
        <w:rPr>
          <w:sz w:val="20"/>
          <w:szCs w:val="20"/>
          <w:color w:val="auto"/>
        </w:rPr>
      </w:pPr>
      <w:r>
        <w:rPr>
          <w:rFonts w:ascii="Arial" w:cs="Arial" w:eastAsia="Arial" w:hAnsi="Arial"/>
          <w:sz w:val="20"/>
          <w:szCs w:val="20"/>
          <w:color w:val="auto"/>
        </w:rPr>
        <w:t>includes Enterprise, Escalante I, Granite Mountain East and Iron Springs that are co-located with the respective solar facilities</w:t>
      </w:r>
    </w:p>
    <w:p>
      <w:pPr>
        <w:spacing w:after="0" w:line="43"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IRS</w:t>
      </w:r>
      <w:r>
        <w:rPr>
          <w:sz w:val="20"/>
          <w:szCs w:val="20"/>
          <w:color w:val="auto"/>
        </w:rPr>
        <w:tab/>
      </w:r>
      <w:r>
        <w:rPr>
          <w:rFonts w:ascii="Arial" w:cs="Arial" w:eastAsia="Arial" w:hAnsi="Arial"/>
          <w:sz w:val="20"/>
          <w:szCs w:val="20"/>
          <w:color w:val="auto"/>
        </w:rPr>
        <w:t>Internal Revenue Service</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ISO</w:t>
      </w:r>
      <w:r>
        <w:rPr>
          <w:sz w:val="20"/>
          <w:szCs w:val="20"/>
          <w:color w:val="auto"/>
        </w:rPr>
        <w:tab/>
      </w:r>
      <w:r>
        <w:rPr>
          <w:rFonts w:ascii="Arial" w:cs="Arial" w:eastAsia="Arial" w:hAnsi="Arial"/>
          <w:sz w:val="20"/>
          <w:szCs w:val="20"/>
          <w:color w:val="auto"/>
        </w:rPr>
        <w:t>Independent System Operator, also referred to as an RTO</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ITC</w:t>
      </w:r>
      <w:r>
        <w:rPr>
          <w:sz w:val="20"/>
          <w:szCs w:val="20"/>
          <w:color w:val="auto"/>
        </w:rPr>
        <w:tab/>
      </w:r>
      <w:r>
        <w:rPr>
          <w:rFonts w:ascii="Arial" w:cs="Arial" w:eastAsia="Arial" w:hAnsi="Arial"/>
          <w:sz w:val="20"/>
          <w:szCs w:val="20"/>
          <w:color w:val="auto"/>
        </w:rPr>
        <w:t>Investment Tax Credit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KKR</w:t>
      </w:r>
      <w:r>
        <w:rPr>
          <w:sz w:val="20"/>
          <w:szCs w:val="20"/>
          <w:color w:val="auto"/>
        </w:rPr>
        <w:tab/>
      </w:r>
      <w:r>
        <w:rPr>
          <w:rFonts w:ascii="Arial" w:cs="Arial" w:eastAsia="Arial" w:hAnsi="Arial"/>
          <w:sz w:val="20"/>
          <w:szCs w:val="20"/>
          <w:color w:val="auto"/>
        </w:rPr>
        <w:t>KKR Thor Bidco, LLC, an affiliate of Kohlberg Kravis Roberts &amp; Co. L.P.</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LIBOR</w:t>
      </w:r>
      <w:r>
        <w:rPr>
          <w:sz w:val="20"/>
          <w:szCs w:val="20"/>
          <w:color w:val="auto"/>
        </w:rPr>
        <w:tab/>
      </w:r>
      <w:r>
        <w:rPr>
          <w:rFonts w:ascii="Arial" w:cs="Arial" w:eastAsia="Arial" w:hAnsi="Arial"/>
          <w:sz w:val="20"/>
          <w:szCs w:val="20"/>
          <w:color w:val="auto"/>
        </w:rPr>
        <w:t>London Inter-Bank Offered Rate</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MBTA</w:t>
      </w:r>
      <w:r>
        <w:rPr>
          <w:sz w:val="20"/>
          <w:szCs w:val="20"/>
          <w:color w:val="auto"/>
        </w:rPr>
        <w:tab/>
      </w:r>
      <w:r>
        <w:rPr>
          <w:rFonts w:ascii="Arial" w:cs="Arial" w:eastAsia="Arial" w:hAnsi="Arial"/>
          <w:sz w:val="20"/>
          <w:szCs w:val="20"/>
          <w:color w:val="auto"/>
        </w:rPr>
        <w:t>Migratory Bird Treaty Act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Mesquite Star</w:t>
      </w:r>
      <w:r>
        <w:rPr>
          <w:sz w:val="20"/>
          <w:szCs w:val="20"/>
          <w:color w:val="auto"/>
        </w:rPr>
        <w:tab/>
      </w:r>
      <w:r>
        <w:rPr>
          <w:rFonts w:ascii="Arial" w:cs="Arial" w:eastAsia="Arial" w:hAnsi="Arial"/>
          <w:sz w:val="18"/>
          <w:szCs w:val="18"/>
          <w:color w:val="auto"/>
        </w:rPr>
        <w:t>Mesquite Star Special, LLC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MMBtu</w:t>
      </w:r>
      <w:r>
        <w:rPr>
          <w:sz w:val="20"/>
          <w:szCs w:val="20"/>
          <w:color w:val="auto"/>
        </w:rPr>
        <w:tab/>
      </w:r>
      <w:r>
        <w:rPr>
          <w:rFonts w:ascii="Arial" w:cs="Arial" w:eastAsia="Arial" w:hAnsi="Arial"/>
          <w:sz w:val="20"/>
          <w:szCs w:val="20"/>
          <w:color w:val="auto"/>
        </w:rPr>
        <w:t>Million British Thermal Units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Mt. Storm</w:t>
      </w:r>
      <w:r>
        <w:rPr>
          <w:sz w:val="20"/>
          <w:szCs w:val="20"/>
          <w:color w:val="auto"/>
        </w:rPr>
        <w:tab/>
      </w:r>
      <w:r>
        <w:rPr>
          <w:rFonts w:ascii="Arial" w:cs="Arial" w:eastAsia="Arial" w:hAnsi="Arial"/>
          <w:sz w:val="18"/>
          <w:szCs w:val="18"/>
          <w:color w:val="auto"/>
        </w:rPr>
        <w:t>NedPower Mount Storm LLC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MW</w:t>
      </w:r>
      <w:r>
        <w:rPr>
          <w:sz w:val="20"/>
          <w:szCs w:val="20"/>
          <w:color w:val="auto"/>
        </w:rPr>
        <w:tab/>
      </w:r>
      <w:r>
        <w:rPr>
          <w:rFonts w:ascii="Arial" w:cs="Arial" w:eastAsia="Arial" w:hAnsi="Arial"/>
          <w:sz w:val="20"/>
          <w:szCs w:val="20"/>
          <w:color w:val="auto"/>
        </w:rPr>
        <w:t>Megawatt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MWh</w:t>
      </w:r>
      <w:r>
        <w:rPr>
          <w:sz w:val="20"/>
          <w:szCs w:val="20"/>
          <w:color w:val="auto"/>
        </w:rPr>
        <w:tab/>
      </w:r>
      <w:r>
        <w:rPr>
          <w:rFonts w:ascii="Arial" w:cs="Arial" w:eastAsia="Arial" w:hAnsi="Arial"/>
          <w:sz w:val="20"/>
          <w:szCs w:val="20"/>
          <w:color w:val="auto"/>
        </w:rPr>
        <w:t>Saleable megawatt hours, net of internal/parasitic load megawatt-hours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MWt</w:t>
      </w:r>
      <w:r>
        <w:rPr>
          <w:sz w:val="20"/>
          <w:szCs w:val="20"/>
          <w:color w:val="auto"/>
        </w:rPr>
        <w:tab/>
      </w:r>
      <w:r>
        <w:rPr>
          <w:rFonts w:ascii="Arial" w:cs="Arial" w:eastAsia="Arial" w:hAnsi="Arial"/>
          <w:sz w:val="20"/>
          <w:szCs w:val="20"/>
          <w:color w:val="auto"/>
        </w:rPr>
        <w:t>Megawatts Thermal Equivalent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Natural Gas Holdco</w:t>
      </w:r>
      <w:r>
        <w:rPr>
          <w:sz w:val="20"/>
          <w:szCs w:val="20"/>
          <w:color w:val="auto"/>
        </w:rPr>
        <w:tab/>
      </w:r>
      <w:r>
        <w:rPr>
          <w:rFonts w:ascii="Arial" w:cs="Arial" w:eastAsia="Arial" w:hAnsi="Arial"/>
          <w:sz w:val="18"/>
          <w:szCs w:val="18"/>
          <w:color w:val="auto"/>
        </w:rPr>
        <w:t>Natural Gas CA Holdco LLC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NEPA</w:t>
      </w:r>
      <w:r>
        <w:rPr>
          <w:sz w:val="20"/>
          <w:szCs w:val="20"/>
          <w:color w:val="auto"/>
        </w:rPr>
        <w:tab/>
      </w:r>
      <w:r>
        <w:rPr>
          <w:rFonts w:ascii="Arial" w:cs="Arial" w:eastAsia="Arial" w:hAnsi="Arial"/>
          <w:sz w:val="20"/>
          <w:szCs w:val="20"/>
          <w:color w:val="auto"/>
        </w:rPr>
        <w:t>National Environmental Policy Act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NERC</w:t>
      </w:r>
      <w:r>
        <w:rPr>
          <w:sz w:val="20"/>
          <w:szCs w:val="20"/>
          <w:color w:val="auto"/>
        </w:rPr>
        <w:tab/>
      </w:r>
      <w:r>
        <w:rPr>
          <w:rFonts w:ascii="Arial" w:cs="Arial" w:eastAsia="Arial" w:hAnsi="Arial"/>
          <w:sz w:val="20"/>
          <w:szCs w:val="20"/>
          <w:color w:val="auto"/>
        </w:rPr>
        <w:t>North American Electric Reliability Corporation</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Net Exposure</w:t>
      </w:r>
      <w:r>
        <w:rPr>
          <w:sz w:val="20"/>
          <w:szCs w:val="20"/>
          <w:color w:val="auto"/>
        </w:rPr>
        <w:tab/>
      </w:r>
      <w:r>
        <w:rPr>
          <w:rFonts w:ascii="Arial" w:cs="Arial" w:eastAsia="Arial" w:hAnsi="Arial"/>
          <w:sz w:val="18"/>
          <w:szCs w:val="18"/>
          <w:color w:val="auto"/>
        </w:rPr>
        <w:t>Counterparty credit exposure to Clearway Energy, Inc. net of collateral</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NOLs</w:t>
      </w:r>
      <w:r>
        <w:rPr>
          <w:sz w:val="20"/>
          <w:szCs w:val="20"/>
          <w:color w:val="auto"/>
        </w:rPr>
        <w:tab/>
      </w:r>
      <w:r>
        <w:rPr>
          <w:rFonts w:ascii="Arial" w:cs="Arial" w:eastAsia="Arial" w:hAnsi="Arial"/>
          <w:sz w:val="20"/>
          <w:szCs w:val="20"/>
          <w:color w:val="auto"/>
        </w:rPr>
        <w:t>Net Operating Losses</w:t>
      </w:r>
    </w:p>
    <w:p>
      <w:pPr>
        <w:spacing w:after="0" w:line="31"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NO</w:t>
      </w:r>
      <w:r>
        <w:rPr>
          <w:rFonts w:ascii="Arial" w:cs="Arial" w:eastAsia="Arial" w:hAnsi="Arial"/>
          <w:sz w:val="26"/>
          <w:szCs w:val="26"/>
          <w:color w:val="auto"/>
          <w:vertAlign w:val="subscript"/>
        </w:rPr>
        <w:t>x</w:t>
      </w:r>
      <w:r>
        <w:rPr>
          <w:sz w:val="20"/>
          <w:szCs w:val="20"/>
          <w:color w:val="auto"/>
        </w:rPr>
        <w:tab/>
      </w:r>
      <w:r>
        <w:rPr>
          <w:rFonts w:ascii="Arial" w:cs="Arial" w:eastAsia="Arial" w:hAnsi="Arial"/>
          <w:sz w:val="18"/>
          <w:szCs w:val="18"/>
          <w:color w:val="auto"/>
        </w:rPr>
        <w:t>Nitrogen Oxides</w:t>
      </w:r>
    </w:p>
    <w:p>
      <w:pPr>
        <w:spacing w:after="0" w:line="4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NPNS</w:t>
      </w:r>
      <w:r>
        <w:rPr>
          <w:sz w:val="20"/>
          <w:szCs w:val="20"/>
          <w:color w:val="auto"/>
        </w:rPr>
        <w:tab/>
      </w:r>
      <w:r>
        <w:rPr>
          <w:rFonts w:ascii="Arial" w:cs="Arial" w:eastAsia="Arial" w:hAnsi="Arial"/>
          <w:sz w:val="20"/>
          <w:szCs w:val="20"/>
          <w:color w:val="auto"/>
        </w:rPr>
        <w:t>Normal Purchases and Normal Sales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NRG</w:t>
      </w:r>
      <w:r>
        <w:rPr>
          <w:sz w:val="20"/>
          <w:szCs w:val="20"/>
          <w:color w:val="auto"/>
        </w:rPr>
        <w:tab/>
      </w:r>
      <w:r>
        <w:rPr>
          <w:rFonts w:ascii="Arial" w:cs="Arial" w:eastAsia="Arial" w:hAnsi="Arial"/>
          <w:sz w:val="20"/>
          <w:szCs w:val="20"/>
          <w:color w:val="auto"/>
        </w:rPr>
        <w:t>NRG Energy, Inc.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OCI/OCL</w:t>
      </w:r>
      <w:r>
        <w:rPr>
          <w:sz w:val="20"/>
          <w:szCs w:val="20"/>
          <w:color w:val="auto"/>
        </w:rPr>
        <w:tab/>
      </w:r>
      <w:r>
        <w:rPr>
          <w:rFonts w:ascii="Arial" w:cs="Arial" w:eastAsia="Arial" w:hAnsi="Arial"/>
          <w:sz w:val="20"/>
          <w:szCs w:val="20"/>
          <w:color w:val="auto"/>
        </w:rPr>
        <w:t>Other comprehensive income/loss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O&amp;M</w:t>
      </w:r>
      <w:r>
        <w:rPr>
          <w:sz w:val="20"/>
          <w:szCs w:val="20"/>
          <w:color w:val="auto"/>
        </w:rPr>
        <w:tab/>
      </w:r>
      <w:r>
        <w:rPr>
          <w:rFonts w:ascii="Arial" w:cs="Arial" w:eastAsia="Arial" w:hAnsi="Arial"/>
          <w:sz w:val="20"/>
          <w:szCs w:val="20"/>
          <w:color w:val="auto"/>
        </w:rPr>
        <w:t>Operations and Maintenance</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PG&amp;E</w:t>
      </w:r>
      <w:r>
        <w:rPr>
          <w:sz w:val="20"/>
          <w:szCs w:val="20"/>
          <w:color w:val="auto"/>
        </w:rPr>
        <w:tab/>
      </w:r>
      <w:r>
        <w:rPr>
          <w:rFonts w:ascii="Arial" w:cs="Arial" w:eastAsia="Arial" w:hAnsi="Arial"/>
          <w:sz w:val="20"/>
          <w:szCs w:val="20"/>
          <w:color w:val="auto"/>
        </w:rPr>
        <w:t>Pacific Gas and Electric Company</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PJM</w:t>
      </w:r>
      <w:r>
        <w:rPr>
          <w:sz w:val="20"/>
          <w:szCs w:val="20"/>
          <w:color w:val="auto"/>
        </w:rPr>
        <w:tab/>
      </w:r>
      <w:r>
        <w:rPr>
          <w:rFonts w:ascii="Arial" w:cs="Arial" w:eastAsia="Arial" w:hAnsi="Arial"/>
          <w:sz w:val="20"/>
          <w:szCs w:val="20"/>
          <w:color w:val="auto"/>
        </w:rPr>
        <w:t>PJM Interconnection, LLC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PPA</w:t>
      </w:r>
      <w:r>
        <w:rPr>
          <w:sz w:val="20"/>
          <w:szCs w:val="20"/>
          <w:color w:val="auto"/>
        </w:rPr>
        <w:tab/>
      </w:r>
      <w:r>
        <w:rPr>
          <w:rFonts w:ascii="Arial" w:cs="Arial" w:eastAsia="Arial" w:hAnsi="Arial"/>
          <w:sz w:val="20"/>
          <w:szCs w:val="20"/>
          <w:color w:val="auto"/>
        </w:rPr>
        <w:t>Power Purchase Agreement</w:t>
      </w:r>
    </w:p>
    <w:p>
      <w:pPr>
        <w:sectPr>
          <w:pgSz w:w="11880" w:h="15480" w:orient="portrait"/>
          <w:cols w:equalWidth="0" w:num="1">
            <w:col w:w="10160"/>
          </w:cols>
          <w:pgMar w:left="860" w:top="442" w:right="86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880" w:h="15480" w:orient="portrait"/>
          <w:cols w:equalWidth="0" w:num="1">
            <w:col w:w="10160"/>
          </w:cols>
          <w:pgMar w:left="860" w:top="442" w:right="860" w:bottom="0" w:gutter="0" w:footer="0" w:header="0"/>
          <w:type w:val="continuous"/>
        </w:sectPr>
      </w:pPr>
    </w:p>
    <w:bookmarkStart w:id="6" w:name="page7"/>
    <w:bookmarkEnd w:id="6"/>
    <w:p>
      <w:pPr>
        <w:spacing w:after="0"/>
        <w:tabs>
          <w:tab w:leader="none" w:pos="2600" w:val="left"/>
        </w:tabs>
        <w:rPr>
          <w:sz w:val="20"/>
          <w:szCs w:val="20"/>
          <w:color w:val="auto"/>
        </w:rPr>
      </w:pPr>
      <w:r>
        <w:rPr>
          <w:rFonts w:ascii="Arial" w:cs="Arial" w:eastAsia="Arial" w:hAnsi="Arial"/>
          <w:sz w:val="20"/>
          <w:szCs w:val="20"/>
          <w:color w:val="auto"/>
        </w:rPr>
        <w:t>PTC</w:t>
      </w:r>
      <w:r>
        <w:rPr>
          <w:sz w:val="20"/>
          <w:szCs w:val="20"/>
          <w:color w:val="auto"/>
        </w:rPr>
        <w:tab/>
      </w:r>
      <w:r>
        <w:rPr>
          <w:rFonts w:ascii="Arial" w:cs="Arial" w:eastAsia="Arial" w:hAnsi="Arial"/>
          <w:sz w:val="20"/>
          <w:szCs w:val="20"/>
          <w:color w:val="auto"/>
        </w:rPr>
        <w:t>Production Tax Credit</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PUCT</w:t>
      </w:r>
      <w:r>
        <w:rPr>
          <w:sz w:val="20"/>
          <w:szCs w:val="20"/>
          <w:color w:val="auto"/>
        </w:rPr>
        <w:tab/>
      </w:r>
      <w:r>
        <w:rPr>
          <w:rFonts w:ascii="Arial" w:cs="Arial" w:eastAsia="Arial" w:hAnsi="Arial"/>
          <w:sz w:val="20"/>
          <w:szCs w:val="20"/>
          <w:color w:val="auto"/>
        </w:rPr>
        <w:t>Public Utility Commission of Texas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PUHCA</w:t>
      </w:r>
      <w:r>
        <w:rPr>
          <w:sz w:val="20"/>
          <w:szCs w:val="20"/>
          <w:color w:val="auto"/>
        </w:rPr>
        <w:tab/>
      </w:r>
      <w:r>
        <w:rPr>
          <w:rFonts w:ascii="Arial" w:cs="Arial" w:eastAsia="Arial" w:hAnsi="Arial"/>
          <w:sz w:val="20"/>
          <w:szCs w:val="20"/>
          <w:color w:val="auto"/>
        </w:rPr>
        <w:t>Public Utility Holding Company Act of 2005</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PURPA</w:t>
      </w:r>
      <w:r>
        <w:rPr>
          <w:sz w:val="20"/>
          <w:szCs w:val="20"/>
          <w:color w:val="auto"/>
        </w:rPr>
        <w:tab/>
      </w:r>
      <w:r>
        <w:rPr>
          <w:rFonts w:ascii="Arial" w:cs="Arial" w:eastAsia="Arial" w:hAnsi="Arial"/>
          <w:sz w:val="20"/>
          <w:szCs w:val="20"/>
          <w:color w:val="auto"/>
        </w:rPr>
        <w:t>Public Utility Regulatory Policies Act of 1978</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QF</w:t>
      </w:r>
      <w:r>
        <w:rPr>
          <w:sz w:val="20"/>
          <w:szCs w:val="20"/>
          <w:color w:val="auto"/>
        </w:rPr>
        <w:tab/>
      </w:r>
      <w:r>
        <w:rPr>
          <w:rFonts w:ascii="Arial" w:cs="Arial" w:eastAsia="Arial" w:hAnsi="Arial"/>
          <w:sz w:val="20"/>
          <w:szCs w:val="20"/>
          <w:color w:val="auto"/>
        </w:rPr>
        <w:t>Qualifying Facility under PURPA</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RA</w:t>
      </w:r>
      <w:r>
        <w:rPr>
          <w:sz w:val="20"/>
          <w:szCs w:val="20"/>
          <w:color w:val="auto"/>
        </w:rPr>
        <w:tab/>
      </w:r>
      <w:r>
        <w:rPr>
          <w:rFonts w:ascii="Arial" w:cs="Arial" w:eastAsia="Arial" w:hAnsi="Arial"/>
          <w:sz w:val="20"/>
          <w:szCs w:val="20"/>
          <w:color w:val="auto"/>
        </w:rPr>
        <w:t>Resource adequacy</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19"/>
          <w:szCs w:val="19"/>
          <w:color w:val="auto"/>
        </w:rPr>
        <w:t>RENOM</w:t>
      </w:r>
      <w:r>
        <w:rPr>
          <w:sz w:val="20"/>
          <w:szCs w:val="20"/>
          <w:color w:val="auto"/>
        </w:rPr>
        <w:tab/>
      </w:r>
      <w:r>
        <w:rPr>
          <w:rFonts w:ascii="Arial" w:cs="Arial" w:eastAsia="Arial" w:hAnsi="Arial"/>
          <w:sz w:val="19"/>
          <w:szCs w:val="19"/>
          <w:color w:val="auto"/>
        </w:rPr>
        <w:t>Clearway Renewable Operation &amp; Maintenance LLC, a wholly-owned subsidiary of CEG</w:t>
      </w:r>
    </w:p>
    <w:p>
      <w:pPr>
        <w:spacing w:after="0" w:line="82"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Rosie Central BESS</w:t>
      </w:r>
      <w:r>
        <w:rPr>
          <w:sz w:val="20"/>
          <w:szCs w:val="20"/>
          <w:color w:val="auto"/>
        </w:rPr>
        <w:tab/>
      </w:r>
      <w:r>
        <w:rPr>
          <w:rFonts w:ascii="Arial" w:cs="Arial" w:eastAsia="Arial" w:hAnsi="Arial"/>
          <w:sz w:val="18"/>
          <w:szCs w:val="18"/>
          <w:color w:val="auto"/>
        </w:rPr>
        <w:t>Rosie BESS Devco LLC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RPS</w:t>
      </w:r>
      <w:r>
        <w:rPr>
          <w:sz w:val="20"/>
          <w:szCs w:val="20"/>
          <w:color w:val="auto"/>
        </w:rPr>
        <w:tab/>
      </w:r>
      <w:r>
        <w:rPr>
          <w:rFonts w:ascii="Arial" w:cs="Arial" w:eastAsia="Arial" w:hAnsi="Arial"/>
          <w:sz w:val="20"/>
          <w:szCs w:val="20"/>
          <w:color w:val="auto"/>
        </w:rPr>
        <w:t>Renewable Portfolio Standards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RTO</w:t>
      </w:r>
      <w:r>
        <w:rPr>
          <w:sz w:val="20"/>
          <w:szCs w:val="20"/>
          <w:color w:val="auto"/>
        </w:rPr>
        <w:tab/>
      </w:r>
      <w:r>
        <w:rPr>
          <w:rFonts w:ascii="Arial" w:cs="Arial" w:eastAsia="Arial" w:hAnsi="Arial"/>
          <w:sz w:val="20"/>
          <w:szCs w:val="20"/>
          <w:color w:val="auto"/>
        </w:rPr>
        <w:t>Regional Transmission Organization</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SCE</w:t>
      </w:r>
      <w:r>
        <w:rPr>
          <w:sz w:val="20"/>
          <w:szCs w:val="20"/>
          <w:color w:val="auto"/>
        </w:rPr>
        <w:tab/>
      </w:r>
      <w:r>
        <w:rPr>
          <w:rFonts w:ascii="Arial" w:cs="Arial" w:eastAsia="Arial" w:hAnsi="Arial"/>
          <w:sz w:val="20"/>
          <w:szCs w:val="20"/>
          <w:color w:val="auto"/>
        </w:rPr>
        <w:t>Southern California Edison</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SDG&amp;E</w:t>
      </w:r>
      <w:r>
        <w:rPr>
          <w:sz w:val="20"/>
          <w:szCs w:val="20"/>
          <w:color w:val="auto"/>
        </w:rPr>
        <w:tab/>
      </w:r>
      <w:r>
        <w:rPr>
          <w:rFonts w:ascii="Arial" w:cs="Arial" w:eastAsia="Arial" w:hAnsi="Arial"/>
          <w:sz w:val="20"/>
          <w:szCs w:val="20"/>
          <w:color w:val="auto"/>
        </w:rPr>
        <w:t>San Diego Gas &amp; Electric</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SEC</w:t>
      </w:r>
      <w:r>
        <w:rPr>
          <w:sz w:val="20"/>
          <w:szCs w:val="20"/>
          <w:color w:val="auto"/>
        </w:rPr>
        <w:tab/>
      </w:r>
      <w:r>
        <w:rPr>
          <w:rFonts w:ascii="Arial" w:cs="Arial" w:eastAsia="Arial" w:hAnsi="Arial"/>
          <w:sz w:val="20"/>
          <w:szCs w:val="20"/>
          <w:color w:val="auto"/>
        </w:rPr>
        <w:t>U.S. Securities and Exchange Commission</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Senior Notes</w:t>
      </w:r>
      <w:r>
        <w:rPr>
          <w:sz w:val="20"/>
          <w:szCs w:val="20"/>
          <w:color w:val="auto"/>
        </w:rPr>
        <w:tab/>
      </w:r>
      <w:r>
        <w:rPr>
          <w:rFonts w:ascii="Arial" w:cs="Arial" w:eastAsia="Arial" w:hAnsi="Arial"/>
          <w:sz w:val="18"/>
          <w:szCs w:val="18"/>
          <w:color w:val="auto"/>
        </w:rPr>
        <w:t>Collectively, the 2028 Senior Notes, the 2031 Senior Notes and the 2032 Senior Notes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SO</w:t>
      </w:r>
      <w:r>
        <w:rPr>
          <w:rFonts w:ascii="Arial" w:cs="Arial" w:eastAsia="Arial" w:hAnsi="Arial"/>
          <w:sz w:val="13"/>
          <w:szCs w:val="13"/>
          <w:color w:val="auto"/>
        </w:rPr>
        <w:t>2</w:t>
      </w:r>
      <w:r>
        <w:rPr>
          <w:sz w:val="20"/>
          <w:szCs w:val="20"/>
          <w:color w:val="auto"/>
        </w:rPr>
        <w:tab/>
      </w:r>
      <w:r>
        <w:rPr>
          <w:rFonts w:ascii="Arial" w:cs="Arial" w:eastAsia="Arial" w:hAnsi="Arial"/>
          <w:sz w:val="19"/>
          <w:szCs w:val="19"/>
          <w:color w:val="auto"/>
        </w:rPr>
        <w:t>Sulfur Dioxide</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SOFR</w:t>
      </w:r>
      <w:r>
        <w:rPr>
          <w:sz w:val="20"/>
          <w:szCs w:val="20"/>
          <w:color w:val="auto"/>
        </w:rPr>
        <w:tab/>
      </w:r>
      <w:r>
        <w:rPr>
          <w:rFonts w:ascii="Arial" w:cs="Arial" w:eastAsia="Arial" w:hAnsi="Arial"/>
          <w:sz w:val="20"/>
          <w:szCs w:val="20"/>
          <w:color w:val="auto"/>
        </w:rPr>
        <w:t>Secured Overnight Financing Rate</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SPP</w:t>
      </w:r>
      <w:r>
        <w:rPr>
          <w:sz w:val="20"/>
          <w:szCs w:val="20"/>
          <w:color w:val="auto"/>
        </w:rPr>
        <w:tab/>
      </w:r>
      <w:r>
        <w:rPr>
          <w:rFonts w:ascii="Arial" w:cs="Arial" w:eastAsia="Arial" w:hAnsi="Arial"/>
          <w:sz w:val="20"/>
          <w:szCs w:val="20"/>
          <w:color w:val="auto"/>
        </w:rPr>
        <w:t>Solar Power Partners</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SREC</w:t>
      </w:r>
      <w:r>
        <w:rPr>
          <w:sz w:val="20"/>
          <w:szCs w:val="20"/>
          <w:color w:val="auto"/>
        </w:rPr>
        <w:tab/>
      </w:r>
      <w:r>
        <w:rPr>
          <w:rFonts w:ascii="Arial" w:cs="Arial" w:eastAsia="Arial" w:hAnsi="Arial"/>
          <w:sz w:val="20"/>
          <w:szCs w:val="20"/>
          <w:color w:val="auto"/>
        </w:rPr>
        <w:t>Solar Renewable Energy Credit</w:t>
      </w:r>
    </w:p>
    <w:p>
      <w:pPr>
        <w:spacing w:after="0" w:line="4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Thermal Business</w:t>
      </w:r>
      <w:r>
        <w:rPr>
          <w:sz w:val="20"/>
          <w:szCs w:val="20"/>
          <w:color w:val="auto"/>
        </w:rPr>
        <w:tab/>
      </w:r>
      <w:r>
        <w:rPr>
          <w:rFonts w:ascii="Arial" w:cs="Arial" w:eastAsia="Arial" w:hAnsi="Arial"/>
          <w:sz w:val="19"/>
          <w:szCs w:val="19"/>
          <w:color w:val="auto"/>
        </w:rPr>
        <w:t>The Company’s thermal business, which consisted of thermal infrastructure assets that</w:t>
      </w:r>
    </w:p>
    <w:p>
      <w:pPr>
        <w:ind w:left="2620"/>
        <w:spacing w:after="0" w:line="241" w:lineRule="auto"/>
        <w:rPr>
          <w:sz w:val="20"/>
          <w:szCs w:val="20"/>
          <w:color w:val="auto"/>
        </w:rPr>
      </w:pPr>
      <w:r>
        <w:rPr>
          <w:rFonts w:ascii="Arial" w:cs="Arial" w:eastAsia="Arial" w:hAnsi="Arial"/>
          <w:sz w:val="20"/>
          <w:szCs w:val="20"/>
          <w:color w:val="auto"/>
        </w:rPr>
        <w:t>provided steam, hot water and/or chilled water, and in some instances electricity, to commercial businesses, universities, hospitals and governmental units</w:t>
      </w:r>
    </w:p>
    <w:p>
      <w:pPr>
        <w:spacing w:after="0" w:line="13"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Thermal Disposition</w:t>
      </w:r>
      <w:r>
        <w:rPr>
          <w:sz w:val="20"/>
          <w:szCs w:val="20"/>
          <w:color w:val="auto"/>
        </w:rPr>
        <w:tab/>
      </w:r>
      <w:r>
        <w:rPr>
          <w:rFonts w:ascii="Arial" w:cs="Arial" w:eastAsia="Arial" w:hAnsi="Arial"/>
          <w:sz w:val="19"/>
          <w:szCs w:val="19"/>
          <w:color w:val="auto"/>
        </w:rPr>
        <w:t>The Company’s sale of 100% of its interests in the Thermal Business to KKR, which was</w:t>
      </w:r>
    </w:p>
    <w:p>
      <w:pPr>
        <w:ind w:left="2620"/>
        <w:spacing w:after="0"/>
        <w:rPr>
          <w:sz w:val="20"/>
          <w:szCs w:val="20"/>
          <w:color w:val="auto"/>
        </w:rPr>
      </w:pPr>
      <w:r>
        <w:rPr>
          <w:rFonts w:ascii="Arial" w:cs="Arial" w:eastAsia="Arial" w:hAnsi="Arial"/>
          <w:sz w:val="20"/>
          <w:szCs w:val="20"/>
          <w:color w:val="auto"/>
        </w:rPr>
        <w:t>completed on May 1, 2022</w:t>
      </w:r>
    </w:p>
    <w:p>
      <w:pPr>
        <w:spacing w:after="0" w:line="65"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TotalEnergies</w:t>
      </w:r>
      <w:r>
        <w:rPr>
          <w:sz w:val="20"/>
          <w:szCs w:val="20"/>
          <w:color w:val="auto"/>
        </w:rPr>
        <w:tab/>
      </w:r>
      <w:r>
        <w:rPr>
          <w:rFonts w:ascii="Arial" w:cs="Arial" w:eastAsia="Arial" w:hAnsi="Arial"/>
          <w:sz w:val="20"/>
          <w:szCs w:val="20"/>
          <w:color w:val="auto"/>
        </w:rPr>
        <w:t>TotalEnergies SE, a global multi-energy company</w:t>
      </w:r>
    </w:p>
    <w:p>
      <w:pPr>
        <w:spacing w:after="0" w:line="7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U.S.</w:t>
      </w:r>
      <w:r>
        <w:rPr>
          <w:sz w:val="20"/>
          <w:szCs w:val="20"/>
          <w:color w:val="auto"/>
        </w:rPr>
        <w:tab/>
      </w:r>
      <w:r>
        <w:rPr>
          <w:rFonts w:ascii="Arial" w:cs="Arial" w:eastAsia="Arial" w:hAnsi="Arial"/>
          <w:sz w:val="20"/>
          <w:szCs w:val="20"/>
          <w:color w:val="auto"/>
        </w:rPr>
        <w:t>United States of America</w:t>
      </w:r>
    </w:p>
    <w:p>
      <w:pPr>
        <w:spacing w:after="0" w:line="52"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Utah Solar Portfolio</w:t>
      </w:r>
      <w:r>
        <w:rPr>
          <w:sz w:val="20"/>
          <w:szCs w:val="20"/>
          <w:color w:val="auto"/>
        </w:rPr>
        <w:tab/>
      </w:r>
      <w:r>
        <w:rPr>
          <w:rFonts w:ascii="Arial" w:cs="Arial" w:eastAsia="Arial" w:hAnsi="Arial"/>
          <w:sz w:val="19"/>
          <w:szCs w:val="19"/>
          <w:color w:val="auto"/>
        </w:rPr>
        <w:t>Seven utility-scale solar farms located in Utah, representing 530 MW of capacity, which</w:t>
      </w:r>
    </w:p>
    <w:p>
      <w:pPr>
        <w:ind w:left="2620"/>
        <w:spacing w:after="0" w:line="241" w:lineRule="auto"/>
        <w:rPr>
          <w:sz w:val="20"/>
          <w:szCs w:val="20"/>
          <w:color w:val="auto"/>
        </w:rPr>
      </w:pPr>
      <w:r>
        <w:rPr>
          <w:rFonts w:ascii="Arial" w:cs="Arial" w:eastAsia="Arial" w:hAnsi="Arial"/>
          <w:sz w:val="20"/>
          <w:szCs w:val="20"/>
          <w:color w:val="auto"/>
        </w:rPr>
        <w:t>includes Enterprise, Escalante I, Escalante II, Escalante III, Granite Mountain East, Granite Mountain West and Iron Springs</w:t>
      </w:r>
    </w:p>
    <w:p>
      <w:pPr>
        <w:spacing w:after="0" w:line="6"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Utility Scale Solar</w:t>
      </w:r>
      <w:r>
        <w:rPr>
          <w:sz w:val="20"/>
          <w:szCs w:val="20"/>
          <w:color w:val="auto"/>
        </w:rPr>
        <w:tab/>
      </w:r>
      <w:r>
        <w:rPr>
          <w:rFonts w:ascii="Arial" w:cs="Arial" w:eastAsia="Arial" w:hAnsi="Arial"/>
          <w:sz w:val="19"/>
          <w:szCs w:val="19"/>
          <w:color w:val="auto"/>
        </w:rPr>
        <w:t>Solar power facilities, typically 20 MW or greater in size (on an alternating current, or AC,</w:t>
      </w:r>
    </w:p>
    <w:p>
      <w:pPr>
        <w:ind w:left="2620"/>
        <w:spacing w:after="0" w:line="241" w:lineRule="auto"/>
        <w:rPr>
          <w:sz w:val="20"/>
          <w:szCs w:val="20"/>
          <w:color w:val="auto"/>
        </w:rPr>
      </w:pPr>
      <w:r>
        <w:rPr>
          <w:rFonts w:ascii="Arial" w:cs="Arial" w:eastAsia="Arial" w:hAnsi="Arial"/>
          <w:sz w:val="20"/>
          <w:szCs w:val="20"/>
          <w:color w:val="auto"/>
        </w:rPr>
        <w:t>basis), that are interconnected into the transmission or distribution grid to sell power at a wholesale level</w:t>
      </w:r>
    </w:p>
    <w:p>
      <w:pPr>
        <w:spacing w:after="0" w:line="25"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VIE</w:t>
      </w:r>
      <w:r>
        <w:rPr>
          <w:sz w:val="20"/>
          <w:szCs w:val="20"/>
          <w:color w:val="auto"/>
        </w:rPr>
        <w:tab/>
      </w:r>
      <w:r>
        <w:rPr>
          <w:rFonts w:ascii="Arial" w:cs="Arial" w:eastAsia="Arial" w:hAnsi="Arial"/>
          <w:sz w:val="20"/>
          <w:szCs w:val="20"/>
          <w:color w:val="auto"/>
        </w:rPr>
        <w:t>Variable Interest Entity</w:t>
      </w:r>
    </w:p>
    <w:p>
      <w:pPr>
        <w:sectPr>
          <w:pgSz w:w="11880" w:h="15480" w:orient="portrait"/>
          <w:cols w:equalWidth="0" w:num="1">
            <w:col w:w="10160"/>
          </w:cols>
          <w:pgMar w:left="860" w:top="4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880" w:h="15480" w:orient="portrait"/>
          <w:cols w:equalWidth="0" w:num="1">
            <w:col w:w="10160"/>
          </w:cols>
          <w:pgMar w:left="860" w:top="442" w:right="860" w:bottom="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 Business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97"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was formed as a Delaware corporation on December 20, 2012.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14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In 2024, 96% of the Company’s total generation was attributable to renewable energy and storage assets.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 The weighted average remaining contract duration of the Company’s Renewables segment offtake agreements was approximately 12 years as of December 31, 2024 based on CAFD. A complete listing of the Company’s interests in operating facilities as of December 31, 2024 can be found in Item 2 —</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w:t>
      </w:r>
    </w:p>
    <w:p>
      <w:pPr>
        <w:spacing w:after="0" w:line="193" w:lineRule="exact"/>
        <w:rPr>
          <w:sz w:val="20"/>
          <w:szCs w:val="20"/>
          <w:color w:val="auto"/>
        </w:rPr>
      </w:pPr>
    </w:p>
    <w:p>
      <w:pPr>
        <w:jc w:val="both"/>
        <w:ind w:right="20" w:firstLine="450"/>
        <w:spacing w:after="0" w:line="269" w:lineRule="auto"/>
        <w:rPr>
          <w:sz w:val="20"/>
          <w:szCs w:val="20"/>
          <w:color w:val="auto"/>
        </w:rPr>
      </w:pPr>
      <w:r>
        <w:rPr>
          <w:rFonts w:ascii="Arial" w:cs="Arial" w:eastAsia="Arial" w:hAnsi="Arial"/>
          <w:sz w:val="19"/>
          <w:szCs w:val="19"/>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As a result of its current ownership of the Class B common stock and Class D common stock of the Company, CEG controls the Company. From time to time, CEG may also hold shares of the Company’s Class A and/or Class C common stock.</w:t>
      </w:r>
    </w:p>
    <w:p>
      <w:pPr>
        <w:spacing w:after="0" w:line="136"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As of December 31, 2024, the Company owned 58.10% of the economic interests of Clearway Energy LLC, with CEG owning 41.90% of the economic interests of Clearway Energy LLC.</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880" w:h="15480" w:orient="portrait"/>
          <w:cols w:equalWidth="0" w:num="1">
            <w:col w:w="10260"/>
          </w:cols>
          <w:pgMar w:left="820" w:top="360" w:right="800" w:bottom="0" w:gutter="0" w:footer="0" w:header="0"/>
          <w:type w:val="continuous"/>
        </w:sectPr>
      </w:pPr>
    </w:p>
    <w:bookmarkStart w:id="8" w:name="page9"/>
    <w:bookmarkEnd w:id="8"/>
    <w:p>
      <w:pPr>
        <w:ind w:left="440"/>
        <w:spacing w:after="0"/>
        <w:rPr>
          <w:sz w:val="20"/>
          <w:szCs w:val="20"/>
          <w:color w:val="auto"/>
        </w:rPr>
      </w:pPr>
      <w:r>
        <w:rPr>
          <w:rFonts w:ascii="Arial" w:cs="Arial" w:eastAsia="Arial" w:hAnsi="Arial"/>
          <w:sz w:val="20"/>
          <w:szCs w:val="20"/>
          <w:color w:val="auto"/>
        </w:rPr>
        <w:t>The diagram below represents a summarized structure of the Company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6515100" cy="4864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486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97" w:lineRule="exact"/>
        <w:rPr>
          <w:sz w:val="20"/>
          <w:szCs w:val="20"/>
          <w:color w:val="auto"/>
        </w:rPr>
      </w:pPr>
    </w:p>
    <w:p>
      <w:pPr>
        <w:jc w:val="both"/>
        <w:ind w:right="20" w:firstLine="450"/>
        <w:spacing w:after="0" w:line="309" w:lineRule="auto"/>
        <w:rPr>
          <w:sz w:val="20"/>
          <w:szCs w:val="20"/>
          <w:color w:val="auto"/>
        </w:rPr>
      </w:pPr>
      <w:r>
        <w:rPr>
          <w:rFonts w:ascii="Arial" w:cs="Arial" w:eastAsia="Arial" w:hAnsi="Arial"/>
          <w:sz w:val="18"/>
          <w:szCs w:val="18"/>
          <w:color w:val="auto"/>
        </w:rPr>
        <w:t>The Company’s primary business strategy is to focus on the ownership of assets and growth through investments in or acquisitions of assets with predictable, long-term cash flows in order that it may be able to continue to grow and expand the business as well as to increase the dividends paid to holders of the Company’s Class A and Class C common stock over time.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plan for executing its business strategy includes the following key components:</w:t>
      </w:r>
    </w:p>
    <w:p>
      <w:pPr>
        <w:spacing w:after="0" w:line="185"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9"/>
          <w:szCs w:val="19"/>
          <w:b w:val="1"/>
          <w:bCs w:val="1"/>
          <w:i w:val="1"/>
          <w:iCs w:val="1"/>
          <w:color w:val="auto"/>
        </w:rPr>
        <w:t xml:space="preserve">Focus on contracted renewable energy and dispatchable combustion-based generation. </w:t>
      </w:r>
      <w:r>
        <w:rPr>
          <w:rFonts w:ascii="Arial" w:cs="Arial" w:eastAsia="Arial" w:hAnsi="Arial"/>
          <w:sz w:val="19"/>
          <w:szCs w:val="19"/>
          <w:color w:val="auto"/>
        </w:rPr>
        <w:t>The Company owns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operates utility scale and distributed renewable energy assets, as well as BESS, and dispatchable combustion-based power generation assets included in the Flexible Generation segment that provide critical grid reliability services. The assets are operated with proven technologies and have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880" w:h="15480" w:orient="portrait"/>
          <w:cols w:equalWidth="0" w:num="1">
            <w:col w:w="10260"/>
          </w:cols>
          <w:pgMar w:left="820" w:top="367" w:right="800" w:bottom="0" w:gutter="0" w:footer="0" w:header="0"/>
          <w:type w:val="continuous"/>
        </w:sectPr>
      </w:pPr>
    </w:p>
    <w:bookmarkStart w:id="9" w:name="page10"/>
    <w:bookmarkEnd w:id="9"/>
    <w:p>
      <w:pPr>
        <w:jc w:val="both"/>
        <w:ind w:firstLine="450"/>
        <w:spacing w:after="0" w:line="286" w:lineRule="auto"/>
        <w:rPr>
          <w:sz w:val="20"/>
          <w:szCs w:val="20"/>
          <w:color w:val="auto"/>
        </w:rPr>
      </w:pPr>
      <w:r>
        <w:rPr>
          <w:rFonts w:ascii="Arial" w:cs="Arial" w:eastAsia="Arial" w:hAnsi="Arial"/>
          <w:sz w:val="18"/>
          <w:szCs w:val="18"/>
          <w:b w:val="1"/>
          <w:bCs w:val="1"/>
          <w:i w:val="1"/>
          <w:iCs w:val="1"/>
          <w:color w:val="auto"/>
        </w:rPr>
        <w:t xml:space="preserve">Growing the business through investments in operating power generation assets. </w:t>
      </w:r>
      <w:r>
        <w:rPr>
          <w:rFonts w:ascii="Arial" w:cs="Arial" w:eastAsia="Arial" w:hAnsi="Arial"/>
          <w:sz w:val="18"/>
          <w:szCs w:val="18"/>
          <w:color w:val="auto"/>
        </w:rPr>
        <w:t>The Company believes that its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provides a platform for strategic growth through cash accretive and tax advantaged investments and acquisitions complementary to its existing portfolio and investment in organic cash flow expansion of its own fleet. In addition, the Company may invest in or acquire generation facilities from third parties where the Company believes its knowledge of the market and operating expertise provides it with a competitive advantage, as well as consummate future investments in, or acquisitions of, assets developed by CEG. The Company believes that CEG’s development expertise provides the Company access to a development platform with an extensive pipeline of potential renewable energy and BESS facilities that are aligned to support the Company’s growth. The Company and CEG work collaboratively in considering new assets to be invested in or acquired by the Company. The assets listed below represent the Company’s currently committed investments in facilities: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Asset</w:t>
            </w:r>
          </w:p>
        </w:tc>
        <w:tc>
          <w:tcPr>
            <w:tcW w:w="60" w:type="dxa"/>
            <w:vAlign w:val="bottom"/>
            <w:tcBorders>
              <w:bottom w:val="single" w:sz="8" w:color="E6E6E6"/>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Technology</w:t>
            </w:r>
          </w:p>
        </w:tc>
        <w:tc>
          <w:tcPr>
            <w:tcW w:w="60" w:type="dxa"/>
            <w:vAlign w:val="bottom"/>
            <w:tcBorders>
              <w:bottom w:val="single" w:sz="8" w:color="E6E6E6"/>
            </w:tcBorders>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Gross Capacity (MW)</w:t>
            </w:r>
          </w:p>
        </w:tc>
        <w:tc>
          <w:tcPr>
            <w:tcW w:w="8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State</w:t>
            </w:r>
          </w:p>
        </w:tc>
        <w:tc>
          <w:tcPr>
            <w:tcW w:w="80" w:type="dxa"/>
            <w:vAlign w:val="bottom"/>
            <w:tcBorders>
              <w:bottom w:val="single" w:sz="8" w:color="E6E6E6"/>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Estimated COD</w:t>
            </w:r>
          </w:p>
        </w:tc>
      </w:tr>
      <w:tr>
        <w:trPr>
          <w:trHeight w:val="275"/>
        </w:trPr>
        <w:tc>
          <w:tcPr>
            <w:tcW w:w="3780" w:type="dxa"/>
            <w:vAlign w:val="bottom"/>
            <w:shd w:val="clear" w:color="auto" w:fill="E6E6E6"/>
          </w:tcPr>
          <w:p>
            <w:pPr>
              <w:ind w:left="40"/>
              <w:spacing w:after="0"/>
              <w:rPr>
                <w:sz w:val="20"/>
                <w:szCs w:val="20"/>
                <w:color w:val="auto"/>
              </w:rPr>
            </w:pPr>
            <w:r>
              <w:rPr>
                <w:rFonts w:ascii="Arial" w:cs="Arial" w:eastAsia="Arial" w:hAnsi="Arial"/>
                <w:sz w:val="20"/>
                <w:szCs w:val="20"/>
                <w:color w:val="auto"/>
              </w:rPr>
              <w:t>Daggett 1</w:t>
            </w:r>
          </w:p>
        </w:tc>
        <w:tc>
          <w:tcPr>
            <w:tcW w:w="60" w:type="dxa"/>
            <w:vAlign w:val="bottom"/>
            <w:shd w:val="clear" w:color="auto" w:fill="E6E6E6"/>
          </w:tcPr>
          <w:p>
            <w:pPr>
              <w:spacing w:after="0"/>
              <w:rPr>
                <w:sz w:val="23"/>
                <w:szCs w:val="23"/>
                <w:color w:val="auto"/>
              </w:rPr>
            </w:pPr>
          </w:p>
        </w:tc>
        <w:tc>
          <w:tcPr>
            <w:tcW w:w="16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BESS</w:t>
            </w:r>
          </w:p>
        </w:tc>
        <w:tc>
          <w:tcPr>
            <w:tcW w:w="2060" w:type="dxa"/>
            <w:vAlign w:val="bottom"/>
            <w:gridSpan w:val="2"/>
            <w:shd w:val="clear" w:color="auto" w:fill="E6E6E6"/>
          </w:tcPr>
          <w:p>
            <w:pPr>
              <w:jc w:val="center"/>
              <w:ind w:left="20"/>
              <w:spacing w:after="0"/>
              <w:rPr>
                <w:sz w:val="20"/>
                <w:szCs w:val="20"/>
                <w:color w:val="auto"/>
              </w:rPr>
            </w:pPr>
            <w:r>
              <w:rPr>
                <w:rFonts w:ascii="Arial" w:cs="Arial" w:eastAsia="Arial" w:hAnsi="Arial"/>
                <w:sz w:val="20"/>
                <w:szCs w:val="20"/>
                <w:color w:val="auto"/>
                <w:w w:val="89"/>
              </w:rPr>
              <w:t>114</w:t>
            </w: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jc w:val="center"/>
              <w:spacing w:after="0"/>
              <w:rPr>
                <w:sz w:val="20"/>
                <w:szCs w:val="20"/>
                <w:color w:val="auto"/>
              </w:rPr>
            </w:pPr>
            <w:r>
              <w:rPr>
                <w:rFonts w:ascii="Arial" w:cs="Arial" w:eastAsia="Arial" w:hAnsi="Arial"/>
                <w:sz w:val="20"/>
                <w:szCs w:val="20"/>
                <w:color w:val="auto"/>
              </w:rPr>
              <w:t>CA</w:t>
            </w:r>
          </w:p>
        </w:tc>
        <w:tc>
          <w:tcPr>
            <w:tcW w:w="80" w:type="dxa"/>
            <w:vAlign w:val="bottom"/>
            <w:shd w:val="clear" w:color="auto" w:fill="E6E6E6"/>
          </w:tcPr>
          <w:p>
            <w:pPr>
              <w:spacing w:after="0"/>
              <w:rPr>
                <w:sz w:val="23"/>
                <w:szCs w:val="23"/>
                <w:color w:val="auto"/>
              </w:rPr>
            </w:pPr>
          </w:p>
        </w:tc>
        <w:tc>
          <w:tcPr>
            <w:tcW w:w="15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6"/>
              </w:rPr>
              <w:t>1H25</w:t>
            </w:r>
          </w:p>
        </w:tc>
      </w:tr>
      <w:tr>
        <w:trPr>
          <w:trHeight w:val="279"/>
        </w:trPr>
        <w:tc>
          <w:tcPr>
            <w:tcW w:w="3780" w:type="dxa"/>
            <w:vAlign w:val="bottom"/>
          </w:tcPr>
          <w:p>
            <w:pPr>
              <w:ind w:left="40"/>
              <w:spacing w:after="0"/>
              <w:rPr>
                <w:sz w:val="20"/>
                <w:szCs w:val="20"/>
                <w:color w:val="auto"/>
              </w:rPr>
            </w:pPr>
            <w:r>
              <w:rPr>
                <w:rFonts w:ascii="Arial" w:cs="Arial" w:eastAsia="Arial" w:hAnsi="Arial"/>
                <w:sz w:val="20"/>
                <w:szCs w:val="20"/>
                <w:color w:val="auto"/>
              </w:rPr>
              <w:t>Honeycomb Portfolio</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BESS</w:t>
            </w:r>
          </w:p>
        </w:tc>
        <w:tc>
          <w:tcPr>
            <w:tcW w:w="206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320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0"/>
                <w:szCs w:val="20"/>
                <w:color w:val="auto"/>
                <w:w w:val="97"/>
              </w:rPr>
              <w:t>UT</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1H26</w:t>
            </w:r>
          </w:p>
        </w:tc>
      </w:tr>
      <w:tr>
        <w:trPr>
          <w:trHeight w:val="291"/>
        </w:trPr>
        <w:tc>
          <w:tcPr>
            <w:tcW w:w="3780" w:type="dxa"/>
            <w:vAlign w:val="bottom"/>
            <w:shd w:val="clear" w:color="auto" w:fill="E6E6E6"/>
          </w:tcPr>
          <w:p>
            <w:pPr>
              <w:ind w:left="40"/>
              <w:spacing w:after="0"/>
              <w:rPr>
                <w:sz w:val="20"/>
                <w:szCs w:val="20"/>
                <w:color w:val="auto"/>
              </w:rPr>
            </w:pPr>
            <w:r>
              <w:rPr>
                <w:rFonts w:ascii="Arial" w:cs="Arial" w:eastAsia="Arial" w:hAnsi="Arial"/>
                <w:sz w:val="20"/>
                <w:szCs w:val="20"/>
                <w:color w:val="auto"/>
              </w:rPr>
              <w:t>Luna Valley</w:t>
            </w:r>
          </w:p>
        </w:tc>
        <w:tc>
          <w:tcPr>
            <w:tcW w:w="60" w:type="dxa"/>
            <w:vAlign w:val="bottom"/>
            <w:shd w:val="clear" w:color="auto" w:fill="E6E6E6"/>
          </w:tcPr>
          <w:p>
            <w:pPr>
              <w:spacing w:after="0"/>
              <w:rPr>
                <w:sz w:val="24"/>
                <w:szCs w:val="24"/>
                <w:color w:val="auto"/>
              </w:rPr>
            </w:pPr>
          </w:p>
        </w:tc>
        <w:tc>
          <w:tcPr>
            <w:tcW w:w="16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Solar</w:t>
            </w:r>
          </w:p>
        </w:tc>
        <w:tc>
          <w:tcPr>
            <w:tcW w:w="2060" w:type="dxa"/>
            <w:vAlign w:val="bottom"/>
            <w:gridSpan w:val="2"/>
            <w:shd w:val="clear" w:color="auto" w:fill="E6E6E6"/>
          </w:tcPr>
          <w:p>
            <w:pPr>
              <w:jc w:val="center"/>
              <w:ind w:left="20"/>
              <w:spacing w:after="0"/>
              <w:rPr>
                <w:sz w:val="20"/>
                <w:szCs w:val="20"/>
                <w:color w:val="auto"/>
              </w:rPr>
            </w:pPr>
            <w:r>
              <w:rPr>
                <w:rFonts w:ascii="Arial" w:cs="Arial" w:eastAsia="Arial" w:hAnsi="Arial"/>
                <w:sz w:val="20"/>
                <w:szCs w:val="20"/>
                <w:color w:val="auto"/>
                <w:w w:val="89"/>
              </w:rPr>
              <w:t>200</w:t>
            </w: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jc w:val="center"/>
              <w:spacing w:after="0"/>
              <w:rPr>
                <w:sz w:val="20"/>
                <w:szCs w:val="20"/>
                <w:color w:val="auto"/>
              </w:rPr>
            </w:pPr>
            <w:r>
              <w:rPr>
                <w:rFonts w:ascii="Arial" w:cs="Arial" w:eastAsia="Arial" w:hAnsi="Arial"/>
                <w:sz w:val="20"/>
                <w:szCs w:val="20"/>
                <w:color w:val="auto"/>
              </w:rPr>
              <w:t>CA</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6"/>
              </w:rPr>
              <w:t>2H25</w:t>
            </w:r>
          </w:p>
        </w:tc>
      </w:tr>
      <w:tr>
        <w:trPr>
          <w:trHeight w:val="285"/>
        </w:trPr>
        <w:tc>
          <w:tcPr>
            <w:tcW w:w="3780" w:type="dxa"/>
            <w:vAlign w:val="bottom"/>
          </w:tcPr>
          <w:p>
            <w:pPr>
              <w:ind w:left="40"/>
              <w:spacing w:after="0" w:line="285" w:lineRule="exact"/>
              <w:rPr>
                <w:sz w:val="20"/>
                <w:szCs w:val="20"/>
                <w:color w:val="auto"/>
              </w:rPr>
            </w:pPr>
            <w:r>
              <w:rPr>
                <w:rFonts w:ascii="Arial" w:cs="Arial" w:eastAsia="Arial" w:hAnsi="Arial"/>
                <w:sz w:val="20"/>
                <w:szCs w:val="20"/>
                <w:color w:val="auto"/>
              </w:rPr>
              <w:t xml:space="preserve">Pine Forest </w:t>
            </w:r>
            <w:r>
              <w:rPr>
                <w:rFonts w:ascii="Arial" w:cs="Arial" w:eastAsia="Arial" w:hAnsi="Arial"/>
                <w:sz w:val="26"/>
                <w:szCs w:val="26"/>
                <w:color w:val="auto"/>
                <w:vertAlign w:val="superscript"/>
              </w:rPr>
              <w:t>(a)</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Solar/BESS</w:t>
            </w:r>
          </w:p>
        </w:tc>
        <w:tc>
          <w:tcPr>
            <w:tcW w:w="206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500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0"/>
                <w:szCs w:val="20"/>
                <w:color w:val="auto"/>
              </w:rPr>
              <w:t>TX</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2H25</w:t>
            </w:r>
          </w:p>
        </w:tc>
      </w:tr>
      <w:tr>
        <w:trPr>
          <w:trHeight w:val="285"/>
        </w:trPr>
        <w:tc>
          <w:tcPr>
            <w:tcW w:w="3780" w:type="dxa"/>
            <w:vAlign w:val="bottom"/>
            <w:shd w:val="clear" w:color="auto" w:fill="E6E6E6"/>
          </w:tcPr>
          <w:p>
            <w:pPr>
              <w:ind w:left="40"/>
              <w:spacing w:after="0" w:line="285" w:lineRule="exact"/>
              <w:rPr>
                <w:sz w:val="20"/>
                <w:szCs w:val="20"/>
                <w:color w:val="auto"/>
              </w:rPr>
            </w:pPr>
            <w:r>
              <w:rPr>
                <w:rFonts w:ascii="Arial" w:cs="Arial" w:eastAsia="Arial" w:hAnsi="Arial"/>
                <w:sz w:val="20"/>
                <w:szCs w:val="20"/>
                <w:color w:val="auto"/>
              </w:rPr>
              <w:t xml:space="preserve">Rosamond South I </w:t>
            </w:r>
            <w:r>
              <w:rPr>
                <w:rFonts w:ascii="Arial" w:cs="Arial" w:eastAsia="Arial" w:hAnsi="Arial"/>
                <w:sz w:val="26"/>
                <w:szCs w:val="26"/>
                <w:color w:val="auto"/>
                <w:vertAlign w:val="superscript"/>
              </w:rPr>
              <w:t>(a)</w:t>
            </w:r>
          </w:p>
        </w:tc>
        <w:tc>
          <w:tcPr>
            <w:tcW w:w="60" w:type="dxa"/>
            <w:vAlign w:val="bottom"/>
            <w:shd w:val="clear" w:color="auto" w:fill="E6E6E6"/>
          </w:tcPr>
          <w:p>
            <w:pPr>
              <w:spacing w:after="0"/>
              <w:rPr>
                <w:sz w:val="24"/>
                <w:szCs w:val="24"/>
                <w:color w:val="auto"/>
              </w:rPr>
            </w:pPr>
          </w:p>
        </w:tc>
        <w:tc>
          <w:tcPr>
            <w:tcW w:w="16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0"/>
              </w:rPr>
              <w:t>Solar/BESS</w:t>
            </w:r>
          </w:p>
        </w:tc>
        <w:tc>
          <w:tcPr>
            <w:tcW w:w="2060" w:type="dxa"/>
            <w:vAlign w:val="bottom"/>
            <w:gridSpan w:val="2"/>
            <w:shd w:val="clear" w:color="auto" w:fill="E6E6E6"/>
          </w:tcPr>
          <w:p>
            <w:pPr>
              <w:jc w:val="center"/>
              <w:ind w:left="20"/>
              <w:spacing w:after="0"/>
              <w:rPr>
                <w:sz w:val="20"/>
                <w:szCs w:val="20"/>
                <w:color w:val="auto"/>
              </w:rPr>
            </w:pPr>
            <w:r>
              <w:rPr>
                <w:rFonts w:ascii="Arial" w:cs="Arial" w:eastAsia="Arial" w:hAnsi="Arial"/>
                <w:sz w:val="20"/>
                <w:szCs w:val="20"/>
                <w:color w:val="auto"/>
                <w:w w:val="89"/>
              </w:rPr>
              <w:t>257</w:t>
            </w: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jc w:val="center"/>
              <w:spacing w:after="0"/>
              <w:rPr>
                <w:sz w:val="20"/>
                <w:szCs w:val="20"/>
                <w:color w:val="auto"/>
              </w:rPr>
            </w:pPr>
            <w:r>
              <w:rPr>
                <w:rFonts w:ascii="Arial" w:cs="Arial" w:eastAsia="Arial" w:hAnsi="Arial"/>
                <w:sz w:val="20"/>
                <w:szCs w:val="20"/>
                <w:color w:val="auto"/>
              </w:rPr>
              <w:t>CA</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6"/>
              </w:rPr>
              <w:t>2H25</w:t>
            </w:r>
          </w:p>
        </w:tc>
      </w:tr>
      <w:tr>
        <w:trPr>
          <w:trHeight w:val="365"/>
        </w:trPr>
        <w:tc>
          <w:tcPr>
            <w:tcW w:w="3780" w:type="dxa"/>
            <w:vAlign w:val="bottom"/>
          </w:tcPr>
          <w:p>
            <w:pPr>
              <w:ind w:left="40"/>
              <w:spacing w:after="0"/>
              <w:rPr>
                <w:sz w:val="20"/>
                <w:szCs w:val="20"/>
                <w:color w:val="auto"/>
              </w:rPr>
            </w:pPr>
            <w:r>
              <w:rPr>
                <w:rFonts w:ascii="Arial" w:cs="Arial" w:eastAsia="Arial" w:hAnsi="Arial"/>
                <w:sz w:val="20"/>
                <w:szCs w:val="20"/>
                <w:color w:val="auto"/>
              </w:rPr>
              <w:t xml:space="preserve">Tuolumne </w:t>
            </w:r>
            <w:r>
              <w:rPr>
                <w:rFonts w:ascii="Arial" w:cs="Arial" w:eastAsia="Arial" w:hAnsi="Arial"/>
                <w:sz w:val="26"/>
                <w:szCs w:val="26"/>
                <w:color w:val="auto"/>
                <w:vertAlign w:val="superscript"/>
              </w:rPr>
              <w:t>(b)</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6"/>
              </w:rPr>
              <w:t>Wind</w:t>
            </w:r>
          </w:p>
        </w:tc>
        <w:tc>
          <w:tcPr>
            <w:tcW w:w="206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137</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0"/>
                <w:szCs w:val="20"/>
                <w:color w:val="auto"/>
              </w:rPr>
              <w:t>WA</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126682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99" w:lineRule="exact"/>
        <w:rPr>
          <w:sz w:val="20"/>
          <w:szCs w:val="20"/>
          <w:color w:val="auto"/>
        </w:rPr>
      </w:pPr>
    </w:p>
    <w:p>
      <w:pPr>
        <w:ind w:left="260" w:hanging="180"/>
        <w:spacing w:after="0"/>
        <w:tabs>
          <w:tab w:leader="none" w:pos="2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Included in a co-investment partnership.</w:t>
      </w:r>
    </w:p>
    <w:p>
      <w:pPr>
        <w:spacing w:after="0" w:line="64" w:lineRule="exact"/>
        <w:rPr>
          <w:rFonts w:ascii="Arial" w:cs="Arial" w:eastAsia="Arial" w:hAnsi="Arial"/>
          <w:sz w:val="22"/>
          <w:szCs w:val="22"/>
          <w:color w:val="auto"/>
          <w:vertAlign w:val="superscript"/>
        </w:rPr>
      </w:pPr>
    </w:p>
    <w:p>
      <w:pPr>
        <w:ind w:left="280" w:hanging="200"/>
        <w:spacing w:after="0" w:line="204" w:lineRule="auto"/>
        <w:tabs>
          <w:tab w:leader="none" w:pos="28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Third-party acquisition of an operating facility.</w:t>
      </w:r>
    </w:p>
    <w:p>
      <w:pPr>
        <w:spacing w:after="0" w:line="160" w:lineRule="exact"/>
        <w:rPr>
          <w:sz w:val="20"/>
          <w:szCs w:val="20"/>
          <w:color w:val="auto"/>
        </w:rPr>
      </w:pPr>
    </w:p>
    <w:p>
      <w:pPr>
        <w:jc w:val="both"/>
        <w:ind w:right="20" w:firstLine="450"/>
        <w:spacing w:after="0" w:line="259" w:lineRule="auto"/>
        <w:rPr>
          <w:sz w:val="20"/>
          <w:szCs w:val="20"/>
          <w:color w:val="auto"/>
        </w:rPr>
      </w:pPr>
      <w:r>
        <w:rPr>
          <w:rFonts w:ascii="Arial" w:cs="Arial" w:eastAsia="Arial" w:hAnsi="Arial"/>
          <w:sz w:val="20"/>
          <w:szCs w:val="20"/>
          <w:b w:val="1"/>
          <w:bCs w:val="1"/>
          <w:i w:val="1"/>
          <w:iCs w:val="1"/>
          <w:color w:val="auto"/>
        </w:rPr>
        <w:t xml:space="preserve">Primary focus on North America. </w:t>
      </w:r>
      <w:r>
        <w:rPr>
          <w:rFonts w:ascii="Arial" w:cs="Arial" w:eastAsia="Arial" w:hAnsi="Arial"/>
          <w:sz w:val="20"/>
          <w:szCs w:val="20"/>
          <w:color w:val="auto"/>
        </w:rPr>
        <w:t>The Company intends to focus its investments in North America.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believes that industry fundamentals in North America present it with 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spacing w:after="0" w:line="139"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b w:val="1"/>
          <w:bCs w:val="1"/>
          <w:i w:val="1"/>
          <w:iCs w:val="1"/>
          <w:color w:val="auto"/>
        </w:rPr>
        <w:t xml:space="preserve">Maintain sound financial practices to grow the dividend. </w:t>
      </w:r>
      <w:r>
        <w:rPr>
          <w:rFonts w:ascii="Arial" w:cs="Arial" w:eastAsia="Arial" w:hAnsi="Arial"/>
          <w:sz w:val="19"/>
          <w:szCs w:val="19"/>
          <w:color w:val="auto"/>
        </w:rPr>
        <w:t>The Company intends to maintain a commitment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disciplined financial analysis and a 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97" w:lineRule="exact"/>
        <w:rPr>
          <w:sz w:val="20"/>
          <w:szCs w:val="20"/>
          <w:color w:val="auto"/>
        </w:rPr>
      </w:pPr>
    </w:p>
    <w:p>
      <w:pPr>
        <w:jc w:val="both"/>
        <w:ind w:right="20" w:firstLine="450"/>
        <w:spacing w:after="0" w:line="268" w:lineRule="auto"/>
        <w:rPr>
          <w:sz w:val="20"/>
          <w:szCs w:val="20"/>
          <w:color w:val="auto"/>
        </w:rPr>
      </w:pPr>
      <w:r>
        <w:rPr>
          <w:rFonts w:ascii="Arial" w:cs="Arial" w:eastAsia="Arial" w:hAnsi="Arial"/>
          <w:sz w:val="19"/>
          <w:szCs w:val="19"/>
          <w:color w:val="auto"/>
        </w:rPr>
        <w:t>Power generation is a capital-intensive business with numerous and diverse industry participants. The Company competes on the basis of the location of its plants and on the basis of contract price and terms of individual facilities. Within the power industry, there is a wide variation in terms of the capabilities, resources, nature and identity of the companies with whom the Company competes depending on the market. Competitors for energy supply are utilities and independent power producers. The Company also competes to acquire new facilities with renewable developers who retain renewable power plant ownership, independent power producers, financial investors and other downstream power infrastructure owners.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facilities, and it could be difficult for the Company to adapt to and operate under such laws and regulations.</w:t>
      </w:r>
    </w:p>
    <w:p>
      <w:pPr>
        <w:sectPr>
          <w:pgSz w:w="11880" w:h="15480" w:orient="portrait"/>
          <w:cols w:equalWidth="0" w:num="1">
            <w:col w:w="10260"/>
          </w:cols>
          <w:pgMar w:left="820" w:top="36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880" w:h="15480" w:orient="portrait"/>
          <w:cols w:equalWidth="0" w:num="1">
            <w:col w:w="10260"/>
          </w:cols>
          <w:pgMar w:left="820" w:top="362" w:right="80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Competitive Strengths</w:t>
      </w:r>
    </w:p>
    <w:p>
      <w:pPr>
        <w:spacing w:after="0" w:line="192" w:lineRule="exact"/>
        <w:rPr>
          <w:sz w:val="20"/>
          <w:szCs w:val="20"/>
          <w:color w:val="auto"/>
        </w:rPr>
      </w:pPr>
    </w:p>
    <w:p>
      <w:pPr>
        <w:jc w:val="both"/>
        <w:ind w:right="20" w:firstLine="450"/>
        <w:spacing w:after="0" w:line="286" w:lineRule="auto"/>
        <w:rPr>
          <w:sz w:val="20"/>
          <w:szCs w:val="20"/>
          <w:color w:val="auto"/>
        </w:rPr>
      </w:pPr>
      <w:r>
        <w:rPr>
          <w:rFonts w:ascii="Arial" w:cs="Arial" w:eastAsia="Arial" w:hAnsi="Arial"/>
          <w:sz w:val="18"/>
          <w:szCs w:val="18"/>
          <w:b w:val="1"/>
          <w:bCs w:val="1"/>
          <w:i w:val="1"/>
          <w:iCs w:val="1"/>
          <w:color w:val="auto"/>
        </w:rPr>
        <w:t xml:space="preserve">Stable, high quality cash flows. </w:t>
      </w:r>
      <w:r>
        <w:rPr>
          <w:rFonts w:ascii="Arial" w:cs="Arial" w:eastAsia="Arial" w:hAnsi="Arial"/>
          <w:sz w:val="18"/>
          <w:szCs w:val="18"/>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facilities have no fuel costs, however, the Company’s merchant assets included in the Flexible Generation segment need to procure their own fuel. The offtake agreements within the Company’s Renewables segment have a weighted-average remaining duration, based on CAFD, of approximately 12 years as of December 31, 2024, providing long-term cash flow stability. The Company’s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120" w:lineRule="exact"/>
        <w:rPr>
          <w:sz w:val="20"/>
          <w:szCs w:val="20"/>
          <w:color w:val="auto"/>
        </w:rPr>
      </w:pPr>
    </w:p>
    <w:p>
      <w:pPr>
        <w:jc w:val="both"/>
        <w:ind w:right="20" w:firstLine="450"/>
        <w:spacing w:after="0" w:line="256" w:lineRule="auto"/>
        <w:rPr>
          <w:sz w:val="20"/>
          <w:szCs w:val="20"/>
          <w:color w:val="auto"/>
        </w:rPr>
      </w:pPr>
      <w:r>
        <w:rPr>
          <w:rFonts w:ascii="Arial" w:cs="Arial" w:eastAsia="Arial" w:hAnsi="Arial"/>
          <w:sz w:val="20"/>
          <w:szCs w:val="20"/>
          <w:b w:val="1"/>
          <w:bCs w:val="1"/>
          <w:i w:val="1"/>
          <w:iCs w:val="1"/>
          <w:color w:val="auto"/>
        </w:rPr>
        <w:t xml:space="preserve">Environmentally well-positioned portfolio of assets. </w:t>
      </w:r>
      <w:r>
        <w:rPr>
          <w:rFonts w:ascii="Arial" w:cs="Arial" w:eastAsia="Arial" w:hAnsi="Arial"/>
          <w:sz w:val="20"/>
          <w:szCs w:val="20"/>
          <w:color w:val="auto"/>
        </w:rPr>
        <w:t>The Company’s portfolio includes approximately 9 gross GW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installed wind, solar and BESS assets that are predominantly non-emitting sources of power generation. Additionally, the Company’s assets within the Flexible Generation segment that are located in California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 will be a net beneficiary of growing energy demand and market support for the types of assets that the Company operates and acquires.</w:t>
      </w:r>
    </w:p>
    <w:p>
      <w:pPr>
        <w:spacing w:after="0" w:line="143" w:lineRule="exact"/>
        <w:rPr>
          <w:sz w:val="20"/>
          <w:szCs w:val="20"/>
          <w:color w:val="auto"/>
        </w:rPr>
      </w:pPr>
    </w:p>
    <w:p>
      <w:pPr>
        <w:jc w:val="both"/>
        <w:ind w:right="20" w:firstLine="450"/>
        <w:spacing w:after="0" w:line="276" w:lineRule="auto"/>
        <w:rPr>
          <w:sz w:val="20"/>
          <w:szCs w:val="20"/>
          <w:color w:val="auto"/>
        </w:rPr>
      </w:pPr>
      <w:r>
        <w:rPr>
          <w:rFonts w:ascii="Arial" w:cs="Arial" w:eastAsia="Arial" w:hAnsi="Arial"/>
          <w:sz w:val="19"/>
          <w:szCs w:val="19"/>
          <w:b w:val="1"/>
          <w:bCs w:val="1"/>
          <w:i w:val="1"/>
          <w:iCs w:val="1"/>
          <w:color w:val="auto"/>
        </w:rPr>
        <w:t xml:space="preserve">High quality, long-lived assets with low operating and capital requirements. </w:t>
      </w:r>
      <w:r>
        <w:rPr>
          <w:rFonts w:ascii="Arial" w:cs="Arial" w:eastAsia="Arial" w:hAnsi="Arial"/>
          <w:sz w:val="19"/>
          <w:szCs w:val="19"/>
          <w:color w:val="auto"/>
        </w:rPr>
        <w:t>The Company benefits from a portfolio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relatively newer assets. The Company’s assets are largely comprised of proven and reliable technologies, provided by leading original wind, solar and BESS equipment manufacturers. Given the nature of the portfolio, which includes a substantial number of relatively low operating and maintenance cost wind, solar and BESS facilities, the Company expects to achieve high fleet availability and expend modest maintenance-related capital expenditures.</w:t>
      </w:r>
    </w:p>
    <w:p>
      <w:pPr>
        <w:spacing w:after="0" w:line="124"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8"/>
          <w:szCs w:val="18"/>
          <w:b w:val="1"/>
          <w:bCs w:val="1"/>
          <w:i w:val="1"/>
          <w:iCs w:val="1"/>
          <w:color w:val="auto"/>
        </w:rPr>
        <w:t xml:space="preserve">Significant scale and diversity. </w:t>
      </w:r>
      <w:r>
        <w:rPr>
          <w:rFonts w:ascii="Arial" w:cs="Arial" w:eastAsia="Arial" w:hAnsi="Arial"/>
          <w:sz w:val="18"/>
          <w:szCs w:val="18"/>
          <w:color w:val="auto"/>
        </w:rPr>
        <w:t>The Company’s portfolio comprises approximately 11.8 GW of gross capacity in 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including approximately 9 GW of wind, solar and BESS and approximately 2.8 GW of dispatchable combustion-based power generation providing critical grid reliability services. The Company’s contracted assets included in the Renewables and Flexible Generation segments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15" w:lineRule="exact"/>
        <w:rPr>
          <w:sz w:val="20"/>
          <w:szCs w:val="20"/>
          <w:color w:val="auto"/>
        </w:rPr>
      </w:pPr>
    </w:p>
    <w:p>
      <w:pPr>
        <w:jc w:val="both"/>
        <w:ind w:firstLine="450"/>
        <w:spacing w:after="0" w:line="292" w:lineRule="auto"/>
        <w:rPr>
          <w:sz w:val="20"/>
          <w:szCs w:val="20"/>
          <w:color w:val="auto"/>
        </w:rPr>
      </w:pPr>
      <w:r>
        <w:rPr>
          <w:rFonts w:ascii="Arial" w:cs="Arial" w:eastAsia="Arial" w:hAnsi="Arial"/>
          <w:sz w:val="18"/>
          <w:szCs w:val="18"/>
          <w:b w:val="1"/>
          <w:bCs w:val="1"/>
          <w:i w:val="1"/>
          <w:iCs w:val="1"/>
          <w:color w:val="auto"/>
        </w:rPr>
        <w:t xml:space="preserve">Relationship with CEG as sponsor. </w:t>
      </w:r>
      <w:r>
        <w:rPr>
          <w:rFonts w:ascii="Arial" w:cs="Arial" w:eastAsia="Arial" w:hAnsi="Arial"/>
          <w:sz w:val="18"/>
          <w:szCs w:val="18"/>
          <w:color w:val="auto"/>
        </w:rPr>
        <w:t>The Company believes that its relationship with CEG provides significant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CEG’s highly capable renewable development and operations platform that is aligned to support the Company’s growth. CEG has strong capabilities in capital formation, power origination, procurement, construction, business development, asset management, operations and maintenance and related commercial functions, which contribute to safeguarding and optimizing the value of the Company’s business and operating fleet. Additionally, GIP and TotalEnergies as owners of CEG each exhibit strong track records of stable financial support for investments in the renewable energy sector.</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Review</w:t>
      </w:r>
    </w:p>
    <w:p>
      <w:pPr>
        <w:spacing w:after="0" w:line="19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 xml:space="preserve">The following tables summarize the Company’s operating revenues, net income (loss) and assets by segment, as discussed in Item 15 — Note 13, </w:t>
      </w:r>
      <w:r>
        <w:rPr>
          <w:rFonts w:ascii="Arial" w:cs="Arial" w:eastAsia="Arial" w:hAnsi="Arial"/>
          <w:sz w:val="20"/>
          <w:szCs w:val="20"/>
          <w:b w:val="1"/>
          <w:bCs w:val="1"/>
          <w:i w:val="1"/>
          <w:iCs w:val="1"/>
          <w:color w:val="auto"/>
        </w:rPr>
        <w:t>Segment Reporting</w:t>
      </w:r>
      <w:r>
        <w:rPr>
          <w:rFonts w:ascii="Arial" w:cs="Arial" w:eastAsia="Arial" w:hAnsi="Arial"/>
          <w:sz w:val="20"/>
          <w:szCs w:val="20"/>
          <w:color w:val="auto"/>
        </w:rPr>
        <w: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6"/>
                <w:szCs w:val="16"/>
                <w:b w:val="1"/>
                <w:bCs w:val="1"/>
                <w:color w:val="auto"/>
                <w:w w:val="93"/>
              </w:rPr>
              <w:t>Year ended December 31, 2024</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780" w:type="dxa"/>
            <w:vAlign w:val="bottom"/>
            <w:vMerge w:val="restart"/>
          </w:tcPr>
          <w:p>
            <w:pPr>
              <w:jc w:val="right"/>
              <w:ind w:right="3813"/>
              <w:spacing w:after="0"/>
              <w:rPr>
                <w:sz w:val="20"/>
                <w:szCs w:val="20"/>
                <w:color w:val="auto"/>
              </w:rPr>
            </w:pPr>
            <w:r>
              <w:rPr>
                <w:rFonts w:ascii="Arial" w:cs="Arial" w:eastAsia="Arial" w:hAnsi="Arial"/>
                <w:sz w:val="16"/>
                <w:szCs w:val="16"/>
                <w:b w:val="1"/>
                <w:bCs w:val="1"/>
                <w:color w:val="auto"/>
                <w:w w:val="95"/>
              </w:rPr>
              <w:t>(In millions)</w:t>
            </w:r>
          </w:p>
        </w:tc>
        <w:tc>
          <w:tcPr>
            <w:tcW w:w="200" w:type="dxa"/>
            <w:vAlign w:val="bottom"/>
          </w:tcPr>
          <w:p>
            <w:pPr>
              <w:spacing w:after="0"/>
              <w:rPr>
                <w:sz w:val="16"/>
                <w:szCs w:val="16"/>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Flexible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0"/>
              </w:rPr>
              <w:t>Renewables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w w:val="99"/>
              </w:rPr>
              <w:t>Corporate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E6E6E6"/>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92"/>
              </w:rPr>
              <w:t>Generation</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8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2"/>
              </w:rPr>
              <w:t>. . . . . . . . . . . . . . . . . . . . . . . . . . . . . . . . . . . .</w:t>
            </w:r>
            <w:r>
              <w:rPr>
                <w:rFonts w:ascii="Arial" w:cs="Arial" w:eastAsia="Arial" w:hAnsi="Arial"/>
                <w:sz w:val="18"/>
                <w:szCs w:val="18"/>
                <w:color w:val="000000"/>
                <w:w w:val="92"/>
              </w:rPr>
              <w:t>Operatingrevenues</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1,371</w:t>
            </w: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80" w:type="dxa"/>
            <w:vAlign w:val="bottom"/>
          </w:tcPr>
          <w:p>
            <w:pPr>
              <w:jc w:val="right"/>
              <w:spacing w:after="0"/>
              <w:rPr>
                <w:sz w:val="20"/>
                <w:szCs w:val="20"/>
                <w:color w:val="auto"/>
              </w:rPr>
            </w:pPr>
            <w:r>
              <w:rPr>
                <w:rFonts w:ascii="Arial" w:cs="Arial" w:eastAsia="Arial" w:hAnsi="Arial"/>
                <w:sz w:val="18"/>
                <w:szCs w:val="18"/>
                <w:color w:val="auto"/>
                <w:w w:val="92"/>
              </w:rPr>
              <w:t xml:space="preserve">Net income (loss) </w:t>
            </w:r>
            <w:r>
              <w:rPr>
                <w:rFonts w:ascii="Arial" w:cs="Arial" w:eastAsia="Arial" w:hAnsi="Arial"/>
                <w:sz w:val="18"/>
                <w:szCs w:val="18"/>
                <w:color w:val="B4B4B4"/>
                <w:w w:val="92"/>
              </w:rPr>
              <w:t>. . . . . . . . . . . . . . . . . . . . . . . . . . . . . . . . . . . . .</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2"/>
        </w:trPr>
        <w:tc>
          <w:tcPr>
            <w:tcW w:w="4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Total assets </w:t>
            </w:r>
            <w:r>
              <w:rPr>
                <w:rFonts w:ascii="Arial" w:cs="Arial" w:eastAsia="Arial" w:hAnsi="Arial"/>
                <w:sz w:val="18"/>
                <w:szCs w:val="18"/>
                <w:color w:val="B4B4B4"/>
                <w:w w:val="90"/>
              </w:rPr>
              <w:t>. . . . . . . . . . . . . . . . . . . . . . . . . . . . . . . . . . . . . . . . . .</w:t>
            </w:r>
          </w:p>
        </w:tc>
        <w:tc>
          <w:tcPr>
            <w:tcW w:w="20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1,933</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12,236</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14,329</w:t>
            </w:r>
          </w:p>
        </w:tc>
        <w:tc>
          <w:tcPr>
            <w:tcW w:w="4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4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w w:val="92"/>
              </w:rPr>
              <w:t>Year ended December 31, 2023</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80" w:type="dxa"/>
            <w:vAlign w:val="bottom"/>
            <w:vMerge w:val="restart"/>
          </w:tcPr>
          <w:p>
            <w:pPr>
              <w:jc w:val="right"/>
              <w:ind w:right="3813"/>
              <w:spacing w:after="0"/>
              <w:rPr>
                <w:sz w:val="20"/>
                <w:szCs w:val="20"/>
                <w:color w:val="auto"/>
              </w:rPr>
            </w:pPr>
            <w:r>
              <w:rPr>
                <w:rFonts w:ascii="Arial" w:cs="Arial" w:eastAsia="Arial" w:hAnsi="Arial"/>
                <w:sz w:val="16"/>
                <w:szCs w:val="16"/>
                <w:b w:val="1"/>
                <w:bCs w:val="1"/>
                <w:color w:val="auto"/>
                <w:w w:val="95"/>
              </w:rPr>
              <w:t>(In millions)</w:t>
            </w:r>
          </w:p>
        </w:tc>
        <w:tc>
          <w:tcPr>
            <w:tcW w:w="200" w:type="dxa"/>
            <w:vAlign w:val="bottom"/>
          </w:tcPr>
          <w:p>
            <w:pPr>
              <w:spacing w:after="0"/>
              <w:rPr>
                <w:sz w:val="16"/>
                <w:szCs w:val="16"/>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Flexible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0"/>
              </w:rPr>
              <w:t>Renewables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w w:val="99"/>
              </w:rPr>
              <w:t>Corporate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2"/>
              </w:rPr>
              <w:t>Generation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8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4B4B4"/>
                <w:w w:val="92"/>
              </w:rPr>
              <w:t>. . . . . . . . . . . . . . . . . . . . . . . . . . . . . . . . . . . .</w:t>
            </w:r>
            <w:r>
              <w:rPr>
                <w:rFonts w:ascii="Arial" w:cs="Arial" w:eastAsia="Arial" w:hAnsi="Arial"/>
                <w:sz w:val="18"/>
                <w:szCs w:val="18"/>
                <w:color w:val="000000"/>
                <w:w w:val="92"/>
              </w:rPr>
              <w:t>Operatingrevenues</w:t>
            </w:r>
          </w:p>
        </w:tc>
        <w:tc>
          <w:tcPr>
            <w:tcW w:w="2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420</w:t>
            </w:r>
          </w:p>
        </w:tc>
        <w:tc>
          <w:tcPr>
            <w:tcW w:w="8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894</w:t>
            </w:r>
          </w:p>
        </w:tc>
        <w:tc>
          <w:tcPr>
            <w:tcW w:w="8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80" w:type="dxa"/>
            <w:vAlign w:val="bottom"/>
          </w:tcPr>
          <w:p>
            <w:pPr>
              <w:jc w:val="right"/>
              <w:spacing w:after="0"/>
              <w:rPr>
                <w:sz w:val="20"/>
                <w:szCs w:val="20"/>
                <w:color w:val="auto"/>
              </w:rPr>
            </w:pPr>
            <w:r>
              <w:rPr>
                <w:rFonts w:ascii="Arial" w:cs="Arial" w:eastAsia="Arial" w:hAnsi="Arial"/>
                <w:sz w:val="18"/>
                <w:szCs w:val="18"/>
                <w:color w:val="auto"/>
                <w:w w:val="92"/>
              </w:rPr>
              <w:t xml:space="preserve">Net income (loss) </w:t>
            </w:r>
            <w:r>
              <w:rPr>
                <w:rFonts w:ascii="Arial" w:cs="Arial" w:eastAsia="Arial" w:hAnsi="Arial"/>
                <w:sz w:val="18"/>
                <w:szCs w:val="18"/>
                <w:color w:val="B4B4B4"/>
                <w:w w:val="92"/>
              </w:rPr>
              <w:t>. . . . . . . . . . . . . . . . . . . . . . . . . . . . . . . . . . . . .</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Total assets </w:t>
            </w:r>
            <w:r>
              <w:rPr>
                <w:rFonts w:ascii="Arial" w:cs="Arial" w:eastAsia="Arial" w:hAnsi="Arial"/>
                <w:sz w:val="18"/>
                <w:szCs w:val="18"/>
                <w:color w:val="B4B4B4"/>
                <w:w w:val="90"/>
              </w:rPr>
              <w:t>. . . . . . . . . . . . . . . . . . . . . . . . . . . . . . . . . . . . . . . . . .</w:t>
            </w:r>
          </w:p>
        </w:tc>
        <w:tc>
          <w:tcPr>
            <w:tcW w:w="20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12,205</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14,701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880" w:h="15480" w:orient="portrait"/>
          <w:cols w:equalWidth="0" w:num="1">
            <w:col w:w="10260"/>
          </w:cols>
          <w:pgMar w:left="820" w:top="360" w:right="80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9"/>
        </w:trPr>
        <w:tc>
          <w:tcPr>
            <w:tcW w:w="4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9"/>
          </w:tcPr>
          <w:p>
            <w:pPr>
              <w:jc w:val="right"/>
              <w:ind w:right="770"/>
              <w:spacing w:after="0"/>
              <w:rPr>
                <w:sz w:val="20"/>
                <w:szCs w:val="20"/>
                <w:color w:val="auto"/>
              </w:rPr>
            </w:pPr>
            <w:r>
              <w:rPr>
                <w:rFonts w:ascii="Arial" w:cs="Arial" w:eastAsia="Arial" w:hAnsi="Arial"/>
                <w:sz w:val="16"/>
                <w:szCs w:val="16"/>
                <w:b w:val="1"/>
                <w:bCs w:val="1"/>
                <w:color w:val="auto"/>
                <w:w w:val="97"/>
              </w:rPr>
              <w:t>Year ended December 31, 2022</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780" w:type="dxa"/>
            <w:vAlign w:val="bottom"/>
            <w:vMerge w:val="restart"/>
          </w:tcPr>
          <w:p>
            <w:pPr>
              <w:jc w:val="right"/>
              <w:ind w:right="3813"/>
              <w:spacing w:after="0"/>
              <w:rPr>
                <w:sz w:val="20"/>
                <w:szCs w:val="20"/>
                <w:color w:val="auto"/>
              </w:rPr>
            </w:pPr>
            <w:r>
              <w:rPr>
                <w:rFonts w:ascii="Arial" w:cs="Arial" w:eastAsia="Arial" w:hAnsi="Arial"/>
                <w:sz w:val="16"/>
                <w:szCs w:val="16"/>
                <w:b w:val="1"/>
                <w:bCs w:val="1"/>
                <w:color w:val="auto"/>
                <w:w w:val="95"/>
              </w:rPr>
              <w:t>(In millions)</w:t>
            </w:r>
          </w:p>
        </w:tc>
        <w:tc>
          <w:tcPr>
            <w:tcW w:w="180" w:type="dxa"/>
            <w:vAlign w:val="bottom"/>
          </w:tcPr>
          <w:p>
            <w:pPr>
              <w:spacing w:after="0"/>
              <w:rPr>
                <w:sz w:val="16"/>
                <w:szCs w:val="16"/>
                <w:color w:val="auto"/>
              </w:rPr>
            </w:pPr>
          </w:p>
        </w:tc>
        <w:tc>
          <w:tcPr>
            <w:tcW w:w="860" w:type="dxa"/>
            <w:vAlign w:val="bottom"/>
          </w:tcPr>
          <w:p>
            <w:pPr>
              <w:jc w:val="right"/>
              <w:ind w:right="173"/>
              <w:spacing w:after="0"/>
              <w:rPr>
                <w:sz w:val="20"/>
                <w:szCs w:val="20"/>
                <w:color w:val="auto"/>
              </w:rPr>
            </w:pPr>
            <w:r>
              <w:rPr>
                <w:rFonts w:ascii="Arial" w:cs="Arial" w:eastAsia="Arial" w:hAnsi="Arial"/>
                <w:sz w:val="16"/>
                <w:szCs w:val="16"/>
                <w:b w:val="1"/>
                <w:bCs w:val="1"/>
                <w:color w:val="auto"/>
                <w:w w:val="97"/>
              </w:rPr>
              <w:t>Flexible</w:t>
            </w:r>
          </w:p>
        </w:tc>
        <w:tc>
          <w:tcPr>
            <w:tcW w:w="60" w:type="dxa"/>
            <w:vAlign w:val="bottom"/>
          </w:tcPr>
          <w:p>
            <w:pPr>
              <w:spacing w:after="0"/>
              <w:rPr>
                <w:sz w:val="16"/>
                <w:szCs w:val="16"/>
                <w:color w:val="auto"/>
              </w:rPr>
            </w:pPr>
          </w:p>
        </w:tc>
        <w:tc>
          <w:tcPr>
            <w:tcW w:w="102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w w:val="97"/>
              </w:rPr>
              <w:t>Renewables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6"/>
              </w:rPr>
              <w:t>Thermal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restart"/>
          </w:tcPr>
          <w:p>
            <w:pPr>
              <w:jc w:val="right"/>
              <w:ind w:right="370"/>
              <w:spacing w:after="0"/>
              <w:rPr>
                <w:sz w:val="20"/>
                <w:szCs w:val="20"/>
                <w:color w:val="auto"/>
              </w:rPr>
            </w:pPr>
            <w:r>
              <w:rPr>
                <w:rFonts w:ascii="Arial" w:cs="Arial" w:eastAsia="Arial" w:hAnsi="Arial"/>
                <w:sz w:val="16"/>
                <w:szCs w:val="16"/>
                <w:b w:val="1"/>
                <w:bCs w:val="1"/>
                <w:color w:val="auto"/>
                <w:w w:val="91"/>
              </w:rPr>
              <w:t>Corporate</w:t>
            </w:r>
          </w:p>
        </w:tc>
        <w:tc>
          <w:tcPr>
            <w:tcW w:w="80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80" w:type="dxa"/>
            <w:vAlign w:val="bottom"/>
            <w:vMerge w:val="continue"/>
          </w:tcPr>
          <w:p>
            <w:pPr>
              <w:spacing w:after="0"/>
              <w:rPr>
                <w:sz w:val="18"/>
                <w:szCs w:val="18"/>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Generation</w:t>
            </w:r>
          </w:p>
        </w:tc>
        <w:tc>
          <w:tcPr>
            <w:tcW w:w="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8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4B4B4"/>
                <w:w w:val="92"/>
              </w:rPr>
              <w:t>. . . . . . . . . . . . . . . . . . . . . . . . . . . . . . . . . . . .</w:t>
            </w:r>
            <w:r>
              <w:rPr>
                <w:rFonts w:ascii="Arial" w:cs="Arial" w:eastAsia="Arial" w:hAnsi="Arial"/>
                <w:sz w:val="18"/>
                <w:szCs w:val="18"/>
                <w:color w:val="000000"/>
                <w:w w:val="92"/>
              </w:rPr>
              <w:t>Operatingrevenues</w:t>
            </w:r>
          </w:p>
        </w:tc>
        <w:tc>
          <w:tcPr>
            <w:tcW w:w="1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417</w:t>
            </w:r>
          </w:p>
        </w:tc>
        <w:tc>
          <w:tcPr>
            <w:tcW w:w="60" w:type="dxa"/>
            <w:vAlign w:val="bottom"/>
            <w:tcBorders>
              <w:top w:val="single" w:sz="8" w:color="E6E6E6"/>
            </w:tcBorders>
            <w:shd w:val="clear" w:color="auto" w:fill="E6E6E6"/>
          </w:tcPr>
          <w:p>
            <w:pPr>
              <w:spacing w:after="0"/>
              <w:rPr>
                <w:sz w:val="21"/>
                <w:szCs w:val="21"/>
                <w:color w:val="auto"/>
              </w:rPr>
            </w:pPr>
          </w:p>
        </w:tc>
        <w:tc>
          <w:tcPr>
            <w:tcW w:w="340" w:type="dxa"/>
            <w:vAlign w:val="bottom"/>
            <w:tcBorders>
              <w:top w:val="single" w:sz="8" w:color="auto"/>
            </w:tcBorders>
            <w:shd w:val="clear" w:color="auto" w:fill="E6E6E6"/>
          </w:tcPr>
          <w:p>
            <w:pPr>
              <w:jc w:val="right"/>
              <w:ind w:right="115"/>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E6E6E6"/>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346"/>
        </w:trPr>
        <w:tc>
          <w:tcPr>
            <w:tcW w:w="4780" w:type="dxa"/>
            <w:vAlign w:val="bottom"/>
          </w:tcPr>
          <w:p>
            <w:pPr>
              <w:jc w:val="right"/>
              <w:spacing w:after="0"/>
              <w:rPr>
                <w:sz w:val="20"/>
                <w:szCs w:val="20"/>
                <w:color w:val="auto"/>
              </w:rPr>
            </w:pPr>
            <w:r>
              <w:rPr>
                <w:rFonts w:ascii="Arial" w:cs="Arial" w:eastAsia="Arial" w:hAnsi="Arial"/>
                <w:sz w:val="18"/>
                <w:szCs w:val="18"/>
                <w:color w:val="auto"/>
                <w:w w:val="90"/>
              </w:rPr>
              <w:t xml:space="preserve">Net income (loss) </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 . . .</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56515</wp:posOffset>
            </wp:positionV>
            <wp:extent cx="126682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23" w:lineRule="exact"/>
        <w:rPr>
          <w:sz w:val="20"/>
          <w:szCs w:val="20"/>
          <w:color w:val="auto"/>
        </w:rPr>
      </w:pPr>
    </w:p>
    <w:p>
      <w:pPr>
        <w:ind w:left="80" w:right="20"/>
        <w:spacing w:after="0" w:line="229" w:lineRule="auto"/>
        <w:tabs>
          <w:tab w:leader="none" w:pos="321"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Corporate net income includes the $1,290 million gain on the sale of the Thermal Business to KKR, which was completed on May 1, 2022.</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Incentives</w:t>
      </w:r>
    </w:p>
    <w:p>
      <w:pPr>
        <w:spacing w:after="0" w:line="19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9"/>
          <w:szCs w:val="19"/>
          <w:color w:val="auto"/>
        </w:rPr>
        <w:t>U.S. federal, state and local governments have established various policy incentives to support the development, financing, ownership and operation of renewable energy facilities. These incentives include PTCs, ITCs, accelerated tax depreciation, cash grants, tax abatements and RPS programs which have the effect of decreasing the costs and risks associated with developing and operating such facilities or creating demand for renewable energy assets. In particular,</w:t>
      </w:r>
    </w:p>
    <w:p>
      <w:pPr>
        <w:spacing w:after="0" w:line="64" w:lineRule="exact"/>
        <w:rPr>
          <w:sz w:val="20"/>
          <w:szCs w:val="20"/>
          <w:color w:val="auto"/>
        </w:rPr>
      </w:pPr>
    </w:p>
    <w:p>
      <w:pPr>
        <w:jc w:val="both"/>
        <w:ind w:left="720" w:hanging="370"/>
        <w:spacing w:after="0" w:line="28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Owners of wind facilities are eligible to claim the PTC, or an ITC in lieu of the PTC, provided that certain requirements are met. Similarly, owners of solar facilities are eligible to claim the ITC or, for facilities placed in service after August 16, 2022, either the ITC or, in lieu thereof, a PTC, provided certain requirements are met. Additionally, owners of BESS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In order to qualify for the full amount of these credits in the case of facilities whose construction began on or after January 28,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GHG emissions cannot be greater than zero.</w:t>
      </w:r>
    </w:p>
    <w:p>
      <w:pPr>
        <w:spacing w:after="0" w:line="7" w:lineRule="exact"/>
        <w:rPr>
          <w:rFonts w:ascii="Arial" w:cs="Arial" w:eastAsia="Arial" w:hAnsi="Arial"/>
          <w:sz w:val="18"/>
          <w:szCs w:val="18"/>
          <w:color w:val="auto"/>
        </w:rPr>
      </w:pPr>
    </w:p>
    <w:p>
      <w:pPr>
        <w:jc w:val="both"/>
        <w:ind w:left="720" w:hanging="370"/>
        <w:spacing w:after="0" w:line="28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the U.S. federal Modified Accelerated Cost Recovery System, or MACRS, wind, solar and BESS facilities are generally depreciable for tax purposes over a five-year period (before taking into account certain conventions) even though the useful life of such facilities is generally much longer than five years. Federal income tax law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spacing w:after="0" w:line="4" w:lineRule="exact"/>
        <w:rPr>
          <w:rFonts w:ascii="Arial" w:cs="Arial" w:eastAsia="Arial" w:hAnsi="Arial"/>
          <w:sz w:val="18"/>
          <w:szCs w:val="18"/>
          <w:color w:val="auto"/>
        </w:rPr>
      </w:pPr>
    </w:p>
    <w:p>
      <w:pPr>
        <w:jc w:val="both"/>
        <w:ind w:left="720" w:right="20" w:hanging="370"/>
        <w:spacing w:after="0" w:line="279"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24" w:lineRule="exact"/>
        <w:rPr>
          <w:sz w:val="20"/>
          <w:szCs w:val="20"/>
          <w:color w:val="auto"/>
        </w:rPr>
      </w:pPr>
    </w:p>
    <w:p>
      <w:pPr>
        <w:jc w:val="both"/>
        <w:ind w:firstLine="450"/>
        <w:spacing w:after="0" w:line="299" w:lineRule="auto"/>
        <w:rPr>
          <w:sz w:val="20"/>
          <w:szCs w:val="20"/>
          <w:color w:val="auto"/>
        </w:rPr>
      </w:pPr>
      <w:r>
        <w:rPr>
          <w:rFonts w:ascii="Arial" w:cs="Arial" w:eastAsia="Arial" w:hAnsi="Arial"/>
          <w:sz w:val="18"/>
          <w:szCs w:val="18"/>
          <w:color w:val="auto"/>
        </w:rPr>
        <w:t>The elimination of, loss of, or reduction in, the incentives discussed above could decrease the attractiveness of renewable energy facilities to developers, including, but not limited to, CEG, which could reduce the Company’s acquisition or development opportunities. Such an elimination, loss or reduction could also reduce the Company’s willingness to pursue or develop certain renewable energy facilities due to higher operating costs or decreased revenues under its PPAs.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Matters</w:t>
      </w:r>
    </w:p>
    <w:p>
      <w:pPr>
        <w:spacing w:after="0" w:line="197" w:lineRule="exact"/>
        <w:rPr>
          <w:sz w:val="20"/>
          <w:szCs w:val="20"/>
          <w:color w:val="auto"/>
        </w:rPr>
      </w:pPr>
    </w:p>
    <w:p>
      <w:pPr>
        <w:jc w:val="both"/>
        <w:ind w:right="20" w:firstLine="450"/>
        <w:spacing w:after="0" w:line="268" w:lineRule="auto"/>
        <w:rPr>
          <w:sz w:val="20"/>
          <w:szCs w:val="20"/>
          <w:color w:val="auto"/>
        </w:rPr>
      </w:pPr>
      <w:r>
        <w:rPr>
          <w:rFonts w:ascii="Arial" w:cs="Arial" w:eastAsia="Arial" w:hAnsi="Arial"/>
          <w:sz w:val="19"/>
          <w:szCs w:val="19"/>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ectPr>
          <w:pgSz w:w="11880" w:h="15480" w:orient="portrait"/>
          <w:cols w:equalWidth="0" w:num="1">
            <w:col w:w="10260"/>
          </w:cols>
          <w:pgMar w:left="820" w:top="45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260"/>
          </w:cols>
          <w:pgMar w:left="820" w:top="456" w:right="800" w:bottom="0" w:gutter="0" w:footer="0" w:header="0"/>
          <w:type w:val="continuous"/>
        </w:sectPr>
      </w:pPr>
    </w:p>
    <w:bookmarkStart w:id="12" w:name="page13"/>
    <w:bookmarkEnd w:id="12"/>
    <w:p>
      <w:pPr>
        <w:ind w:left="440"/>
        <w:spacing w:after="0"/>
        <w:rPr>
          <w:sz w:val="20"/>
          <w:szCs w:val="20"/>
          <w:color w:val="auto"/>
        </w:rPr>
      </w:pPr>
      <w:r>
        <w:rPr>
          <w:rFonts w:ascii="Arial" w:cs="Arial" w:eastAsia="Arial" w:hAnsi="Arial"/>
          <w:sz w:val="20"/>
          <w:szCs w:val="20"/>
          <w:b w:val="1"/>
          <w:bCs w:val="1"/>
          <w:i w:val="1"/>
          <w:iCs w:val="1"/>
          <w:color w:val="auto"/>
        </w:rPr>
        <w:t>FERC</w:t>
      </w:r>
    </w:p>
    <w:p>
      <w:pPr>
        <w:spacing w:after="0" w:line="198"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42"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140"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12"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124"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35"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197" w:lineRule="exact"/>
        <w:rPr>
          <w:sz w:val="20"/>
          <w:szCs w:val="20"/>
          <w:color w:val="auto"/>
        </w:rPr>
      </w:pPr>
    </w:p>
    <w:p>
      <w:pPr>
        <w:jc w:val="both"/>
        <w:ind w:right="20" w:firstLine="450"/>
        <w:spacing w:after="0" w:line="269" w:lineRule="auto"/>
        <w:rPr>
          <w:sz w:val="20"/>
          <w:szCs w:val="20"/>
          <w:color w:val="auto"/>
        </w:rPr>
      </w:pPr>
      <w:r>
        <w:rPr>
          <w:rFonts w:ascii="Arial" w:cs="Arial" w:eastAsia="Arial" w:hAnsi="Arial"/>
          <w:sz w:val="19"/>
          <w:szCs w:val="19"/>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 To the extent that proposed legislation and new or revised regulations restrict or otherwise impact the Company’s operations, the proposed legislation and regulations could have a negative impact on the Company’s financial performance.</w:t>
      </w:r>
    </w:p>
    <w:p>
      <w:pPr>
        <w:spacing w:after="0" w:line="133"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9"/>
          <w:szCs w:val="19"/>
          <w:b w:val="1"/>
          <w:bCs w:val="1"/>
          <w:i w:val="1"/>
          <w:iCs w:val="1"/>
          <w:color w:val="auto"/>
        </w:rPr>
        <w:t xml:space="preserve">Proposed Federal MBTA Incidental Take Legislation and Regulations </w:t>
      </w:r>
      <w:r>
        <w:rPr>
          <w:rFonts w:ascii="Arial" w:cs="Arial" w:eastAsia="Arial" w:hAnsi="Arial"/>
          <w:sz w:val="19"/>
          <w:szCs w:val="19"/>
          <w:color w:val="auto"/>
        </w:rPr>
        <w:t>— On October 4, 2021, U.S. Fish and Wildlife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 or FWS, issued the final MBTA rule, effective December 3, 2021, restoring the MBTA to prohibit the incidental take of migratory birds. In 2021, FWS issued an advance notice of proposed rulemaking advising that it intends to gather information necessary to develop proposed regulations to authorize the incidental take of migratory birds under prescribed conditions and prepare a draft environmental review pursuant to the National Environmental Policy Act, or NEPA. Throughout 2022, FWS sought comments on the content of the proposed rule. In November 2023, FWS withdrew the draft MBTA permit program rule from the Office of Information and Regulatory Affairs to address technical comments received from agencies. To date, a new rule has not been published by FWS.</w:t>
      </w:r>
    </w:p>
    <w:p>
      <w:pPr>
        <w:spacing w:after="0" w:line="134" w:lineRule="exact"/>
        <w:rPr>
          <w:sz w:val="20"/>
          <w:szCs w:val="20"/>
          <w:color w:val="auto"/>
        </w:rPr>
      </w:pPr>
    </w:p>
    <w:p>
      <w:pPr>
        <w:jc w:val="both"/>
        <w:ind w:right="20" w:firstLine="450"/>
        <w:spacing w:after="0" w:line="273" w:lineRule="auto"/>
        <w:rPr>
          <w:sz w:val="20"/>
          <w:szCs w:val="20"/>
          <w:color w:val="auto"/>
        </w:rPr>
      </w:pPr>
      <w:r>
        <w:rPr>
          <w:rFonts w:ascii="Arial" w:cs="Arial" w:eastAsia="Arial" w:hAnsi="Arial"/>
          <w:sz w:val="19"/>
          <w:szCs w:val="19"/>
          <w:b w:val="1"/>
          <w:bCs w:val="1"/>
          <w:i w:val="1"/>
          <w:iCs w:val="1"/>
          <w:color w:val="auto"/>
        </w:rPr>
        <w:t xml:space="preserve">Federal Eagle Incidental Take Permit Rule </w:t>
      </w:r>
      <w:r>
        <w:rPr>
          <w:rFonts w:ascii="Arial" w:cs="Arial" w:eastAsia="Arial" w:hAnsi="Arial"/>
          <w:sz w:val="19"/>
          <w:szCs w:val="19"/>
          <w:color w:val="auto"/>
        </w:rPr>
        <w:t>— On September 30, 2022, FWS published in the Federal Register a draft rule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revising the eagle incidental take permit program. Comments on the revised rule continued to be accepted during 2023. The final eagle incidental take permit rule was published in the Federal Register on February 12, 2024 and became effective on April 13, 2024. As anticipated, the final rule provided expedited eagle take permitting and a lower cost pathway to permit issuance for many wind facilities but not all. Facility specific permits will still be required for some facilities. The wind industry continues to work with FWS to improve this process.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260"/>
          </w:cols>
          <w:pgMar w:left="820" w:top="359" w:right="800" w:bottom="0" w:gutter="0" w:footer="0" w:header="0"/>
          <w:type w:val="continuous"/>
        </w:sectPr>
      </w:pPr>
    </w:p>
    <w:bookmarkStart w:id="13" w:name="page14"/>
    <w:bookmarkEnd w:id="13"/>
    <w:p>
      <w:pPr>
        <w:jc w:val="both"/>
        <w:ind w:right="20" w:firstLine="450"/>
        <w:spacing w:after="0" w:line="287" w:lineRule="auto"/>
        <w:rPr>
          <w:sz w:val="20"/>
          <w:szCs w:val="20"/>
          <w:color w:val="auto"/>
        </w:rPr>
      </w:pPr>
      <w:r>
        <w:rPr>
          <w:rFonts w:ascii="Arial" w:cs="Arial" w:eastAsia="Arial" w:hAnsi="Arial"/>
          <w:sz w:val="18"/>
          <w:szCs w:val="18"/>
          <w:b w:val="1"/>
          <w:bCs w:val="1"/>
          <w:i w:val="1"/>
          <w:iCs w:val="1"/>
          <w:color w:val="auto"/>
        </w:rPr>
        <w:t xml:space="preserve">Local California Air District Rules </w:t>
      </w:r>
      <w:r>
        <w:rPr>
          <w:rFonts w:ascii="Arial" w:cs="Arial" w:eastAsia="Arial" w:hAnsi="Arial"/>
          <w:sz w:val="18"/>
          <w:szCs w:val="18"/>
          <w:color w:val="auto"/>
        </w:rPr>
        <w:t>— Air districts, including the San Diego Air Pollution Control District, have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proposed and/or updated new source review permitting requirements, 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facilities in the Flexible Generation segment meet the district’s existing and proposed amendments to command-and-control regulations. Proposed updates to local California Air District Rules are not expected to affect the operations nor compliance of the Company’s facilities.</w:t>
      </w:r>
    </w:p>
    <w:p>
      <w:pPr>
        <w:spacing w:after="0" w:line="120"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b w:val="1"/>
          <w:bCs w:val="1"/>
          <w:i w:val="1"/>
          <w:iCs w:val="1"/>
          <w:color w:val="auto"/>
        </w:rPr>
        <w:t xml:space="preserve">Amendments to NEPA </w:t>
      </w:r>
      <w:r>
        <w:rPr>
          <w:rFonts w:ascii="Arial" w:cs="Arial" w:eastAsia="Arial" w:hAnsi="Arial"/>
          <w:sz w:val="18"/>
          <w:szCs w:val="18"/>
          <w:color w:val="auto"/>
        </w:rPr>
        <w:t>— On June 3, 2023, the Fiscal Responsibility Act of 2023, or FRA, was signed into law,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amendments to the NEPA, aimed at streamlining the environmental review process, or the Phase 1 Rule. Following the FRA, on July 31, 2023, the White House Council on Environmental Quality, or CEQ, published a proposed rule, the Bipartisan Permitting Reform Implementation Rule, which sought to revise, update and modernize the existing regulations under the NEPA and included provisions regarding robust public involvement and expanding both environmental justice and climate change, or the Phase 2 Rule. The Phase 2 Rule was finalized on May 1, 2024. The renewable energy industry generally supported both the Phase 1 Rule and the Phase 2 Rule, however, the final Phase 2 Rule was challenged in Federal District Court and the D.C. Circuit. In February 2025, the U.S. District Court for the District of North Dakota held that the CEQ has no legal authority to issue federal regulations, and as a result, CEQ’s final Phase 2 Rule exceeded the agency’s authority. As a result of the U.S. District Court’s order, CEQ’s final rule was vacated and its NEPA regulations were invalidated. This outcome did not result in a material effect on the Company, as it maintains status quo for the NEPA implementation.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197" w:lineRule="exact"/>
        <w:rPr>
          <w:sz w:val="20"/>
          <w:szCs w:val="20"/>
          <w:color w:val="auto"/>
        </w:rPr>
      </w:pPr>
    </w:p>
    <w:p>
      <w:pPr>
        <w:jc w:val="both"/>
        <w:ind w:right="20" w:firstLine="450"/>
        <w:spacing w:after="0" w:line="290" w:lineRule="auto"/>
        <w:rPr>
          <w:sz w:val="20"/>
          <w:szCs w:val="20"/>
          <w:color w:val="auto"/>
        </w:rPr>
      </w:pPr>
      <w:r>
        <w:rPr>
          <w:rFonts w:ascii="Arial" w:cs="Arial" w:eastAsia="Arial" w:hAnsi="Arial"/>
          <w:sz w:val="18"/>
          <w:szCs w:val="18"/>
          <w:color w:val="auto"/>
        </w:rPr>
        <w:t>The Company sells its electricity and environmental attributes, including RECs, primarily to customers located across 26 states under contractual arrangements. The Company’s customer base includes 38 local utilities and 26 commercial and industrial customers delivered through its utility-scale generation fleet, as well as thousands of additional customers for products delivered from its distributed solar fleet. During the year ended December 31, 2024, the Company’s largest customers as a percentage of consolidated revenue were SCE and PG&amp;E, which represented approximately 24% and 17%, respectively, with the next five largest customers representing a total of approximately 30% of consolidated revenue.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9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As of December 31, 2024, the Company had 60 employees. The Company also depends upon personnel of CEG for the provision of asset management, administration and O&amp;M services.</w:t>
      </w:r>
    </w:p>
    <w:p>
      <w:pPr>
        <w:spacing w:after="0" w:line="11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In addition to the personnel of CEG, the Company relies on other third-party service providers in the daily operations of its facilities in the Flexible Generation segment, as well as certain renewable facilities.</w:t>
      </w:r>
    </w:p>
    <w:p>
      <w:pPr>
        <w:spacing w:after="0" w:line="118"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19"/>
          <w:szCs w:val="19"/>
          <w:color w:val="auto"/>
        </w:rPr>
        <w:t>The Company and CEG focus on attracting, developing and retaining a team of highly talented and motivated employees. The Company and CEG seek to attract and retain employees with industry experience and relevant skills to support operations, which in certain areas requires specific professional or technical skills and experience. The Company’s and CEG’s programs to attract and recruit qualified candidates focus on identifying qualified candidates from a variety of backgrounds with the requisite skills and experience to bring value to the Company.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The Company and CEG utilize various programs for developing and retaining employees that focus on employee engagement and belonging, as well as continuing education. Employee performance is measured in part based on goals that are aligned with the Company’s annual objectives. The Company recognizes that its success is based on the talents and dedication of those it employs, and the Company is highly invested in their success.</w:t>
      </w:r>
    </w:p>
    <w:p>
      <w:pPr>
        <w:spacing w:after="0" w:line="14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20"/>
          <w:szCs w:val="20"/>
          <w:color w:val="auto"/>
        </w:rPr>
        <w:t>The Company and CEG are committed to maintaining a workplace that acknowledges, encourages and values its employees as individuals. The Company and CEG believe that individual differences, experiences, and strengths enrich the Company’s culture and help the Company to better understand the needs of its customers and the communities in which it operates.</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260"/>
          </w:cols>
          <w:pgMar w:left="820" w:top="364" w:right="80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Environmental, Social and Governance (ESG)</w:t>
      </w:r>
    </w:p>
    <w:p>
      <w:pPr>
        <w:spacing w:after="0" w:line="197"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8"/>
          <w:szCs w:val="18"/>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The Company’s Board of Directors reviews developing trends and emerging ESG matters as well as the Company’s strategies, activities, policies and communications regarding ESG matters, and reviews and considers potential actions the Company could take regarding ESG matters.</w:t>
      </w:r>
    </w:p>
    <w:p>
      <w:pPr>
        <w:spacing w:after="0" w:line="112"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Aligned with the Company’s strategy of owning and acquiring environmentally-sound assets, in 2024, approximately 86% of the Company’s total operating revenues were not tied to the dispatch of power generation emitting GHGs. This non-GHG emitting operating revenue included renewable energy generation and grid reliability services in the Company’s Renewables segment and grid reliability services in the Flexible Generation segment at the El Segundo, Marsh Landing and Walnut Creek facilities. Also in 2024, 96% of the Company’s total generation was attributable to renewable energy and storage assets. The Company has also issued $2,125 million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97" w:lineRule="exact"/>
        <w:rPr>
          <w:sz w:val="20"/>
          <w:szCs w:val="20"/>
          <w:color w:val="auto"/>
        </w:rPr>
      </w:pPr>
    </w:p>
    <w:p>
      <w:pPr>
        <w:jc w:val="both"/>
        <w:ind w:right="20" w:firstLine="450"/>
        <w:spacing w:after="0" w:line="273" w:lineRule="auto"/>
        <w:rPr>
          <w:sz w:val="20"/>
          <w:szCs w:val="20"/>
          <w:color w:val="auto"/>
        </w:rPr>
      </w:pPr>
      <w:r>
        <w:rPr>
          <w:rFonts w:ascii="Arial" w:cs="Arial" w:eastAsia="Arial" w:hAnsi="Arial"/>
          <w:sz w:val="19"/>
          <w:szCs w:val="19"/>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Arial" w:cs="Arial" w:eastAsia="Arial" w:hAnsi="Arial"/>
          <w:sz w:val="19"/>
          <w:szCs w:val="19"/>
          <w:b w:val="1"/>
          <w:bCs w:val="1"/>
          <w:i w:val="1"/>
          <w:iCs w:val="1"/>
          <w:color w:val="auto"/>
        </w:rPr>
        <w:t>www.clearwayenergy.com</w:t>
      </w:r>
      <w:r>
        <w:rPr>
          <w:rFonts w:ascii="Arial" w:cs="Arial" w:eastAsia="Arial" w:hAnsi="Arial"/>
          <w:sz w:val="19"/>
          <w:szCs w:val="19"/>
          <w:color w:val="auto"/>
        </w:rPr>
        <w:t>, as soon as reasonably practicable after they are electronically filed with, or furnished to, the SEC.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also routinely posts press releases, presentations, webcasts, and other information regarding the Company on its website. The information posted on the Company’s website is not a part of this report.</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260"/>
          </w:cols>
          <w:pgMar w:left="820" w:top="360" w:right="80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Item 1A — Risk Factors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business is subject to numerous risks and uncertainties, discussed in more detail in the following section.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These risks include, among others, the following key risks: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Business</w:t>
      </w:r>
    </w:p>
    <w:p>
      <w:pPr>
        <w:spacing w:after="0" w:line="137" w:lineRule="exact"/>
        <w:rPr>
          <w:sz w:val="20"/>
          <w:szCs w:val="20"/>
          <w:color w:val="auto"/>
        </w:rPr>
      </w:pPr>
    </w:p>
    <w:p>
      <w:pPr>
        <w:ind w:left="720" w:hanging="37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ability to grow and make investments or acquisitions through cash on hand is limited.</w:t>
      </w:r>
    </w:p>
    <w:p>
      <w:pPr>
        <w:spacing w:after="0" w:line="50" w:lineRule="exact"/>
        <w:rPr>
          <w:rFonts w:ascii="Arial" w:cs="Arial" w:eastAsia="Arial" w:hAnsi="Arial"/>
          <w:sz w:val="20"/>
          <w:szCs w:val="20"/>
          <w:color w:val="auto"/>
        </w:rPr>
      </w:pPr>
    </w:p>
    <w:p>
      <w:pPr>
        <w:jc w:val="both"/>
        <w:ind w:left="720" w:right="20" w:hanging="370"/>
        <w:spacing w:after="0" w:line="26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3" w:lineRule="exact"/>
        <w:rPr>
          <w:rFonts w:ascii="Arial" w:cs="Arial" w:eastAsia="Arial" w:hAnsi="Arial"/>
          <w:sz w:val="20"/>
          <w:szCs w:val="20"/>
          <w:color w:val="auto"/>
        </w:rPr>
      </w:pPr>
    </w:p>
    <w:p>
      <w:pPr>
        <w:ind w:left="720" w:right="20" w:hanging="370"/>
        <w:spacing w:after="0" w:line="28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Counterparties to the Company’s offtake agreements may not fulfill their obligations and, as the contracts expire or terminate, the Company may not be able to replace them with agreements on similar terms, or at all.</w:t>
      </w:r>
    </w:p>
    <w:p>
      <w:pPr>
        <w:spacing w:after="0" w:line="1" w:lineRule="exact"/>
        <w:rPr>
          <w:rFonts w:ascii="Arial" w:cs="Arial" w:eastAsia="Arial" w:hAnsi="Arial"/>
          <w:sz w:val="19"/>
          <w:szCs w:val="19"/>
          <w:color w:val="auto"/>
        </w:rPr>
      </w:pPr>
    </w:p>
    <w:p>
      <w:pPr>
        <w:ind w:left="720" w:right="20" w:hanging="370"/>
        <w:spacing w:after="0" w:line="27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ability to effectively consummate future investments or acquisitions will also depend on the Company’s ability to arrange the required or desired financing for investments or acquisitions.</w:t>
      </w:r>
    </w:p>
    <w:p>
      <w:pPr>
        <w:ind w:left="720" w:hanging="370"/>
        <w:spacing w:after="0" w:line="27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indebtedness could adversely affect its ability to raise additional capital to fund the Company’s operations or pay dividends.</w:t>
      </w:r>
    </w:p>
    <w:p>
      <w:pPr>
        <w:jc w:val="both"/>
        <w:ind w:left="720" w:right="20" w:hanging="370"/>
        <w:spacing w:after="0" w:line="26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3" w:lineRule="exact"/>
        <w:rPr>
          <w:rFonts w:ascii="Arial" w:cs="Arial" w:eastAsia="Arial" w:hAnsi="Arial"/>
          <w:sz w:val="20"/>
          <w:szCs w:val="20"/>
          <w:color w:val="auto"/>
        </w:rPr>
      </w:pPr>
    </w:p>
    <w:p>
      <w:pPr>
        <w:ind w:left="720" w:right="20" w:hanging="370"/>
        <w:spacing w:after="0" w:line="27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Maintenance, expansion and refurbishment of electric generation facilities involve significant risks that could result in unplanned power outages or reduced output.</w:t>
      </w:r>
    </w:p>
    <w:p>
      <w:pPr>
        <w:ind w:left="720" w:right="20" w:hanging="370"/>
        <w:spacing w:after="0" w:line="27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Supplier concentration at certain of the Company’s facilities and the inability of suppliers to meet their obligations may expose the Company to significant financial credit or performance risks.</w:t>
      </w:r>
    </w:p>
    <w:p>
      <w:pPr>
        <w:ind w:left="720" w:right="20" w:hanging="370"/>
        <w:spacing w:after="0" w:line="30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currently owns, and in the future may acquire, certain assets in which the Company has limited control over management decisions and its interests in such assets may be subject to transfer or other related restrictions.</w:t>
      </w:r>
    </w:p>
    <w:p>
      <w:pPr>
        <w:ind w:left="720" w:right="20" w:hanging="370"/>
        <w:spacing w:after="0" w:line="30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exposed to risks inherent in the use of interest rate swaps and energy-related financial instruments. The Company may be exposed to additional risks in the future if it utilizes other derivative instruments.</w:t>
      </w:r>
    </w:p>
    <w:p>
      <w:pPr>
        <w:jc w:val="both"/>
        <w:ind w:left="720" w:hanging="370"/>
        <w:spacing w:after="0" w:line="26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does not own all of the land on which its facilities are located, which could result in disruption to its operations. The Company’s use and enjoyment of real property rights for its facilities may be adversely affected by the rights of lienholders and leaseholders that are superior to those of the grantors of those real property rights to the Company.</w:t>
      </w:r>
    </w:p>
    <w:p>
      <w:pPr>
        <w:spacing w:after="0" w:line="3" w:lineRule="exact"/>
        <w:rPr>
          <w:rFonts w:ascii="Arial" w:cs="Arial" w:eastAsia="Arial" w:hAnsi="Arial"/>
          <w:sz w:val="20"/>
          <w:szCs w:val="20"/>
          <w:color w:val="auto"/>
        </w:rPr>
      </w:pPr>
    </w:p>
    <w:p>
      <w:pPr>
        <w:ind w:left="720" w:right="20" w:hanging="370"/>
        <w:spacing w:after="0" w:line="27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businesses are subject to physical, market and economic risks relating to potential effects of climate change and public and governmental initiatives to address climate change.</w:t>
      </w:r>
    </w:p>
    <w:p>
      <w:pPr>
        <w:jc w:val="both"/>
        <w:ind w:left="720" w:hanging="370"/>
        <w:spacing w:after="0" w:line="26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business, financial condition, results of operations and cash flows.</w:t>
      </w:r>
    </w:p>
    <w:p>
      <w:pPr>
        <w:spacing w:after="0" w:line="3" w:lineRule="exact"/>
        <w:rPr>
          <w:rFonts w:ascii="Arial" w:cs="Arial" w:eastAsia="Arial" w:hAnsi="Arial"/>
          <w:sz w:val="20"/>
          <w:szCs w:val="20"/>
          <w:color w:val="auto"/>
        </w:rPr>
      </w:pPr>
    </w:p>
    <w:p>
      <w:pPr>
        <w:ind w:left="720" w:hanging="37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operation of the Company’s businesses is subject to cyber-based security and integrity risk.</w:t>
      </w:r>
    </w:p>
    <w:p>
      <w:pPr>
        <w:spacing w:after="0" w:line="50" w:lineRule="exact"/>
        <w:rPr>
          <w:rFonts w:ascii="Arial" w:cs="Arial" w:eastAsia="Arial" w:hAnsi="Arial"/>
          <w:sz w:val="20"/>
          <w:szCs w:val="20"/>
          <w:color w:val="auto"/>
        </w:rPr>
      </w:pPr>
    </w:p>
    <w:p>
      <w:pPr>
        <w:jc w:val="both"/>
        <w:ind w:left="720" w:right="20" w:hanging="370"/>
        <w:spacing w:after="0" w:line="26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3" w:lineRule="exact"/>
        <w:rPr>
          <w:rFonts w:ascii="Arial" w:cs="Arial" w:eastAsia="Arial" w:hAnsi="Arial"/>
          <w:sz w:val="20"/>
          <w:szCs w:val="20"/>
          <w:color w:val="auto"/>
        </w:rPr>
      </w:pPr>
    </w:p>
    <w:p>
      <w:pPr>
        <w:ind w:left="720" w:right="20" w:hanging="370"/>
        <w:spacing w:after="0" w:line="28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1" w:lineRule="exact"/>
        <w:rPr>
          <w:rFonts w:ascii="Arial" w:cs="Arial" w:eastAsia="Arial" w:hAnsi="Arial"/>
          <w:sz w:val="19"/>
          <w:szCs w:val="19"/>
          <w:color w:val="auto"/>
        </w:rPr>
      </w:pPr>
    </w:p>
    <w:p>
      <w:pPr>
        <w:jc w:val="both"/>
        <w:ind w:left="720" w:right="20" w:hanging="370"/>
        <w:spacing w:after="0" w:line="264"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 w:lineRule="exact"/>
        <w:rPr>
          <w:rFonts w:ascii="Arial" w:cs="Arial" w:eastAsia="Arial" w:hAnsi="Arial"/>
          <w:sz w:val="20"/>
          <w:szCs w:val="20"/>
          <w:color w:val="auto"/>
        </w:rPr>
      </w:pPr>
    </w:p>
    <w:p>
      <w:pPr>
        <w:ind w:left="720" w:right="20" w:hanging="370"/>
        <w:spacing w:after="0" w:line="283"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potentially be adversely affected by emerging technologies that may over time impact capacity markets and the energy industry overall.</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260"/>
          </w:cols>
          <w:pgMar w:left="820" w:top="360" w:right="80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Risks Related to the Company’s Relationship with GIP, TotalEnergies and CEG</w:t>
      </w:r>
    </w:p>
    <w:p>
      <w:pPr>
        <w:spacing w:after="0" w:line="137" w:lineRule="exact"/>
        <w:rPr>
          <w:sz w:val="20"/>
          <w:szCs w:val="20"/>
          <w:color w:val="auto"/>
        </w:rPr>
      </w:pPr>
    </w:p>
    <w:p>
      <w:pPr>
        <w:ind w:left="720" w:right="20" w:hanging="370"/>
        <w:spacing w:after="0" w:line="285"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GIP and TotalEnergies, through their equal ownership of CEG, the Company’s controlling stockholder, exercise substantial influence over the Company. The Company is highly dependent on GIP, TotalEnergies and CEG.</w:t>
      </w:r>
    </w:p>
    <w:p>
      <w:pPr>
        <w:spacing w:after="0" w:line="1" w:lineRule="exact"/>
        <w:rPr>
          <w:rFonts w:ascii="Arial" w:cs="Arial" w:eastAsia="Arial" w:hAnsi="Arial"/>
          <w:sz w:val="19"/>
          <w:szCs w:val="19"/>
          <w:color w:val="auto"/>
        </w:rPr>
      </w:pPr>
    </w:p>
    <w:p>
      <w:pPr>
        <w:ind w:left="720" w:right="20" w:hanging="370"/>
        <w:spacing w:after="0" w:line="254"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CEG controls the Company and has the ability to designate a majority of the members of the Company’s Board of Directors.</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may not be able to consummate future acquisitions from CEG.</w:t>
      </w:r>
    </w:p>
    <w:p>
      <w:pPr>
        <w:spacing w:after="0" w:line="50" w:lineRule="exact"/>
        <w:rPr>
          <w:rFonts w:ascii="Arial" w:cs="Arial" w:eastAsia="Arial" w:hAnsi="Arial"/>
          <w:sz w:val="20"/>
          <w:szCs w:val="20"/>
          <w:color w:val="auto"/>
        </w:rPr>
      </w:pPr>
    </w:p>
    <w:p>
      <w:pPr>
        <w:ind w:left="720" w:hanging="37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may be unable to terminate the CEG Master Services Agreement, in certain circumstances.</w:t>
      </w:r>
    </w:p>
    <w:p>
      <w:pPr>
        <w:spacing w:after="0" w:line="50" w:lineRule="exact"/>
        <w:rPr>
          <w:rFonts w:ascii="Arial" w:cs="Arial" w:eastAsia="Arial" w:hAnsi="Arial"/>
          <w:sz w:val="20"/>
          <w:szCs w:val="20"/>
          <w:color w:val="auto"/>
        </w:rPr>
      </w:pPr>
    </w:p>
    <w:p>
      <w:pPr>
        <w:ind w:left="720" w:right="20" w:hanging="370"/>
        <w:spacing w:after="0" w:line="301"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CEG terminates the CEG Master Services Agreement or defaults in the performance of its obligations under the agreement, the Company may be unable to contract with a substitute service provider on similar terms, or at all.</w:t>
      </w:r>
    </w:p>
    <w:p>
      <w:pPr>
        <w:jc w:val="both"/>
        <w:ind w:left="720" w:right="20" w:hanging="370"/>
        <w:spacing w:after="0" w:line="266"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w:t>
      </w:r>
    </w:p>
    <w:p>
      <w:pPr>
        <w:spacing w:after="0" w:line="137" w:lineRule="exact"/>
        <w:rPr>
          <w:sz w:val="20"/>
          <w:szCs w:val="20"/>
          <w:color w:val="auto"/>
        </w:rPr>
      </w:pPr>
    </w:p>
    <w:p>
      <w:pPr>
        <w:ind w:left="720" w:hanging="370"/>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Company’s business is subject to restrictions resulting from environmental, health and safety laws and regulations.</w:t>
      </w:r>
    </w:p>
    <w:p>
      <w:pPr>
        <w:spacing w:after="0" w:line="73" w:lineRule="exact"/>
        <w:rPr>
          <w:rFonts w:ascii="Arial" w:cs="Arial" w:eastAsia="Arial" w:hAnsi="Arial"/>
          <w:sz w:val="18"/>
          <w:szCs w:val="18"/>
          <w:b w:val="1"/>
          <w:bCs w:val="1"/>
          <w:color w:val="auto"/>
        </w:rPr>
      </w:pPr>
    </w:p>
    <w:p>
      <w:pPr>
        <w:jc w:val="both"/>
        <w:ind w:left="720" w:right="20" w:hanging="370"/>
        <w:spacing w:after="0" w:line="264"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Arial" w:cs="Arial" w:eastAsia="Arial" w:hAnsi="Arial"/>
          <w:sz w:val="20"/>
          <w:szCs w:val="20"/>
          <w:color w:val="auto"/>
        </w:rPr>
      </w:pPr>
    </w:p>
    <w:p>
      <w:pPr>
        <w:ind w:left="720" w:right="20" w:hanging="370"/>
        <w:spacing w:after="0" w:line="271"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business is subject to complex and evolving U.S. laws and regulations regarding privacy and data protection.</w:t>
      </w:r>
    </w:p>
    <w:p>
      <w:pPr>
        <w:ind w:left="720" w:right="20" w:hanging="370"/>
        <w:spacing w:after="0" w:line="271"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Government regulations providing incentives for renewable power generation could change at any time and such changes may negatively impact the Company’s growth strategy.</w:t>
      </w:r>
    </w:p>
    <w:p>
      <w:pPr>
        <w:ind w:left="720" w:right="20" w:hanging="370"/>
        <w:spacing w:after="0" w:line="266"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U.S. foreign trade policies may materially and adversely affect the Company’s business,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Common Stock</w:t>
      </w:r>
    </w:p>
    <w:p>
      <w:pPr>
        <w:spacing w:after="0" w:line="137" w:lineRule="exact"/>
        <w:rPr>
          <w:sz w:val="20"/>
          <w:szCs w:val="20"/>
          <w:color w:val="auto"/>
        </w:rPr>
      </w:pPr>
    </w:p>
    <w:p>
      <w:pPr>
        <w:jc w:val="both"/>
        <w:ind w:left="720" w:right="20" w:hanging="370"/>
        <w:spacing w:after="0" w:line="26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may not be able to continue paying comparable or growing cash dividends to holders of its common stock in the future. 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3" w:lineRule="exact"/>
        <w:rPr>
          <w:rFonts w:ascii="Arial" w:cs="Arial" w:eastAsia="Arial" w:hAnsi="Arial"/>
          <w:sz w:val="20"/>
          <w:szCs w:val="20"/>
          <w:color w:val="auto"/>
        </w:rPr>
      </w:pPr>
    </w:p>
    <w:p>
      <w:pPr>
        <w:ind w:left="720" w:hanging="370"/>
        <w:spacing w:after="0"/>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color w:val="auto"/>
        </w:rPr>
        <w:t>Market interest rates may have an effect on the value of the Company’s Class A and Class C common stock.</w:t>
      </w:r>
    </w:p>
    <w:p>
      <w:pPr>
        <w:spacing w:after="0" w:line="61" w:lineRule="exact"/>
        <w:rPr>
          <w:rFonts w:ascii="Arial" w:cs="Arial" w:eastAsia="Arial" w:hAnsi="Arial"/>
          <w:sz w:val="19"/>
          <w:szCs w:val="19"/>
          <w:color w:val="auto"/>
        </w:rPr>
      </w:pPr>
    </w:p>
    <w:p>
      <w:pPr>
        <w:jc w:val="both"/>
        <w:ind w:left="720" w:right="20" w:hanging="370"/>
        <w:spacing w:after="0" w:line="26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spacing w:after="0" w:line="3" w:lineRule="exact"/>
        <w:rPr>
          <w:rFonts w:ascii="Arial" w:cs="Arial" w:eastAsia="Arial" w:hAnsi="Arial"/>
          <w:sz w:val="20"/>
          <w:szCs w:val="20"/>
          <w:color w:val="auto"/>
        </w:rPr>
      </w:pPr>
    </w:p>
    <w:p>
      <w:pPr>
        <w:jc w:val="both"/>
        <w:ind w:left="720" w:right="20" w:hanging="370"/>
        <w:spacing w:after="0" w:line="266"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137" w:lineRule="exact"/>
        <w:rPr>
          <w:sz w:val="20"/>
          <w:szCs w:val="20"/>
          <w:color w:val="auto"/>
        </w:rPr>
      </w:pPr>
    </w:p>
    <w:p>
      <w:pPr>
        <w:jc w:val="both"/>
        <w:ind w:left="720" w:hanging="370"/>
        <w:spacing w:after="0" w:line="28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2" w:lineRule="exact"/>
        <w:rPr>
          <w:rFonts w:ascii="Arial" w:cs="Arial" w:eastAsia="Arial" w:hAnsi="Arial"/>
          <w:sz w:val="18"/>
          <w:szCs w:val="18"/>
          <w:color w:val="auto"/>
        </w:rPr>
      </w:pPr>
    </w:p>
    <w:p>
      <w:pPr>
        <w:ind w:left="720" w:hanging="37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ability to use NOLs to offset future income may be limited.</w:t>
      </w:r>
    </w:p>
    <w:p>
      <w:pPr>
        <w:spacing w:after="0" w:line="50" w:lineRule="exact"/>
        <w:rPr>
          <w:rFonts w:ascii="Arial" w:cs="Arial" w:eastAsia="Arial" w:hAnsi="Arial"/>
          <w:sz w:val="20"/>
          <w:szCs w:val="20"/>
          <w:color w:val="auto"/>
        </w:rPr>
      </w:pPr>
    </w:p>
    <w:p>
      <w:pPr>
        <w:ind w:left="720" w:hanging="37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valuation allowance may be required for the Company’s deferred tax assets.</w:t>
      </w:r>
    </w:p>
    <w:p>
      <w:pPr>
        <w:spacing w:after="0" w:line="50" w:lineRule="exact"/>
        <w:rPr>
          <w:rFonts w:ascii="Arial" w:cs="Arial" w:eastAsia="Arial" w:hAnsi="Arial"/>
          <w:sz w:val="20"/>
          <w:szCs w:val="20"/>
          <w:color w:val="auto"/>
        </w:rPr>
      </w:pPr>
    </w:p>
    <w:p>
      <w:pPr>
        <w:ind w:left="720" w:hanging="37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Distributions to holders of the Company’s Class A and Class C common stock may be taxable.</w:t>
      </w:r>
    </w:p>
    <w:p>
      <w:pPr>
        <w:spacing w:after="0" w:line="50" w:lineRule="exact"/>
        <w:rPr>
          <w:rFonts w:ascii="Arial" w:cs="Arial" w:eastAsia="Arial" w:hAnsi="Arial"/>
          <w:sz w:val="20"/>
          <w:szCs w:val="20"/>
          <w:color w:val="auto"/>
        </w:rPr>
      </w:pPr>
    </w:p>
    <w:p>
      <w:pPr>
        <w:jc w:val="both"/>
        <w:ind w:left="720" w:right="20" w:hanging="370"/>
        <w:spacing w:after="0" w:line="278" w:lineRule="auto"/>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ind w:left="720" w:right="20" w:hanging="370"/>
        <w:spacing w:after="0" w:line="283"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ability to comply with tax laws and policies may depend on its contractual arrangements and information provided by third parties and may require significant resources.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260"/>
          </w:cols>
          <w:pgMar w:left="820" w:top="360" w:right="80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Risks Related to the Company’s Business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Pursuant to the Company’s cash dividend policy, the Company intends to distribute a significant amount of the CAFD through regular quarterly distributions and dividends, and the Company’s ability to grow and make investments and acquisitions through cash on hand is limited.</w:t>
      </w:r>
    </w:p>
    <w:p>
      <w:pPr>
        <w:spacing w:after="0" w:line="135" w:lineRule="exact"/>
        <w:rPr>
          <w:sz w:val="20"/>
          <w:szCs w:val="20"/>
          <w:color w:val="auto"/>
        </w:rPr>
      </w:pPr>
    </w:p>
    <w:p>
      <w:pPr>
        <w:jc w:val="both"/>
        <w:ind w:right="20" w:firstLine="450"/>
        <w:spacing w:after="0" w:line="253" w:lineRule="auto"/>
        <w:rPr>
          <w:sz w:val="20"/>
          <w:szCs w:val="20"/>
          <w:color w:val="auto"/>
        </w:rPr>
      </w:pPr>
      <w:r>
        <w:rPr>
          <w:rFonts w:ascii="Arial" w:cs="Arial" w:eastAsia="Arial" w:hAnsi="Arial"/>
          <w:sz w:val="20"/>
          <w:szCs w:val="20"/>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investments, acquisitions and growth capital expenditures. The Company may be precluded from pursuing otherwise attractive investments or acquisitions if the projected short-term cash flow from the investment or acquisition is not adequate to service the capital raised to fund the investment or acquisition, after giving effect to the Company’s available cash reserves. To the extent the Company issues additional equity securities in connection with any investments,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operating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i w:val="1"/>
          <w:iCs w:val="1"/>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140"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Company’s business strategy includes growth through the investments in, and acquisitions of, additional generation assets (including through corporate acquisitions). This strategy depends on the Company’s ability to successfully identify and evaluate investment and acquisition opportunities and consummate investments and acquisitions on favorable terms. However, the number of investment and acquisition opportunities is limited. In addition, the Company will compete with other companies for these limited investment and acquisition opportunities, which may increase the Company’s cost of making investments or acquisitions or cause the Company to refrain from making investments or acquisitions at all. Some of the Company’s competitors for investments and acquisitions are much larger than the Company with substantially greater resources. These companies may be able to pay more for investments or acquisitions and may be able to identify, evaluate, bid for and purchase a greater number of assets than the Company’s financial or human resources permit. If the Company is unable to identify and consummate future investments or acquisitions, it will impede the Company’s ability to execute its growth strategy and limit the Company’s ability to increase the amount of dividends paid to holders of the Company’s common stock.</w:t>
      </w:r>
    </w:p>
    <w:p>
      <w:pPr>
        <w:spacing w:after="0" w:line="126"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color w:val="auto"/>
        </w:rPr>
        <w:t>The Company’s ability to invest in or acquire future renewable facilities may depend on the financial viability of renewable energy assets generally. The financial viability of these assets may, from time to time, be impacted by public policy mechanisms, including PTCs,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50"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19"/>
          <w:szCs w:val="19"/>
          <w:color w:val="auto"/>
        </w:rPr>
        <w:t>The investment in, or acquisition of, companies and assets are subject to substantial risks, including the failure to identify material problems during due diligence (for which the Company may not be indemnified post-closing) and the risk of overpaying for assets (or not making investments or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investments or acquisitions will perform as expected or that the returns from such investments or acquisitions will support the financing utilized to invest in, acquire or maintain them. A failure to achieve the financial returns the Company expects when it invests in or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260"/>
          </w:cols>
          <w:pgMar w:left="820" w:top="360" w:right="800" w:bottom="0" w:gutter="0" w:footer="0" w:header="0"/>
          <w:type w:val="continuous"/>
        </w:sectPr>
      </w:pPr>
    </w:p>
    <w:bookmarkStart w:id="18" w:name="page19"/>
    <w:bookmarkEnd w:id="18"/>
    <w:p>
      <w:pPr>
        <w:jc w:val="both"/>
        <w:ind w:right="20"/>
        <w:spacing w:after="0" w:line="316" w:lineRule="auto"/>
        <w:rPr>
          <w:sz w:val="20"/>
          <w:szCs w:val="20"/>
          <w:color w:val="auto"/>
        </w:rPr>
      </w:pPr>
      <w:r>
        <w:rPr>
          <w:rFonts w:ascii="Arial" w:cs="Arial" w:eastAsia="Arial" w:hAnsi="Arial"/>
          <w:sz w:val="19"/>
          <w:szCs w:val="19"/>
          <w:b w:val="1"/>
          <w:bCs w:val="1"/>
          <w:i w:val="1"/>
          <w:iCs w:val="1"/>
          <w:color w:val="auto"/>
        </w:rPr>
        <w:t>Counterparties to the Company’s offtake agreements may not fulfill their obligations and, as the contracts expire or terminate, the Company may not be able to replace them with agreements on similar terms, or at all.</w:t>
      </w:r>
    </w:p>
    <w:p>
      <w:pPr>
        <w:spacing w:after="0" w:line="93"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The majority of the electric power the Company generates within the Renewables segment is sold under long-term offtake agreements with public utilities or industrial or commercial end-users, with a weighted average remaining duration, based on CAFD, of approximately 12 years. As of December 31, 2024, the largest customers of the Company’s power generation and BESS assets, including assets in which the Company has less than a 100% membership interest, were SCE and PG&amp;E, which represented 24% and 17%, respectively, of total consolidated revenues generated by the Company during the year ended December 31, 2024.</w:t>
      </w:r>
    </w:p>
    <w:p>
      <w:pPr>
        <w:spacing w:after="0" w:line="142"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42"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increasing competition among generators for offtake agreements has contributed to variability in electricity prices in certain markets. As a result, when an existing offtake agreement expires or is terminated, the Company may not be able to secure a replacement agreement on comparable terms and conditions, and the pricing under any such replacement agreement may vary significantly from the expired or terminated agreement, potentially impacting the profitability of the related facility. In addition, the Company’s competitors may be able to respond more quickly to evolving standards or customer requirements or adopt more advanced technology that reduces their production costs, resulting in their ability to compete for, or secure favorable terms in,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21"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27"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The Company’s ability to effectively consummate future investments or acquisitions will also depend on the Company’s ability to arrange the required or desired financing for investments or acquisitions.</w:t>
      </w:r>
    </w:p>
    <w:p>
      <w:pPr>
        <w:spacing w:after="0" w:line="116" w:lineRule="exact"/>
        <w:rPr>
          <w:sz w:val="20"/>
          <w:szCs w:val="20"/>
          <w:color w:val="auto"/>
        </w:rPr>
      </w:pPr>
    </w:p>
    <w:p>
      <w:pPr>
        <w:jc w:val="both"/>
        <w:ind w:right="20" w:firstLine="450"/>
        <w:spacing w:after="0" w:line="285" w:lineRule="auto"/>
        <w:rPr>
          <w:sz w:val="20"/>
          <w:szCs w:val="20"/>
          <w:color w:val="auto"/>
        </w:rPr>
      </w:pPr>
      <w:r>
        <w:rPr>
          <w:rFonts w:ascii="Arial" w:cs="Arial" w:eastAsia="Arial" w:hAnsi="Arial"/>
          <w:sz w:val="18"/>
          <w:szCs w:val="18"/>
          <w:color w:val="auto"/>
        </w:rPr>
        <w:t>The Company may not have sufficient credit availability under the Company’s financing arrangements or have access to facility-level financing on commercially reasonable terms when investment or acquisition opportunities arise. An inability to obtain the required or desired financing could significantly limit the Company’s ability to consummate future investments or acquisitions and effectuate the Company’s growth strategy. If financing is available, utilization of the Company’s credit available under its financing arrangements or facility-level financing for all or a portion of the purchase price of an investment or acquisition could significantly increase the Company’s interest expense, impose additional or more restrictive covenants and reduce CAFD. Similarly, the issuance of additional equity securities as consideration for investments or acquisitions could cause significant stockholder dilution and reduce the Company’s dividends if the investments or acquisitions are not sufficiently accretive. The Company’s ability to consummate future investments or acquisitions may also depend on the Company’s ability to obtain any required regulatory approvals for such investments or acquisitions.</w:t>
      </w:r>
    </w:p>
    <w:p>
      <w:pPr>
        <w:spacing w:after="0" w:line="114"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40"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As of December 31, 2024, the Company had approximately $7,235 million of total consolidated indebtedness, $5,110 million of which was incurred by the Company’s non-guarantor subsidiaries. In addition, the Company’s share of its unconsolidated affiliates’ total indebtedness and letters of credit outstanding as of December 31, 2024, totaled approximately $282 million and $39 million, respectively (calculated as the Company’s unconsolidated affiliates’ total indebtedness as of such date multiplied by the Company’s percentage membership interest in such assets).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260"/>
          </w:cols>
          <w:pgMar w:left="820" w:top="359" w:right="800" w:bottom="0" w:gutter="0" w:footer="0" w:header="0"/>
          <w:type w:val="continuous"/>
        </w:sectPr>
      </w:pPr>
    </w:p>
    <w:bookmarkStart w:id="19" w:name="page20"/>
    <w:bookmarkEnd w:id="19"/>
    <w:p>
      <w:pPr>
        <w:ind w:right="20" w:firstLine="450"/>
        <w:spacing w:after="0" w:line="283" w:lineRule="auto"/>
        <w:rPr>
          <w:sz w:val="20"/>
          <w:szCs w:val="20"/>
          <w:color w:val="auto"/>
        </w:rPr>
      </w:pPr>
      <w:r>
        <w:rPr>
          <w:rFonts w:ascii="Arial" w:cs="Arial" w:eastAsia="Arial" w:hAnsi="Arial"/>
          <w:sz w:val="20"/>
          <w:szCs w:val="20"/>
          <w:color w:val="auto"/>
        </w:rPr>
        <w:t>The Company’s substantial debt could have important negative consequences on the Company’s financial condition, including:</w:t>
      </w:r>
    </w:p>
    <w:p>
      <w:pPr>
        <w:spacing w:after="0" w:line="58" w:lineRule="exact"/>
        <w:rPr>
          <w:sz w:val="20"/>
          <w:szCs w:val="20"/>
          <w:color w:val="auto"/>
        </w:rPr>
      </w:pPr>
    </w:p>
    <w:p>
      <w:pPr>
        <w:ind w:left="720" w:hanging="370"/>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increasing the Company’s vulnerability to general economic and industry conditions;</w:t>
      </w:r>
    </w:p>
    <w:p>
      <w:pPr>
        <w:spacing w:after="0" w:line="70" w:lineRule="exact"/>
        <w:rPr>
          <w:rFonts w:ascii="Arial" w:cs="Arial" w:eastAsia="Arial" w:hAnsi="Arial"/>
          <w:sz w:val="20"/>
          <w:szCs w:val="20"/>
          <w:color w:val="auto"/>
        </w:rPr>
      </w:pPr>
    </w:p>
    <w:p>
      <w:pPr>
        <w:jc w:val="both"/>
        <w:ind w:left="720" w:right="20" w:hanging="370"/>
        <w:spacing w:after="0" w:line="279"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4" w:lineRule="exact"/>
        <w:rPr>
          <w:rFonts w:ascii="Arial" w:cs="Arial" w:eastAsia="Arial" w:hAnsi="Arial"/>
          <w:sz w:val="19"/>
          <w:szCs w:val="19"/>
          <w:color w:val="auto"/>
        </w:rPr>
      </w:pPr>
    </w:p>
    <w:p>
      <w:pPr>
        <w:ind w:left="720" w:hanging="370"/>
        <w:spacing w:after="0"/>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limiting the Company’s ability to enter into long-term power sales or fuel purchases which require credit support;</w:t>
      </w:r>
    </w:p>
    <w:p>
      <w:pPr>
        <w:spacing w:after="0" w:line="81" w:lineRule="exact"/>
        <w:rPr>
          <w:rFonts w:ascii="Arial" w:cs="Arial" w:eastAsia="Arial" w:hAnsi="Arial"/>
          <w:sz w:val="19"/>
          <w:szCs w:val="19"/>
          <w:color w:val="auto"/>
        </w:rPr>
      </w:pPr>
    </w:p>
    <w:p>
      <w:pPr>
        <w:ind w:left="720" w:hanging="370"/>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fund operations or future investments or acquisitions;</w:t>
      </w:r>
    </w:p>
    <w:p>
      <w:pPr>
        <w:spacing w:after="0" w:line="70" w:lineRule="exact"/>
        <w:rPr>
          <w:rFonts w:ascii="Arial" w:cs="Arial" w:eastAsia="Arial" w:hAnsi="Arial"/>
          <w:sz w:val="20"/>
          <w:szCs w:val="20"/>
          <w:color w:val="auto"/>
        </w:rPr>
      </w:pPr>
    </w:p>
    <w:p>
      <w:pPr>
        <w:jc w:val="both"/>
        <w:ind w:left="720" w:right="20" w:hanging="370"/>
        <w:spacing w:after="0" w:line="261"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spacing w:after="0" w:line="19"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exposing the Company to the risk of increased interest rates because certain of the Company’s borrowings, which may include borrowings under the Company’s revolving credit facility, are at variable rates of interest;</w:t>
      </w:r>
    </w:p>
    <w:p>
      <w:pPr>
        <w:spacing w:after="0" w:line="1" w:lineRule="exact"/>
        <w:rPr>
          <w:rFonts w:ascii="Arial" w:cs="Arial" w:eastAsia="Arial" w:hAnsi="Arial"/>
          <w:sz w:val="20"/>
          <w:szCs w:val="20"/>
          <w:color w:val="auto"/>
        </w:rPr>
      </w:pPr>
    </w:p>
    <w:p>
      <w:pPr>
        <w:ind w:left="720" w:right="20" w:hanging="370"/>
        <w:spacing w:after="0" w:line="31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investments, acquisitions and general corporate or other purposes; and</w:t>
      </w:r>
    </w:p>
    <w:p>
      <w:pPr>
        <w:ind w:left="720" w:right="20" w:hanging="370"/>
        <w:spacing w:after="0" w:line="283"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adjust to changing market conditions and placing it at a competitive disadvantage compared to the Company’s competitors who have less debt.</w:t>
      </w:r>
    </w:p>
    <w:p>
      <w:pPr>
        <w:spacing w:after="0" w:line="118" w:lineRule="exact"/>
        <w:rPr>
          <w:sz w:val="20"/>
          <w:szCs w:val="20"/>
          <w:color w:val="auto"/>
        </w:rPr>
      </w:pPr>
    </w:p>
    <w:p>
      <w:pPr>
        <w:jc w:val="both"/>
        <w:ind w:right="20" w:firstLine="450"/>
        <w:spacing w:after="0" w:line="288" w:lineRule="auto"/>
        <w:rPr>
          <w:sz w:val="20"/>
          <w:szCs w:val="20"/>
          <w:color w:val="auto"/>
        </w:rPr>
      </w:pPr>
      <w:r>
        <w:rPr>
          <w:rFonts w:ascii="Arial" w:cs="Arial" w:eastAsia="Arial" w:hAnsi="Arial"/>
          <w:sz w:val="18"/>
          <w:szCs w:val="18"/>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21"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agreements governing the Company’s facility-level financing contain financial and other restrictive covenants that limit the Company’s operating subsidiaries’ ability to make distributions to the Company or otherwise engage in activities that may be in the Company’s long-term best interests. The facility-level financing agreements generally prohibit distributions from the operating subsidiaries to the Company unless certain specific conditions are met, including the satisfaction of certain financial ratios. The Company’s inability to satisfy certain financial covenants may prevent cash distributions by the particular operating subsidiary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operating subsidiaries, it would likely have a material adverse effect on the Company’s ability to pay dividends to holders of the Company’s common stock.</w:t>
      </w:r>
    </w:p>
    <w:p>
      <w:pPr>
        <w:spacing w:after="0" w:line="126" w:lineRule="exact"/>
        <w:rPr>
          <w:sz w:val="20"/>
          <w:szCs w:val="20"/>
          <w:color w:val="auto"/>
        </w:rPr>
      </w:pPr>
    </w:p>
    <w:p>
      <w:pPr>
        <w:jc w:val="both"/>
        <w:ind w:right="20" w:firstLine="450"/>
        <w:spacing w:after="0" w:line="288" w:lineRule="auto"/>
        <w:rPr>
          <w:sz w:val="20"/>
          <w:szCs w:val="20"/>
          <w:color w:val="auto"/>
        </w:rPr>
      </w:pPr>
      <w:r>
        <w:rPr>
          <w:rFonts w:ascii="Arial" w:cs="Arial" w:eastAsia="Arial" w:hAnsi="Arial"/>
          <w:sz w:val="18"/>
          <w:szCs w:val="18"/>
          <w:color w:val="auto"/>
        </w:rPr>
        <w:t>Letter of credit facilities to support contractual obligations of operating subsidiaries generally have a limited term that may require future renewal, at which time the Company or relevant operating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facility-level financing arrangements, restrict the ability of the operating subsidiary to make distributions to it and/or reduce the amount of cash available at such subsidiary to make distributions to the Company.</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260"/>
          </w:cols>
          <w:pgMar w:left="820" w:top="367" w:right="800" w:bottom="0" w:gutter="0" w:footer="0" w:header="0"/>
          <w:type w:val="continuous"/>
        </w:sectPr>
      </w:pPr>
    </w:p>
    <w:bookmarkStart w:id="20" w:name="page21"/>
    <w:bookmarkEnd w:id="20"/>
    <w:p>
      <w:pPr>
        <w:ind w:right="20" w:firstLine="450"/>
        <w:spacing w:after="0" w:line="283" w:lineRule="auto"/>
        <w:rPr>
          <w:sz w:val="20"/>
          <w:szCs w:val="20"/>
          <w:color w:val="auto"/>
        </w:rPr>
      </w:pPr>
      <w:r>
        <w:rPr>
          <w:rFonts w:ascii="Arial" w:cs="Arial" w:eastAsia="Arial" w:hAnsi="Arial"/>
          <w:sz w:val="20"/>
          <w:szCs w:val="20"/>
          <w:color w:val="auto"/>
        </w:rPr>
        <w:t>In addition, the Company’s ability to arrange financing, either at the corporate level or at a non-recourse operating subsidiary, and the costs of such capital, are dependent on numerous factors, including:</w:t>
      </w:r>
    </w:p>
    <w:p>
      <w:pPr>
        <w:spacing w:after="0" w:line="58" w:lineRule="exact"/>
        <w:rPr>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general economic and capital market conditions;</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credit availability from banks and other financial institutions;</w:t>
      </w:r>
    </w:p>
    <w:p>
      <w:pPr>
        <w:spacing w:after="0" w:line="70"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investor confidence in the Company, its partners, GIP and TotalEnergies, through CEG, the Company’s principal stockholder (on a combined voting basis);</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investor confidence in the regional wholesale power markets;</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financial performance and the financial performance of the Company subsidiaries;</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level of indebtedness and compliance with covenants in debt agreements;</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maintenance of acceptable credit ratings or credit quality;</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cash flow; and</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provisions of tax and securities laws that may impact raising capital.</w:t>
      </w:r>
    </w:p>
    <w:p>
      <w:pPr>
        <w:spacing w:after="0" w:line="19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20"/>
          <w:szCs w:val="20"/>
          <w:color w:val="auto"/>
        </w:rPr>
        <w:t>The Company may not be successful in obtaining additional capital for these or other reasons. Furthermore, the Company may be unable to refinance or replace facility-level financing arrangements or other credit facilities on favorable terms or at all upon the expiration or termination thereof. The Company’s failure, or the failure of any of the Company’s facilities,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4"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Certain of the Company’s long-term bilateral contracts result from state-mandated procurements and could be declared invalid by a court of competent jurisdiction.</w:t>
      </w:r>
    </w:p>
    <w:p>
      <w:pPr>
        <w:spacing w:after="0" w:line="116" w:lineRule="exact"/>
        <w:rPr>
          <w:sz w:val="20"/>
          <w:szCs w:val="20"/>
          <w:color w:val="auto"/>
        </w:rPr>
      </w:pPr>
    </w:p>
    <w:p>
      <w:pPr>
        <w:jc w:val="both"/>
        <w:ind w:right="20" w:firstLine="450"/>
        <w:spacing w:after="0" w:line="270" w:lineRule="auto"/>
        <w:rPr>
          <w:sz w:val="20"/>
          <w:szCs w:val="20"/>
          <w:color w:val="auto"/>
        </w:rPr>
      </w:pPr>
      <w:r>
        <w:rPr>
          <w:rFonts w:ascii="Arial" w:cs="Arial" w:eastAsia="Arial" w:hAnsi="Arial"/>
          <w:sz w:val="19"/>
          <w:szCs w:val="19"/>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25"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The generation of electric energy from solar and wind energy sources depends heavily on suitable meteorological conditions.</w:t>
      </w:r>
    </w:p>
    <w:p>
      <w:pPr>
        <w:spacing w:after="0" w:line="116" w:lineRule="exact"/>
        <w:rPr>
          <w:sz w:val="20"/>
          <w:szCs w:val="20"/>
          <w:color w:val="auto"/>
        </w:rPr>
      </w:pPr>
    </w:p>
    <w:p>
      <w:pPr>
        <w:jc w:val="both"/>
        <w:ind w:firstLine="450"/>
        <w:spacing w:after="0" w:line="281" w:lineRule="auto"/>
        <w:rPr>
          <w:sz w:val="20"/>
          <w:szCs w:val="20"/>
          <w:color w:val="auto"/>
        </w:rPr>
      </w:pPr>
      <w:r>
        <w:rPr>
          <w:rFonts w:ascii="Arial" w:cs="Arial" w:eastAsia="Arial" w:hAnsi="Arial"/>
          <w:sz w:val="18"/>
          <w:szCs w:val="18"/>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energy assets. For example, in February 2021, many electricity generating assets, including the Company’s wind facilities in Texas, were unable to operate and experienced outages for a few days as a result of the extreme winter weather conditions. In addition, climate change may have the long-term effect of changing wind patterns at the Company’s facilities. Changing wind patterns could cause changes in expected electricity generation. These events could also degrade equipment or components and the interconnection and transmission facilities’ lives or maintenance costs.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260"/>
          </w:cols>
          <w:pgMar w:left="820" w:top="367" w:right="800" w:bottom="0" w:gutter="0" w:footer="0" w:header="0"/>
          <w:type w:val="continuous"/>
        </w:sectPr>
      </w:pPr>
    </w:p>
    <w:bookmarkStart w:id="21" w:name="page22"/>
    <w:bookmarkEnd w:id="21"/>
    <w:p>
      <w:pPr>
        <w:jc w:val="both"/>
        <w:ind w:right="20" w:firstLine="450"/>
        <w:spacing w:after="0" w:line="290" w:lineRule="auto"/>
        <w:rPr>
          <w:sz w:val="20"/>
          <w:szCs w:val="20"/>
          <w:color w:val="auto"/>
        </w:rPr>
      </w:pPr>
      <w:r>
        <w:rPr>
          <w:rFonts w:ascii="Arial" w:cs="Arial" w:eastAsia="Arial" w:hAnsi="Arial"/>
          <w:sz w:val="18"/>
          <w:szCs w:val="18"/>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11" w:lineRule="exact"/>
        <w:rPr>
          <w:sz w:val="20"/>
          <w:szCs w:val="20"/>
          <w:color w:val="auto"/>
        </w:rPr>
      </w:pPr>
    </w:p>
    <w:p>
      <w:pPr>
        <w:jc w:val="both"/>
        <w:ind w:right="20"/>
        <w:spacing w:after="0" w:line="381" w:lineRule="auto"/>
        <w:rPr>
          <w:sz w:val="20"/>
          <w:szCs w:val="20"/>
          <w:color w:val="auto"/>
        </w:rPr>
      </w:pPr>
      <w:r>
        <w:rPr>
          <w:rFonts w:ascii="Arial" w:cs="Arial" w:eastAsia="Arial" w:hAnsi="Arial"/>
          <w:sz w:val="17"/>
          <w:szCs w:val="17"/>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48" w:lineRule="exact"/>
        <w:rPr>
          <w:sz w:val="20"/>
          <w:szCs w:val="20"/>
          <w:color w:val="auto"/>
        </w:rPr>
      </w:pPr>
    </w:p>
    <w:p>
      <w:pPr>
        <w:jc w:val="both"/>
        <w:ind w:firstLine="450"/>
        <w:spacing w:after="0" w:line="280" w:lineRule="auto"/>
        <w:rPr>
          <w:sz w:val="20"/>
          <w:szCs w:val="20"/>
          <w:color w:val="auto"/>
        </w:rPr>
      </w:pPr>
      <w:r>
        <w:rPr>
          <w:rFonts w:ascii="Arial" w:cs="Arial" w:eastAsia="Arial" w:hAnsi="Arial"/>
          <w:sz w:val="18"/>
          <w:szCs w:val="18"/>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381"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Company’s facilities may operate, wholly or partially, without long-term power sales agreements.</w:t>
      </w:r>
    </w:p>
    <w:p>
      <w:pPr>
        <w:spacing w:after="0" w:line="198"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260"/>
          </w:cols>
          <w:pgMar w:left="820" w:top="367" w:right="800" w:bottom="0" w:gutter="0" w:footer="0" w:header="0"/>
          <w:type w:val="continuous"/>
        </w:sectPr>
      </w:pPr>
    </w:p>
    <w:bookmarkStart w:id="22" w:name="page23"/>
    <w:bookmarkEnd w:id="22"/>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Maintenance, expansion and refurbishment of electric generation facilities involve significant risks that could result in unplanned power outages or reduced output.</w:t>
      </w:r>
    </w:p>
    <w:p>
      <w:pPr>
        <w:spacing w:after="0" w:line="116"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8"/>
          <w:szCs w:val="18"/>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9" w:lineRule="exact"/>
        <w:rPr>
          <w:sz w:val="20"/>
          <w:szCs w:val="20"/>
          <w:color w:val="auto"/>
        </w:rPr>
      </w:pPr>
    </w:p>
    <w:p>
      <w:pPr>
        <w:jc w:val="both"/>
        <w:ind w:right="20" w:firstLine="450"/>
        <w:spacing w:after="0" w:line="269" w:lineRule="auto"/>
        <w:rPr>
          <w:sz w:val="20"/>
          <w:szCs w:val="20"/>
          <w:color w:val="auto"/>
        </w:rPr>
      </w:pPr>
      <w:r>
        <w:rPr>
          <w:rFonts w:ascii="Arial" w:cs="Arial" w:eastAsia="Arial" w:hAnsi="Arial"/>
          <w:sz w:val="19"/>
          <w:szCs w:val="19"/>
          <w:color w:val="auto"/>
        </w:rPr>
        <w:t>If the Company makes any major modifications to its facilities in the Flexible Generation segment, it may be required to install the best available control technology or to achieve the lowest achievable emission rates as such terms are defined under the new source review provisions of the Clean Air Act in the future. Any such modifications could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28"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Supplier concentration at certain of the Company’s facilities and the inability of suppliers to meet their obligations may expose the Company to significant financial credit or performance risks.</w:t>
      </w:r>
    </w:p>
    <w:p>
      <w:pPr>
        <w:spacing w:after="0" w:line="116" w:lineRule="exact"/>
        <w:rPr>
          <w:sz w:val="20"/>
          <w:szCs w:val="20"/>
          <w:color w:val="auto"/>
        </w:rPr>
      </w:pPr>
    </w:p>
    <w:p>
      <w:pPr>
        <w:jc w:val="both"/>
        <w:ind w:right="20" w:firstLine="450"/>
        <w:spacing w:after="0" w:line="284" w:lineRule="auto"/>
        <w:rPr>
          <w:sz w:val="20"/>
          <w:szCs w:val="20"/>
          <w:color w:val="auto"/>
        </w:rPr>
      </w:pPr>
      <w:r>
        <w:rPr>
          <w:rFonts w:ascii="Arial" w:cs="Arial" w:eastAsia="Arial" w:hAnsi="Arial"/>
          <w:sz w:val="18"/>
          <w:szCs w:val="18"/>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21"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failure of any supplier to fulfill its contractual obligations to the Company could have a material adverse effect on its financial results. Consequently, the financial performance of the Company’s facilities is dependent on the credit quality of, and continued performance by, the Company’s suppliers and vendors.</w:t>
      </w:r>
    </w:p>
    <w:p>
      <w:pPr>
        <w:spacing w:after="0" w:line="127"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6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8"/>
          <w:szCs w:val="18"/>
          <w:color w:val="auto"/>
        </w:rPr>
        <w:t xml:space="preserve">As described in Item 15 —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the Company has limited control over the management and operation of certain of its assets, because the Company does not beneficially own all of the membership interests in such assets. The Company may seek to acquire additional assets in which it owns less than all of the related membership interests in the future. In these investments, the Company will seek to exert a degree of influence with respect to the management and operation of assets in which it owns less than all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260"/>
          </w:cols>
          <w:pgMar w:left="820" w:top="359" w:right="800" w:bottom="0" w:gutter="0" w:footer="0" w:header="0"/>
          <w:type w:val="continuous"/>
        </w:sectPr>
      </w:pPr>
    </w:p>
    <w:bookmarkStart w:id="23" w:name="page24"/>
    <w:bookmarkEnd w:id="23"/>
    <w:p>
      <w:pPr>
        <w:jc w:val="both"/>
        <w:ind w:right="20" w:firstLine="450"/>
        <w:spacing w:after="0" w:line="294" w:lineRule="auto"/>
        <w:rPr>
          <w:sz w:val="20"/>
          <w:szCs w:val="20"/>
          <w:color w:val="auto"/>
        </w:rPr>
      </w:pPr>
      <w:r>
        <w:rPr>
          <w:rFonts w:ascii="Arial" w:cs="Arial" w:eastAsia="Arial" w:hAnsi="Arial"/>
          <w:sz w:val="18"/>
          <w:szCs w:val="18"/>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12"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127"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70"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9"/>
          <w:szCs w:val="19"/>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20"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The Company does not own all of the land on which its facilities are located, which could result in disruption to its operations.</w:t>
      </w:r>
    </w:p>
    <w:p>
      <w:pPr>
        <w:spacing w:after="0" w:line="116"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color w:val="auto"/>
        </w:rPr>
        <w:t>The Company does not own all of the land on which its facilities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141"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facilities may be adversely affected by the rights of lienholders and leaseholders that are superior to those of the grantors of those real property rights to the Company.</w:t>
      </w:r>
    </w:p>
    <w:p>
      <w:pPr>
        <w:spacing w:after="0" w:line="70"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Generation facilities generally are, and are likely to be, located on land occupied by the facility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facility’s easements and leases. As a result, the facility’s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facilities are located, which could have a material adverse effect on the Company’s business, financial condition and results of operations.</w:t>
      </w:r>
    </w:p>
    <w:p>
      <w:pPr>
        <w:spacing w:after="0" w:line="112"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16"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wildfires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50" w:lineRule="exact"/>
        <w:rPr>
          <w:sz w:val="20"/>
          <w:szCs w:val="20"/>
          <w:color w:val="auto"/>
        </w:rPr>
      </w:pPr>
    </w:p>
    <w:p>
      <w:pPr>
        <w:jc w:val="both"/>
        <w:ind w:firstLine="450"/>
        <w:spacing w:after="0" w:line="314" w:lineRule="auto"/>
        <w:rPr>
          <w:sz w:val="20"/>
          <w:szCs w:val="20"/>
          <w:color w:val="auto"/>
        </w:rPr>
      </w:pPr>
      <w:r>
        <w:rPr>
          <w:rFonts w:ascii="Arial" w:cs="Arial" w:eastAsia="Arial" w:hAnsi="Arial"/>
          <w:sz w:val="17"/>
          <w:szCs w:val="17"/>
          <w:color w:val="auto"/>
        </w:rPr>
        <w:t>Furthermore, governmental, scientific and public concern over the threat of climate change arising from GHG emissions may limit the Company’s access to natural gas or decrease demand for energy generated by the Company’s assets in the Flexible Generation segment.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260"/>
          </w:cols>
          <w:pgMar w:left="820" w:top="367" w:right="800" w:bottom="0" w:gutter="0" w:footer="0" w:header="0"/>
          <w:type w:val="continuous"/>
        </w:sectPr>
      </w:pPr>
    </w:p>
    <w:bookmarkStart w:id="24" w:name="page25"/>
    <w:bookmarkEnd w:id="24"/>
    <w:p>
      <w:pPr>
        <w:jc w:val="both"/>
        <w:ind w:right="20"/>
        <w:spacing w:after="0" w:line="263" w:lineRule="auto"/>
        <w:rPr>
          <w:sz w:val="20"/>
          <w:szCs w:val="20"/>
          <w:color w:val="auto"/>
        </w:rPr>
      </w:pPr>
      <w:r>
        <w:rPr>
          <w:rFonts w:ascii="Arial" w:cs="Arial" w:eastAsia="Arial" w:hAnsi="Arial"/>
          <w:sz w:val="20"/>
          <w:szCs w:val="20"/>
          <w:b w:val="1"/>
          <w:bCs w:val="1"/>
          <w:i w:val="1"/>
          <w:iCs w:val="1"/>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business, financial condition, results of operations and cash flows.</w:t>
      </w:r>
    </w:p>
    <w:p>
      <w:pPr>
        <w:spacing w:after="0" w:line="140"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9"/>
          <w:szCs w:val="19"/>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40" w:lineRule="exact"/>
        <w:rPr>
          <w:sz w:val="20"/>
          <w:szCs w:val="20"/>
          <w:color w:val="auto"/>
        </w:rPr>
      </w:pPr>
    </w:p>
    <w:p>
      <w:pPr>
        <w:jc w:val="both"/>
        <w:ind w:right="20" w:firstLine="450"/>
        <w:spacing w:after="0" w:line="282" w:lineRule="auto"/>
        <w:rPr>
          <w:sz w:val="20"/>
          <w:szCs w:val="20"/>
          <w:color w:val="auto"/>
        </w:rPr>
      </w:pPr>
      <w:r>
        <w:rPr>
          <w:rFonts w:ascii="Arial" w:cs="Arial" w:eastAsia="Arial" w:hAnsi="Arial"/>
          <w:sz w:val="18"/>
          <w:szCs w:val="18"/>
          <w:color w:val="auto"/>
        </w:rPr>
        <w:t>Furthermore, certain of the Company’s assets are located in active earthquake zones in California and Arizona, and certain facilities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operation of the Company’s businesses is subject to cyber-based security and integrity risk.</w:t>
      </w:r>
    </w:p>
    <w:p>
      <w:pPr>
        <w:spacing w:after="0" w:line="198"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the Company’s business is dependent upon the computer systems of third-party providers to process certain data necessary to conduct business, including sensitive employee information, credit card transaction information and other sensitive data.</w:t>
      </w:r>
    </w:p>
    <w:p>
      <w:pPr>
        <w:spacing w:after="0" w:line="142"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19"/>
          <w:szCs w:val="19"/>
          <w:color w:val="auto"/>
        </w:rPr>
        <w:t>From time to time, the Company engages a range of third parties as a part of its cybersecurity risk management. While such engagements are aimed at bolstering the effectiveness of the Company’s risk management processes, they introduce inherent risks and complexities that warrant careful consideration. Any oversight or failure on the part of these third parties could compromise the security of the Company’s sensitive data, proprietary information and critical business processes, leading to potential data breaches or unauthorized access. Additionally, the reliance on external entities introduces complexities in coordinating risk management efforts, data sharing and maintaining confidentiality. Any mismanagement or inadequate coordination between the Company’s internal teams and third-party vendors could result in delays in responding to cybersecurity threats or gaps in its risk mitigation strategies. In addition, while the Company and its third-party service providers commit resources to the design, implementation and monitoring of the Company’s computer systems, there is no guarantee that these security measures will provide absolute security. Despite these security measures, the Company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260"/>
          </w:cols>
          <w:pgMar w:left="820" w:top="359" w:right="800" w:bottom="0" w:gutter="0" w:footer="0" w:header="0"/>
          <w:type w:val="continuous"/>
        </w:sectPr>
      </w:pPr>
    </w:p>
    <w:bookmarkStart w:id="25" w:name="page26"/>
    <w:bookmarkEnd w:id="25"/>
    <w:p>
      <w:pPr>
        <w:jc w:val="both"/>
        <w:ind w:right="20" w:firstLine="450"/>
        <w:spacing w:after="0" w:line="268" w:lineRule="auto"/>
        <w:rPr>
          <w:sz w:val="20"/>
          <w:szCs w:val="20"/>
          <w:color w:val="auto"/>
        </w:rPr>
      </w:pPr>
      <w:r>
        <w:rPr>
          <w:rFonts w:ascii="Arial" w:cs="Arial" w:eastAsia="Arial" w:hAnsi="Arial"/>
          <w:sz w:val="19"/>
          <w:szCs w:val="19"/>
          <w:color w:val="auto"/>
        </w:rPr>
        <w:t>Potential disruptive actions could result from cyberspace breaches, ransomware or other malware, phishing or social engineering schemes or attacks or other cybersecurity threats, attacks or intrusions, including by computer hackers, foreign governments and cyber terrorists, or otherwise be compromised by unintentional events with respect to the Company or any of its contractors or customers. If the Company or its third-party providers’ systems for protecting against cyber incidents prove to be insufficient, current or planned business operations could be interrupted, property could be damaged and confidential, proprietary or other sensitive information, including employee, customer or supplier information could be lost, stolen, or corrupted, causing the Company to incur significant losses of revenues, other substantial liabilities and damages, costs to replace or repair damaged equipment and damage to the Company’s reputation. The Company’s insurance may not fully protect it against such losses, and costs for insurance may also increase as a result of cybersecurity threats. In addition, the Company may experience increased capital and operating costs to implement increased security for its cyber systems and generating assets.</w:t>
      </w:r>
    </w:p>
    <w:p>
      <w:pPr>
        <w:spacing w:after="0" w:line="136"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In addition, cyberattacks against the Company or others in its industry could result in additional regulations, which could lead to increased regulatory compliance costs, insurance coverage cost or capital expenditures. Any failure by the Company to comply with these additional regulations could subject it to regulatory investigations or litigation and could result in significant penalties and liability. The Company cannot predict the potential impact to its business or the energy industry resulting from such additional regulations.</w:t>
      </w:r>
    </w:p>
    <w:p>
      <w:pPr>
        <w:spacing w:after="0" w:line="136"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40"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19"/>
          <w:szCs w:val="19"/>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facilities under construction.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35" w:lineRule="exact"/>
        <w:rPr>
          <w:sz w:val="20"/>
          <w:szCs w:val="20"/>
          <w:color w:val="auto"/>
        </w:rPr>
      </w:pPr>
    </w:p>
    <w:p>
      <w:pPr>
        <w:jc w:val="both"/>
        <w:spacing w:after="0" w:line="34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70" w:lineRule="exact"/>
        <w:rPr>
          <w:sz w:val="20"/>
          <w:szCs w:val="20"/>
          <w:color w:val="auto"/>
        </w:rPr>
      </w:pPr>
    </w:p>
    <w:p>
      <w:pPr>
        <w:jc w:val="both"/>
        <w:ind w:right="20" w:firstLine="450"/>
        <w:spacing w:after="0" w:line="299" w:lineRule="auto"/>
        <w:rPr>
          <w:sz w:val="20"/>
          <w:szCs w:val="20"/>
          <w:color w:val="auto"/>
        </w:rPr>
      </w:pPr>
      <w:r>
        <w:rPr>
          <w:rFonts w:ascii="Arial" w:cs="Arial" w:eastAsia="Arial" w:hAnsi="Arial"/>
          <w:sz w:val="18"/>
          <w:szCs w:val="18"/>
          <w:color w:val="auto"/>
        </w:rPr>
        <w:t>Delivery of fuels to fuel the facilities in the Flexible Generation segment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00"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35"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The Company believes its current operations and future success depend largely on the continued services of key personnel employed by the Company and CEG. Although the Company currently has access to the resources of CEG, the loss of key personnel employed by the Company or CEG could have a material adverse effect on the Company’s financial condition and results of operations.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260"/>
          </w:cols>
          <w:pgMar w:left="820" w:top="367" w:right="800" w:bottom="0" w:gutter="0" w:footer="0" w:header="0"/>
          <w:type w:val="continuous"/>
        </w:sectPr>
      </w:pPr>
    </w:p>
    <w:bookmarkStart w:id="26" w:name="page27"/>
    <w:bookmarkEnd w:id="26"/>
    <w:p>
      <w:pPr>
        <w:jc w:val="both"/>
        <w:spacing w:after="0" w:line="288" w:lineRule="auto"/>
        <w:rPr>
          <w:sz w:val="20"/>
          <w:szCs w:val="20"/>
          <w:color w:val="auto"/>
        </w:rPr>
      </w:pPr>
      <w:r>
        <w:rPr>
          <w:rFonts w:ascii="Arial" w:cs="Arial" w:eastAsia="Arial" w:hAnsi="Arial"/>
          <w:sz w:val="20"/>
          <w:szCs w:val="20"/>
          <w:b w:val="1"/>
          <w:bCs w:val="1"/>
          <w:i w:val="1"/>
          <w:iCs w:val="1"/>
          <w:color w:val="auto"/>
        </w:rPr>
        <w:t>The Company may potentially be adversely affected by emerging technologies that may over time impact capacity markets and the energy industry overall.</w:t>
      </w:r>
    </w:p>
    <w:p>
      <w:pPr>
        <w:spacing w:after="0" w:line="116" w:lineRule="exact"/>
        <w:rPr>
          <w:sz w:val="20"/>
          <w:szCs w:val="20"/>
          <w:color w:val="auto"/>
        </w:rPr>
      </w:pPr>
    </w:p>
    <w:p>
      <w:pPr>
        <w:jc w:val="both"/>
        <w:ind w:firstLine="450"/>
        <w:spacing w:after="0" w:line="258" w:lineRule="auto"/>
        <w:rPr>
          <w:sz w:val="20"/>
          <w:szCs w:val="20"/>
          <w:color w:val="auto"/>
        </w:rPr>
      </w:pPr>
      <w:r>
        <w:rPr>
          <w:rFonts w:ascii="Arial" w:cs="Arial" w:eastAsia="Arial" w:hAnsi="Arial"/>
          <w:sz w:val="20"/>
          <w:szCs w:val="20"/>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144"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20"/>
          <w:szCs w:val="20"/>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Relationships with GIP, TotalEnergies and CEG</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GIP and TotalEnergies, through their equal ownership of CEG, the Company’s controlling stockholder, exercise substantial influence over the Company. The Company is highly dependent on CEG.</w:t>
      </w:r>
    </w:p>
    <w:p>
      <w:pPr>
        <w:spacing w:after="0" w:line="116"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54.91% of the combined voting power of the Company’s common stock as of December 31, 2024. CEG is equally owned by GIP and TotalEnergies. On October 1, 2024, BlackRock acquired 100% of the business and assets of GIM, which is the investment manager of the GIP funds that own an interest in CEG.</w:t>
      </w:r>
    </w:p>
    <w:p>
      <w:pPr>
        <w:spacing w:after="0" w:line="142"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As a result of this ownership, CEG has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CEG may cause corporate actions to be taken that do not fully align with the interests of the Company’s other stockholders (including holders of the Company’s Class A and Class C common stock).</w:t>
      </w:r>
    </w:p>
    <w:p>
      <w:pPr>
        <w:spacing w:after="0" w:line="120"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9"/>
          <w:szCs w:val="19"/>
          <w:color w:val="auto"/>
        </w:rPr>
        <w:t>Furthermore, effective January 1, 2025, the Company effected a reorganization pursuant to which all of the employees of the Company transferred to CEG. As a result, the Company depends solely on the services provided by or under the direction of CEG under the CEG Master Services Agreement to carry out its operations.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36" w:lineRule="exact"/>
        <w:rPr>
          <w:sz w:val="20"/>
          <w:szCs w:val="20"/>
          <w:color w:val="auto"/>
        </w:rPr>
      </w:pPr>
    </w:p>
    <w:p>
      <w:pPr>
        <w:jc w:val="both"/>
        <w:ind w:firstLine="450"/>
        <w:spacing w:after="0" w:line="258" w:lineRule="auto"/>
        <w:rPr>
          <w:sz w:val="20"/>
          <w:szCs w:val="20"/>
          <w:color w:val="auto"/>
        </w:rPr>
      </w:pPr>
      <w:r>
        <w:rPr>
          <w:rFonts w:ascii="Arial" w:cs="Arial" w:eastAsia="Arial" w:hAnsi="Arial"/>
          <w:sz w:val="20"/>
          <w:szCs w:val="20"/>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CEG controls the Company and has the ability to designate a majority of the members of the Company’s Board of Directors.</w:t>
      </w:r>
    </w:p>
    <w:p>
      <w:pPr>
        <w:spacing w:after="0" w:line="233"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Due to CEG’s approximate 54.91% combined voting power in the Company, the ability of other holders of the Company’s Class A and Class C common stock to exercise control over the corporate governance of the Company is limited. CEG has a substantial influence on the Company’s affairs and CEG’s voting power constitutes a large percentage of any quorum of the Company’s stockholders voting on any matter requiring the approval of the Company’s stockholders. It is possible that the interests of CEG and its affiliates may in certain circumstances differ from the interests of the Company or other holders of the Company’s Class A and Class C common stock.</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260"/>
          </w:cols>
          <w:pgMar w:left="820" w:top="359" w:right="80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i w:val="1"/>
          <w:iCs w:val="1"/>
          <w:color w:val="auto"/>
        </w:rPr>
        <w:t>The Company may not be able to consummate future acquisitions from CEG.</w:t>
      </w:r>
    </w:p>
    <w:p>
      <w:pPr>
        <w:spacing w:after="0" w:line="198"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9"/>
          <w:szCs w:val="19"/>
          <w:color w:val="auto"/>
        </w:rPr>
        <w:t>The Company’s ability to grow through acquisitions depends, in part, on CEG’s ability to identify and present the Company with acquisition opportunities. There are a number of factors that could materially and adversely impact the extent to which suitable acquisition opportunities are made available from CEG. For example, due to factors inside or outside the Company’s control, CEG may be unable to develop or construct facilities that are ultimately compatible with the Company’s operational requirements or that otherwise result in suitable acquisition opportunities for the Company, or CEG may not be able to develop facilities that provide cash flows that would support the Company’s investment requirements due to numerous factors impacting the economics of the facilities, including negotiation of engineering, procurement and construction and offtake contracts, as well as securing long-term financing for the facilities.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 may be unable to terminate the CEG Master Services Agreement, in certain circumstances.</w:t>
      </w:r>
    </w:p>
    <w:p>
      <w:pPr>
        <w:spacing w:after="0" w:line="198" w:lineRule="exact"/>
        <w:rPr>
          <w:sz w:val="20"/>
          <w:szCs w:val="20"/>
          <w:color w:val="auto"/>
        </w:rPr>
      </w:pPr>
    </w:p>
    <w:p>
      <w:pPr>
        <w:jc w:val="both"/>
        <w:ind w:right="20" w:firstLine="450"/>
        <w:spacing w:after="0" w:line="267" w:lineRule="auto"/>
        <w:rPr>
          <w:sz w:val="20"/>
          <w:szCs w:val="20"/>
          <w:color w:val="auto"/>
        </w:rPr>
      </w:pPr>
      <w:r>
        <w:rPr>
          <w:rFonts w:ascii="Arial" w:cs="Arial" w:eastAsia="Arial" w:hAnsi="Arial"/>
          <w:sz w:val="19"/>
          <w:szCs w:val="19"/>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gross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90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29" w:lineRule="exact"/>
        <w:rPr>
          <w:sz w:val="20"/>
          <w:szCs w:val="20"/>
          <w:color w:val="auto"/>
        </w:rPr>
      </w:pPr>
    </w:p>
    <w:p>
      <w:pPr>
        <w:jc w:val="both"/>
        <w:ind w:right="20"/>
        <w:spacing w:after="0" w:line="316" w:lineRule="auto"/>
        <w:rPr>
          <w:sz w:val="20"/>
          <w:szCs w:val="20"/>
          <w:color w:val="auto"/>
        </w:rPr>
      </w:pPr>
      <w:r>
        <w:rPr>
          <w:rFonts w:ascii="Arial" w:cs="Arial" w:eastAsia="Arial" w:hAnsi="Arial"/>
          <w:sz w:val="19"/>
          <w:szCs w:val="19"/>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93"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9"/>
          <w:szCs w:val="19"/>
          <w:color w:val="auto"/>
        </w:rPr>
        <w:t>The Company relies on CEG to provide certain services under the CEG Master Services Agreement, including the provision of information technology services. The CEG Master Services Agreement provides that CEG may terminate the agreement upon 180 days prior written notice of termination to the Company (i) if the Company defaults in the performance or observance of any material term, condition or covenant contained in the agreement in a manner that results in material harm to CEG and the default continues unremedied for a period of 30 days after written notice of the breach is given; or (ii) upon the happening of certain events relating to the bankruptcy or insolvency of the Company. If CEG terminates the CEG Master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In connection with the provision of services under the CEG Master Services Agreement, CEG is in the process of implementing an enterprise resource planning, or ERP, application to support its core business processes and data. The implementation of an ERP application requires significant human resources, which could impact CEG’s ability to provide services to the Company under the CEG Master Services Agreement. In addition, the Company will rely on CEG’s ERP application to support its core business processes, data, financial accounting, financial reporting and internal controls. If CEG is unable to complete an effective implementation of its ERP application in a timely manner, it could adversely impact the Company and its ability to meet its financial reporting and internal control requirements.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260"/>
          </w:cols>
          <w:pgMar w:left="820" w:top="359" w:right="800" w:bottom="0" w:gutter="0" w:footer="0" w:header="0"/>
          <w:type w:val="continuous"/>
        </w:sectPr>
      </w:pPr>
    </w:p>
    <w:bookmarkStart w:id="28" w:name="page29"/>
    <w:bookmarkEnd w:id="28"/>
    <w:p>
      <w:pPr>
        <w:jc w:val="both"/>
        <w:ind w:left="10" w:right="20"/>
        <w:spacing w:after="0" w:line="269" w:lineRule="auto"/>
        <w:rPr>
          <w:sz w:val="20"/>
          <w:szCs w:val="20"/>
          <w:color w:val="auto"/>
        </w:rPr>
      </w:pPr>
      <w:r>
        <w:rPr>
          <w:rFonts w:ascii="Arial" w:cs="Arial" w:eastAsia="Arial" w:hAnsi="Arial"/>
          <w:sz w:val="20"/>
          <w:szCs w:val="20"/>
          <w:b w:val="1"/>
          <w:bCs w:val="1"/>
          <w:i w:val="1"/>
          <w:iCs w:val="1"/>
          <w:color w:val="auto"/>
        </w:rPr>
        <w:t>The liability of CEG is limited under the Company’s arrangements with it, and the Company has agreed to indemnify CEG against claims that it may face in connection with such arrangements, which require the Company to satisfy significant indemnification obligations.</w:t>
      </w:r>
    </w:p>
    <w:p>
      <w:pPr>
        <w:spacing w:after="0" w:line="135" w:lineRule="exact"/>
        <w:rPr>
          <w:sz w:val="20"/>
          <w:szCs w:val="20"/>
          <w:color w:val="auto"/>
        </w:rPr>
      </w:pPr>
    </w:p>
    <w:p>
      <w:pPr>
        <w:jc w:val="both"/>
        <w:ind w:left="10" w:right="20" w:firstLine="450"/>
        <w:spacing w:after="0" w:line="283" w:lineRule="auto"/>
        <w:rPr>
          <w:sz w:val="20"/>
          <w:szCs w:val="20"/>
          <w:color w:val="auto"/>
        </w:rPr>
      </w:pPr>
      <w:r>
        <w:rPr>
          <w:rFonts w:ascii="Arial" w:cs="Arial" w:eastAsia="Arial" w:hAnsi="Arial"/>
          <w:sz w:val="18"/>
          <w:szCs w:val="18"/>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the Company assuming greater risks when CEG makes decisions relating to the Company. The indemnification arrangements may give rise to legal claims for indemnification that are adverse to the Company and holders of its common stock, and, depending on the scope and magnitude of these claims, the Company may incur significant expenses and other financial obligations to cover such claims.</w:t>
      </w:r>
    </w:p>
    <w:p>
      <w:pPr>
        <w:spacing w:after="0" w:line="119" w:lineRule="exact"/>
        <w:rPr>
          <w:sz w:val="20"/>
          <w:szCs w:val="20"/>
          <w:color w:val="auto"/>
        </w:rPr>
      </w:pPr>
    </w:p>
    <w:p>
      <w:pPr>
        <w:jc w:val="both"/>
        <w:ind w:left="10" w:right="20"/>
        <w:spacing w:after="0" w:line="269" w:lineRule="auto"/>
        <w:rPr>
          <w:sz w:val="20"/>
          <w:szCs w:val="20"/>
          <w:color w:val="auto"/>
        </w:rPr>
      </w:pPr>
      <w:r>
        <w:rPr>
          <w:rFonts w:ascii="Arial" w:cs="Arial" w:eastAsia="Arial" w:hAnsi="Arial"/>
          <w:sz w:val="20"/>
          <w:szCs w:val="20"/>
          <w:b w:val="1"/>
          <w:bCs w:val="1"/>
          <w:i w:val="1"/>
          <w:iCs w:val="1"/>
          <w:color w:val="auto"/>
        </w:rPr>
        <w:t>Certain of the Company’s PPAs and facility-level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135" w:lineRule="exact"/>
        <w:rPr>
          <w:sz w:val="20"/>
          <w:szCs w:val="20"/>
          <w:color w:val="auto"/>
        </w:rPr>
      </w:pPr>
    </w:p>
    <w:p>
      <w:pPr>
        <w:jc w:val="both"/>
        <w:ind w:left="10" w:firstLine="450"/>
        <w:spacing w:after="0" w:line="269" w:lineRule="auto"/>
        <w:rPr>
          <w:sz w:val="20"/>
          <w:szCs w:val="20"/>
          <w:color w:val="auto"/>
        </w:rPr>
      </w:pPr>
      <w:r>
        <w:rPr>
          <w:rFonts w:ascii="Arial" w:cs="Arial" w:eastAsia="Arial" w:hAnsi="Arial"/>
          <w:sz w:val="19"/>
          <w:szCs w:val="19"/>
          <w:color w:val="auto"/>
        </w:rPr>
        <w:t>Certain of the Company’s PPAs and facility-level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facility.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facility-level financing could have a material adverse effect on the Company’s business, financial condition, results of operations and cash flow.</w:t>
      </w:r>
    </w:p>
    <w:p>
      <w:pPr>
        <w:spacing w:after="0" w:line="128" w:lineRule="exact"/>
        <w:rPr>
          <w:sz w:val="20"/>
          <w:szCs w:val="20"/>
          <w:color w:val="auto"/>
        </w:rPr>
      </w:pPr>
    </w:p>
    <w:p>
      <w:pPr>
        <w:jc w:val="both"/>
        <w:ind w:left="10" w:right="20"/>
        <w:spacing w:after="0" w:line="381" w:lineRule="auto"/>
        <w:rPr>
          <w:sz w:val="20"/>
          <w:szCs w:val="20"/>
          <w:color w:val="auto"/>
        </w:rPr>
      </w:pPr>
      <w:r>
        <w:rPr>
          <w:rFonts w:ascii="Arial" w:cs="Arial" w:eastAsia="Arial" w:hAnsi="Arial"/>
          <w:sz w:val="17"/>
          <w:szCs w:val="17"/>
          <w:b w:val="1"/>
          <w:bCs w:val="1"/>
          <w:i w:val="1"/>
          <w:iCs w:val="1"/>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48" w:lineRule="exact"/>
        <w:rPr>
          <w:sz w:val="20"/>
          <w:szCs w:val="20"/>
          <w:color w:val="auto"/>
        </w:rPr>
      </w:pPr>
    </w:p>
    <w:p>
      <w:pPr>
        <w:jc w:val="both"/>
        <w:ind w:left="10" w:firstLine="450"/>
        <w:spacing w:after="0" w:line="278" w:lineRule="auto"/>
        <w:rPr>
          <w:sz w:val="20"/>
          <w:szCs w:val="20"/>
          <w:color w:val="auto"/>
        </w:rPr>
      </w:pPr>
      <w:r>
        <w:rPr>
          <w:rFonts w:ascii="Arial" w:cs="Arial" w:eastAsia="Arial" w:hAnsi="Arial"/>
          <w:sz w:val="18"/>
          <w:szCs w:val="18"/>
          <w:color w:val="auto"/>
        </w:rPr>
        <w:t>As of December 31, 2024, CEG controls 54.91%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w:t>
      </w:r>
    </w:p>
    <w:p>
      <w:pPr>
        <w:spacing w:after="0" w:line="1" w:lineRule="exact"/>
        <w:rPr>
          <w:sz w:val="20"/>
          <w:szCs w:val="20"/>
          <w:color w:val="auto"/>
        </w:rPr>
      </w:pPr>
    </w:p>
    <w:p>
      <w:pPr>
        <w:jc w:val="both"/>
        <w:ind w:left="10" w:right="20" w:hanging="10"/>
        <w:spacing w:after="0" w:line="269" w:lineRule="auto"/>
        <w:tabs>
          <w:tab w:leader="none" w:pos="345"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w:t>
      </w:r>
    </w:p>
    <w:p>
      <w:pPr>
        <w:sectPr>
          <w:pgSz w:w="11880" w:h="15480" w:orient="portrait"/>
          <w:cols w:equalWidth="0" w:num="1">
            <w:col w:w="10270"/>
          </w:cols>
          <w:pgMar w:left="81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270"/>
          </w:cols>
          <w:pgMar w:left="810" w:top="359" w:right="80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Risks Related to Regulation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business is subject to restrictions resulting from environmental, health and safety laws and regulations.</w:t>
      </w:r>
    </w:p>
    <w:p>
      <w:pPr>
        <w:spacing w:after="0" w:line="233"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26" w:lineRule="exact"/>
        <w:rPr>
          <w:sz w:val="20"/>
          <w:szCs w:val="20"/>
          <w:color w:val="auto"/>
        </w:rPr>
      </w:pPr>
    </w:p>
    <w:p>
      <w:pPr>
        <w:jc w:val="both"/>
        <w:ind w:right="20" w:firstLine="450"/>
        <w:spacing w:after="0" w:line="286" w:lineRule="auto"/>
        <w:rPr>
          <w:sz w:val="20"/>
          <w:szCs w:val="20"/>
          <w:color w:val="auto"/>
        </w:rPr>
      </w:pPr>
      <w:r>
        <w:rPr>
          <w:rFonts w:ascii="Arial" w:cs="Arial" w:eastAsia="Arial" w:hAnsi="Arial"/>
          <w:sz w:val="18"/>
          <w:szCs w:val="18"/>
          <w:color w:val="auto"/>
        </w:rPr>
        <w:t>Local, state and federal regulations may focus on areas such as monitoring and restricting GHG emissions, regulating methane emissions and transitioning away from reliance on fossil fuels. Alternatively, local, state and federal regulations may also target restricting the development of renewable energy capacity through restrictions on land use, interconnection and removal of government incentives for renewable energy. Significant changes to local, state and federal regulations may have material impacts on the Company’s cost of compliance with these regulations on the Company’s ability to operate its existing assets economically. In addition, the Company may be adversely affected by changes to regulations that restrict the Company’s ability to acquire or invest in new facilities. The effect on the Company of any new legislative or regulatory measures will depend on the particular provisions that are ultimately adopted. In addition, sudden changes to local, state or federal regulations may result in the Company’s inability to quickly react and respond to these changes.</w:t>
      </w:r>
    </w:p>
    <w:p>
      <w:pPr>
        <w:spacing w:after="0" w:line="120"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9"/>
          <w:szCs w:val="19"/>
          <w:color w:val="auto"/>
        </w:rPr>
        <w:t>Companies across all industries may face increased scrutiny from the public, stakeholders and government agencies related to their environmental, social, and governance, or ESG, practices and commitments to address climate change. For example, in March 2024, the SEC adopted new rules that would require a wide range of climate-related disclosures in SEC filings, including certain climate-related risks, climate-related metrics and GHG emissions, information about climate-related targets and goals, transition plans, if any, and extensive attestation requirements. Although the SEC issued an order in April 2024 staying implementation of the new rules pending the resolution of certain legal challenges, the outcome of these legal challenges is uncertain, including with respect to the content of any portion of the rules that may be upheld and the ultimate timing of required compliance with such rules. On February 11, 2025, however, the SEC notified the U.S. Court of Appeals of a statement issued by the SEC’s Acting Chairman regarding, among other things, the fact that the majority of current SEC Commissioners had previously voted against adopting the rules and requested that the U.S. Court of Appeals not schedule the case for argument to provide time for the SEC to deliberate and determine the appropriate next steps in the cases. Additionally, in September 2023, California passed climate-related disclosure mandates, which are broader than the SEC’s proposed rules. In the event the SEC’s climate disclosure rules go into effect or states in which the Company operates or does business adopt climate disclosure requirements, the Company could incur significant additional costs relating to the assessment and disclosure of climate-related risks.</w:t>
      </w:r>
    </w:p>
    <w:p>
      <w:pPr>
        <w:spacing w:after="0" w:line="148"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19"/>
          <w:szCs w:val="19"/>
          <w:color w:val="auto"/>
        </w:rPr>
        <w:t>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assets in the Flexible Generation segment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 Further, failure or a perception of failure to implement the Company’s ESG practices or achieve sustainability goals and targets it has set could damage the Company’s reputation, causing investors or customers to lose confidence in the Company, and negatively impact the business.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260"/>
          </w:cols>
          <w:pgMar w:left="820" w:top="360" w:right="800" w:bottom="0" w:gutter="0" w:footer="0" w:header="0"/>
          <w:type w:val="continuous"/>
        </w:sectPr>
      </w:pPr>
    </w:p>
    <w:bookmarkStart w:id="30" w:name="page31"/>
    <w:bookmarkEnd w:id="30"/>
    <w:p>
      <w:pPr>
        <w:jc w:val="both"/>
        <w:ind w:right="20"/>
        <w:spacing w:after="0" w:line="269" w:lineRule="auto"/>
        <w:rPr>
          <w:sz w:val="20"/>
          <w:szCs w:val="20"/>
          <w:color w:val="auto"/>
        </w:rPr>
      </w:pPr>
      <w:r>
        <w:rPr>
          <w:rFonts w:ascii="Arial" w:cs="Arial" w:eastAsia="Arial" w:hAnsi="Arial"/>
          <w:sz w:val="20"/>
          <w:szCs w:val="20"/>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135"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26"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8"/>
          <w:szCs w:val="18"/>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21"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42"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9"/>
          <w:szCs w:val="19"/>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must-offer rules,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37"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Furthermore, revenues related to GenConn are established each year by the Connecticut Public Utilities Regulatory Authority. While such regulatory oversight is generally premised on the recovery of prudently incurred costs and a reasonable rate of return on invested capital, there can be no assurance that the applicable regulatory authorities approve rates or revenues that fully recover costs or provide an adequate return on the Company’s capital investments. This risk of inadequate cost recovery could have a material adverse effect on the Company’s business, financial condition, results of operations and cash flows.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260"/>
          </w:cols>
          <w:pgMar w:left="820" w:top="359" w:right="800" w:bottom="0" w:gutter="0" w:footer="0" w:header="0"/>
          <w:type w:val="continuous"/>
        </w:sectPr>
      </w:pPr>
    </w:p>
    <w:bookmarkStart w:id="31" w:name="page32"/>
    <w:bookmarkEnd w:id="31"/>
    <w:p>
      <w:pPr>
        <w:jc w:val="both"/>
        <w:ind w:right="20"/>
        <w:spacing w:after="0" w:line="34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70" w:lineRule="exact"/>
        <w:rPr>
          <w:sz w:val="20"/>
          <w:szCs w:val="20"/>
          <w:color w:val="auto"/>
        </w:rPr>
      </w:pPr>
    </w:p>
    <w:p>
      <w:pPr>
        <w:jc w:val="both"/>
        <w:ind w:firstLine="450"/>
        <w:spacing w:after="0" w:line="281" w:lineRule="auto"/>
        <w:rPr>
          <w:sz w:val="20"/>
          <w:szCs w:val="20"/>
          <w:color w:val="auto"/>
        </w:rPr>
      </w:pPr>
      <w:r>
        <w:rPr>
          <w:rFonts w:ascii="Arial" w:cs="Arial" w:eastAsia="Arial" w:hAnsi="Arial"/>
          <w:sz w:val="18"/>
          <w:szCs w:val="18"/>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The Company’s business is subject to complex and evolving U.S. laws and regulations regarding privacy and data protection. Many of these laws and regulations are subject to change and uncertain interpretation, and could result in claims, increased cost of operations, or otherwise harm the Company’s business.</w:t>
      </w:r>
    </w:p>
    <w:p>
      <w:pPr>
        <w:spacing w:after="0" w:line="135"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8"/>
          <w:szCs w:val="18"/>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14"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Government regulations providing incentives for renewable power generation and battery energy storage could change at any time and such changes may negatively impact the Company’s growth strategy.</w:t>
      </w:r>
    </w:p>
    <w:p>
      <w:pPr>
        <w:spacing w:after="0" w:line="116"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facilities and they could be changed, reduced or eliminated at any time. These incentives make the development of renewable power generation facilities more competitive by providing tax credits or grants and accelerated depreciation for a portion of the development costs, decreasing the costs and risks associated with developing such facilities or creating demand for renewable power assets through RPS programs.</w:t>
      </w:r>
    </w:p>
    <w:p>
      <w:pPr>
        <w:spacing w:after="0" w:line="120"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The elimination or loss of, or reduction in, such incentives could (i) decrease the attractiveness of renewable power generation or BESS facilities to developers, including, but not limited to, CEG, which could reduce the Company’s acquisition opportunities, (ii) reduce the Company’s willingness to pursue or develop certain renewable power facilities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260"/>
          </w:cols>
          <w:pgMar w:left="820" w:top="359" w:right="800" w:bottom="0" w:gutter="0" w:footer="0" w:header="0"/>
          <w:type w:val="continuous"/>
        </w:sectPr>
      </w:pPr>
    </w:p>
    <w:bookmarkStart w:id="32" w:name="page33"/>
    <w:bookmarkEnd w:id="32"/>
    <w:p>
      <w:pPr>
        <w:jc w:val="both"/>
        <w:ind w:right="20" w:firstLine="450"/>
        <w:spacing w:after="0" w:line="283" w:lineRule="auto"/>
        <w:rPr>
          <w:sz w:val="20"/>
          <w:szCs w:val="20"/>
          <w:color w:val="auto"/>
        </w:rPr>
      </w:pPr>
      <w:r>
        <w:rPr>
          <w:rFonts w:ascii="Arial" w:cs="Arial" w:eastAsia="Arial" w:hAnsi="Arial"/>
          <w:sz w:val="20"/>
          <w:szCs w:val="20"/>
          <w:color w:val="auto"/>
        </w:rPr>
        <w:t>Any of the foregoing could have a material adverse effect on the Company’s business, financial condition, results of operations and ability to grow its business and make cash distributions.</w:t>
      </w:r>
    </w:p>
    <w:p>
      <w:pPr>
        <w:spacing w:after="0" w:line="10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Changes in U.S. foreign trade policies, including the imposition of additional tariffs and other trade barriers, and efforts to withdraw from or materially modify international trade agreements, may materially and adversely affect the Company’s business, operations and financial condition.</w:t>
      </w:r>
    </w:p>
    <w:p>
      <w:pPr>
        <w:spacing w:after="0" w:line="135"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8"/>
          <w:szCs w:val="18"/>
          <w:color w:val="auto"/>
        </w:rPr>
        <w:t>Changes in U.S. foreign trade policies could lead to the imposition of additional trade barriers and tariffs on the foreign import of certain materials and products. For example, effective February 4, 2025, the U.S. government implemented an additional tariff on goods being imported from China and announced additional tariffs for goods imported into the U.S. from Mexico and Canada beginning in March 2025. The Company cannot predict what additional changes to trade policy will be made by the presidential administration or Congress, including whether existing tariff policies will be maintained or modified, what products may be subject to such policies or whether the entry into new bilateral or multilateral trade agreements will occur, nor can the Company predict the effects that any such changes would have on its business. However, such steps, if adopted, could increase the Company’s costs and adversely impact its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a tariff on certain goods being imported into China from the U.S. There can be no assurance that such changes in U.S. or foreign trade policy or in laws and policies governing foreign trade, and any resulting negative sentiments towards the U.S. as a result of such changes, would not materially and adversely affect the Company’s business, financial condition, results of operations and liquidity.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Common Stock</w:t>
      </w:r>
    </w:p>
    <w:p>
      <w:pPr>
        <w:spacing w:after="0" w:line="189"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The Company may not be able to continue paying comparable or growing cash dividends to holders of its common stock in the future.</w:t>
      </w:r>
    </w:p>
    <w:p>
      <w:pPr>
        <w:spacing w:after="0" w:line="116" w:lineRule="exact"/>
        <w:rPr>
          <w:sz w:val="20"/>
          <w:szCs w:val="20"/>
          <w:color w:val="auto"/>
        </w:rPr>
      </w:pPr>
    </w:p>
    <w:p>
      <w:pPr>
        <w:jc w:val="both"/>
        <w:ind w:right="20" w:firstLine="450"/>
        <w:spacing w:after="0" w:line="281" w:lineRule="auto"/>
        <w:rPr>
          <w:sz w:val="20"/>
          <w:szCs w:val="20"/>
          <w:color w:val="auto"/>
        </w:rPr>
      </w:pPr>
      <w:r>
        <w:rPr>
          <w:rFonts w:ascii="Arial" w:cs="Arial" w:eastAsia="Arial" w:hAnsi="Arial"/>
          <w:sz w:val="20"/>
          <w:szCs w:val="20"/>
          <w:color w:val="auto"/>
        </w:rPr>
        <w:t>The amount of CAFD principally depends upon the amount of cash the Company generates from its operations, which will fluctuate from quarter to quarter based on, among other things:</w:t>
      </w:r>
    </w:p>
    <w:p>
      <w:pPr>
        <w:spacing w:after="0" w:line="1" w:lineRule="exact"/>
        <w:rPr>
          <w:sz w:val="20"/>
          <w:szCs w:val="20"/>
          <w:color w:val="auto"/>
        </w:rPr>
      </w:pPr>
    </w:p>
    <w:p>
      <w:pPr>
        <w:ind w:left="720" w:right="20" w:hanging="370"/>
        <w:spacing w:after="0" w:line="281"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variations in revenues generated by the business, due to seasonality, weather, unplanned plant outages, contractual pricing structures or otherwise;</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level and timing of capital expenditures the Company makes;</w:t>
      </w:r>
    </w:p>
    <w:p>
      <w:pPr>
        <w:spacing w:after="0" w:line="70"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level of operating and general and administrative expenses, including reimbursements to CEG for services provided to the Company in accordance with the CEG Master Services Agreement;</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debt service requirements and other liabilities;</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Company’s ability to borrow funds and access capital markets;</w:t>
      </w:r>
    </w:p>
    <w:p>
      <w:pPr>
        <w:spacing w:after="0" w:line="70"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restrictions contained in the Company’s debt agreements (including facility-level financing and, if applicable, corporate debt); and</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business risks affecting cash levels.</w:t>
      </w:r>
    </w:p>
    <w:p>
      <w:pPr>
        <w:spacing w:after="0" w:line="190"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12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9"/>
          <w:szCs w:val="19"/>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facility-level financing. For example, as a result of the bankruptcy of PG&amp;E, between early 2019 and mid-2020, certain of the Company’s assets and investments were unable to make distributions to the Company. The facility-level financing agreements generally prohibit distributions from the operating subsidiaries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260"/>
          </w:cols>
          <w:pgMar w:left="820" w:top="367" w:right="800" w:bottom="0" w:gutter="0" w:footer="0" w:header="0"/>
          <w:type w:val="continuous"/>
        </w:sectPr>
      </w:pPr>
    </w:p>
    <w:bookmarkStart w:id="33" w:name="page34"/>
    <w:bookmarkEnd w:id="33"/>
    <w:p>
      <w:pPr>
        <w:jc w:val="both"/>
        <w:ind w:firstLine="450"/>
        <w:spacing w:after="0" w:line="290" w:lineRule="auto"/>
        <w:rPr>
          <w:sz w:val="20"/>
          <w:szCs w:val="20"/>
          <w:color w:val="auto"/>
        </w:rPr>
      </w:pPr>
      <w:r>
        <w:rPr>
          <w:rFonts w:ascii="Arial" w:cs="Arial" w:eastAsia="Arial" w:hAnsi="Arial"/>
          <w:sz w:val="18"/>
          <w:szCs w:val="18"/>
          <w:color w:val="auto"/>
        </w:rPr>
        <w:t>Clearway Energy LLC’s cash flow will likely fluctuate from quarter to quarter, in some cases significantly, due to seasonality, weather volatility and other factors.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119"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b w:val="1"/>
          <w:bCs w:val="1"/>
          <w:i w:val="1"/>
          <w:iCs w:val="1"/>
          <w:color w:val="auto"/>
        </w:rPr>
        <w:t>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135"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Company is a holding company and its primary asset is its ownership of membership interests in Clearway Energy LLC, a holding company that has no material assets other than its interest in Clearway Energy Operating LLC, whose sole material assets are the operating subsidiaries.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interest rates may have an effect on the value of the Company’s Class A and Class C common stock.</w:t>
      </w:r>
    </w:p>
    <w:p>
      <w:pPr>
        <w:spacing w:after="0" w:line="210" w:lineRule="exact"/>
        <w:rPr>
          <w:sz w:val="20"/>
          <w:szCs w:val="20"/>
          <w:color w:val="auto"/>
        </w:rPr>
      </w:pPr>
    </w:p>
    <w:p>
      <w:pPr>
        <w:jc w:val="both"/>
        <w:ind w:right="20" w:firstLine="450"/>
        <w:spacing w:after="0" w:line="290" w:lineRule="auto"/>
        <w:rPr>
          <w:sz w:val="20"/>
          <w:szCs w:val="20"/>
          <w:color w:val="auto"/>
        </w:rPr>
      </w:pPr>
      <w:r>
        <w:rPr>
          <w:rFonts w:ascii="Arial" w:cs="Arial" w:eastAsia="Arial" w:hAnsi="Arial"/>
          <w:sz w:val="18"/>
          <w:szCs w:val="18"/>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111"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Market volatility and reports by securities or industry analysts may affect the price of the Company’s Class A and Class C common stock.</w:t>
      </w:r>
    </w:p>
    <w:p>
      <w:pPr>
        <w:spacing w:after="0" w:line="116"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CEG or its owners, the Company’s business and the Company’s assets; the Company’s level of indebtedness and/ 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or CEG (or its owners).</w:t>
      </w:r>
    </w:p>
    <w:p>
      <w:pPr>
        <w:spacing w:after="0" w:line="120"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35"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9"/>
          <w:szCs w:val="19"/>
          <w:color w:val="auto"/>
        </w:rPr>
        <w:t>Furthermore, any significant disruption to the Company’s ability to access the capital markets, or a significant increase in interest rates, could make it difficult for the Company to successfully acquire attractive facilities from third parties and may also limit the Company’s ability to obtain debt or equity financing to complete such acquisitions. If the Company is unable to raise adequate proceeds when needed to fund such acquisitions, the ability to grow the Company’s operating portfolio may be limited, which could have a material adverse effect on the Company’s ability to implement its growth strategy and, ultimately, its business, financial condition, results of operations and cash flows.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260"/>
          </w:cols>
          <w:pgMar w:left="820" w:top="367" w:right="800" w:bottom="0" w:gutter="0" w:footer="0" w:header="0"/>
          <w:type w:val="continuous"/>
        </w:sectPr>
      </w:pPr>
    </w:p>
    <w:bookmarkStart w:id="34" w:name="page35"/>
    <w:bookmarkEnd w:id="34"/>
    <w:p>
      <w:pPr>
        <w:jc w:val="both"/>
        <w:ind w:right="20" w:firstLine="450"/>
        <w:spacing w:after="0" w:line="270" w:lineRule="auto"/>
        <w:rPr>
          <w:sz w:val="20"/>
          <w:szCs w:val="20"/>
          <w:color w:val="auto"/>
        </w:rPr>
      </w:pPr>
      <w:r>
        <w:rPr>
          <w:rFonts w:ascii="Arial" w:cs="Arial" w:eastAsia="Arial" w:hAnsi="Arial"/>
          <w:sz w:val="19"/>
          <w:szCs w:val="19"/>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125"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35"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128" w:lineRule="exact"/>
        <w:rPr>
          <w:sz w:val="20"/>
          <w:szCs w:val="20"/>
          <w:color w:val="auto"/>
        </w:rPr>
      </w:pPr>
    </w:p>
    <w:p>
      <w:pPr>
        <w:ind w:left="720" w:hanging="37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prohibition on stockholder action through written consent;</w:t>
      </w:r>
    </w:p>
    <w:p>
      <w:pPr>
        <w:spacing w:after="0" w:line="70"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requirement that special meetings of stockholders be called upon a resolution approved by a majority of the Company’s directors then in office;</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advance notice requirements for stockholder proposals and nominations; and</w:t>
      </w:r>
    </w:p>
    <w:p>
      <w:pPr>
        <w:spacing w:after="0" w:line="70" w:lineRule="exact"/>
        <w:rPr>
          <w:rFonts w:ascii="Arial" w:cs="Arial" w:eastAsia="Arial" w:hAnsi="Arial"/>
          <w:sz w:val="20"/>
          <w:szCs w:val="20"/>
          <w:color w:val="auto"/>
        </w:rPr>
      </w:pPr>
    </w:p>
    <w:p>
      <w:pPr>
        <w:ind w:left="720" w:right="20" w:hanging="370"/>
        <w:spacing w:after="0" w:line="283"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authority of the Board of Directors to issue preferred stock with such terms as the Board of Directors may determine.</w:t>
      </w:r>
    </w:p>
    <w:p>
      <w:pPr>
        <w:spacing w:after="0" w:line="118" w:lineRule="exact"/>
        <w:rPr>
          <w:sz w:val="20"/>
          <w:szCs w:val="20"/>
          <w:color w:val="auto"/>
        </w:rPr>
      </w:pPr>
    </w:p>
    <w:p>
      <w:pPr>
        <w:jc w:val="both"/>
        <w:ind w:right="20" w:firstLine="450"/>
        <w:spacing w:after="0" w:line="284" w:lineRule="auto"/>
        <w:rPr>
          <w:sz w:val="20"/>
          <w:szCs w:val="20"/>
          <w:color w:val="auto"/>
        </w:rPr>
      </w:pPr>
      <w:r>
        <w:rPr>
          <w:rFonts w:ascii="Arial" w:cs="Arial" w:eastAsia="Arial" w:hAnsi="Arial"/>
          <w:sz w:val="18"/>
          <w:szCs w:val="18"/>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in open market transactions or otherwise. A purchaser of the Company’s securities which is a holding company will need to determine whether a given purchase of the Company’s securities may require prior FERC approval.</w:t>
      </w:r>
    </w:p>
    <w:p>
      <w:pPr>
        <w:spacing w:after="0" w:line="113"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Investors may experience dilution of ownership interest due to the future issuance of additional shares of the Company’s Class A or Class C common stock.</w:t>
      </w:r>
    </w:p>
    <w:p>
      <w:pPr>
        <w:spacing w:after="0" w:line="116"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260"/>
          </w:cols>
          <w:pgMar w:left="820" w:top="367" w:right="800" w:bottom="0" w:gutter="0" w:footer="0" w:header="0"/>
          <w:type w:val="continuous"/>
        </w:sectPr>
      </w:pPr>
    </w:p>
    <w:bookmarkStart w:id="35" w:name="page36"/>
    <w:bookmarkEnd w:id="35"/>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Future sales of the Company’s Class A or Class C common stock by CEG may cause the price of the Company’s Class A or Class C common stock to fall.</w:t>
      </w:r>
    </w:p>
    <w:p>
      <w:pPr>
        <w:spacing w:after="0" w:line="116"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spacing w:after="0" w:line="13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9"/>
          <w:szCs w:val="19"/>
          <w:color w:val="auto"/>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189"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116"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The Company expects to (i) carryforward prior year NOL balances to offset future taxable income and (ii) generate tax credits and carryforward prior year tax credits to offset future income tax liabilities. Based on the Company’s current portfolio of assets, which include renewable energy assets that benefit from accelerated tax depreciation deductions and federal tax credits, the Company estimates it will not pay material income tax payments through 2026.</w:t>
      </w:r>
    </w:p>
    <w:p>
      <w:pPr>
        <w:spacing w:after="0" w:line="124"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 requirements. If these exemptions are successfully challenged by state and local jurisdictions or if a change in tax law occurs, the Company’s ability to realize these exemptions could be affected. A reduction in the Company’s expected NOLs or tax credits, a limitation on the Company’s ability to use such losses or tax credits and challenges by tax authorities to the Company’s tax positions may result in a material increase in the Company’s estimated future income, sales/ use and property tax liability and may negatively impact the Company’s liquidity and financial condition.</w:t>
      </w:r>
    </w:p>
    <w:p>
      <w:pPr>
        <w:spacing w:after="0" w:line="120"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color w:val="auto"/>
        </w:rPr>
        <w:t>In addition, the Company routinely enters into arrangements with third parties that provide tax equity financing to, or acquire tax credits, including ITCs or PTCs,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Company’s ability to use NOLs to offset future income may be limited.</w:t>
      </w:r>
    </w:p>
    <w:p>
      <w:pPr>
        <w:spacing w:after="0" w:line="198" w:lineRule="exact"/>
        <w:rPr>
          <w:sz w:val="20"/>
          <w:szCs w:val="20"/>
          <w:color w:val="auto"/>
        </w:rPr>
      </w:pPr>
    </w:p>
    <w:p>
      <w:pPr>
        <w:jc w:val="both"/>
        <w:ind w:right="20" w:firstLine="450"/>
        <w:spacing w:after="0" w:line="269" w:lineRule="auto"/>
        <w:rPr>
          <w:sz w:val="20"/>
          <w:szCs w:val="20"/>
          <w:color w:val="auto"/>
        </w:rPr>
      </w:pPr>
      <w:r>
        <w:rPr>
          <w:rFonts w:ascii="Arial" w:cs="Arial" w:eastAsia="Arial" w:hAnsi="Arial"/>
          <w:sz w:val="19"/>
          <w:szCs w:val="19"/>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NOLs equal to the equity value of the corporation immediately before the ownership change, multiplied by the long-term tax-exempt rate for the month in which the ownership change occurs, increased by certain adjustments for built-in gains at the time of the ownership change. Future sales of any class of the Company’s common stock by CEG, as well as future issuances by the Company, could contribute to a potential ownership change.</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260"/>
          </w:cols>
          <w:pgMar w:left="820" w:top="359" w:right="800" w:bottom="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i w:val="1"/>
          <w:iCs w:val="1"/>
          <w:color w:val="auto"/>
        </w:rPr>
        <w:t>A valuation allowance may be required for the Company’s deferred tax assets.</w:t>
      </w:r>
    </w:p>
    <w:p>
      <w:pPr>
        <w:spacing w:after="0" w:line="198" w:lineRule="exact"/>
        <w:rPr>
          <w:sz w:val="20"/>
          <w:szCs w:val="20"/>
          <w:color w:val="auto"/>
        </w:rPr>
      </w:pPr>
    </w:p>
    <w:p>
      <w:pPr>
        <w:jc w:val="both"/>
        <w:ind w:right="20" w:firstLine="450"/>
        <w:spacing w:after="0" w:line="288" w:lineRule="auto"/>
        <w:rPr>
          <w:sz w:val="20"/>
          <w:szCs w:val="20"/>
          <w:color w:val="auto"/>
        </w:rPr>
      </w:pPr>
      <w:r>
        <w:rPr>
          <w:rFonts w:ascii="Arial" w:cs="Arial" w:eastAsia="Arial" w:hAnsi="Arial"/>
          <w:sz w:val="18"/>
          <w:szCs w:val="18"/>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its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holders of the Company’s Class A and Class C common stock may be taxable.</w:t>
      </w:r>
    </w:p>
    <w:p>
      <w:pPr>
        <w:spacing w:after="0" w:line="198"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The amount of distributions to holders of the Company’s Class A and Class C common stock that will be treated as taxable for U.S. federal income tax purposes to such holders will depend on the amount of the Company’s current and accumulated earnings and profits. It is difficult to predict whether the Company will generate earnings and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20"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For U.S. tax purposes, a portion of the Company’s distributions to its stockholders in 2023 were classified as taxable dividends and the remaining distributions were classified as a nontaxable return of capital and reduction of a U.S. stockholder’s tax basis, to the extent of a U.S. stockholder’s tax basis in each of the Company’s common shares, with any remaining amount being taxed as a capital gain. The Company was in a cumulative earnings and profits deficit position as of the end of 2023 and did not generate any current earnings and profits during 2024. As a result, distributions made to holders of the Company’s Class A and Class C Common stock in 2024 were treated as a nontaxable return of capital or capital gain for U.S. federal income tax purposes. The classification of distributions made after 2024 will depend upon a number of factors, including but not limited to, the Company’s overall performance and the gross amount of any distributions made to stockholders in 2025 and beyond.</w:t>
      </w:r>
    </w:p>
    <w:p>
      <w:pPr>
        <w:spacing w:after="0" w:line="112" w:lineRule="exact"/>
        <w:rPr>
          <w:sz w:val="20"/>
          <w:szCs w:val="20"/>
          <w:color w:val="auto"/>
        </w:rPr>
      </w:pPr>
    </w:p>
    <w:p>
      <w:pPr>
        <w:jc w:val="both"/>
        <w:ind w:right="20"/>
        <w:spacing w:after="0" w:line="289" w:lineRule="auto"/>
        <w:rPr>
          <w:sz w:val="20"/>
          <w:szCs w:val="20"/>
          <w:color w:val="auto"/>
        </w:rPr>
      </w:pPr>
      <w:r>
        <w:rPr>
          <w:rFonts w:ascii="Arial" w:cs="Arial" w:eastAsia="Arial" w:hAnsi="Arial"/>
          <w:sz w:val="19"/>
          <w:szCs w:val="19"/>
          <w:b w:val="1"/>
          <w:bCs w:val="1"/>
          <w:i w:val="1"/>
          <w:iCs w:val="1"/>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119"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materially adversely affect the Company’s business, financial condition, results of operations and prospects.</w:t>
      </w:r>
    </w:p>
    <w:p>
      <w:pPr>
        <w:spacing w:after="0" w:line="120"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color w:val="auto"/>
        </w:rPr>
        <w:t>Federal tax legislation enacted in 2022 contains a number of revisions to the Internal Revenue Code, including (i) a 15% corporate minimum income tax for certain taxpayers, (ii) a 1% excise tax on corporate stock repurchases in tax years beginning after December 31, 2022 and (iii) business tax credits and incentives for the development of clean energy facilities and the production of clean energy. In order to qualify for the full amount of business tax credits and incentives for clean energy facilities whose construction began on or after January 28, 2023, certain wage and apprenticeship requirements must be met. The Company continues to analyze the potential impact of these tax provisions and monitor guidance that may be issued by the United States Department of the Treasury.</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260"/>
          </w:cols>
          <w:pgMar w:left="820" w:top="359" w:right="800" w:bottom="0" w:gutter="0" w:footer="0" w:header="0"/>
          <w:type w:val="continuous"/>
        </w:sectPr>
      </w:pPr>
    </w:p>
    <w:bookmarkStart w:id="37" w:name="page38"/>
    <w:bookmarkEnd w:id="37"/>
    <w:p>
      <w:pPr>
        <w:jc w:val="both"/>
        <w:ind w:right="20"/>
        <w:spacing w:after="0" w:line="288" w:lineRule="auto"/>
        <w:rPr>
          <w:sz w:val="20"/>
          <w:szCs w:val="20"/>
          <w:color w:val="auto"/>
        </w:rPr>
      </w:pPr>
      <w:r>
        <w:rPr>
          <w:rFonts w:ascii="Arial" w:cs="Arial" w:eastAsia="Arial" w:hAnsi="Arial"/>
          <w:sz w:val="20"/>
          <w:szCs w:val="20"/>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16"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20"/>
          <w:szCs w:val="20"/>
          <w:color w:val="auto"/>
        </w:rPr>
        <w:t>In order to qualify for tax credits and incentives available for the development of clean energy facilities and the production of clean energy, the Company must satisfy stringent compliance, recordkeeping and certification requirements. Additionally, in order to qualify for the full amount of available credits, the Company must comply with prevailing wage and apprenticeship requirements applicable to facilities on which construction began on or after January 28, 2023. Applicable tax rules permit certain defects in meeting the requirements to be timely cured under certain conditions rather than causing a loss of the tax credits.</w:t>
      </w:r>
    </w:p>
    <w:p>
      <w:pPr>
        <w:spacing w:after="0" w:line="142"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112" w:lineRule="exact"/>
        <w:rPr>
          <w:sz w:val="20"/>
          <w:szCs w:val="20"/>
          <w:color w:val="auto"/>
        </w:rPr>
      </w:pPr>
    </w:p>
    <w:p>
      <w:pPr>
        <w:jc w:val="both"/>
        <w:ind w:right="20" w:firstLine="450"/>
        <w:spacing w:after="0" w:line="270" w:lineRule="auto"/>
        <w:rPr>
          <w:sz w:val="20"/>
          <w:szCs w:val="20"/>
          <w:color w:val="auto"/>
        </w:rPr>
      </w:pPr>
      <w:r>
        <w:rPr>
          <w:rFonts w:ascii="Arial" w:cs="Arial" w:eastAsia="Arial" w:hAnsi="Arial"/>
          <w:sz w:val="19"/>
          <w:szCs w:val="19"/>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materially adversely affect the Company’s business, financial condition and results of operations.</w:t>
      </w:r>
    </w:p>
    <w:p>
      <w:pPr>
        <w:spacing w:after="0" w:line="134"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9"/>
          <w:szCs w:val="19"/>
          <w:color w:val="auto"/>
        </w:rPr>
        <w:t>Moreover, the costs and resources required to adequately comply with the aforementioned requirements and to monitor the activities of third parties are still to be determined as the Company puts in place its compliance and documentation program and as guidance from the Treasury in the form of notices and regulations continues to be issued.</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260"/>
          </w:cols>
          <w:pgMar w:left="820" w:top="359" w:right="800" w:bottom="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CAUTIONARY STATEMENT REGARDING FORWARD-LOOKING INFORMATION</w:t>
      </w:r>
    </w:p>
    <w:p>
      <w:pPr>
        <w:spacing w:after="0" w:line="197"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8"/>
          <w:szCs w:val="18"/>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 xml:space="preserve"> and the following:</w:t>
      </w:r>
    </w:p>
    <w:p>
      <w:pPr>
        <w:spacing w:after="0" w:line="120" w:lineRule="exact"/>
        <w:rPr>
          <w:sz w:val="20"/>
          <w:szCs w:val="20"/>
          <w:color w:val="auto"/>
        </w:rPr>
      </w:pPr>
    </w:p>
    <w:p>
      <w:pPr>
        <w:ind w:left="720" w:hanging="37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maintain and grow its quarterly dividend;</w:t>
      </w:r>
    </w:p>
    <w:p>
      <w:pPr>
        <w:spacing w:after="0" w:line="70" w:lineRule="exact"/>
        <w:rPr>
          <w:rFonts w:ascii="Arial" w:cs="Arial" w:eastAsia="Arial" w:hAnsi="Arial"/>
          <w:sz w:val="20"/>
          <w:szCs w:val="20"/>
          <w:color w:val="auto"/>
        </w:rPr>
      </w:pPr>
    </w:p>
    <w:p>
      <w:pPr>
        <w:ind w:left="720" w:hanging="37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Potential risks related to the Company’s relationships with CEG and its owners;</w:t>
      </w:r>
    </w:p>
    <w:p>
      <w:pPr>
        <w:spacing w:after="0" w:line="70" w:lineRule="exact"/>
        <w:rPr>
          <w:rFonts w:ascii="Arial" w:cs="Arial" w:eastAsia="Arial" w:hAnsi="Arial"/>
          <w:sz w:val="20"/>
          <w:szCs w:val="20"/>
          <w:color w:val="auto"/>
        </w:rPr>
      </w:pPr>
    </w:p>
    <w:p>
      <w:pPr>
        <w:ind w:left="720" w:hanging="370"/>
        <w:spacing w:after="0" w:line="281"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successfully identify, evaluate and consummate investment opportunities, as well as acquisitions from, and dispositions to, third parties;</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acquire assets from CEG;</w:t>
      </w:r>
    </w:p>
    <w:p>
      <w:pPr>
        <w:spacing w:after="0" w:line="70" w:lineRule="exact"/>
        <w:rPr>
          <w:rFonts w:ascii="Arial" w:cs="Arial" w:eastAsia="Arial" w:hAnsi="Arial"/>
          <w:sz w:val="20"/>
          <w:szCs w:val="20"/>
          <w:color w:val="auto"/>
        </w:rPr>
      </w:pPr>
    </w:p>
    <w:p>
      <w:pPr>
        <w:ind w:left="720" w:right="20" w:hanging="370"/>
        <w:spacing w:after="0" w:line="296" w:lineRule="auto"/>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Arial" w:cs="Arial" w:eastAsia="Arial" w:hAnsi="Arial"/>
          <w:sz w:val="19"/>
          <w:szCs w:val="19"/>
          <w:color w:val="auto"/>
        </w:rPr>
      </w:pPr>
    </w:p>
    <w:p>
      <w:pPr>
        <w:ind w:left="720" w:hanging="37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Changes in law, including judicial decisions;</w:t>
      </w:r>
    </w:p>
    <w:p>
      <w:pPr>
        <w:spacing w:after="0" w:line="70" w:lineRule="exact"/>
        <w:rPr>
          <w:rFonts w:ascii="Arial" w:cs="Arial" w:eastAsia="Arial" w:hAnsi="Arial"/>
          <w:sz w:val="20"/>
          <w:szCs w:val="20"/>
          <w:color w:val="auto"/>
        </w:rPr>
      </w:pPr>
    </w:p>
    <w:p>
      <w:pPr>
        <w:jc w:val="both"/>
        <w:ind w:left="720" w:hanging="370"/>
        <w:spacing w:after="0" w:line="273" w:lineRule="auto"/>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8" w:lineRule="exact"/>
        <w:rPr>
          <w:rFonts w:ascii="Arial" w:cs="Arial" w:eastAsia="Arial" w:hAnsi="Arial"/>
          <w:sz w:val="19"/>
          <w:szCs w:val="19"/>
          <w:color w:val="auto"/>
        </w:rPr>
      </w:pPr>
    </w:p>
    <w:p>
      <w:pPr>
        <w:jc w:val="both"/>
        <w:ind w:left="720" w:right="20" w:hanging="370"/>
        <w:spacing w:after="0" w:line="266"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5"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willingness and ability of counterparties to the Company’s offtake agreements to fulfill their obligations under such agreements;</w:t>
      </w:r>
    </w:p>
    <w:p>
      <w:pPr>
        <w:spacing w:after="0" w:line="1" w:lineRule="exact"/>
        <w:rPr>
          <w:rFonts w:ascii="Arial" w:cs="Arial" w:eastAsia="Arial" w:hAnsi="Arial"/>
          <w:sz w:val="20"/>
          <w:szCs w:val="20"/>
          <w:color w:val="auto"/>
        </w:rPr>
      </w:pPr>
    </w:p>
    <w:p>
      <w:pPr>
        <w:ind w:left="720" w:hanging="370"/>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enter into contracts to sell power and procure fuel on acceptable terms and prices;</w:t>
      </w:r>
    </w:p>
    <w:p>
      <w:pPr>
        <w:spacing w:after="0" w:line="70"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Government regulation, including compliance with regulatory requirements and changes in market rules, rates, tariffs and environmental laws;</w:t>
      </w:r>
    </w:p>
    <w:p>
      <w:pPr>
        <w:spacing w:after="0" w:line="1" w:lineRule="exact"/>
        <w:rPr>
          <w:rFonts w:ascii="Arial" w:cs="Arial" w:eastAsia="Arial" w:hAnsi="Arial"/>
          <w:sz w:val="20"/>
          <w:szCs w:val="20"/>
          <w:color w:val="auto"/>
        </w:rPr>
      </w:pPr>
    </w:p>
    <w:p>
      <w:pPr>
        <w:jc w:val="both"/>
        <w:ind w:left="720" w:right="20" w:hanging="370"/>
        <w:spacing w:after="0" w:line="30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1" w:lineRule="exact"/>
        <w:rPr>
          <w:rFonts w:ascii="Arial" w:cs="Arial" w:eastAsia="Arial" w:hAnsi="Arial"/>
          <w:sz w:val="18"/>
          <w:szCs w:val="18"/>
          <w:color w:val="auto"/>
        </w:rPr>
      </w:pPr>
    </w:p>
    <w:p>
      <w:pPr>
        <w:jc w:val="both"/>
        <w:ind w:left="720" w:hanging="370"/>
        <w:spacing w:after="0" w:line="266"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35" w:lineRule="exact"/>
        <w:rPr>
          <w:sz w:val="20"/>
          <w:szCs w:val="20"/>
          <w:color w:val="auto"/>
        </w:rPr>
      </w:pPr>
    </w:p>
    <w:p>
      <w:pPr>
        <w:jc w:val="both"/>
        <w:ind w:right="20" w:firstLine="450"/>
        <w:spacing w:after="0" w:line="29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 Unresolved Staff Comments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260"/>
          </w:cols>
          <w:pgMar w:left="820" w:top="360" w:right="80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Item 1C — Cybersecurity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97" w:lineRule="exact"/>
        <w:rPr>
          <w:sz w:val="20"/>
          <w:szCs w:val="20"/>
          <w:color w:val="auto"/>
        </w:rPr>
      </w:pPr>
    </w:p>
    <w:p>
      <w:pPr>
        <w:jc w:val="both"/>
        <w:ind w:right="20" w:firstLine="450"/>
        <w:spacing w:after="0" w:line="310" w:lineRule="auto"/>
        <w:rPr>
          <w:sz w:val="20"/>
          <w:szCs w:val="20"/>
          <w:color w:val="auto"/>
        </w:rPr>
      </w:pPr>
      <w:r>
        <w:rPr>
          <w:rFonts w:ascii="Arial" w:cs="Arial" w:eastAsia="Arial" w:hAnsi="Arial"/>
          <w:sz w:val="19"/>
          <w:szCs w:val="19"/>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Managing Material Risks &amp; Integrated Overall Risk Management</w:t>
      </w:r>
    </w:p>
    <w:p>
      <w:pPr>
        <w:spacing w:after="0" w:line="198"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Cybersecurity Framework (CSF).</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Engage Third Parties on Risk Management</w:t>
      </w:r>
    </w:p>
    <w:p>
      <w:pPr>
        <w:spacing w:after="0" w:line="198"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Recognizing the complexity and evolving nature of cybersecurity threats, the Company engages with a range of external experts, including cybersecurity consultants in evaluating and testing its risk management systems. The Company’s collaboration with these third parties includes regular audits; threat and vulnerability assessments; incident response plan testing; company-wide monitoring of cybersecurity risks; and consultation on security enhancements.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Oversee Third-Party Risk</w:t>
      </w:r>
    </w:p>
    <w:p>
      <w:pPr>
        <w:spacing w:after="0" w:line="198"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9"/>
          <w:szCs w:val="19"/>
          <w:color w:val="auto"/>
        </w:rPr>
        <w:t>Due to the risks associated with the engagement of third-party vendors, service providers and business partners, the Company applies stringent processes to manage these risks. Thorough security assessments of all third-party providers with access to internal data and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data breaches or other security incidents originating from third parties.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Risks from Cybersecurity Threats</w:t>
      </w:r>
    </w:p>
    <w:p>
      <w:pPr>
        <w:spacing w:after="0" w:line="198"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 xml:space="preserve">As of February 24, 2025, the Company was not aware of any cybersecurity threats or incidents that have materially affected, or are reasonably likely to materially affect the Company, including its business strategy, results of operations or financial standing. However, there can be no assurance that the Company’s cybersecurity processes will prevent or mitigate cybersecurity incidents or threats and that the Company’s efforts will always be successful. For further discussion regarding the Company’s cybersecurity risks, see Item 1A — Risk Factors, </w:t>
      </w:r>
      <w:r>
        <w:rPr>
          <w:rFonts w:ascii="Arial" w:cs="Arial" w:eastAsia="Arial" w:hAnsi="Arial"/>
          <w:sz w:val="19"/>
          <w:szCs w:val="19"/>
          <w:b w:val="1"/>
          <w:bCs w:val="1"/>
          <w:i w:val="1"/>
          <w:iCs w:val="1"/>
          <w:color w:val="auto"/>
        </w:rPr>
        <w:t>Risks Related to the Company’s Business</w:t>
      </w:r>
      <w:r>
        <w:rPr>
          <w:rFonts w:ascii="Arial" w:cs="Arial" w:eastAsia="Arial" w:hAnsi="Arial"/>
          <w:sz w:val="19"/>
          <w:szCs w:val="19"/>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Board of Directors Oversight</w:t>
      </w:r>
    </w:p>
    <w:p>
      <w:pPr>
        <w:spacing w:after="0" w:line="198" w:lineRule="exact"/>
        <w:rPr>
          <w:sz w:val="20"/>
          <w:szCs w:val="20"/>
          <w:color w:val="auto"/>
        </w:rPr>
      </w:pPr>
    </w:p>
    <w:p>
      <w:pPr>
        <w:jc w:val="both"/>
        <w:ind w:firstLine="450"/>
        <w:spacing w:after="0" w:line="258" w:lineRule="auto"/>
        <w:rPr>
          <w:sz w:val="20"/>
          <w:szCs w:val="20"/>
          <w:color w:val="auto"/>
        </w:rPr>
      </w:pPr>
      <w:r>
        <w:rPr>
          <w:rFonts w:ascii="Arial" w:cs="Arial" w:eastAsia="Arial" w:hAnsi="Arial"/>
          <w:sz w:val="20"/>
          <w:szCs w:val="20"/>
          <w:color w:val="auto"/>
        </w:rPr>
        <w:t>The Company’s Board of Directors has oversight of cybersecurity risks and is well informed with respect to the nature and scope of such risks. The Board of Directors is acutely aware of the critical nature of managing risks associated with cybersecurity threats. The Board of Directors has established oversight mechanisms to ensure effective governance in managing risks associated with cybersecurity as they recognize the significance of these risks and threats to operational integrity and stakeholder confidence.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Reporting to Board of Directors</w:t>
      </w:r>
    </w:p>
    <w:p>
      <w:pPr>
        <w:spacing w:after="0" w:line="198"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Vice President of Information Technology and Director of Cybersecurity play a pivotal role in informing the Board of Directors on cybersecurity risks. They provide briefings to the Board of Directors on a regular basis, with a minimum frequency of once per year. These briefings encompass a broad range of topics, including:</w:t>
      </w:r>
    </w:p>
    <w:p>
      <w:pPr>
        <w:spacing w:after="0" w:line="135" w:lineRule="exact"/>
        <w:rPr>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Current cybersecurity threat landscape and emerging threats;</w:t>
      </w:r>
    </w:p>
    <w:p>
      <w:pPr>
        <w:spacing w:after="0" w:line="190" w:lineRule="exact"/>
        <w:rPr>
          <w:rFonts w:ascii="Arial" w:cs="Arial" w:eastAsia="Arial" w:hAnsi="Arial"/>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Status of ongoing cybersecurity initiatives and strategies;</w:t>
      </w:r>
    </w:p>
    <w:p>
      <w:pPr>
        <w:spacing w:after="0" w:line="190" w:lineRule="exact"/>
        <w:rPr>
          <w:rFonts w:ascii="Arial" w:cs="Arial" w:eastAsia="Arial" w:hAnsi="Arial"/>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Incident reports and learnings from any meaningful cybersecurity events; and</w:t>
      </w:r>
    </w:p>
    <w:p>
      <w:pPr>
        <w:spacing w:after="0" w:line="190" w:lineRule="exact"/>
        <w:rPr>
          <w:rFonts w:ascii="Arial" w:cs="Arial" w:eastAsia="Arial" w:hAnsi="Arial"/>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Compliance status and efforts with regulatory requirements and industry standards.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260"/>
          </w:cols>
          <w:pgMar w:left="820" w:top="360" w:right="800" w:bottom="0" w:gutter="0" w:footer="0" w:header="0"/>
          <w:type w:val="continuous"/>
        </w:sectPr>
      </w:pPr>
    </w:p>
    <w:bookmarkStart w:id="40" w:name="page41"/>
    <w:bookmarkEnd w:id="40"/>
    <w:p>
      <w:pPr>
        <w:jc w:val="both"/>
        <w:ind w:firstLine="450"/>
        <w:spacing w:after="0" w:line="286" w:lineRule="auto"/>
        <w:rPr>
          <w:sz w:val="20"/>
          <w:szCs w:val="20"/>
          <w:color w:val="auto"/>
        </w:rPr>
      </w:pPr>
      <w:r>
        <w:rPr>
          <w:rFonts w:ascii="Arial" w:cs="Arial" w:eastAsia="Arial" w:hAnsi="Arial"/>
          <w:sz w:val="18"/>
          <w:szCs w:val="18"/>
          <w:color w:val="auto"/>
        </w:rPr>
        <w:t>In addition to scheduled meetings, the Board of Directors,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Cybersecurity Risk Management Personnel</w:t>
      </w:r>
    </w:p>
    <w:p>
      <w:pPr>
        <w:spacing w:after="0" w:line="198" w:lineRule="exact"/>
        <w:rPr>
          <w:sz w:val="20"/>
          <w:szCs w:val="20"/>
          <w:color w:val="auto"/>
        </w:rPr>
      </w:pPr>
    </w:p>
    <w:p>
      <w:pPr>
        <w:jc w:val="both"/>
        <w:ind w:right="20" w:firstLine="450"/>
        <w:spacing w:after="0" w:line="250" w:lineRule="auto"/>
        <w:rPr>
          <w:sz w:val="20"/>
          <w:szCs w:val="20"/>
          <w:color w:val="auto"/>
        </w:rPr>
      </w:pPr>
      <w:r>
        <w:rPr>
          <w:rFonts w:ascii="Arial" w:cs="Arial" w:eastAsia="Arial" w:hAnsi="Arial"/>
          <w:sz w:val="20"/>
          <w:szCs w:val="20"/>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133"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9"/>
          <w:szCs w:val="19"/>
          <w:color w:val="auto"/>
        </w:rPr>
        <w:t>With over 20 years of experience in the field of cybersecurity, the current Vice President of Information Technology brings a wealth of expertise to their role. Their background includes extensive experience in information technology, and their in-depth knowledge and experience are instrumental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128"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current Director of Cybersecurity has over 30 years of experience in information technology across a variety of industries and compliance programs. The Director of Cybersecurity has been heavily focused on cybersecurity in regulated industries for the past 10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Management’s Role Managing Cybersecurity Risk</w:t>
      </w:r>
    </w:p>
    <w:p>
      <w:pPr>
        <w:spacing w:after="0" w:line="198" w:lineRule="exact"/>
        <w:rPr>
          <w:sz w:val="20"/>
          <w:szCs w:val="20"/>
          <w:color w:val="auto"/>
        </w:rPr>
      </w:pPr>
    </w:p>
    <w:p>
      <w:pPr>
        <w:jc w:val="both"/>
        <w:ind w:firstLine="450"/>
        <w:spacing w:after="0" w:line="258" w:lineRule="auto"/>
        <w:rPr>
          <w:sz w:val="20"/>
          <w:szCs w:val="20"/>
          <w:color w:val="auto"/>
        </w:rPr>
      </w:pPr>
      <w:r>
        <w:rPr>
          <w:rFonts w:ascii="Arial" w:cs="Arial" w:eastAsia="Arial" w:hAnsi="Arial"/>
          <w:sz w:val="20"/>
          <w:szCs w:val="20"/>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they have insight and can provide guidance on critical cybersecurity issues.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Monitor Cybersecurity Incidents</w:t>
      </w:r>
    </w:p>
    <w:p>
      <w:pPr>
        <w:spacing w:after="0" w:line="198"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The Vice President of Information Technology and Director of Cybersecurity are continually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retainers from respected third parties. This plan includes immediate actions to mitigate the impact of the incident, long-term strategies for remediation and the prevention of future incidents.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260"/>
          </w:cols>
          <w:pgMar w:left="820" w:top="367" w:right="80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Item 2 — Properties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Listed below are descriptions of the Company’s interests in operating facilities as of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Rated</w:t>
            </w:r>
          </w:p>
        </w:tc>
        <w:tc>
          <w:tcPr>
            <w:tcW w:w="80" w:type="dxa"/>
            <w:vAlign w:val="bottom"/>
          </w:tcPr>
          <w:p>
            <w:pPr>
              <w:spacing w:after="0"/>
              <w:rPr>
                <w:sz w:val="24"/>
                <w:szCs w:val="24"/>
                <w:color w:val="auto"/>
              </w:rPr>
            </w:pPr>
          </w:p>
        </w:tc>
        <w:tc>
          <w:tcPr>
            <w:tcW w:w="620" w:type="dxa"/>
            <w:vAlign w:val="bottom"/>
            <w:vMerge w:val="restart"/>
          </w:tcPr>
          <w:p>
            <w:pPr>
              <w:jc w:val="right"/>
              <w:ind w:right="105"/>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Percentage</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Contract</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Facilities</w:t>
            </w:r>
          </w:p>
        </w:tc>
        <w:tc>
          <w:tcPr>
            <w:tcW w:w="80" w:type="dxa"/>
            <w:vAlign w:val="bottom"/>
          </w:tcPr>
          <w:p>
            <w:pPr>
              <w:spacing w:after="0"/>
              <w:rPr>
                <w:sz w:val="2"/>
                <w:szCs w:val="2"/>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5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19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Counterparty</w:t>
            </w:r>
          </w:p>
        </w:tc>
        <w:tc>
          <w:tcPr>
            <w:tcW w:w="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Expiration</w:t>
            </w:r>
          </w:p>
        </w:tc>
        <w:tc>
          <w:tcPr>
            <w:tcW w:w="0" w:type="dxa"/>
            <w:vAlign w:val="bottom"/>
          </w:tcPr>
          <w:p>
            <w:pPr>
              <w:spacing w:after="0" w:line="20" w:lineRule="exact"/>
              <w:rPr>
                <w:sz w:val="1"/>
                <w:szCs w:val="1"/>
                <w:color w:val="auto"/>
              </w:rPr>
            </w:pPr>
          </w:p>
        </w:tc>
      </w:tr>
      <w:tr>
        <w:trPr>
          <w:trHeight w:val="239"/>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8"/>
                <w:szCs w:val="18"/>
                <w:b w:val="1"/>
                <w:bCs w:val="1"/>
                <w:color w:val="auto"/>
              </w:rPr>
              <w:t>MW</w:t>
            </w:r>
          </w:p>
        </w:tc>
        <w:tc>
          <w:tcPr>
            <w:tcW w:w="80" w:type="dxa"/>
            <w:vAlign w:val="bottom"/>
          </w:tcPr>
          <w:p>
            <w:pPr>
              <w:spacing w:after="0"/>
              <w:rPr>
                <w:sz w:val="20"/>
                <w:szCs w:val="20"/>
                <w:color w:val="auto"/>
              </w:rPr>
            </w:pPr>
          </w:p>
        </w:tc>
        <w:tc>
          <w:tcPr>
            <w:tcW w:w="620" w:type="dxa"/>
            <w:vAlign w:val="bottom"/>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4"/>
              </w:rPr>
              <w:t>Ownership</w:t>
            </w:r>
          </w:p>
        </w:tc>
        <w:tc>
          <w:tcPr>
            <w:tcW w:w="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98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Flexible Generation</w:t>
            </w:r>
          </w:p>
        </w:tc>
        <w:tc>
          <w:tcPr>
            <w:tcW w:w="80" w:type="dxa"/>
            <w:vAlign w:val="bottom"/>
            <w:tcBorders>
              <w:top w:val="single" w:sz="8" w:color="E6E6E6"/>
            </w:tcBorders>
            <w:shd w:val="clear" w:color="auto" w:fill="E6E6E6"/>
          </w:tcPr>
          <w:p>
            <w:pPr>
              <w:spacing w:after="0"/>
              <w:rPr>
                <w:sz w:val="23"/>
                <w:szCs w:val="23"/>
                <w:color w:val="auto"/>
              </w:rPr>
            </w:pPr>
          </w:p>
        </w:tc>
        <w:tc>
          <w:tcPr>
            <w:tcW w:w="14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5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6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20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9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Carlsbad </w:t>
            </w:r>
            <w:r>
              <w:rPr>
                <w:rFonts w:ascii="Arial" w:cs="Arial" w:eastAsia="Arial" w:hAnsi="Arial"/>
                <w:sz w:val="20"/>
                <w:szCs w:val="20"/>
                <w:color w:val="auto"/>
                <w:vertAlign w:val="superscript"/>
              </w:rPr>
              <w:t>(b)</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Carlsbad, CA</w:t>
            </w:r>
          </w:p>
        </w:tc>
        <w:tc>
          <w:tcPr>
            <w:tcW w:w="580" w:type="dxa"/>
            <w:vAlign w:val="bottom"/>
          </w:tcPr>
          <w:p>
            <w:pPr>
              <w:jc w:val="right"/>
              <w:spacing w:after="0"/>
              <w:rPr>
                <w:sz w:val="20"/>
                <w:szCs w:val="20"/>
                <w:color w:val="auto"/>
              </w:rPr>
            </w:pPr>
            <w:r>
              <w:rPr>
                <w:rFonts w:ascii="Arial" w:cs="Arial" w:eastAsia="Arial" w:hAnsi="Arial"/>
                <w:sz w:val="16"/>
                <w:szCs w:val="16"/>
                <w:color w:val="auto"/>
              </w:rPr>
              <w:t>527</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527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2018</w:t>
            </w:r>
          </w:p>
        </w:tc>
        <w:tc>
          <w:tcPr>
            <w:tcW w:w="1920" w:type="dxa"/>
            <w:vAlign w:val="bottom"/>
          </w:tcPr>
          <w:p>
            <w:pPr>
              <w:ind w:left="40"/>
              <w:spacing w:after="0"/>
              <w:rPr>
                <w:sz w:val="20"/>
                <w:szCs w:val="20"/>
                <w:color w:val="auto"/>
              </w:rPr>
            </w:pPr>
            <w:r>
              <w:rPr>
                <w:rFonts w:ascii="Arial" w:cs="Arial" w:eastAsia="Arial" w:hAnsi="Arial"/>
                <w:sz w:val="16"/>
                <w:szCs w:val="16"/>
                <w:color w:val="auto"/>
              </w:rPr>
              <w:t>SDG&amp;E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El Segundo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El Segundo,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546</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546</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August 2013</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2027 - 2029</w:t>
            </w: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GenConn Devon </w:t>
            </w:r>
            <w:r>
              <w:rPr>
                <w:rFonts w:ascii="Arial" w:cs="Arial" w:eastAsia="Arial" w:hAnsi="Arial"/>
                <w:sz w:val="20"/>
                <w:szCs w:val="20"/>
                <w:color w:val="auto"/>
                <w:vertAlign w:val="superscript"/>
              </w:rPr>
              <w:t>(b)</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Milford, CT</w:t>
            </w:r>
          </w:p>
        </w:tc>
        <w:tc>
          <w:tcPr>
            <w:tcW w:w="580" w:type="dxa"/>
            <w:vAlign w:val="bottom"/>
          </w:tcPr>
          <w:p>
            <w:pPr>
              <w:jc w:val="right"/>
              <w:spacing w:after="0"/>
              <w:rPr>
                <w:sz w:val="20"/>
                <w:szCs w:val="20"/>
                <w:color w:val="auto"/>
              </w:rPr>
            </w:pPr>
            <w:r>
              <w:rPr>
                <w:rFonts w:ascii="Arial" w:cs="Arial" w:eastAsia="Arial" w:hAnsi="Arial"/>
                <w:sz w:val="16"/>
                <w:szCs w:val="16"/>
                <w:color w:val="auto"/>
              </w:rPr>
              <w:t>190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95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June 2010</w:t>
            </w:r>
          </w:p>
        </w:tc>
        <w:tc>
          <w:tcPr>
            <w:tcW w:w="1920" w:type="dxa"/>
            <w:vAlign w:val="bottom"/>
          </w:tcPr>
          <w:p>
            <w:pPr>
              <w:ind w:left="40"/>
              <w:spacing w:after="0"/>
              <w:rPr>
                <w:sz w:val="20"/>
                <w:szCs w:val="20"/>
                <w:color w:val="auto"/>
              </w:rPr>
            </w:pPr>
            <w:r>
              <w:rPr>
                <w:rFonts w:ascii="Arial" w:cs="Arial" w:eastAsia="Arial" w:hAnsi="Arial"/>
                <w:sz w:val="16"/>
                <w:szCs w:val="16"/>
                <w:color w:val="auto"/>
                <w:w w:val="98"/>
              </w:rPr>
              <w:t>Connecticut Light &amp; Power</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GenConn Middletown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Middletown, CT</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95</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June 2011</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w w:val="98"/>
              </w:rPr>
              <w:t>Connecticut Light &amp; Power</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Marsh Landing </w:t>
            </w:r>
            <w:r>
              <w:rPr>
                <w:rFonts w:ascii="Arial" w:cs="Arial" w:eastAsia="Arial" w:hAnsi="Arial"/>
                <w:sz w:val="20"/>
                <w:szCs w:val="20"/>
                <w:color w:val="auto"/>
                <w:vertAlign w:val="superscript"/>
              </w:rPr>
              <w:t>(b)</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Antioch, CA</w:t>
            </w:r>
          </w:p>
        </w:tc>
        <w:tc>
          <w:tcPr>
            <w:tcW w:w="580" w:type="dxa"/>
            <w:vAlign w:val="bottom"/>
          </w:tcPr>
          <w:p>
            <w:pPr>
              <w:jc w:val="right"/>
              <w:spacing w:after="0"/>
              <w:rPr>
                <w:sz w:val="20"/>
                <w:szCs w:val="20"/>
                <w:color w:val="auto"/>
              </w:rPr>
            </w:pPr>
            <w:r>
              <w:rPr>
                <w:rFonts w:ascii="Arial" w:cs="Arial" w:eastAsia="Arial" w:hAnsi="Arial"/>
                <w:sz w:val="16"/>
                <w:szCs w:val="16"/>
                <w:color w:val="auto"/>
              </w:rPr>
              <w:t>820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820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May 2013</w:t>
            </w:r>
          </w:p>
        </w:tc>
        <w:tc>
          <w:tcPr>
            <w:tcW w:w="1920" w:type="dxa"/>
            <w:vAlign w:val="bottom"/>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2026 - 2030</w:t>
            </w:r>
          </w:p>
        </w:tc>
        <w:tc>
          <w:tcPr>
            <w:tcW w:w="0" w:type="dxa"/>
            <w:vAlign w:val="bottom"/>
          </w:tcPr>
          <w:p>
            <w:pPr>
              <w:spacing w:after="0"/>
              <w:rPr>
                <w:sz w:val="1"/>
                <w:szCs w:val="1"/>
                <w:color w:val="auto"/>
              </w:rPr>
            </w:pPr>
          </w:p>
        </w:tc>
      </w:tr>
      <w:tr>
        <w:trPr>
          <w:trHeight w:val="265"/>
        </w:trPr>
        <w:tc>
          <w:tcPr>
            <w:tcW w:w="1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 xml:space="preserve">Walnut Creek </w:t>
            </w:r>
            <w:r>
              <w:rPr>
                <w:rFonts w:ascii="Arial" w:cs="Arial" w:eastAsia="Arial" w:hAnsi="Arial"/>
                <w:sz w:val="20"/>
                <w:szCs w:val="20"/>
                <w:color w:val="auto"/>
                <w:vertAlign w:val="superscript"/>
              </w:rPr>
              <w:t>(b)</w:t>
            </w:r>
          </w:p>
        </w:tc>
        <w:tc>
          <w:tcPr>
            <w:tcW w:w="80" w:type="dxa"/>
            <w:vAlign w:val="bottom"/>
            <w:tcBorders>
              <w:bottom w:val="single" w:sz="8" w:color="E6E6E6"/>
            </w:tcBorders>
            <w:shd w:val="clear" w:color="auto" w:fill="E6E6E6"/>
          </w:tcPr>
          <w:p>
            <w:pPr>
              <w:spacing w:after="0"/>
              <w:rPr>
                <w:sz w:val="23"/>
                <w:szCs w:val="23"/>
                <w:color w:val="auto"/>
              </w:rPr>
            </w:pPr>
          </w:p>
        </w:tc>
        <w:tc>
          <w:tcPr>
            <w:tcW w:w="15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City of Industry, CA</w:t>
            </w: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501</w:t>
            </w:r>
          </w:p>
        </w:tc>
        <w:tc>
          <w:tcPr>
            <w:tcW w:w="8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16"/>
                <w:szCs w:val="16"/>
                <w:color w:val="auto"/>
              </w:rPr>
              <w:t>501</w:t>
            </w:r>
          </w:p>
        </w:tc>
        <w:tc>
          <w:tcPr>
            <w:tcW w:w="10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E6E6E6"/>
            </w:tcBorders>
            <w:shd w:val="clear" w:color="auto" w:fill="E6E6E6"/>
          </w:tcPr>
          <w:p>
            <w:pPr>
              <w:spacing w:after="0"/>
              <w:rPr>
                <w:sz w:val="23"/>
                <w:szCs w:val="23"/>
                <w:color w:val="auto"/>
              </w:rPr>
            </w:pPr>
          </w:p>
        </w:tc>
        <w:tc>
          <w:tcPr>
            <w:tcW w:w="12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May 2013</w:t>
            </w:r>
          </w:p>
        </w:tc>
        <w:tc>
          <w:tcPr>
            <w:tcW w:w="19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248"/>
        </w:trPr>
        <w:tc>
          <w:tcPr>
            <w:tcW w:w="362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Total Flexible Generation</w:t>
            </w:r>
          </w:p>
        </w:tc>
        <w:tc>
          <w:tcPr>
            <w:tcW w:w="580" w:type="dxa"/>
            <w:vAlign w:val="bottom"/>
          </w:tcPr>
          <w:p>
            <w:pPr>
              <w:jc w:val="right"/>
              <w:spacing w:after="0"/>
              <w:rPr>
                <w:sz w:val="20"/>
                <w:szCs w:val="20"/>
                <w:color w:val="auto"/>
              </w:rPr>
            </w:pPr>
            <w:r>
              <w:rPr>
                <w:rFonts w:ascii="Arial" w:cs="Arial" w:eastAsia="Arial" w:hAnsi="Arial"/>
                <w:sz w:val="16"/>
                <w:szCs w:val="16"/>
                <w:color w:val="auto"/>
              </w:rPr>
              <w:t>2,774</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2,584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1980" w:type="dxa"/>
            <w:vAlign w:val="bottom"/>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Utility Scale Solar</w:t>
            </w:r>
          </w:p>
        </w:tc>
        <w:tc>
          <w:tcPr>
            <w:tcW w:w="8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Agua Caliente</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Dateland, AZ</w:t>
            </w:r>
          </w:p>
        </w:tc>
        <w:tc>
          <w:tcPr>
            <w:tcW w:w="580" w:type="dxa"/>
            <w:vAlign w:val="bottom"/>
          </w:tcPr>
          <w:p>
            <w:pPr>
              <w:jc w:val="right"/>
              <w:spacing w:after="0"/>
              <w:rPr>
                <w:sz w:val="20"/>
                <w:szCs w:val="20"/>
                <w:color w:val="auto"/>
              </w:rPr>
            </w:pPr>
            <w:r>
              <w:rPr>
                <w:rFonts w:ascii="Arial" w:cs="Arial" w:eastAsia="Arial" w:hAnsi="Arial"/>
                <w:sz w:val="16"/>
                <w:szCs w:val="16"/>
                <w:color w:val="auto"/>
              </w:rPr>
              <w:t>290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148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June 2014</w:t>
            </w:r>
          </w:p>
        </w:tc>
        <w:tc>
          <w:tcPr>
            <w:tcW w:w="1920" w:type="dxa"/>
            <w:vAlign w:val="bottom"/>
          </w:tcPr>
          <w:p>
            <w:pPr>
              <w:ind w:left="40"/>
              <w:spacing w:after="0"/>
              <w:rPr>
                <w:sz w:val="20"/>
                <w:szCs w:val="20"/>
                <w:color w:val="auto"/>
              </w:rPr>
            </w:pPr>
            <w:r>
              <w:rPr>
                <w:rFonts w:ascii="Arial" w:cs="Arial" w:eastAsia="Arial" w:hAnsi="Arial"/>
                <w:sz w:val="16"/>
                <w:szCs w:val="16"/>
                <w:color w:val="auto"/>
              </w:rPr>
              <w:t>PG&amp;E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Alpine</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Lancaster,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66</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66</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January 2013</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PG&amp;E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151"/>
        </w:trPr>
        <w:tc>
          <w:tcPr>
            <w:tcW w:w="1980" w:type="dxa"/>
            <w:vAlign w:val="bottom"/>
            <w:vMerge w:val="restart"/>
          </w:tcPr>
          <w:p>
            <w:pPr>
              <w:ind w:left="40"/>
              <w:spacing w:after="0"/>
              <w:rPr>
                <w:sz w:val="20"/>
                <w:szCs w:val="20"/>
                <w:color w:val="auto"/>
              </w:rPr>
            </w:pPr>
            <w:r>
              <w:rPr>
                <w:rFonts w:ascii="Arial" w:cs="Arial" w:eastAsia="Arial" w:hAnsi="Arial"/>
                <w:sz w:val="16"/>
                <w:szCs w:val="16"/>
                <w:color w:val="auto"/>
              </w:rPr>
              <w:t xml:space="preserve">Arica </w:t>
            </w:r>
            <w:r>
              <w:rPr>
                <w:rFonts w:ascii="Arial" w:cs="Arial" w:eastAsia="Arial" w:hAnsi="Arial"/>
                <w:sz w:val="20"/>
                <w:szCs w:val="20"/>
                <w:color w:val="auto"/>
                <w:vertAlign w:val="superscript"/>
              </w:rPr>
              <w:t>(c)</w:t>
            </w:r>
          </w:p>
        </w:tc>
        <w:tc>
          <w:tcPr>
            <w:tcW w:w="8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color w:val="auto"/>
              </w:rPr>
              <w:t>Riverside, CA</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105</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3"/>
                <w:szCs w:val="13"/>
                <w:color w:val="auto"/>
              </w:rPr>
            </w:pPr>
          </w:p>
        </w:tc>
        <w:tc>
          <w:tcPr>
            <w:tcW w:w="1280" w:type="dxa"/>
            <w:vAlign w:val="bottom"/>
            <w:gridSpan w:val="2"/>
          </w:tcPr>
          <w:p>
            <w:pPr>
              <w:ind w:left="60"/>
              <w:spacing w:after="0" w:line="151" w:lineRule="exact"/>
              <w:rPr>
                <w:sz w:val="20"/>
                <w:szCs w:val="20"/>
                <w:color w:val="auto"/>
              </w:rPr>
            </w:pPr>
            <w:r>
              <w:rPr>
                <w:rFonts w:ascii="Arial" w:cs="Arial" w:eastAsia="Arial" w:hAnsi="Arial"/>
                <w:sz w:val="16"/>
                <w:szCs w:val="16"/>
                <w:color w:val="auto"/>
              </w:rPr>
              <w:t>March - June</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2026 - 2041</w:t>
            </w:r>
          </w:p>
        </w:tc>
        <w:tc>
          <w:tcPr>
            <w:tcW w:w="0" w:type="dxa"/>
            <w:vAlign w:val="bottom"/>
          </w:tcPr>
          <w:p>
            <w:pPr>
              <w:spacing w:after="0"/>
              <w:rPr>
                <w:sz w:val="1"/>
                <w:szCs w:val="1"/>
                <w:color w:val="auto"/>
              </w:rPr>
            </w:pPr>
          </w:p>
        </w:tc>
      </w:tr>
      <w:tr>
        <w:trPr>
          <w:trHeight w:val="224"/>
        </w:trPr>
        <w:tc>
          <w:tcPr>
            <w:tcW w:w="1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Avenal</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Avenal,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45</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23</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August 2011</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PG&amp;E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Avra Valley</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Pima County, AZ</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2012</w:t>
            </w:r>
          </w:p>
        </w:tc>
        <w:tc>
          <w:tcPr>
            <w:tcW w:w="1920" w:type="dxa"/>
            <w:vAlign w:val="bottom"/>
          </w:tcPr>
          <w:p>
            <w:pPr>
              <w:ind w:left="40"/>
              <w:spacing w:after="0"/>
              <w:rPr>
                <w:sz w:val="20"/>
                <w:szCs w:val="20"/>
                <w:color w:val="auto"/>
              </w:rPr>
            </w:pPr>
            <w:r>
              <w:rPr>
                <w:rFonts w:ascii="Arial" w:cs="Arial" w:eastAsia="Arial" w:hAnsi="Arial"/>
                <w:sz w:val="16"/>
                <w:szCs w:val="16"/>
                <w:color w:val="auto"/>
              </w:rPr>
              <w:t>Tucson Electric Power</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Blythe</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Blythe,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21</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2009</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Borrego</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Borrego Springs, CA</w:t>
            </w: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February 2013</w:t>
            </w:r>
          </w:p>
        </w:tc>
        <w:tc>
          <w:tcPr>
            <w:tcW w:w="1920" w:type="dxa"/>
            <w:vAlign w:val="bottom"/>
          </w:tcPr>
          <w:p>
            <w:pPr>
              <w:ind w:left="40"/>
              <w:spacing w:after="0"/>
              <w:rPr>
                <w:sz w:val="20"/>
                <w:szCs w:val="20"/>
                <w:color w:val="auto"/>
              </w:rPr>
            </w:pPr>
            <w:r>
              <w:rPr>
                <w:rFonts w:ascii="Arial" w:cs="Arial" w:eastAsia="Arial" w:hAnsi="Arial"/>
                <w:sz w:val="16"/>
                <w:szCs w:val="16"/>
                <w:color w:val="auto"/>
              </w:rPr>
              <w:t>SDG&amp;E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Buckthorn Solar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Fort Stockton, TX</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150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150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July 2018</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City of Georgetown, TX</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CVSR</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w w:val="99"/>
              </w:rPr>
              <w:t>San Luis Obispo, CA</w:t>
            </w: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October 2013</w:t>
            </w:r>
          </w:p>
        </w:tc>
        <w:tc>
          <w:tcPr>
            <w:tcW w:w="1920" w:type="dxa"/>
            <w:vAlign w:val="bottom"/>
          </w:tcPr>
          <w:p>
            <w:pPr>
              <w:ind w:left="40"/>
              <w:spacing w:after="0"/>
              <w:rPr>
                <w:sz w:val="20"/>
                <w:szCs w:val="20"/>
                <w:color w:val="auto"/>
              </w:rPr>
            </w:pPr>
            <w:r>
              <w:rPr>
                <w:rFonts w:ascii="Arial" w:cs="Arial" w:eastAsia="Arial" w:hAnsi="Arial"/>
                <w:sz w:val="16"/>
                <w:szCs w:val="16"/>
                <w:color w:val="auto"/>
              </w:rPr>
              <w:t>PG&amp;E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Daggett 2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San Bernardino,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182</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46</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2023</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196"/>
        </w:trPr>
        <w:tc>
          <w:tcPr>
            <w:tcW w:w="1980" w:type="dxa"/>
            <w:vAlign w:val="bottom"/>
            <w:vMerge w:val="restart"/>
          </w:tcPr>
          <w:p>
            <w:pPr>
              <w:ind w:left="40"/>
              <w:spacing w:after="0"/>
              <w:rPr>
                <w:sz w:val="20"/>
                <w:szCs w:val="20"/>
                <w:color w:val="auto"/>
              </w:rPr>
            </w:pPr>
            <w:r>
              <w:rPr>
                <w:rFonts w:ascii="Arial" w:cs="Arial" w:eastAsia="Arial" w:hAnsi="Arial"/>
                <w:sz w:val="16"/>
                <w:szCs w:val="16"/>
                <w:color w:val="auto"/>
              </w:rPr>
              <w:t xml:space="preserve">Daggett 3 </w:t>
            </w:r>
            <w:r>
              <w:rPr>
                <w:rFonts w:ascii="Arial" w:cs="Arial" w:eastAsia="Arial" w:hAnsi="Arial"/>
                <w:sz w:val="20"/>
                <w:szCs w:val="20"/>
                <w:color w:val="auto"/>
                <w:vertAlign w:val="superscript"/>
              </w:rPr>
              <w:t>(c)</w:t>
            </w:r>
          </w:p>
        </w:tc>
        <w:tc>
          <w:tcPr>
            <w:tcW w:w="8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color w:val="auto"/>
              </w:rPr>
              <w:t>San Bernardino, CA</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75</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July - November</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2033 - 2038</w:t>
            </w:r>
          </w:p>
        </w:tc>
        <w:tc>
          <w:tcPr>
            <w:tcW w:w="0" w:type="dxa"/>
            <w:vAlign w:val="bottom"/>
          </w:tcPr>
          <w:p>
            <w:pPr>
              <w:spacing w:after="0"/>
              <w:rPr>
                <w:sz w:val="1"/>
                <w:szCs w:val="1"/>
                <w:color w:val="auto"/>
              </w:rPr>
            </w:pPr>
          </w:p>
        </w:tc>
      </w:tr>
      <w:tr>
        <w:trPr>
          <w:trHeight w:val="224"/>
        </w:trPr>
        <w:tc>
          <w:tcPr>
            <w:tcW w:w="1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Desert Sunlight 250</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Desert Center,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250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63</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2014</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Desert Sunlight 300</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Desert Center, CA</w:t>
            </w: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75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2014</w:t>
            </w:r>
          </w:p>
        </w:tc>
        <w:tc>
          <w:tcPr>
            <w:tcW w:w="1920" w:type="dxa"/>
            <w:vAlign w:val="bottom"/>
          </w:tcPr>
          <w:p>
            <w:pPr>
              <w:ind w:left="40"/>
              <w:spacing w:after="0"/>
              <w:rPr>
                <w:sz w:val="20"/>
                <w:szCs w:val="20"/>
                <w:color w:val="auto"/>
              </w:rPr>
            </w:pPr>
            <w:r>
              <w:rPr>
                <w:rFonts w:ascii="Arial" w:cs="Arial" w:eastAsia="Arial" w:hAnsi="Arial"/>
                <w:sz w:val="16"/>
                <w:szCs w:val="16"/>
                <w:color w:val="auto"/>
              </w:rPr>
              <w:t>PG&amp;E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Enterprise</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Providence, UT</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July 2016</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Escalante I</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Helper, UT</w:t>
            </w: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August 2016</w:t>
            </w:r>
          </w:p>
        </w:tc>
        <w:tc>
          <w:tcPr>
            <w:tcW w:w="192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Escalante II</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Milforad, UT</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August 2016</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Escalante III</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Delta, UT</w:t>
            </w: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August 2016</w:t>
            </w:r>
          </w:p>
        </w:tc>
        <w:tc>
          <w:tcPr>
            <w:tcW w:w="192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Granite Mountain East</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Cedar City, UT</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September 2016</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Granite Mountain West</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Cedar City, UT</w:t>
            </w: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September 2016</w:t>
            </w:r>
          </w:p>
        </w:tc>
        <w:tc>
          <w:tcPr>
            <w:tcW w:w="192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Iron Springs</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Cedar City, UT</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August 2016</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Kansas South</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Lemoore, CA</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June 2013</w:t>
            </w:r>
          </w:p>
        </w:tc>
        <w:tc>
          <w:tcPr>
            <w:tcW w:w="1920" w:type="dxa"/>
            <w:vAlign w:val="bottom"/>
          </w:tcPr>
          <w:p>
            <w:pPr>
              <w:ind w:left="40"/>
              <w:spacing w:after="0"/>
              <w:rPr>
                <w:sz w:val="20"/>
                <w:szCs w:val="20"/>
                <w:color w:val="auto"/>
              </w:rPr>
            </w:pPr>
            <w:r>
              <w:rPr>
                <w:rFonts w:ascii="Arial" w:cs="Arial" w:eastAsia="Arial" w:hAnsi="Arial"/>
                <w:sz w:val="16"/>
                <w:szCs w:val="16"/>
                <w:color w:val="auto"/>
              </w:rPr>
              <w:t>PG&amp;E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Mililani I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Honolulu, HI</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39</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July 2022</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w w:val="95"/>
              </w:rPr>
              <w:t>Hawaiian Electric Company</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Oahu Solar </w:t>
            </w:r>
            <w:r>
              <w:rPr>
                <w:rFonts w:ascii="Arial" w:cs="Arial" w:eastAsia="Arial" w:hAnsi="Arial"/>
                <w:sz w:val="20"/>
                <w:szCs w:val="20"/>
                <w:color w:val="auto"/>
                <w:vertAlign w:val="superscript"/>
              </w:rPr>
              <w:t>(c)</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Oahu, HI</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September 2019</w:t>
            </w:r>
          </w:p>
        </w:tc>
        <w:tc>
          <w:tcPr>
            <w:tcW w:w="1920" w:type="dxa"/>
            <w:vAlign w:val="bottom"/>
          </w:tcPr>
          <w:p>
            <w:pPr>
              <w:ind w:left="40"/>
              <w:spacing w:after="0"/>
              <w:rPr>
                <w:sz w:val="20"/>
                <w:szCs w:val="20"/>
                <w:color w:val="auto"/>
              </w:rPr>
            </w:pPr>
            <w:r>
              <w:rPr>
                <w:rFonts w:ascii="Arial" w:cs="Arial" w:eastAsia="Arial" w:hAnsi="Arial"/>
                <w:sz w:val="16"/>
                <w:szCs w:val="16"/>
                <w:color w:val="auto"/>
                <w:w w:val="95"/>
              </w:rPr>
              <w:t>Hawaiian Electric Company</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Roadrunner</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Santa Teresa, NM</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August 2011</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El Paso Electric</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Rosamond Central </w:t>
            </w:r>
            <w:r>
              <w:rPr>
                <w:rFonts w:ascii="Arial" w:cs="Arial" w:eastAsia="Arial" w:hAnsi="Arial"/>
                <w:sz w:val="20"/>
                <w:szCs w:val="20"/>
                <w:color w:val="auto"/>
                <w:vertAlign w:val="superscript"/>
              </w:rPr>
              <w:t>(c)</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Rosamond, CA</w:t>
            </w:r>
          </w:p>
        </w:tc>
        <w:tc>
          <w:tcPr>
            <w:tcW w:w="580" w:type="dxa"/>
            <w:vAlign w:val="bottom"/>
          </w:tcPr>
          <w:p>
            <w:pPr>
              <w:jc w:val="right"/>
              <w:spacing w:after="0"/>
              <w:rPr>
                <w:sz w:val="20"/>
                <w:szCs w:val="20"/>
                <w:color w:val="auto"/>
              </w:rPr>
            </w:pPr>
            <w:r>
              <w:rPr>
                <w:rFonts w:ascii="Arial" w:cs="Arial" w:eastAsia="Arial" w:hAnsi="Arial"/>
                <w:sz w:val="16"/>
                <w:szCs w:val="16"/>
                <w:color w:val="auto"/>
              </w:rPr>
              <w:t>192</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96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2020</w:t>
            </w:r>
          </w:p>
        </w:tc>
        <w:tc>
          <w:tcPr>
            <w:tcW w:w="1920" w:type="dxa"/>
            <w:vAlign w:val="bottom"/>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2035 - 2047</w:t>
            </w: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TA High Desert</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Lancaster,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March 2013</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Texas Solar Nova 1 </w:t>
            </w:r>
            <w:r>
              <w:rPr>
                <w:rFonts w:ascii="Arial" w:cs="Arial" w:eastAsia="Arial" w:hAnsi="Arial"/>
                <w:sz w:val="20"/>
                <w:szCs w:val="20"/>
                <w:color w:val="auto"/>
                <w:vertAlign w:val="superscript"/>
              </w:rPr>
              <w:t>(c)</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Kent County, TX</w:t>
            </w:r>
          </w:p>
        </w:tc>
        <w:tc>
          <w:tcPr>
            <w:tcW w:w="580" w:type="dxa"/>
            <w:vAlign w:val="bottom"/>
          </w:tcPr>
          <w:p>
            <w:pPr>
              <w:jc w:val="right"/>
              <w:spacing w:after="0"/>
              <w:rPr>
                <w:sz w:val="20"/>
                <w:szCs w:val="20"/>
                <w:color w:val="auto"/>
              </w:rPr>
            </w:pPr>
            <w:r>
              <w:rPr>
                <w:rFonts w:ascii="Arial" w:cs="Arial" w:eastAsia="Arial" w:hAnsi="Arial"/>
                <w:sz w:val="16"/>
                <w:szCs w:val="16"/>
                <w:color w:val="auto"/>
              </w:rPr>
              <w:t>252</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126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2023</w:t>
            </w:r>
          </w:p>
        </w:tc>
        <w:tc>
          <w:tcPr>
            <w:tcW w:w="1920" w:type="dxa"/>
            <w:vAlign w:val="bottom"/>
          </w:tcPr>
          <w:p>
            <w:pPr>
              <w:ind w:left="40"/>
              <w:spacing w:after="0"/>
              <w:rPr>
                <w:sz w:val="20"/>
                <w:szCs w:val="20"/>
                <w:color w:val="auto"/>
              </w:rPr>
            </w:pPr>
            <w:r>
              <w:rPr>
                <w:rFonts w:ascii="Arial" w:cs="Arial" w:eastAsia="Arial" w:hAnsi="Arial"/>
                <w:sz w:val="16"/>
                <w:szCs w:val="16"/>
                <w:color w:val="auto"/>
              </w:rPr>
              <w:t>Verizon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Texas Solar Nova 2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Kent County, TX</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100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February 2024</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Verizon</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5"/>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Victory Pass </w:t>
            </w:r>
            <w:r>
              <w:rPr>
                <w:rFonts w:ascii="Arial" w:cs="Arial" w:eastAsia="Arial" w:hAnsi="Arial"/>
                <w:sz w:val="20"/>
                <w:szCs w:val="20"/>
                <w:color w:val="auto"/>
                <w:vertAlign w:val="superscript"/>
              </w:rPr>
              <w:t>(c)</w:t>
            </w:r>
          </w:p>
        </w:tc>
        <w:tc>
          <w:tcPr>
            <w:tcW w:w="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Riverside, CA</w:t>
            </w:r>
          </w:p>
        </w:tc>
        <w:tc>
          <w:tcPr>
            <w:tcW w:w="580" w:type="dxa"/>
            <w:vAlign w:val="bottom"/>
          </w:tcPr>
          <w:p>
            <w:pPr>
              <w:jc w:val="right"/>
              <w:spacing w:after="0"/>
              <w:rPr>
                <w:sz w:val="20"/>
                <w:szCs w:val="20"/>
                <w:color w:val="auto"/>
              </w:rPr>
            </w:pPr>
            <w:r>
              <w:rPr>
                <w:rFonts w:ascii="Arial" w:cs="Arial" w:eastAsia="Arial" w:hAnsi="Arial"/>
                <w:sz w:val="16"/>
                <w:szCs w:val="16"/>
                <w:color w:val="auto"/>
              </w:rPr>
              <w:t>200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March 2024</w:t>
            </w:r>
          </w:p>
        </w:tc>
        <w:tc>
          <w:tcPr>
            <w:tcW w:w="1920" w:type="dxa"/>
            <w:vAlign w:val="bottom"/>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65"/>
        </w:trPr>
        <w:tc>
          <w:tcPr>
            <w:tcW w:w="1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 xml:space="preserve">Waiawa </w:t>
            </w:r>
            <w:r>
              <w:rPr>
                <w:rFonts w:ascii="Arial" w:cs="Arial" w:eastAsia="Arial" w:hAnsi="Arial"/>
                <w:sz w:val="20"/>
                <w:szCs w:val="20"/>
                <w:color w:val="auto"/>
                <w:vertAlign w:val="superscript"/>
              </w:rPr>
              <w:t>(c)</w:t>
            </w:r>
          </w:p>
        </w:tc>
        <w:tc>
          <w:tcPr>
            <w:tcW w:w="80" w:type="dxa"/>
            <w:vAlign w:val="bottom"/>
            <w:tcBorders>
              <w:bottom w:val="single" w:sz="8" w:color="E6E6E6"/>
            </w:tcBorders>
            <w:shd w:val="clear" w:color="auto" w:fill="E6E6E6"/>
          </w:tcPr>
          <w:p>
            <w:pPr>
              <w:spacing w:after="0"/>
              <w:rPr>
                <w:sz w:val="23"/>
                <w:szCs w:val="23"/>
                <w:color w:val="auto"/>
              </w:rPr>
            </w:pPr>
          </w:p>
        </w:tc>
        <w:tc>
          <w:tcPr>
            <w:tcW w:w="15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Honolulu, HI</w:t>
            </w: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16"/>
                <w:szCs w:val="16"/>
                <w:color w:val="auto"/>
              </w:rPr>
              <w:t>18</w:t>
            </w:r>
          </w:p>
        </w:tc>
        <w:tc>
          <w:tcPr>
            <w:tcW w:w="10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bottom w:val="single" w:sz="8" w:color="E6E6E6"/>
            </w:tcBorders>
            <w:shd w:val="clear" w:color="auto" w:fill="E6E6E6"/>
          </w:tcPr>
          <w:p>
            <w:pPr>
              <w:spacing w:after="0"/>
              <w:rPr>
                <w:sz w:val="23"/>
                <w:szCs w:val="23"/>
                <w:color w:val="auto"/>
              </w:rPr>
            </w:pPr>
          </w:p>
        </w:tc>
        <w:tc>
          <w:tcPr>
            <w:tcW w:w="12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January 2023</w:t>
            </w:r>
          </w:p>
        </w:tc>
        <w:tc>
          <w:tcPr>
            <w:tcW w:w="19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w w:val="95"/>
              </w:rPr>
              <w:t>Hawaiian Electric Company</w:t>
            </w:r>
          </w:p>
        </w:tc>
        <w:tc>
          <w:tcPr>
            <w:tcW w:w="10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48"/>
        </w:trPr>
        <w:tc>
          <w:tcPr>
            <w:tcW w:w="362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Total Utility Scale Solar</w:t>
            </w:r>
          </w:p>
        </w:tc>
        <w:tc>
          <w:tcPr>
            <w:tcW w:w="580" w:type="dxa"/>
            <w:vAlign w:val="bottom"/>
          </w:tcPr>
          <w:p>
            <w:pPr>
              <w:jc w:val="right"/>
              <w:spacing w:after="0"/>
              <w:rPr>
                <w:sz w:val="20"/>
                <w:szCs w:val="20"/>
                <w:color w:val="auto"/>
              </w:rPr>
            </w:pPr>
            <w:r>
              <w:rPr>
                <w:rFonts w:ascii="Arial" w:cs="Arial" w:eastAsia="Arial" w:hAnsi="Arial"/>
                <w:sz w:val="16"/>
                <w:szCs w:val="16"/>
                <w:color w:val="auto"/>
              </w:rPr>
              <w:t>3,740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2,166</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1980" w:type="dxa"/>
            <w:vAlign w:val="bottom"/>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Utility Scale BESS</w:t>
            </w:r>
          </w:p>
        </w:tc>
        <w:tc>
          <w:tcPr>
            <w:tcW w:w="8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80" w:type="dxa"/>
            <w:vAlign w:val="bottom"/>
            <w:vMerge w:val="restart"/>
          </w:tcPr>
          <w:p>
            <w:pPr>
              <w:ind w:left="40"/>
              <w:spacing w:after="0"/>
              <w:rPr>
                <w:sz w:val="20"/>
                <w:szCs w:val="20"/>
                <w:color w:val="auto"/>
              </w:rPr>
            </w:pPr>
            <w:r>
              <w:rPr>
                <w:rFonts w:ascii="Arial" w:cs="Arial" w:eastAsia="Arial" w:hAnsi="Arial"/>
                <w:sz w:val="16"/>
                <w:szCs w:val="16"/>
                <w:color w:val="auto"/>
              </w:rPr>
              <w:t xml:space="preserve">Arica </w:t>
            </w:r>
            <w:r>
              <w:rPr>
                <w:rFonts w:ascii="Arial" w:cs="Arial" w:eastAsia="Arial" w:hAnsi="Arial"/>
                <w:sz w:val="20"/>
                <w:szCs w:val="20"/>
                <w:color w:val="auto"/>
                <w:vertAlign w:val="superscript"/>
              </w:rPr>
              <w:t>(c)</w:t>
            </w:r>
          </w:p>
        </w:tc>
        <w:tc>
          <w:tcPr>
            <w:tcW w:w="8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color w:val="auto"/>
              </w:rPr>
              <w:t>Riverside, CA</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54</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March - June</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2039 - 2041</w:t>
            </w:r>
          </w:p>
        </w:tc>
        <w:tc>
          <w:tcPr>
            <w:tcW w:w="0" w:type="dxa"/>
            <w:vAlign w:val="bottom"/>
          </w:tcPr>
          <w:p>
            <w:pPr>
              <w:spacing w:after="0"/>
              <w:rPr>
                <w:sz w:val="1"/>
                <w:szCs w:val="1"/>
                <w:color w:val="auto"/>
              </w:rPr>
            </w:pPr>
          </w:p>
        </w:tc>
      </w:tr>
      <w:tr>
        <w:trPr>
          <w:trHeight w:val="224"/>
        </w:trPr>
        <w:tc>
          <w:tcPr>
            <w:tcW w:w="1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Daggett 2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San Bernardino,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131</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33</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2023</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196"/>
        </w:trPr>
        <w:tc>
          <w:tcPr>
            <w:tcW w:w="1980" w:type="dxa"/>
            <w:vAlign w:val="bottom"/>
            <w:vMerge w:val="restart"/>
          </w:tcPr>
          <w:p>
            <w:pPr>
              <w:ind w:left="40"/>
              <w:spacing w:after="0"/>
              <w:rPr>
                <w:sz w:val="20"/>
                <w:szCs w:val="20"/>
                <w:color w:val="auto"/>
              </w:rPr>
            </w:pPr>
            <w:r>
              <w:rPr>
                <w:rFonts w:ascii="Arial" w:cs="Arial" w:eastAsia="Arial" w:hAnsi="Arial"/>
                <w:sz w:val="16"/>
                <w:szCs w:val="16"/>
                <w:color w:val="auto"/>
              </w:rPr>
              <w:t xml:space="preserve">Daggett 3 </w:t>
            </w:r>
            <w:r>
              <w:rPr>
                <w:rFonts w:ascii="Arial" w:cs="Arial" w:eastAsia="Arial" w:hAnsi="Arial"/>
                <w:sz w:val="20"/>
                <w:szCs w:val="20"/>
                <w:color w:val="auto"/>
                <w:vertAlign w:val="superscript"/>
              </w:rPr>
              <w:t>(c)</w:t>
            </w:r>
          </w:p>
        </w:tc>
        <w:tc>
          <w:tcPr>
            <w:tcW w:w="8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color w:val="auto"/>
              </w:rPr>
              <w:t>San Bernardino, CA</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37</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July - November</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2033 - 2038</w:t>
            </w:r>
          </w:p>
        </w:tc>
        <w:tc>
          <w:tcPr>
            <w:tcW w:w="0" w:type="dxa"/>
            <w:vAlign w:val="bottom"/>
          </w:tcPr>
          <w:p>
            <w:pPr>
              <w:spacing w:after="0"/>
              <w:rPr>
                <w:sz w:val="1"/>
                <w:szCs w:val="1"/>
                <w:color w:val="auto"/>
              </w:rPr>
            </w:pPr>
          </w:p>
        </w:tc>
      </w:tr>
      <w:tr>
        <w:trPr>
          <w:trHeight w:val="224"/>
        </w:trPr>
        <w:tc>
          <w:tcPr>
            <w:tcW w:w="1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Mililani I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Honolulu, HI</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39</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July 2022</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w w:val="95"/>
              </w:rPr>
              <w:t>Hawaiian Electric Company</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306"/>
        </w:trPr>
        <w:tc>
          <w:tcPr>
            <w:tcW w:w="1980" w:type="dxa"/>
            <w:vAlign w:val="bottom"/>
          </w:tcPr>
          <w:p>
            <w:pPr>
              <w:ind w:left="40"/>
              <w:spacing w:after="0"/>
              <w:rPr>
                <w:sz w:val="20"/>
                <w:szCs w:val="20"/>
                <w:color w:val="auto"/>
              </w:rPr>
            </w:pPr>
            <w:r>
              <w:rPr>
                <w:rFonts w:ascii="Arial" w:cs="Arial" w:eastAsia="Arial" w:hAnsi="Arial"/>
                <w:sz w:val="16"/>
                <w:szCs w:val="16"/>
                <w:color w:val="auto"/>
              </w:rPr>
              <w:t xml:space="preserve">Rosamond Central </w:t>
            </w:r>
            <w:r>
              <w:rPr>
                <w:rFonts w:ascii="Arial" w:cs="Arial" w:eastAsia="Arial" w:hAnsi="Arial"/>
                <w:sz w:val="20"/>
                <w:szCs w:val="20"/>
                <w:color w:val="auto"/>
                <w:vertAlign w:val="superscript"/>
              </w:rPr>
              <w:t>(c)</w:t>
            </w:r>
          </w:p>
        </w:tc>
        <w:tc>
          <w:tcPr>
            <w:tcW w:w="8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Rosamond, CA</w:t>
            </w:r>
          </w:p>
        </w:tc>
        <w:tc>
          <w:tcPr>
            <w:tcW w:w="580" w:type="dxa"/>
            <w:vAlign w:val="bottom"/>
          </w:tcPr>
          <w:p>
            <w:pPr>
              <w:jc w:val="right"/>
              <w:spacing w:after="0"/>
              <w:rPr>
                <w:sz w:val="20"/>
                <w:szCs w:val="20"/>
                <w:color w:val="auto"/>
              </w:rPr>
            </w:pPr>
            <w:r>
              <w:rPr>
                <w:rFonts w:ascii="Arial" w:cs="Arial" w:eastAsia="Arial" w:hAnsi="Arial"/>
                <w:sz w:val="16"/>
                <w:szCs w:val="16"/>
                <w:color w:val="auto"/>
              </w:rPr>
              <w:t>148</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74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June 2024</w:t>
            </w:r>
          </w:p>
        </w:tc>
        <w:tc>
          <w:tcPr>
            <w:tcW w:w="1920" w:type="dxa"/>
            <w:vAlign w:val="bottom"/>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360" w:right="800" w:bottom="0" w:gutter="0" w:footer="0" w:header="0"/>
        </w:sectPr>
      </w:pP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260"/>
          </w:cols>
          <w:pgMar w:left="820" w:top="360" w:right="80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Rated</w:t>
            </w:r>
          </w:p>
        </w:tc>
        <w:tc>
          <w:tcPr>
            <w:tcW w:w="80" w:type="dxa"/>
            <w:vAlign w:val="bottom"/>
          </w:tcPr>
          <w:p>
            <w:pPr>
              <w:spacing w:after="0"/>
              <w:rPr>
                <w:sz w:val="24"/>
                <w:szCs w:val="24"/>
                <w:color w:val="auto"/>
              </w:rPr>
            </w:pPr>
          </w:p>
        </w:tc>
        <w:tc>
          <w:tcPr>
            <w:tcW w:w="620" w:type="dxa"/>
            <w:vAlign w:val="bottom"/>
            <w:vMerge w:val="restart"/>
          </w:tcPr>
          <w:p>
            <w:pPr>
              <w:jc w:val="right"/>
              <w:ind w:right="105"/>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Percentage</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Contract</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Facilities</w:t>
            </w: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4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Location</w:t>
            </w:r>
          </w:p>
        </w:tc>
        <w:tc>
          <w:tcPr>
            <w:tcW w:w="80" w:type="dxa"/>
            <w:vAlign w:val="bottom"/>
            <w:vMerge w:val="restart"/>
          </w:tcPr>
          <w:p>
            <w:pPr>
              <w:spacing w:after="0"/>
              <w:rPr>
                <w:sz w:val="2"/>
                <w:szCs w:val="2"/>
                <w:color w:val="auto"/>
              </w:rPr>
            </w:pPr>
          </w:p>
        </w:tc>
        <w:tc>
          <w:tcPr>
            <w:tcW w:w="5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80" w:type="dxa"/>
            <w:vAlign w:val="bottom"/>
            <w:vMerge w:val="restart"/>
          </w:tcPr>
          <w:p>
            <w:pPr>
              <w:spacing w:after="0"/>
              <w:rPr>
                <w:sz w:val="2"/>
                <w:szCs w:val="2"/>
                <w:color w:val="auto"/>
              </w:rPr>
            </w:pPr>
          </w:p>
        </w:tc>
        <w:tc>
          <w:tcPr>
            <w:tcW w:w="19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Counterparty</w:t>
            </w:r>
          </w:p>
        </w:tc>
        <w:tc>
          <w:tcPr>
            <w:tcW w:w="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Expiration</w:t>
            </w:r>
          </w:p>
        </w:tc>
        <w:tc>
          <w:tcPr>
            <w:tcW w:w="0" w:type="dxa"/>
            <w:vAlign w:val="bottom"/>
          </w:tcPr>
          <w:p>
            <w:pPr>
              <w:spacing w:after="0" w:line="20" w:lineRule="exact"/>
              <w:rPr>
                <w:sz w:val="1"/>
                <w:szCs w:val="1"/>
                <w:color w:val="auto"/>
              </w:rPr>
            </w:pPr>
          </w:p>
        </w:tc>
      </w:tr>
      <w:tr>
        <w:trPr>
          <w:trHeight w:val="239"/>
        </w:trPr>
        <w:tc>
          <w:tcPr>
            <w:tcW w:w="1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MW</w:t>
            </w:r>
          </w:p>
        </w:tc>
        <w:tc>
          <w:tcPr>
            <w:tcW w:w="80" w:type="dxa"/>
            <w:vAlign w:val="bottom"/>
            <w:tcBorders>
              <w:bottom w:val="single" w:sz="8" w:color="E6E6E6"/>
            </w:tcBorders>
          </w:tcPr>
          <w:p>
            <w:pPr>
              <w:spacing w:after="0"/>
              <w:rPr>
                <w:sz w:val="20"/>
                <w:szCs w:val="20"/>
                <w:color w:val="auto"/>
              </w:rPr>
            </w:pPr>
          </w:p>
        </w:tc>
        <w:tc>
          <w:tcPr>
            <w:tcW w:w="62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Ownership</w:t>
            </w:r>
          </w:p>
        </w:tc>
        <w:tc>
          <w:tcPr>
            <w:tcW w:w="80" w:type="dxa"/>
            <w:vAlign w:val="bottom"/>
            <w:tcBorders>
              <w:bottom w:val="single" w:sz="8" w:color="E6E6E6"/>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 xml:space="preserve">Victory Pass </w:t>
            </w:r>
            <w:r>
              <w:rPr>
                <w:rFonts w:ascii="Arial" w:cs="Arial" w:eastAsia="Arial" w:hAnsi="Arial"/>
                <w:sz w:val="20"/>
                <w:szCs w:val="20"/>
                <w:color w:val="auto"/>
                <w:vertAlign w:val="superscript"/>
              </w:rPr>
              <w:t>(c)</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Riverside,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40 %</w:t>
            </w:r>
          </w:p>
        </w:tc>
        <w:tc>
          <w:tcPr>
            <w:tcW w:w="8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March 2024</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45"/>
        </w:trPr>
        <w:tc>
          <w:tcPr>
            <w:tcW w:w="2120" w:type="dxa"/>
            <w:vAlign w:val="bottom"/>
            <w:tcBorders>
              <w:bottom w:val="single" w:sz="8" w:color="E6E6E6"/>
            </w:tcBorders>
            <w:gridSpan w:val="3"/>
          </w:tcPr>
          <w:p>
            <w:pPr>
              <w:ind w:left="40"/>
              <w:spacing w:after="0"/>
              <w:rPr>
                <w:sz w:val="20"/>
                <w:szCs w:val="20"/>
                <w:color w:val="auto"/>
              </w:rPr>
            </w:pPr>
            <w:r>
              <w:rPr>
                <w:rFonts w:ascii="Arial" w:cs="Arial" w:eastAsia="Arial" w:hAnsi="Arial"/>
                <w:sz w:val="16"/>
                <w:szCs w:val="16"/>
                <w:color w:val="auto"/>
              </w:rPr>
              <w:t xml:space="preserve">Waiawa </w:t>
            </w:r>
            <w:r>
              <w:rPr>
                <w:rFonts w:ascii="Arial" w:cs="Arial" w:eastAsia="Arial" w:hAnsi="Arial"/>
                <w:sz w:val="20"/>
                <w:szCs w:val="20"/>
                <w:color w:val="auto"/>
                <w:vertAlign w:val="superscript"/>
              </w:rPr>
              <w:t>(c)</w:t>
            </w:r>
          </w:p>
        </w:tc>
        <w:tc>
          <w:tcPr>
            <w:tcW w:w="1500" w:type="dxa"/>
            <w:vAlign w:val="bottom"/>
            <w:tcBorders>
              <w:bottom w:val="single" w:sz="8" w:color="E6E6E6"/>
            </w:tcBorders>
            <w:gridSpan w:val="2"/>
          </w:tcPr>
          <w:p>
            <w:pPr>
              <w:spacing w:after="0"/>
              <w:rPr>
                <w:sz w:val="20"/>
                <w:szCs w:val="20"/>
                <w:color w:val="auto"/>
              </w:rPr>
            </w:pPr>
            <w:r>
              <w:rPr>
                <w:rFonts w:ascii="Arial" w:cs="Arial" w:eastAsia="Arial" w:hAnsi="Arial"/>
                <w:sz w:val="16"/>
                <w:szCs w:val="16"/>
                <w:color w:val="auto"/>
              </w:rPr>
              <w:t>Honolulu, HI</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E6E6E6"/>
            </w:tcBorders>
          </w:tcPr>
          <w:p>
            <w:pPr>
              <w:spacing w:after="0"/>
              <w:rPr>
                <w:sz w:val="21"/>
                <w:szCs w:val="21"/>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w:t>
            </w:r>
          </w:p>
        </w:tc>
        <w:tc>
          <w:tcPr>
            <w:tcW w:w="104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bottom w:val="single" w:sz="8" w:color="E6E6E6"/>
            </w:tcBorders>
          </w:tcPr>
          <w:p>
            <w:pPr>
              <w:spacing w:after="0"/>
              <w:rPr>
                <w:sz w:val="21"/>
                <w:szCs w:val="21"/>
                <w:color w:val="auto"/>
              </w:rPr>
            </w:pPr>
          </w:p>
        </w:tc>
        <w:tc>
          <w:tcPr>
            <w:tcW w:w="1280" w:type="dxa"/>
            <w:vAlign w:val="bottom"/>
            <w:tcBorders>
              <w:bottom w:val="single" w:sz="8" w:color="E6E6E6"/>
            </w:tcBorders>
            <w:gridSpan w:val="2"/>
          </w:tcPr>
          <w:p>
            <w:pPr>
              <w:ind w:left="60"/>
              <w:spacing w:after="0"/>
              <w:rPr>
                <w:sz w:val="20"/>
                <w:szCs w:val="20"/>
                <w:color w:val="auto"/>
              </w:rPr>
            </w:pPr>
            <w:r>
              <w:rPr>
                <w:rFonts w:ascii="Arial" w:cs="Arial" w:eastAsia="Arial" w:hAnsi="Arial"/>
                <w:sz w:val="16"/>
                <w:szCs w:val="16"/>
                <w:color w:val="auto"/>
              </w:rPr>
              <w:t>January 2023</w:t>
            </w:r>
          </w:p>
        </w:tc>
        <w:tc>
          <w:tcPr>
            <w:tcW w:w="1920" w:type="dxa"/>
            <w:vAlign w:val="bottom"/>
            <w:tcBorders>
              <w:bottom w:val="single" w:sz="8" w:color="E6E6E6"/>
            </w:tcBorders>
          </w:tcPr>
          <w:p>
            <w:pPr>
              <w:ind w:left="40"/>
              <w:spacing w:after="0"/>
              <w:rPr>
                <w:sz w:val="20"/>
                <w:szCs w:val="20"/>
                <w:color w:val="auto"/>
              </w:rPr>
            </w:pPr>
            <w:r>
              <w:rPr>
                <w:rFonts w:ascii="Arial" w:cs="Arial" w:eastAsia="Arial" w:hAnsi="Arial"/>
                <w:sz w:val="16"/>
                <w:szCs w:val="16"/>
                <w:color w:val="auto"/>
                <w:w w:val="95"/>
              </w:rPr>
              <w:t>Hawaiian Electric Company</w:t>
            </w:r>
          </w:p>
        </w:tc>
        <w:tc>
          <w:tcPr>
            <w:tcW w:w="104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75"/>
        </w:trPr>
        <w:tc>
          <w:tcPr>
            <w:tcW w:w="3620" w:type="dxa"/>
            <w:vAlign w:val="bottom"/>
            <w:gridSpan w:val="5"/>
            <w:shd w:val="clear" w:color="auto" w:fill="E6E6E6"/>
          </w:tcPr>
          <w:p>
            <w:pPr>
              <w:ind w:left="400"/>
              <w:spacing w:after="0"/>
              <w:rPr>
                <w:sz w:val="20"/>
                <w:szCs w:val="20"/>
                <w:color w:val="auto"/>
              </w:rPr>
            </w:pPr>
            <w:r>
              <w:rPr>
                <w:rFonts w:ascii="Arial" w:cs="Arial" w:eastAsia="Arial" w:hAnsi="Arial"/>
                <w:sz w:val="18"/>
                <w:szCs w:val="18"/>
                <w:b w:val="1"/>
                <w:bCs w:val="1"/>
                <w:i w:val="1"/>
                <w:iCs w:val="1"/>
                <w:color w:val="auto"/>
              </w:rPr>
              <w:t>Total Utility Scale BESS</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689</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256</w:t>
            </w: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9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Distributed Solar</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DGPV Funds </w:t>
            </w:r>
            <w:r>
              <w:rPr>
                <w:rFonts w:ascii="Arial" w:cs="Arial" w:eastAsia="Arial" w:hAnsi="Arial"/>
                <w:sz w:val="20"/>
                <w:szCs w:val="20"/>
                <w:color w:val="auto"/>
                <w:vertAlign w:val="superscript"/>
              </w:rPr>
              <w:t>(c)</w:t>
            </w:r>
          </w:p>
        </w:tc>
        <w:tc>
          <w:tcPr>
            <w:tcW w:w="1500" w:type="dxa"/>
            <w:vAlign w:val="bottom"/>
            <w:gridSpan w:val="2"/>
            <w:vMerge w:val="restart"/>
            <w:shd w:val="clear" w:color="auto" w:fill="E6E6E6"/>
          </w:tcPr>
          <w:p>
            <w:pPr>
              <w:spacing w:after="0"/>
              <w:rPr>
                <w:sz w:val="20"/>
                <w:szCs w:val="20"/>
                <w:color w:val="auto"/>
              </w:rPr>
            </w:pPr>
            <w:r>
              <w:rPr>
                <w:rFonts w:ascii="Arial" w:cs="Arial" w:eastAsia="Arial" w:hAnsi="Arial"/>
                <w:sz w:val="16"/>
                <w:szCs w:val="16"/>
                <w:color w:val="auto"/>
              </w:rPr>
              <w:t>Various</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286</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286</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September 2015</w:t>
            </w:r>
          </w:p>
        </w:tc>
        <w:tc>
          <w:tcPr>
            <w:tcW w:w="192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2030 - 2044</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 March 2019</w:t>
            </w:r>
          </w:p>
        </w:tc>
        <w:tc>
          <w:tcPr>
            <w:tcW w:w="1920" w:type="dxa"/>
            <w:vAlign w:val="bottom"/>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Solar Power Partners (SPP)</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Various</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24</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w w:val="97"/>
              </w:rPr>
              <w:t>June 2008 - June</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2026 - 2037</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Other DG Facilities</w:t>
            </w:r>
          </w:p>
        </w:tc>
        <w:tc>
          <w:tcPr>
            <w:tcW w:w="1500" w:type="dxa"/>
            <w:vAlign w:val="bottom"/>
            <w:gridSpan w:val="2"/>
            <w:vMerge w:val="restart"/>
            <w:shd w:val="clear" w:color="auto" w:fill="E6E6E6"/>
          </w:tcPr>
          <w:p>
            <w:pPr>
              <w:spacing w:after="0"/>
              <w:rPr>
                <w:sz w:val="20"/>
                <w:szCs w:val="20"/>
                <w:color w:val="auto"/>
              </w:rPr>
            </w:pPr>
            <w:r>
              <w:rPr>
                <w:rFonts w:ascii="Arial" w:cs="Arial" w:eastAsia="Arial" w:hAnsi="Arial"/>
                <w:sz w:val="16"/>
                <w:szCs w:val="16"/>
                <w:color w:val="auto"/>
              </w:rPr>
              <w:t>Various</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20</w:t>
            </w:r>
          </w:p>
        </w:tc>
        <w:tc>
          <w:tcPr>
            <w:tcW w:w="80" w:type="dxa"/>
            <w:vAlign w:val="bottom"/>
            <w:vMerge w:val="restart"/>
            <w:shd w:val="clear" w:color="auto" w:fill="E6E6E6"/>
          </w:tcPr>
          <w:p>
            <w:pPr>
              <w:spacing w:after="0"/>
              <w:rPr>
                <w:sz w:val="17"/>
                <w:szCs w:val="17"/>
                <w:color w:val="auto"/>
              </w:rPr>
            </w:pPr>
          </w:p>
        </w:tc>
        <w:tc>
          <w:tcPr>
            <w:tcW w:w="620" w:type="dxa"/>
            <w:vAlign w:val="bottom"/>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20</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2010</w:t>
            </w:r>
          </w:p>
        </w:tc>
        <w:tc>
          <w:tcPr>
            <w:tcW w:w="192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2025 - 2039</w:t>
            </w:r>
          </w:p>
        </w:tc>
        <w:tc>
          <w:tcPr>
            <w:tcW w:w="0" w:type="dxa"/>
            <w:vAlign w:val="bottom"/>
          </w:tcPr>
          <w:p>
            <w:pPr>
              <w:spacing w:after="0"/>
              <w:rPr>
                <w:sz w:val="1"/>
                <w:szCs w:val="1"/>
                <w:color w:val="auto"/>
              </w:rPr>
            </w:pPr>
          </w:p>
        </w:tc>
      </w:tr>
      <w:tr>
        <w:trPr>
          <w:trHeight w:val="232"/>
        </w:trPr>
        <w:tc>
          <w:tcPr>
            <w:tcW w:w="2120" w:type="dxa"/>
            <w:vAlign w:val="bottom"/>
            <w:tcBorders>
              <w:bottom w:val="single" w:sz="8" w:color="E6E6E6"/>
            </w:tcBorders>
            <w:gridSpan w:val="3"/>
            <w:vMerge w:val="continue"/>
            <w:shd w:val="clear" w:color="auto" w:fill="E6E6E6"/>
          </w:tcPr>
          <w:p>
            <w:pPr>
              <w:spacing w:after="0"/>
              <w:rPr>
                <w:sz w:val="20"/>
                <w:szCs w:val="20"/>
                <w:color w:val="auto"/>
              </w:rPr>
            </w:pPr>
          </w:p>
        </w:tc>
        <w:tc>
          <w:tcPr>
            <w:tcW w:w="1500" w:type="dxa"/>
            <w:vAlign w:val="bottom"/>
            <w:tcBorders>
              <w:bottom w:val="single" w:sz="8" w:color="E6E6E6"/>
            </w:tcBorders>
            <w:gridSpan w:val="2"/>
            <w:vMerge w:val="continue"/>
            <w:shd w:val="clear" w:color="auto" w:fill="E6E6E6"/>
          </w:tcPr>
          <w:p>
            <w:pPr>
              <w:spacing w:after="0"/>
              <w:rPr>
                <w:sz w:val="20"/>
                <w:szCs w:val="20"/>
                <w:color w:val="auto"/>
              </w:rPr>
            </w:pPr>
          </w:p>
        </w:tc>
        <w:tc>
          <w:tcPr>
            <w:tcW w:w="58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vMerge w:val="continue"/>
            <w:shd w:val="clear" w:color="auto" w:fill="E6E6E6"/>
          </w:tcPr>
          <w:p>
            <w:pPr>
              <w:spacing w:after="0"/>
              <w:rPr>
                <w:sz w:val="20"/>
                <w:szCs w:val="20"/>
                <w:color w:val="auto"/>
              </w:rPr>
            </w:pPr>
          </w:p>
        </w:tc>
        <w:tc>
          <w:tcPr>
            <w:tcW w:w="620" w:type="dxa"/>
            <w:vAlign w:val="bottom"/>
            <w:tcBorders>
              <w:bottom w:val="single" w:sz="8" w:color="auto"/>
            </w:tcBorders>
            <w:vMerge w:val="continue"/>
            <w:shd w:val="clear" w:color="auto" w:fill="E6E6E6"/>
          </w:tcPr>
          <w:p>
            <w:pPr>
              <w:spacing w:after="0"/>
              <w:rPr>
                <w:sz w:val="20"/>
                <w:szCs w:val="20"/>
                <w:color w:val="auto"/>
              </w:rPr>
            </w:pPr>
          </w:p>
        </w:tc>
        <w:tc>
          <w:tcPr>
            <w:tcW w:w="1040" w:type="dxa"/>
            <w:vAlign w:val="bottom"/>
            <w:tcBorders>
              <w:bottom w:val="single" w:sz="8" w:color="E6E6E6"/>
            </w:tcBorders>
            <w:gridSpan w:val="2"/>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2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 October 2015</w:t>
            </w:r>
          </w:p>
        </w:tc>
        <w:tc>
          <w:tcPr>
            <w:tcW w:w="1920" w:type="dxa"/>
            <w:vAlign w:val="bottom"/>
            <w:tcBorders>
              <w:bottom w:val="single" w:sz="8" w:color="E6E6E6"/>
            </w:tcBorders>
            <w:vMerge w:val="continue"/>
            <w:shd w:val="clear" w:color="auto" w:fill="E6E6E6"/>
          </w:tcPr>
          <w:p>
            <w:pPr>
              <w:spacing w:after="0"/>
              <w:rPr>
                <w:sz w:val="20"/>
                <w:szCs w:val="20"/>
                <w:color w:val="auto"/>
              </w:rPr>
            </w:pPr>
          </w:p>
        </w:tc>
        <w:tc>
          <w:tcPr>
            <w:tcW w:w="1040" w:type="dxa"/>
            <w:vAlign w:val="bottom"/>
            <w:tcBorders>
              <w:bottom w:val="single" w:sz="8" w:color="E6E6E6"/>
            </w:tcBorders>
            <w:gridSpan w:val="2"/>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20" w:type="dxa"/>
            <w:vAlign w:val="bottom"/>
            <w:gridSpan w:val="3"/>
          </w:tcPr>
          <w:p>
            <w:pPr>
              <w:ind w:left="400"/>
              <w:spacing w:after="0"/>
              <w:rPr>
                <w:sz w:val="20"/>
                <w:szCs w:val="20"/>
                <w:color w:val="auto"/>
              </w:rPr>
            </w:pPr>
            <w:r>
              <w:rPr>
                <w:rFonts w:ascii="Arial" w:cs="Arial" w:eastAsia="Arial" w:hAnsi="Arial"/>
                <w:sz w:val="18"/>
                <w:szCs w:val="18"/>
                <w:b w:val="1"/>
                <w:bCs w:val="1"/>
                <w:i w:val="1"/>
                <w:iCs w:val="1"/>
                <w:color w:val="auto"/>
                <w:w w:val="88"/>
              </w:rPr>
              <w:t>Total Distributed Solar</w:t>
            </w: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Wind</w:t>
            </w:r>
          </w:p>
        </w:tc>
        <w:tc>
          <w:tcPr>
            <w:tcW w:w="14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Alta I</w:t>
            </w:r>
          </w:p>
        </w:tc>
        <w:tc>
          <w:tcPr>
            <w:tcW w:w="150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2010</w:t>
            </w:r>
          </w:p>
        </w:tc>
        <w:tc>
          <w:tcPr>
            <w:tcW w:w="1920" w:type="dxa"/>
            <w:vAlign w:val="bottom"/>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Alta II</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Tehachapi,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150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150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2010</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7"/>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Alta III</w:t>
            </w:r>
          </w:p>
        </w:tc>
        <w:tc>
          <w:tcPr>
            <w:tcW w:w="150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February 2011</w:t>
            </w:r>
          </w:p>
        </w:tc>
        <w:tc>
          <w:tcPr>
            <w:tcW w:w="1920" w:type="dxa"/>
            <w:vAlign w:val="bottom"/>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Alta IV</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Tehachapi,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102</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102</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March 2011</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7"/>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Alta V</w:t>
            </w:r>
          </w:p>
        </w:tc>
        <w:tc>
          <w:tcPr>
            <w:tcW w:w="150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80" w:type="dxa"/>
            <w:vAlign w:val="bottom"/>
          </w:tcPr>
          <w:p>
            <w:pPr>
              <w:jc w:val="right"/>
              <w:spacing w:after="0"/>
              <w:rPr>
                <w:sz w:val="20"/>
                <w:szCs w:val="20"/>
                <w:color w:val="auto"/>
              </w:rPr>
            </w:pPr>
            <w:r>
              <w:rPr>
                <w:rFonts w:ascii="Arial" w:cs="Arial" w:eastAsia="Arial" w:hAnsi="Arial"/>
                <w:sz w:val="16"/>
                <w:szCs w:val="16"/>
                <w:color w:val="auto"/>
              </w:rPr>
              <w:t>168</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168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April 2011</w:t>
            </w:r>
          </w:p>
        </w:tc>
        <w:tc>
          <w:tcPr>
            <w:tcW w:w="1920" w:type="dxa"/>
            <w:vAlign w:val="bottom"/>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Alta X</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Tehachapi, CA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137</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137</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February 2014</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47"/>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Alta XI</w:t>
            </w:r>
          </w:p>
        </w:tc>
        <w:tc>
          <w:tcPr>
            <w:tcW w:w="150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90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February 2014</w:t>
            </w:r>
          </w:p>
        </w:tc>
        <w:tc>
          <w:tcPr>
            <w:tcW w:w="1920" w:type="dxa"/>
            <w:vAlign w:val="bottom"/>
          </w:tcPr>
          <w:p>
            <w:pPr>
              <w:ind w:left="40"/>
              <w:spacing w:after="0"/>
              <w:rPr>
                <w:sz w:val="20"/>
                <w:szCs w:val="20"/>
                <w:color w:val="auto"/>
              </w:rPr>
            </w:pPr>
            <w:r>
              <w:rPr>
                <w:rFonts w:ascii="Arial" w:cs="Arial" w:eastAsia="Arial" w:hAnsi="Arial"/>
                <w:sz w:val="16"/>
                <w:szCs w:val="16"/>
                <w:color w:val="auto"/>
              </w:rPr>
              <w:t>SCE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04"/>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Black Rock </w:t>
            </w:r>
            <w:r>
              <w:rPr>
                <w:rFonts w:ascii="Arial" w:cs="Arial" w:eastAsia="Arial" w:hAnsi="Arial"/>
                <w:sz w:val="20"/>
                <w:szCs w:val="20"/>
                <w:color w:val="auto"/>
                <w:vertAlign w:val="superscript"/>
              </w:rPr>
              <w:t>(c)</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Mineral and Grant</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115</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58</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17"/>
                <w:szCs w:val="17"/>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2021</w:t>
            </w:r>
          </w:p>
        </w:tc>
        <w:tc>
          <w:tcPr>
            <w:tcW w:w="192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Toyota and Google</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Counties, WV</w:t>
            </w: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Broken Bow</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Custer County, NE</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2012</w:t>
            </w:r>
          </w:p>
        </w:tc>
        <w:tc>
          <w:tcPr>
            <w:tcW w:w="1920" w:type="dxa"/>
            <w:vAlign w:val="bottom"/>
          </w:tcPr>
          <w:p>
            <w:pPr>
              <w:ind w:left="40"/>
              <w:spacing w:after="0"/>
              <w:rPr>
                <w:sz w:val="20"/>
                <w:szCs w:val="20"/>
                <w:color w:val="auto"/>
              </w:rPr>
            </w:pPr>
            <w:r>
              <w:rPr>
                <w:rFonts w:ascii="Arial" w:cs="Arial" w:eastAsia="Arial" w:hAnsi="Arial"/>
                <w:sz w:val="16"/>
                <w:szCs w:val="16"/>
                <w:color w:val="auto"/>
              </w:rPr>
              <w:t>Nebraska Public Power</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Buffalo Bear</w:t>
            </w:r>
          </w:p>
        </w:tc>
        <w:tc>
          <w:tcPr>
            <w:tcW w:w="1500" w:type="dxa"/>
            <w:vAlign w:val="bottom"/>
            <w:gridSpan w:val="2"/>
            <w:vMerge w:val="restart"/>
            <w:shd w:val="clear" w:color="auto" w:fill="E6E6E6"/>
          </w:tcPr>
          <w:p>
            <w:pPr>
              <w:spacing w:after="0"/>
              <w:rPr>
                <w:sz w:val="20"/>
                <w:szCs w:val="20"/>
                <w:color w:val="auto"/>
              </w:rPr>
            </w:pPr>
            <w:r>
              <w:rPr>
                <w:rFonts w:ascii="Arial" w:cs="Arial" w:eastAsia="Arial" w:hAnsi="Arial"/>
                <w:sz w:val="16"/>
                <w:szCs w:val="16"/>
                <w:color w:val="auto"/>
              </w:rPr>
              <w:t>Buffalo, OK</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19</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19</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2008</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Western Farmers Electric</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Co-operative</w:t>
            </w: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 xml:space="preserve">Cedar Creek </w:t>
            </w:r>
            <w:r>
              <w:rPr>
                <w:rFonts w:ascii="Arial" w:cs="Arial" w:eastAsia="Arial" w:hAnsi="Arial"/>
                <w:sz w:val="20"/>
                <w:szCs w:val="20"/>
                <w:color w:val="auto"/>
                <w:vertAlign w:val="superscript"/>
              </w:rPr>
              <w:t>(c)</w:t>
            </w:r>
          </w:p>
        </w:tc>
        <w:tc>
          <w:tcPr>
            <w:tcW w:w="1500" w:type="dxa"/>
            <w:vAlign w:val="bottom"/>
            <w:gridSpan w:val="2"/>
          </w:tcPr>
          <w:p>
            <w:pPr>
              <w:spacing w:after="0"/>
              <w:rPr>
                <w:sz w:val="20"/>
                <w:szCs w:val="20"/>
                <w:color w:val="auto"/>
              </w:rPr>
            </w:pPr>
            <w:r>
              <w:rPr>
                <w:rFonts w:ascii="Arial" w:cs="Arial" w:eastAsia="Arial" w:hAnsi="Arial"/>
                <w:sz w:val="16"/>
                <w:szCs w:val="16"/>
                <w:color w:val="auto"/>
              </w:rPr>
              <w:t>Bingham County, ID</w:t>
            </w:r>
          </w:p>
        </w:tc>
        <w:tc>
          <w:tcPr>
            <w:tcW w:w="580" w:type="dxa"/>
            <w:vAlign w:val="bottom"/>
          </w:tcPr>
          <w:p>
            <w:pPr>
              <w:jc w:val="right"/>
              <w:spacing w:after="0"/>
              <w:rPr>
                <w:sz w:val="20"/>
                <w:szCs w:val="20"/>
                <w:color w:val="auto"/>
              </w:rPr>
            </w:pPr>
            <w:r>
              <w:rPr>
                <w:rFonts w:ascii="Arial" w:cs="Arial" w:eastAsia="Arial" w:hAnsi="Arial"/>
                <w:sz w:val="16"/>
                <w:szCs w:val="16"/>
                <w:color w:val="auto"/>
              </w:rPr>
              <w:t>160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160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March 2024</w:t>
            </w:r>
          </w:p>
        </w:tc>
        <w:tc>
          <w:tcPr>
            <w:tcW w:w="192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196"/>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Cedro Hill </w:t>
            </w:r>
            <w:r>
              <w:rPr>
                <w:rFonts w:ascii="Arial" w:cs="Arial" w:eastAsia="Arial" w:hAnsi="Arial"/>
                <w:sz w:val="20"/>
                <w:szCs w:val="20"/>
                <w:color w:val="auto"/>
                <w:vertAlign w:val="superscript"/>
              </w:rPr>
              <w:t>(c)</w:t>
            </w:r>
          </w:p>
        </w:tc>
        <w:tc>
          <w:tcPr>
            <w:tcW w:w="1500" w:type="dxa"/>
            <w:vAlign w:val="bottom"/>
            <w:gridSpan w:val="2"/>
            <w:vMerge w:val="restart"/>
            <w:shd w:val="clear" w:color="auto" w:fill="E6E6E6"/>
          </w:tcPr>
          <w:p>
            <w:pPr>
              <w:spacing w:after="0"/>
              <w:rPr>
                <w:sz w:val="20"/>
                <w:szCs w:val="20"/>
                <w:color w:val="auto"/>
              </w:rPr>
            </w:pPr>
            <w:r>
              <w:rPr>
                <w:rFonts w:ascii="Arial" w:cs="Arial" w:eastAsia="Arial" w:hAnsi="Arial"/>
                <w:sz w:val="16"/>
                <w:szCs w:val="16"/>
                <w:color w:val="auto"/>
              </w:rPr>
              <w:t>Webb County, TX</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160</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160</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October -</w:t>
            </w:r>
          </w:p>
        </w:tc>
        <w:tc>
          <w:tcPr>
            <w:tcW w:w="192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CPS Energy</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2024</w:t>
            </w:r>
          </w:p>
        </w:tc>
        <w:tc>
          <w:tcPr>
            <w:tcW w:w="1920" w:type="dxa"/>
            <w:vAlign w:val="bottom"/>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Crofton Bluffs</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Knox County, NE</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42</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November 2012</w:t>
            </w:r>
          </w:p>
        </w:tc>
        <w:tc>
          <w:tcPr>
            <w:tcW w:w="1920" w:type="dxa"/>
            <w:vAlign w:val="bottom"/>
          </w:tcPr>
          <w:p>
            <w:pPr>
              <w:ind w:left="40"/>
              <w:spacing w:after="0"/>
              <w:rPr>
                <w:sz w:val="20"/>
                <w:szCs w:val="20"/>
                <w:color w:val="auto"/>
              </w:rPr>
            </w:pPr>
            <w:r>
              <w:rPr>
                <w:rFonts w:ascii="Arial" w:cs="Arial" w:eastAsia="Arial" w:hAnsi="Arial"/>
                <w:sz w:val="16"/>
                <w:szCs w:val="16"/>
                <w:color w:val="auto"/>
              </w:rPr>
              <w:t>Nebraska Public Power</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 xml:space="preserve">Elbow Creek </w:t>
            </w:r>
            <w:r>
              <w:rPr>
                <w:rFonts w:ascii="Arial" w:cs="Arial" w:eastAsia="Arial" w:hAnsi="Arial"/>
                <w:sz w:val="20"/>
                <w:szCs w:val="20"/>
                <w:color w:val="auto"/>
                <w:vertAlign w:val="superscript"/>
              </w:rPr>
              <w:t>(c)</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Howard County, TX</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122</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122</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November 2019</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Elkhorn Ridge</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Bloomfield, NE</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54</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66.7 %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March 2009</w:t>
            </w:r>
          </w:p>
        </w:tc>
        <w:tc>
          <w:tcPr>
            <w:tcW w:w="1920" w:type="dxa"/>
            <w:vAlign w:val="bottom"/>
          </w:tcPr>
          <w:p>
            <w:pPr>
              <w:ind w:left="40"/>
              <w:spacing w:after="0"/>
              <w:rPr>
                <w:sz w:val="20"/>
                <w:szCs w:val="20"/>
                <w:color w:val="auto"/>
              </w:rPr>
            </w:pPr>
            <w:r>
              <w:rPr>
                <w:rFonts w:ascii="Arial" w:cs="Arial" w:eastAsia="Arial" w:hAnsi="Arial"/>
                <w:sz w:val="16"/>
                <w:szCs w:val="16"/>
                <w:color w:val="auto"/>
              </w:rPr>
              <w:t>Nebraska Public Power</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Forward</w:t>
            </w:r>
          </w:p>
        </w:tc>
        <w:tc>
          <w:tcPr>
            <w:tcW w:w="1500" w:type="dxa"/>
            <w:vAlign w:val="bottom"/>
            <w:gridSpan w:val="2"/>
            <w:vMerge w:val="restart"/>
            <w:shd w:val="clear" w:color="auto" w:fill="E6E6E6"/>
          </w:tcPr>
          <w:p>
            <w:pPr>
              <w:spacing w:after="0"/>
              <w:rPr>
                <w:sz w:val="20"/>
                <w:szCs w:val="20"/>
                <w:color w:val="auto"/>
              </w:rPr>
            </w:pPr>
            <w:r>
              <w:rPr>
                <w:rFonts w:ascii="Arial" w:cs="Arial" w:eastAsia="Arial" w:hAnsi="Arial"/>
                <w:sz w:val="16"/>
                <w:szCs w:val="16"/>
                <w:color w:val="auto"/>
              </w:rPr>
              <w:t>Berlin, PA</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29</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29</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April 2008</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Constellation NewEnergy,</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Inc.</w:t>
            </w: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Goat Wind</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Sterling City, TX</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150</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April 2008 -</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Dow Pipeline Company</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June 2009</w:t>
            </w:r>
          </w:p>
        </w:tc>
        <w:tc>
          <w:tcPr>
            <w:tcW w:w="1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 xml:space="preserve">Langford </w:t>
            </w:r>
            <w:r>
              <w:rPr>
                <w:rFonts w:ascii="Arial" w:cs="Arial" w:eastAsia="Arial" w:hAnsi="Arial"/>
                <w:sz w:val="20"/>
                <w:szCs w:val="20"/>
                <w:color w:val="auto"/>
                <w:vertAlign w:val="superscript"/>
              </w:rPr>
              <w:t>(c)</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Christoval, TX</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160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November 2020</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Goldman Sachs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Laredo Ridge</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Petersburg, NE</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81</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February 2011</w:t>
            </w:r>
          </w:p>
        </w:tc>
        <w:tc>
          <w:tcPr>
            <w:tcW w:w="1920" w:type="dxa"/>
            <w:vAlign w:val="bottom"/>
          </w:tcPr>
          <w:p>
            <w:pPr>
              <w:ind w:left="40"/>
              <w:spacing w:after="0"/>
              <w:rPr>
                <w:sz w:val="20"/>
                <w:szCs w:val="20"/>
                <w:color w:val="auto"/>
              </w:rPr>
            </w:pPr>
            <w:r>
              <w:rPr>
                <w:rFonts w:ascii="Arial" w:cs="Arial" w:eastAsia="Arial" w:hAnsi="Arial"/>
                <w:sz w:val="16"/>
                <w:szCs w:val="16"/>
                <w:color w:val="auto"/>
              </w:rPr>
              <w:t>Nebraska Public Power</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Lookout</w:t>
            </w:r>
          </w:p>
        </w:tc>
        <w:tc>
          <w:tcPr>
            <w:tcW w:w="1500" w:type="dxa"/>
            <w:vAlign w:val="bottom"/>
            <w:gridSpan w:val="2"/>
            <w:vMerge w:val="restart"/>
            <w:shd w:val="clear" w:color="auto" w:fill="E6E6E6"/>
          </w:tcPr>
          <w:p>
            <w:pPr>
              <w:spacing w:after="0"/>
              <w:rPr>
                <w:sz w:val="20"/>
                <w:szCs w:val="20"/>
                <w:color w:val="auto"/>
              </w:rPr>
            </w:pPr>
            <w:r>
              <w:rPr>
                <w:rFonts w:ascii="Arial" w:cs="Arial" w:eastAsia="Arial" w:hAnsi="Arial"/>
                <w:sz w:val="16"/>
                <w:szCs w:val="16"/>
                <w:color w:val="auto"/>
              </w:rPr>
              <w:t>Berlin, PA</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38</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38</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October 2008</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w w:val="96"/>
              </w:rPr>
              <w:t>Southern Maryland Electric</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Cooperative</w:t>
            </w: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 xml:space="preserve">Mesquite Sky </w:t>
            </w:r>
            <w:r>
              <w:rPr>
                <w:rFonts w:ascii="Arial" w:cs="Arial" w:eastAsia="Arial" w:hAnsi="Arial"/>
                <w:sz w:val="20"/>
                <w:szCs w:val="20"/>
                <w:color w:val="auto"/>
                <w:vertAlign w:val="superscript"/>
              </w:rPr>
              <w:t>(c)</w:t>
            </w:r>
          </w:p>
        </w:tc>
        <w:tc>
          <w:tcPr>
            <w:tcW w:w="1500" w:type="dxa"/>
            <w:vAlign w:val="bottom"/>
            <w:gridSpan w:val="2"/>
          </w:tcPr>
          <w:p>
            <w:pPr>
              <w:spacing w:after="0"/>
              <w:rPr>
                <w:sz w:val="20"/>
                <w:szCs w:val="20"/>
                <w:color w:val="auto"/>
              </w:rPr>
            </w:pPr>
            <w:r>
              <w:rPr>
                <w:rFonts w:ascii="Arial" w:cs="Arial" w:eastAsia="Arial" w:hAnsi="Arial"/>
                <w:sz w:val="16"/>
                <w:szCs w:val="16"/>
                <w:color w:val="auto"/>
              </w:rPr>
              <w:t>Callahan County, TX</w:t>
            </w:r>
          </w:p>
        </w:tc>
        <w:tc>
          <w:tcPr>
            <w:tcW w:w="580" w:type="dxa"/>
            <w:vAlign w:val="bottom"/>
          </w:tcPr>
          <w:p>
            <w:pPr>
              <w:jc w:val="right"/>
              <w:spacing w:after="0"/>
              <w:rPr>
                <w:sz w:val="20"/>
                <w:szCs w:val="20"/>
                <w:color w:val="auto"/>
              </w:rPr>
            </w:pPr>
            <w:r>
              <w:rPr>
                <w:rFonts w:ascii="Arial" w:cs="Arial" w:eastAsia="Arial" w:hAnsi="Arial"/>
                <w:sz w:val="16"/>
                <w:szCs w:val="16"/>
                <w:color w:val="auto"/>
              </w:rPr>
              <w:t>340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170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December 2021</w:t>
            </w:r>
          </w:p>
        </w:tc>
        <w:tc>
          <w:tcPr>
            <w:tcW w:w="1920" w:type="dxa"/>
            <w:vAlign w:val="bottom"/>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2033 - 2036</w:t>
            </w:r>
          </w:p>
        </w:tc>
        <w:tc>
          <w:tcPr>
            <w:tcW w:w="0" w:type="dxa"/>
            <w:vAlign w:val="bottom"/>
          </w:tcPr>
          <w:p>
            <w:pPr>
              <w:spacing w:after="0"/>
              <w:rPr>
                <w:sz w:val="1"/>
                <w:szCs w:val="1"/>
                <w:color w:val="auto"/>
              </w:rPr>
            </w:pPr>
          </w:p>
        </w:tc>
      </w:tr>
      <w:tr>
        <w:trPr>
          <w:trHeight w:val="255"/>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 xml:space="preserve">Mesquite Star </w:t>
            </w:r>
            <w:r>
              <w:rPr>
                <w:rFonts w:ascii="Arial" w:cs="Arial" w:eastAsia="Arial" w:hAnsi="Arial"/>
                <w:sz w:val="20"/>
                <w:szCs w:val="20"/>
                <w:color w:val="auto"/>
                <w:vertAlign w:val="superscript"/>
              </w:rPr>
              <w:t>(c)</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Fisher County, TX</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419</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210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May 2020</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2032 - 2035</w:t>
            </w: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Mountain Wind 1</w:t>
            </w:r>
          </w:p>
        </w:tc>
        <w:tc>
          <w:tcPr>
            <w:tcW w:w="1500" w:type="dxa"/>
            <w:vAlign w:val="bottom"/>
            <w:gridSpan w:val="2"/>
          </w:tcPr>
          <w:p>
            <w:pPr>
              <w:spacing w:after="0"/>
              <w:rPr>
                <w:sz w:val="20"/>
                <w:szCs w:val="20"/>
                <w:color w:val="auto"/>
              </w:rPr>
            </w:pPr>
            <w:r>
              <w:rPr>
                <w:rFonts w:ascii="Arial" w:cs="Arial" w:eastAsia="Arial" w:hAnsi="Arial"/>
                <w:sz w:val="16"/>
                <w:szCs w:val="16"/>
                <w:color w:val="auto"/>
              </w:rPr>
              <w:t>Uinta County,</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61</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July 2008</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7"/>
        </w:trPr>
        <w:tc>
          <w:tcPr>
            <w:tcW w:w="2120" w:type="dxa"/>
            <w:vAlign w:val="bottom"/>
            <w:gridSpan w:val="3"/>
            <w:vMerge w:val="continue"/>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6"/>
                <w:szCs w:val="16"/>
                <w:color w:val="auto"/>
              </w:rPr>
              <w:t>Wyoming</w:t>
            </w: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Mountain Wind 2</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Uinta County,</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80</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80</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September 2008</w:t>
            </w:r>
          </w:p>
        </w:tc>
        <w:tc>
          <w:tcPr>
            <w:tcW w:w="192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24"/>
        </w:trPr>
        <w:tc>
          <w:tcPr>
            <w:tcW w:w="2120" w:type="dxa"/>
            <w:vAlign w:val="bottom"/>
            <w:gridSpan w:val="3"/>
            <w:vMerge w:val="continue"/>
            <w:shd w:val="clear" w:color="auto" w:fill="E6E6E6"/>
          </w:tcPr>
          <w:p>
            <w:pPr>
              <w:spacing w:after="0"/>
              <w:rPr>
                <w:sz w:val="19"/>
                <w:szCs w:val="19"/>
                <w:color w:val="auto"/>
              </w:rPr>
            </w:pP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Wyoming</w:t>
            </w: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120" w:type="dxa"/>
            <w:vAlign w:val="bottom"/>
            <w:gridSpan w:val="3"/>
          </w:tcPr>
          <w:p>
            <w:pPr>
              <w:ind w:left="40"/>
              <w:spacing w:after="0"/>
              <w:rPr>
                <w:sz w:val="20"/>
                <w:szCs w:val="20"/>
                <w:color w:val="auto"/>
              </w:rPr>
            </w:pPr>
            <w:r>
              <w:rPr>
                <w:rFonts w:ascii="Arial" w:cs="Arial" w:eastAsia="Arial" w:hAnsi="Arial"/>
                <w:sz w:val="16"/>
                <w:szCs w:val="16"/>
                <w:color w:val="auto"/>
              </w:rPr>
              <w:t>Mt. Storm</w:t>
            </w:r>
          </w:p>
        </w:tc>
        <w:tc>
          <w:tcPr>
            <w:tcW w:w="1500" w:type="dxa"/>
            <w:vAlign w:val="bottom"/>
            <w:gridSpan w:val="2"/>
          </w:tcPr>
          <w:p>
            <w:pPr>
              <w:spacing w:after="0"/>
              <w:rPr>
                <w:sz w:val="20"/>
                <w:szCs w:val="20"/>
                <w:color w:val="auto"/>
              </w:rPr>
            </w:pPr>
            <w:r>
              <w:rPr>
                <w:rFonts w:ascii="Arial" w:cs="Arial" w:eastAsia="Arial" w:hAnsi="Arial"/>
                <w:sz w:val="16"/>
                <w:szCs w:val="16"/>
                <w:color w:val="auto"/>
              </w:rPr>
              <w:t>Grant County, WV</w:t>
            </w:r>
          </w:p>
        </w:tc>
        <w:tc>
          <w:tcPr>
            <w:tcW w:w="580" w:type="dxa"/>
            <w:vAlign w:val="bottom"/>
          </w:tcPr>
          <w:p>
            <w:pPr>
              <w:jc w:val="right"/>
              <w:spacing w:after="0"/>
              <w:rPr>
                <w:sz w:val="20"/>
                <w:szCs w:val="20"/>
                <w:color w:val="auto"/>
              </w:rPr>
            </w:pPr>
            <w:r>
              <w:rPr>
                <w:rFonts w:ascii="Arial" w:cs="Arial" w:eastAsia="Arial" w:hAnsi="Arial"/>
                <w:sz w:val="16"/>
                <w:szCs w:val="16"/>
                <w:color w:val="auto"/>
              </w:rPr>
              <w:t>264</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264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October 2008</w:t>
            </w:r>
          </w:p>
        </w:tc>
        <w:tc>
          <w:tcPr>
            <w:tcW w:w="1920" w:type="dxa"/>
            <w:vAlign w:val="bottom"/>
          </w:tcPr>
          <w:p>
            <w:pPr>
              <w:ind w:left="40"/>
              <w:spacing w:after="0"/>
              <w:rPr>
                <w:sz w:val="20"/>
                <w:szCs w:val="20"/>
                <w:color w:val="auto"/>
              </w:rPr>
            </w:pPr>
            <w:r>
              <w:rPr>
                <w:rFonts w:ascii="Arial" w:cs="Arial" w:eastAsia="Arial" w:hAnsi="Arial"/>
                <w:sz w:val="16"/>
                <w:szCs w:val="16"/>
                <w:color w:val="auto"/>
              </w:rPr>
              <w:t>Citigroup</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Ocotillo</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Forsan, TX</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55</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55</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2023</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Maryland Department of</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ind w:left="40"/>
              <w:spacing w:after="0" w:line="160" w:lineRule="exact"/>
              <w:rPr>
                <w:sz w:val="20"/>
                <w:szCs w:val="20"/>
                <w:color w:val="auto"/>
              </w:rPr>
            </w:pPr>
            <w:r>
              <w:rPr>
                <w:rFonts w:ascii="Arial" w:cs="Arial" w:eastAsia="Arial" w:hAnsi="Arial"/>
                <w:sz w:val="16"/>
                <w:szCs w:val="16"/>
                <w:color w:val="auto"/>
              </w:rPr>
              <w:t>General Services and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 xml:space="preserve">Pinnacle </w:t>
            </w:r>
            <w:r>
              <w:rPr>
                <w:rFonts w:ascii="Arial" w:cs="Arial" w:eastAsia="Arial" w:hAnsi="Arial"/>
                <w:sz w:val="20"/>
                <w:szCs w:val="20"/>
                <w:color w:val="auto"/>
                <w:vertAlign w:val="superscript"/>
              </w:rPr>
              <w:t>(c)</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Keyser, WV</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54</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2021</w:t>
            </w:r>
          </w:p>
        </w:tc>
        <w:tc>
          <w:tcPr>
            <w:tcW w:w="1920" w:type="dxa"/>
            <w:vAlign w:val="bottom"/>
          </w:tcPr>
          <w:p>
            <w:pPr>
              <w:ind w:left="40"/>
              <w:spacing w:after="0" w:line="160" w:lineRule="exact"/>
              <w:rPr>
                <w:sz w:val="20"/>
                <w:szCs w:val="20"/>
                <w:color w:val="auto"/>
              </w:rPr>
            </w:pPr>
            <w:r>
              <w:rPr>
                <w:rFonts w:ascii="Arial" w:cs="Arial" w:eastAsia="Arial" w:hAnsi="Arial"/>
                <w:sz w:val="16"/>
                <w:szCs w:val="16"/>
                <w:color w:val="auto"/>
              </w:rPr>
              <w:t>University System of</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24"/>
        </w:trPr>
        <w:tc>
          <w:tcPr>
            <w:tcW w:w="2120" w:type="dxa"/>
            <w:vAlign w:val="bottom"/>
            <w:gridSpan w:val="3"/>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Maryland</w:t>
            </w: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12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 xml:space="preserve">Rattlesnake </w:t>
            </w:r>
            <w:r>
              <w:rPr>
                <w:rFonts w:ascii="Arial" w:cs="Arial" w:eastAsia="Arial" w:hAnsi="Arial"/>
                <w:sz w:val="20"/>
                <w:szCs w:val="20"/>
                <w:color w:val="auto"/>
                <w:vertAlign w:val="superscript"/>
              </w:rPr>
              <w:t>(c) (d)</w:t>
            </w:r>
          </w:p>
        </w:tc>
        <w:tc>
          <w:tcPr>
            <w:tcW w:w="150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Ritzville, WA</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160</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160</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2020</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Avista Corporation</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196"/>
        </w:trPr>
        <w:tc>
          <w:tcPr>
            <w:tcW w:w="2120" w:type="dxa"/>
            <w:vAlign w:val="bottom"/>
            <w:gridSpan w:val="3"/>
            <w:vMerge w:val="restart"/>
          </w:tcPr>
          <w:p>
            <w:pPr>
              <w:ind w:left="40"/>
              <w:spacing w:after="0"/>
              <w:rPr>
                <w:sz w:val="20"/>
                <w:szCs w:val="20"/>
                <w:color w:val="auto"/>
              </w:rPr>
            </w:pPr>
            <w:r>
              <w:rPr>
                <w:rFonts w:ascii="Arial" w:cs="Arial" w:eastAsia="Arial" w:hAnsi="Arial"/>
                <w:sz w:val="16"/>
                <w:szCs w:val="16"/>
                <w:color w:val="auto"/>
              </w:rPr>
              <w:t>San Juan Mesa</w:t>
            </w:r>
          </w:p>
        </w:tc>
        <w:tc>
          <w:tcPr>
            <w:tcW w:w="1500" w:type="dxa"/>
            <w:vAlign w:val="bottom"/>
            <w:gridSpan w:val="2"/>
            <w:vMerge w:val="restart"/>
          </w:tcPr>
          <w:p>
            <w:pPr>
              <w:spacing w:after="0"/>
              <w:rPr>
                <w:sz w:val="20"/>
                <w:szCs w:val="20"/>
                <w:color w:val="auto"/>
              </w:rPr>
            </w:pPr>
            <w:r>
              <w:rPr>
                <w:rFonts w:ascii="Arial" w:cs="Arial" w:eastAsia="Arial" w:hAnsi="Arial"/>
                <w:sz w:val="16"/>
                <w:szCs w:val="16"/>
                <w:color w:val="auto"/>
              </w:rPr>
              <w:t>Elida, NM</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90</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2005</w:t>
            </w:r>
          </w:p>
        </w:tc>
        <w:tc>
          <w:tcPr>
            <w:tcW w:w="1920" w:type="dxa"/>
            <w:vAlign w:val="bottom"/>
          </w:tcPr>
          <w:p>
            <w:pPr>
              <w:ind w:left="40"/>
              <w:spacing w:after="0"/>
              <w:rPr>
                <w:sz w:val="20"/>
                <w:szCs w:val="20"/>
                <w:color w:val="auto"/>
              </w:rPr>
            </w:pPr>
            <w:r>
              <w:rPr>
                <w:rFonts w:ascii="Arial" w:cs="Arial" w:eastAsia="Arial" w:hAnsi="Arial"/>
                <w:sz w:val="16"/>
                <w:szCs w:val="16"/>
                <w:color w:val="auto"/>
              </w:rPr>
              <w:t>Southwestern Public</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9"/>
        </w:trPr>
        <w:tc>
          <w:tcPr>
            <w:tcW w:w="21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Service Company</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461" w:right="8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260"/>
          </w:cols>
          <w:pgMar w:left="820" w:top="461" w:right="800"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Rated</w:t>
            </w:r>
          </w:p>
        </w:tc>
        <w:tc>
          <w:tcPr>
            <w:tcW w:w="80" w:type="dxa"/>
            <w:vAlign w:val="bottom"/>
          </w:tcPr>
          <w:p>
            <w:pPr>
              <w:spacing w:after="0"/>
              <w:rPr>
                <w:sz w:val="24"/>
                <w:szCs w:val="24"/>
                <w:color w:val="auto"/>
              </w:rPr>
            </w:pPr>
          </w:p>
        </w:tc>
        <w:tc>
          <w:tcPr>
            <w:tcW w:w="620" w:type="dxa"/>
            <w:vAlign w:val="bottom"/>
            <w:vMerge w:val="restart"/>
          </w:tcPr>
          <w:p>
            <w:pPr>
              <w:jc w:val="right"/>
              <w:ind w:right="105"/>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Percentage</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Contract</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Facilities</w:t>
            </w:r>
          </w:p>
        </w:tc>
        <w:tc>
          <w:tcPr>
            <w:tcW w:w="80" w:type="dxa"/>
            <w:vAlign w:val="bottom"/>
          </w:tcPr>
          <w:p>
            <w:pPr>
              <w:spacing w:after="0"/>
              <w:rPr>
                <w:sz w:val="2"/>
                <w:szCs w:val="2"/>
                <w:color w:val="auto"/>
              </w:rPr>
            </w:pPr>
          </w:p>
        </w:tc>
        <w:tc>
          <w:tcPr>
            <w:tcW w:w="1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80" w:type="dxa"/>
            <w:vAlign w:val="bottom"/>
            <w:vMerge w:val="restart"/>
          </w:tcPr>
          <w:p>
            <w:pPr>
              <w:spacing w:after="0"/>
              <w:rPr>
                <w:sz w:val="2"/>
                <w:szCs w:val="2"/>
                <w:color w:val="auto"/>
              </w:rPr>
            </w:pPr>
          </w:p>
        </w:tc>
        <w:tc>
          <w:tcPr>
            <w:tcW w:w="5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80" w:type="dxa"/>
            <w:vAlign w:val="bottom"/>
            <w:vMerge w:val="restart"/>
          </w:tcPr>
          <w:p>
            <w:pPr>
              <w:spacing w:after="0"/>
              <w:rPr>
                <w:sz w:val="2"/>
                <w:szCs w:val="2"/>
                <w:color w:val="auto"/>
              </w:rPr>
            </w:pPr>
          </w:p>
        </w:tc>
        <w:tc>
          <w:tcPr>
            <w:tcW w:w="19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Counterparty</w:t>
            </w:r>
          </w:p>
        </w:tc>
        <w:tc>
          <w:tcPr>
            <w:tcW w:w="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Expiration</w:t>
            </w:r>
          </w:p>
        </w:tc>
        <w:tc>
          <w:tcPr>
            <w:tcW w:w="0" w:type="dxa"/>
            <w:vAlign w:val="bottom"/>
          </w:tcPr>
          <w:p>
            <w:pPr>
              <w:spacing w:after="0" w:line="20" w:lineRule="exact"/>
              <w:rPr>
                <w:sz w:val="1"/>
                <w:szCs w:val="1"/>
                <w:color w:val="auto"/>
              </w:rPr>
            </w:pPr>
          </w:p>
        </w:tc>
      </w:tr>
      <w:tr>
        <w:trPr>
          <w:trHeight w:val="239"/>
        </w:trPr>
        <w:tc>
          <w:tcPr>
            <w:tcW w:w="1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MW</w:t>
            </w:r>
          </w:p>
        </w:tc>
        <w:tc>
          <w:tcPr>
            <w:tcW w:w="80" w:type="dxa"/>
            <w:vAlign w:val="bottom"/>
            <w:tcBorders>
              <w:bottom w:val="single" w:sz="8" w:color="E6E6E6"/>
            </w:tcBorders>
          </w:tcPr>
          <w:p>
            <w:pPr>
              <w:spacing w:after="0"/>
              <w:rPr>
                <w:sz w:val="20"/>
                <w:szCs w:val="20"/>
                <w:color w:val="auto"/>
              </w:rPr>
            </w:pPr>
          </w:p>
        </w:tc>
        <w:tc>
          <w:tcPr>
            <w:tcW w:w="62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Ownership</w:t>
            </w:r>
          </w:p>
        </w:tc>
        <w:tc>
          <w:tcPr>
            <w:tcW w:w="80" w:type="dxa"/>
            <w:vAlign w:val="bottom"/>
            <w:tcBorders>
              <w:bottom w:val="single" w:sz="8" w:color="E6E6E6"/>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98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Sleeping Bear</w:t>
            </w:r>
          </w:p>
        </w:tc>
        <w:tc>
          <w:tcPr>
            <w:tcW w:w="80" w:type="dxa"/>
            <w:vAlign w:val="bottom"/>
            <w:shd w:val="clear" w:color="auto" w:fill="E6E6E6"/>
          </w:tcPr>
          <w:p>
            <w:pPr>
              <w:spacing w:after="0"/>
              <w:rPr>
                <w:sz w:val="16"/>
                <w:szCs w:val="16"/>
                <w:color w:val="auto"/>
              </w:rPr>
            </w:pPr>
          </w:p>
        </w:tc>
        <w:tc>
          <w:tcPr>
            <w:tcW w:w="15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Woodward, OK</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95</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95</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6"/>
                <w:szCs w:val="16"/>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October 2007</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w w:val="96"/>
              </w:rPr>
              <w:t>Public Service Company of</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24"/>
        </w:trPr>
        <w:tc>
          <w:tcPr>
            <w:tcW w:w="198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56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Oklahoma</w:t>
            </w: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South Trent</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Sweetwater, TX</w:t>
            </w:r>
          </w:p>
        </w:tc>
        <w:tc>
          <w:tcPr>
            <w:tcW w:w="580" w:type="dxa"/>
            <w:vAlign w:val="bottom"/>
          </w:tcPr>
          <w:p>
            <w:pPr>
              <w:jc w:val="right"/>
              <w:spacing w:after="0"/>
              <w:rPr>
                <w:sz w:val="20"/>
                <w:szCs w:val="20"/>
                <w:color w:val="auto"/>
              </w:rPr>
            </w:pPr>
            <w:r>
              <w:rPr>
                <w:rFonts w:ascii="Arial" w:cs="Arial" w:eastAsia="Arial" w:hAnsi="Arial"/>
                <w:sz w:val="16"/>
                <w:szCs w:val="16"/>
                <w:color w:val="auto"/>
              </w:rPr>
              <w:t>101</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101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January 2009</w:t>
            </w:r>
          </w:p>
        </w:tc>
        <w:tc>
          <w:tcPr>
            <w:tcW w:w="1920" w:type="dxa"/>
            <w:vAlign w:val="bottom"/>
          </w:tcPr>
          <w:p>
            <w:pPr>
              <w:ind w:left="40"/>
              <w:spacing w:after="0"/>
              <w:rPr>
                <w:sz w:val="20"/>
                <w:szCs w:val="20"/>
                <w:color w:val="auto"/>
              </w:rPr>
            </w:pPr>
            <w:r>
              <w:rPr>
                <w:rFonts w:ascii="Arial" w:cs="Arial" w:eastAsia="Arial" w:hAnsi="Arial"/>
                <w:sz w:val="16"/>
                <w:szCs w:val="16"/>
                <w:color w:val="auto"/>
              </w:rPr>
              <w:t>AEP Energy Partners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63"/>
        </w:trPr>
        <w:tc>
          <w:tcPr>
            <w:tcW w:w="1980" w:type="dxa"/>
            <w:vAlign w:val="bottom"/>
            <w:shd w:val="clear" w:color="auto" w:fill="E6E6E6"/>
          </w:tcPr>
          <w:p>
            <w:pPr>
              <w:ind w:left="40"/>
              <w:spacing w:after="0"/>
              <w:rPr>
                <w:sz w:val="20"/>
                <w:szCs w:val="20"/>
                <w:color w:val="auto"/>
              </w:rPr>
            </w:pPr>
            <w:r>
              <w:rPr>
                <w:rFonts w:ascii="Arial" w:cs="Arial" w:eastAsia="Arial" w:hAnsi="Arial"/>
                <w:sz w:val="16"/>
                <w:szCs w:val="16"/>
                <w:color w:val="auto"/>
              </w:rPr>
              <w:t>Spanish Fork</w:t>
            </w:r>
          </w:p>
        </w:tc>
        <w:tc>
          <w:tcPr>
            <w:tcW w:w="80" w:type="dxa"/>
            <w:vAlign w:val="bottom"/>
            <w:shd w:val="clear" w:color="auto" w:fill="E6E6E6"/>
          </w:tcPr>
          <w:p>
            <w:pPr>
              <w:spacing w:after="0"/>
              <w:rPr>
                <w:sz w:val="22"/>
                <w:szCs w:val="22"/>
                <w:color w:val="auto"/>
              </w:rPr>
            </w:pPr>
          </w:p>
        </w:tc>
        <w:tc>
          <w:tcPr>
            <w:tcW w:w="15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Spanish Fork, UT</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19</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July 2008</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PacifiCorp</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96"/>
        </w:trPr>
        <w:tc>
          <w:tcPr>
            <w:tcW w:w="1980" w:type="dxa"/>
            <w:vAlign w:val="bottom"/>
            <w:vMerge w:val="restart"/>
          </w:tcPr>
          <w:p>
            <w:pPr>
              <w:ind w:left="40"/>
              <w:spacing w:after="0"/>
              <w:rPr>
                <w:sz w:val="20"/>
                <w:szCs w:val="20"/>
                <w:color w:val="auto"/>
              </w:rPr>
            </w:pPr>
            <w:r>
              <w:rPr>
                <w:rFonts w:ascii="Arial" w:cs="Arial" w:eastAsia="Arial" w:hAnsi="Arial"/>
                <w:sz w:val="16"/>
                <w:szCs w:val="16"/>
                <w:color w:val="auto"/>
              </w:rPr>
              <w:t>Spring Canyon II</w:t>
            </w:r>
          </w:p>
        </w:tc>
        <w:tc>
          <w:tcPr>
            <w:tcW w:w="8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color w:val="auto"/>
              </w:rPr>
              <w:t>Logan County, CO</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70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31</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90.1 %</w:t>
            </w:r>
          </w:p>
        </w:tc>
        <w:tc>
          <w:tcPr>
            <w:tcW w:w="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color w:val="auto"/>
              </w:rPr>
              <w:t>October 2014</w:t>
            </w:r>
          </w:p>
        </w:tc>
        <w:tc>
          <w:tcPr>
            <w:tcW w:w="1920" w:type="dxa"/>
            <w:vAlign w:val="bottom"/>
          </w:tcPr>
          <w:p>
            <w:pPr>
              <w:ind w:left="40"/>
              <w:spacing w:after="0"/>
              <w:rPr>
                <w:sz w:val="20"/>
                <w:szCs w:val="20"/>
                <w:color w:val="auto"/>
              </w:rPr>
            </w:pPr>
            <w:r>
              <w:rPr>
                <w:rFonts w:ascii="Arial" w:cs="Arial" w:eastAsia="Arial" w:hAnsi="Arial"/>
                <w:sz w:val="16"/>
                <w:szCs w:val="16"/>
                <w:color w:val="auto"/>
              </w:rPr>
              <w:t>Platte River Power</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17"/>
        </w:trPr>
        <w:tc>
          <w:tcPr>
            <w:tcW w:w="1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Authority</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8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Spring Canyon III</w:t>
            </w:r>
          </w:p>
        </w:tc>
        <w:tc>
          <w:tcPr>
            <w:tcW w:w="80" w:type="dxa"/>
            <w:vAlign w:val="bottom"/>
            <w:shd w:val="clear" w:color="auto" w:fill="E6E6E6"/>
          </w:tcPr>
          <w:p>
            <w:pPr>
              <w:spacing w:after="0"/>
              <w:rPr>
                <w:sz w:val="17"/>
                <w:szCs w:val="17"/>
                <w:color w:val="auto"/>
              </w:rPr>
            </w:pPr>
          </w:p>
        </w:tc>
        <w:tc>
          <w:tcPr>
            <w:tcW w:w="15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Logan County, CO</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29</w:t>
            </w:r>
          </w:p>
        </w:tc>
        <w:tc>
          <w:tcPr>
            <w:tcW w:w="700" w:type="dxa"/>
            <w:vAlign w:val="bottom"/>
            <w:gridSpan w:val="2"/>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26</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90.1 %</w:t>
            </w:r>
          </w:p>
        </w:tc>
        <w:tc>
          <w:tcPr>
            <w:tcW w:w="80" w:type="dxa"/>
            <w:vAlign w:val="bottom"/>
            <w:shd w:val="clear" w:color="auto" w:fill="E6E6E6"/>
          </w:tcPr>
          <w:p>
            <w:pPr>
              <w:spacing w:after="0"/>
              <w:rPr>
                <w:sz w:val="17"/>
                <w:szCs w:val="17"/>
                <w:color w:val="auto"/>
              </w:rPr>
            </w:pPr>
          </w:p>
        </w:tc>
        <w:tc>
          <w:tcPr>
            <w:tcW w:w="128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2014</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Platte River Power</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24"/>
        </w:trPr>
        <w:tc>
          <w:tcPr>
            <w:tcW w:w="198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560" w:type="dxa"/>
            <w:vAlign w:val="bottom"/>
            <w:gridSpan w:val="2"/>
            <w:vMerge w:val="continue"/>
            <w:shd w:val="clear" w:color="auto" w:fill="E6E6E6"/>
          </w:tcPr>
          <w:p>
            <w:pPr>
              <w:spacing w:after="0"/>
              <w:rPr>
                <w:sz w:val="19"/>
                <w:szCs w:val="19"/>
                <w:color w:val="auto"/>
              </w:rPr>
            </w:pPr>
          </w:p>
        </w:tc>
        <w:tc>
          <w:tcPr>
            <w:tcW w:w="580" w:type="dxa"/>
            <w:vAlign w:val="bottom"/>
            <w:vMerge w:val="continue"/>
            <w:shd w:val="clear" w:color="auto" w:fill="E6E6E6"/>
          </w:tcPr>
          <w:p>
            <w:pPr>
              <w:spacing w:after="0"/>
              <w:rPr>
                <w:sz w:val="19"/>
                <w:szCs w:val="19"/>
                <w:color w:val="auto"/>
              </w:rPr>
            </w:pPr>
          </w:p>
        </w:tc>
        <w:tc>
          <w:tcPr>
            <w:tcW w:w="700" w:type="dxa"/>
            <w:vAlign w:val="bottom"/>
            <w:gridSpan w:val="2"/>
            <w:vMerge w:val="continue"/>
            <w:shd w:val="clear" w:color="auto" w:fill="E6E6E6"/>
          </w:tcPr>
          <w:p>
            <w:pPr>
              <w:spacing w:after="0"/>
              <w:rPr>
                <w:sz w:val="19"/>
                <w:szCs w:val="19"/>
                <w:color w:val="auto"/>
              </w:rPr>
            </w:pPr>
          </w:p>
        </w:tc>
        <w:tc>
          <w:tcPr>
            <w:tcW w:w="104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gridSpan w:val="2"/>
            <w:vMerge w:val="continue"/>
            <w:shd w:val="clear" w:color="auto" w:fill="E6E6E6"/>
          </w:tcPr>
          <w:p>
            <w:pPr>
              <w:spacing w:after="0"/>
              <w:rPr>
                <w:sz w:val="19"/>
                <w:szCs w:val="19"/>
                <w:color w:val="auto"/>
              </w:rPr>
            </w:pP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Authority</w:t>
            </w:r>
          </w:p>
        </w:tc>
        <w:tc>
          <w:tcPr>
            <w:tcW w:w="10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980" w:type="dxa"/>
            <w:vAlign w:val="bottom"/>
          </w:tcPr>
          <w:p>
            <w:pPr>
              <w:ind w:left="40"/>
              <w:spacing w:after="0"/>
              <w:rPr>
                <w:sz w:val="20"/>
                <w:szCs w:val="20"/>
                <w:color w:val="auto"/>
              </w:rPr>
            </w:pPr>
            <w:r>
              <w:rPr>
                <w:rFonts w:ascii="Arial" w:cs="Arial" w:eastAsia="Arial" w:hAnsi="Arial"/>
                <w:sz w:val="16"/>
                <w:szCs w:val="16"/>
                <w:color w:val="auto"/>
              </w:rPr>
              <w:t>Taloga</w:t>
            </w:r>
          </w:p>
        </w:tc>
        <w:tc>
          <w:tcPr>
            <w:tcW w:w="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Putnam, OK</w:t>
            </w:r>
          </w:p>
        </w:tc>
        <w:tc>
          <w:tcPr>
            <w:tcW w:w="580" w:type="dxa"/>
            <w:vAlign w:val="bottom"/>
          </w:tcPr>
          <w:p>
            <w:pPr>
              <w:jc w:val="right"/>
              <w:spacing w:after="0"/>
              <w:rPr>
                <w:sz w:val="20"/>
                <w:szCs w:val="20"/>
                <w:color w:val="auto"/>
              </w:rPr>
            </w:pPr>
            <w:r>
              <w:rPr>
                <w:rFonts w:ascii="Arial" w:cs="Arial" w:eastAsia="Arial" w:hAnsi="Arial"/>
                <w:sz w:val="16"/>
                <w:szCs w:val="16"/>
                <w:color w:val="auto"/>
              </w:rPr>
              <w:t>130</w:t>
            </w:r>
          </w:p>
        </w:tc>
        <w:tc>
          <w:tcPr>
            <w:tcW w:w="700" w:type="dxa"/>
            <w:vAlign w:val="bottom"/>
            <w:gridSpan w:val="2"/>
          </w:tcPr>
          <w:p>
            <w:pPr>
              <w:jc w:val="right"/>
              <w:ind w:right="5"/>
              <w:spacing w:after="0"/>
              <w:rPr>
                <w:sz w:val="20"/>
                <w:szCs w:val="20"/>
                <w:color w:val="auto"/>
              </w:rPr>
            </w:pPr>
            <w:r>
              <w:rPr>
                <w:rFonts w:ascii="Arial" w:cs="Arial" w:eastAsia="Arial" w:hAnsi="Arial"/>
                <w:sz w:val="16"/>
                <w:szCs w:val="16"/>
                <w:color w:val="auto"/>
              </w:rPr>
              <w:t>130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July 2011</w:t>
            </w:r>
          </w:p>
        </w:tc>
        <w:tc>
          <w:tcPr>
            <w:tcW w:w="1920" w:type="dxa"/>
            <w:vAlign w:val="bottom"/>
          </w:tcPr>
          <w:p>
            <w:pPr>
              <w:ind w:left="40"/>
              <w:spacing w:after="0"/>
              <w:rPr>
                <w:sz w:val="20"/>
                <w:szCs w:val="20"/>
                <w:color w:val="auto"/>
              </w:rPr>
            </w:pPr>
            <w:r>
              <w:rPr>
                <w:rFonts w:ascii="Arial" w:cs="Arial" w:eastAsia="Arial" w:hAnsi="Arial"/>
                <w:sz w:val="16"/>
                <w:szCs w:val="16"/>
                <w:color w:val="auto"/>
              </w:rPr>
              <w:t>Oklahoma Gas &amp; Electric</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04"/>
        </w:trPr>
        <w:tc>
          <w:tcPr>
            <w:tcW w:w="198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Wildorado </w:t>
            </w:r>
            <w:r>
              <w:rPr>
                <w:rFonts w:ascii="Arial" w:cs="Arial" w:eastAsia="Arial" w:hAnsi="Arial"/>
                <w:sz w:val="20"/>
                <w:szCs w:val="20"/>
                <w:color w:val="auto"/>
                <w:vertAlign w:val="superscript"/>
              </w:rPr>
              <w:t>(c)</w:t>
            </w:r>
          </w:p>
        </w:tc>
        <w:tc>
          <w:tcPr>
            <w:tcW w:w="80" w:type="dxa"/>
            <w:vAlign w:val="bottom"/>
            <w:shd w:val="clear" w:color="auto" w:fill="E6E6E6"/>
          </w:tcPr>
          <w:p>
            <w:pPr>
              <w:spacing w:after="0"/>
              <w:rPr>
                <w:sz w:val="17"/>
                <w:szCs w:val="17"/>
                <w:color w:val="auto"/>
              </w:rPr>
            </w:pPr>
          </w:p>
        </w:tc>
        <w:tc>
          <w:tcPr>
            <w:tcW w:w="15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Vega, TX</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161</w:t>
            </w:r>
          </w:p>
        </w:tc>
        <w:tc>
          <w:tcPr>
            <w:tcW w:w="80" w:type="dxa"/>
            <w:vAlign w:val="bottom"/>
            <w:vMerge w:val="restart"/>
            <w:shd w:val="clear" w:color="auto" w:fill="E6E6E6"/>
          </w:tcPr>
          <w:p>
            <w:pPr>
              <w:spacing w:after="0"/>
              <w:rPr>
                <w:sz w:val="17"/>
                <w:szCs w:val="17"/>
                <w:color w:val="auto"/>
              </w:rPr>
            </w:pPr>
          </w:p>
        </w:tc>
        <w:tc>
          <w:tcPr>
            <w:tcW w:w="620" w:type="dxa"/>
            <w:vAlign w:val="bottom"/>
            <w:vMerge w:val="restart"/>
            <w:shd w:val="clear" w:color="auto" w:fill="E6E6E6"/>
          </w:tcPr>
          <w:p>
            <w:pPr>
              <w:jc w:val="right"/>
              <w:ind w:right="5"/>
              <w:spacing w:after="0"/>
              <w:rPr>
                <w:sz w:val="20"/>
                <w:szCs w:val="20"/>
                <w:color w:val="auto"/>
              </w:rPr>
            </w:pPr>
            <w:r>
              <w:rPr>
                <w:rFonts w:ascii="Arial" w:cs="Arial" w:eastAsia="Arial" w:hAnsi="Arial"/>
                <w:sz w:val="16"/>
                <w:szCs w:val="16"/>
                <w:color w:val="auto"/>
              </w:rPr>
              <w:t>161</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128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2019</w:t>
            </w:r>
          </w:p>
        </w:tc>
        <w:tc>
          <w:tcPr>
            <w:tcW w:w="1920" w:type="dxa"/>
            <w:vAlign w:val="bottom"/>
            <w:shd w:val="clear" w:color="auto" w:fill="E6E6E6"/>
          </w:tcPr>
          <w:p>
            <w:pPr>
              <w:ind w:left="40"/>
              <w:spacing w:after="0"/>
              <w:rPr>
                <w:sz w:val="20"/>
                <w:szCs w:val="20"/>
                <w:color w:val="auto"/>
              </w:rPr>
            </w:pPr>
            <w:r>
              <w:rPr>
                <w:rFonts w:ascii="Arial" w:cs="Arial" w:eastAsia="Arial" w:hAnsi="Arial"/>
                <w:sz w:val="16"/>
                <w:szCs w:val="16"/>
                <w:color w:val="auto"/>
              </w:rPr>
              <w:t>Southwestern Public</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34"/>
        </w:trPr>
        <w:tc>
          <w:tcPr>
            <w:tcW w:w="198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560" w:type="dxa"/>
            <w:vAlign w:val="bottom"/>
            <w:tcBorders>
              <w:bottom w:val="single" w:sz="8" w:color="E6E6E6"/>
            </w:tcBorders>
            <w:gridSpan w:val="2"/>
            <w:vMerge w:val="continue"/>
            <w:shd w:val="clear" w:color="auto" w:fill="E6E6E6"/>
          </w:tcPr>
          <w:p>
            <w:pPr>
              <w:spacing w:after="0"/>
              <w:rPr>
                <w:sz w:val="20"/>
                <w:szCs w:val="20"/>
                <w:color w:val="auto"/>
              </w:rPr>
            </w:pPr>
          </w:p>
        </w:tc>
        <w:tc>
          <w:tcPr>
            <w:tcW w:w="58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vMerge w:val="continue"/>
            <w:shd w:val="clear" w:color="auto" w:fill="E6E6E6"/>
          </w:tcPr>
          <w:p>
            <w:pPr>
              <w:spacing w:after="0"/>
              <w:rPr>
                <w:sz w:val="20"/>
                <w:szCs w:val="20"/>
                <w:color w:val="auto"/>
              </w:rPr>
            </w:pPr>
          </w:p>
        </w:tc>
        <w:tc>
          <w:tcPr>
            <w:tcW w:w="620" w:type="dxa"/>
            <w:vAlign w:val="bottom"/>
            <w:tcBorders>
              <w:bottom w:val="single" w:sz="8" w:color="auto"/>
            </w:tcBorders>
            <w:vMerge w:val="continue"/>
            <w:shd w:val="clear" w:color="auto" w:fill="E6E6E6"/>
          </w:tcPr>
          <w:p>
            <w:pPr>
              <w:spacing w:after="0"/>
              <w:rPr>
                <w:sz w:val="20"/>
                <w:szCs w:val="20"/>
                <w:color w:val="auto"/>
              </w:rPr>
            </w:pPr>
          </w:p>
        </w:tc>
        <w:tc>
          <w:tcPr>
            <w:tcW w:w="1040" w:type="dxa"/>
            <w:vAlign w:val="bottom"/>
            <w:tcBorders>
              <w:bottom w:val="single" w:sz="8" w:color="E6E6E6"/>
            </w:tcBorders>
            <w:gridSpan w:val="2"/>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2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 January 2020</w:t>
            </w:r>
          </w:p>
        </w:tc>
        <w:tc>
          <w:tcPr>
            <w:tcW w:w="19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Service Company</w:t>
            </w:r>
          </w:p>
        </w:tc>
        <w:tc>
          <w:tcPr>
            <w:tcW w:w="1040" w:type="dxa"/>
            <w:vAlign w:val="bottom"/>
            <w:tcBorders>
              <w:bottom w:val="single" w:sz="8" w:color="E6E6E6"/>
            </w:tcBorders>
            <w:gridSpan w:val="2"/>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80" w:type="dxa"/>
            <w:vAlign w:val="bottom"/>
            <w:tcBorders>
              <w:bottom w:val="single" w:sz="8" w:color="E6E6E6"/>
            </w:tcBorders>
          </w:tcPr>
          <w:p>
            <w:pPr>
              <w:ind w:left="400"/>
              <w:spacing w:after="0"/>
              <w:rPr>
                <w:sz w:val="20"/>
                <w:szCs w:val="20"/>
                <w:color w:val="auto"/>
              </w:rPr>
            </w:pPr>
            <w:r>
              <w:rPr>
                <w:rFonts w:ascii="Arial" w:cs="Arial" w:eastAsia="Arial" w:hAnsi="Arial"/>
                <w:sz w:val="18"/>
                <w:szCs w:val="18"/>
                <w:b w:val="1"/>
                <w:bCs w:val="1"/>
                <w:i w:val="1"/>
                <w:iCs w:val="1"/>
                <w:color w:val="auto"/>
              </w:rPr>
              <w:t>Total Wind</w:t>
            </w:r>
          </w:p>
        </w:tc>
        <w:tc>
          <w:tcPr>
            <w:tcW w:w="80" w:type="dxa"/>
            <w:vAlign w:val="bottom"/>
            <w:tcBorders>
              <w:bottom w:val="single" w:sz="8" w:color="E6E6E6"/>
            </w:tcBorders>
          </w:tcPr>
          <w:p>
            <w:pPr>
              <w:spacing w:after="0"/>
              <w:rPr>
                <w:sz w:val="21"/>
                <w:szCs w:val="21"/>
                <w:color w:val="auto"/>
              </w:rPr>
            </w:pPr>
          </w:p>
        </w:tc>
        <w:tc>
          <w:tcPr>
            <w:tcW w:w="148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4,306</w:t>
            </w:r>
          </w:p>
        </w:tc>
        <w:tc>
          <w:tcPr>
            <w:tcW w:w="80" w:type="dxa"/>
            <w:vAlign w:val="bottom"/>
            <w:tcBorders>
              <w:bottom w:val="single" w:sz="8" w:color="E6E6E6"/>
            </w:tcBorders>
          </w:tcPr>
          <w:p>
            <w:pPr>
              <w:spacing w:after="0"/>
              <w:rPr>
                <w:sz w:val="21"/>
                <w:szCs w:val="21"/>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3,807</w:t>
            </w:r>
          </w:p>
        </w:tc>
        <w:tc>
          <w:tcPr>
            <w:tcW w:w="80" w:type="dxa"/>
            <w:vAlign w:val="bottom"/>
            <w:tcBorders>
              <w:bottom w:val="single" w:sz="8" w:color="E6E6E6"/>
            </w:tcBorders>
          </w:tcPr>
          <w:p>
            <w:pPr>
              <w:spacing w:after="0"/>
              <w:rPr>
                <w:sz w:val="21"/>
                <w:szCs w:val="21"/>
                <w:color w:val="auto"/>
              </w:rPr>
            </w:pPr>
          </w:p>
        </w:tc>
        <w:tc>
          <w:tcPr>
            <w:tcW w:w="96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120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192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96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620" w:type="dxa"/>
            <w:vAlign w:val="bottom"/>
            <w:gridSpan w:val="4"/>
            <w:shd w:val="clear" w:color="auto" w:fill="E6E6E6"/>
          </w:tcPr>
          <w:p>
            <w:pPr>
              <w:ind w:left="40"/>
              <w:spacing w:after="0"/>
              <w:rPr>
                <w:sz w:val="20"/>
                <w:szCs w:val="20"/>
                <w:color w:val="auto"/>
              </w:rPr>
            </w:pPr>
            <w:r>
              <w:rPr>
                <w:rFonts w:ascii="Arial" w:cs="Arial" w:eastAsia="Arial" w:hAnsi="Arial"/>
                <w:sz w:val="18"/>
                <w:szCs w:val="18"/>
                <w:b w:val="1"/>
                <w:bCs w:val="1"/>
                <w:color w:val="auto"/>
              </w:rPr>
              <w:t>Total Clearway Energy, Inc.</w:t>
            </w: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11,839</w:t>
            </w:r>
          </w:p>
        </w:tc>
        <w:tc>
          <w:tcPr>
            <w:tcW w:w="700" w:type="dxa"/>
            <w:vAlign w:val="bottom"/>
            <w:gridSpan w:val="2"/>
            <w:shd w:val="clear" w:color="auto" w:fill="E6E6E6"/>
          </w:tcPr>
          <w:p>
            <w:pPr>
              <w:jc w:val="right"/>
              <w:ind w:right="5"/>
              <w:spacing w:after="0"/>
              <w:rPr>
                <w:sz w:val="20"/>
                <w:szCs w:val="20"/>
                <w:color w:val="auto"/>
              </w:rPr>
            </w:pPr>
            <w:r>
              <w:rPr>
                <w:rFonts w:ascii="Arial" w:cs="Arial" w:eastAsia="Arial" w:hAnsi="Arial"/>
                <w:sz w:val="16"/>
                <w:szCs w:val="16"/>
                <w:color w:val="auto"/>
              </w:rPr>
              <w:t>9,143</w:t>
            </w: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9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48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6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20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92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6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-132715</wp:posOffset>
            </wp:positionV>
            <wp:extent cx="83502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35025" cy="50800"/>
                    </a:xfrm>
                    <a:prstGeom prst="rect">
                      <a:avLst/>
                    </a:prstGeom>
                    <a:noFill/>
                  </pic:spPr>
                </pic:pic>
              </a:graphicData>
            </a:graphic>
          </wp:anchor>
        </w:drawing>
      </w:r>
    </w:p>
    <w:p>
      <w:pPr>
        <w:spacing w:after="0" w:line="34" w:lineRule="exact"/>
        <w:rPr>
          <w:sz w:val="20"/>
          <w:szCs w:val="20"/>
          <w:color w:val="auto"/>
        </w:rPr>
      </w:pPr>
    </w:p>
    <w:p>
      <w:pPr>
        <w:ind w:left="80"/>
        <w:spacing w:after="0" w:line="219" w:lineRule="auto"/>
        <w:tabs>
          <w:tab w:leader="none" w:pos="303"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Net capacity represents the maximum, or rated, generating capacity or storage capacity of the facility multiplied by the Company’s percentage ownership in the facility as of December 31, 2024.</w:t>
      </w:r>
    </w:p>
    <w:p>
      <w:pPr>
        <w:spacing w:after="0" w:line="1" w:lineRule="exact"/>
        <w:rPr>
          <w:rFonts w:ascii="Arial" w:cs="Arial" w:eastAsia="Arial" w:hAnsi="Arial"/>
          <w:sz w:val="23"/>
          <w:szCs w:val="23"/>
          <w:color w:val="auto"/>
          <w:vertAlign w:val="superscript"/>
        </w:rPr>
      </w:pPr>
    </w:p>
    <w:p>
      <w:pPr>
        <w:ind w:left="300" w:hanging="220"/>
        <w:spacing w:after="0" w:line="223"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primary fuel type for these facilities is natural gas, with the exception of GenConn Devon and GenConn Middletown, which also use oil.</w:t>
      </w:r>
    </w:p>
    <w:p>
      <w:pPr>
        <w:spacing w:after="0" w:line="44" w:lineRule="exact"/>
        <w:rPr>
          <w:rFonts w:ascii="Arial" w:cs="Arial" w:eastAsia="Arial" w:hAnsi="Arial"/>
          <w:sz w:val="23"/>
          <w:szCs w:val="23"/>
          <w:color w:val="auto"/>
          <w:vertAlign w:val="superscript"/>
        </w:rPr>
      </w:pPr>
    </w:p>
    <w:p>
      <w:pPr>
        <w:ind w:left="80" w:right="20"/>
        <w:spacing w:after="0" w:line="221" w:lineRule="auto"/>
        <w:tabs>
          <w:tab w:leader="none" w:pos="342"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 xml:space="preserve">Facilities are part of tax equity arrangements, as further described in Item 15 — Note 2, </w:t>
      </w:r>
      <w:r>
        <w:rPr>
          <w:rFonts w:ascii="Arial" w:cs="Arial" w:eastAsia="Arial" w:hAnsi="Arial"/>
          <w:sz w:val="16"/>
          <w:szCs w:val="16"/>
          <w:b w:val="1"/>
          <w:bCs w:val="1"/>
          <w:i w:val="1"/>
          <w:iCs w:val="1"/>
          <w:color w:val="auto"/>
        </w:rPr>
        <w:t>Summary of Significant Accounting Policies</w:t>
      </w:r>
      <w:r>
        <w:rPr>
          <w:rFonts w:ascii="Arial" w:cs="Arial" w:eastAsia="Arial" w:hAnsi="Arial"/>
          <w:sz w:val="16"/>
          <w:szCs w:val="16"/>
          <w:color w:val="auto"/>
        </w:rPr>
        <w:t xml:space="preserve">, and Note 5, </w:t>
      </w:r>
      <w:r>
        <w:rPr>
          <w:rFonts w:ascii="Arial" w:cs="Arial" w:eastAsia="Arial" w:hAnsi="Arial"/>
          <w:sz w:val="16"/>
          <w:szCs w:val="16"/>
          <w:b w:val="1"/>
          <w:bCs w:val="1"/>
          <w:i w:val="1"/>
          <w:iCs w:val="1"/>
          <w:color w:val="auto"/>
        </w:rPr>
        <w:t>Investments Accounted for by the Equity Method and Variable Interest Entities</w:t>
      </w:r>
      <w:r>
        <w:rPr>
          <w:rFonts w:ascii="Arial" w:cs="Arial" w:eastAsia="Arial" w:hAnsi="Arial"/>
          <w:sz w:val="16"/>
          <w:szCs w:val="16"/>
          <w:color w:val="auto"/>
        </w:rPr>
        <w:t>.</w:t>
      </w:r>
    </w:p>
    <w:p>
      <w:pPr>
        <w:ind w:left="300" w:hanging="220"/>
        <w:spacing w:after="0" w:line="223"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Rattlesnake has a deliverable capacity of 144 MW.</w:t>
      </w:r>
    </w:p>
    <w:p>
      <w:pPr>
        <w:sectPr>
          <w:pgSz w:w="11880" w:h="15480" w:orient="portrait"/>
          <w:cols w:equalWidth="0" w:num="1">
            <w:col w:w="10260"/>
          </w:cols>
          <w:pgMar w:left="820" w:top="46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260"/>
          </w:cols>
          <w:pgMar w:left="820" w:top="461" w:right="80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3 — Legal Proceedings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620"/>
          </w:cols>
          <w:pgMar w:left="820" w:top="3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620"/>
          </w:cols>
          <w:pgMar w:left="820" w:top="360" w:right="1440" w:bottom="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PART II</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20"/>
          <w:szCs w:val="20"/>
          <w:b w:val="1"/>
          <w:bCs w:val="1"/>
          <w:color w:val="auto"/>
        </w:rPr>
        <w:t>Item 5 —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Equity Holders and Dividends</w:t>
      </w:r>
    </w:p>
    <w:p>
      <w:pPr>
        <w:spacing w:after="0" w:line="197"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135" w:lineRule="exact"/>
        <w:rPr>
          <w:sz w:val="20"/>
          <w:szCs w:val="20"/>
          <w:color w:val="auto"/>
        </w:rPr>
      </w:pPr>
    </w:p>
    <w:p>
      <w:pPr>
        <w:jc w:val="both"/>
        <w:ind w:right="20" w:firstLine="450"/>
        <w:spacing w:after="0" w:line="341" w:lineRule="auto"/>
        <w:rPr>
          <w:sz w:val="20"/>
          <w:szCs w:val="20"/>
          <w:color w:val="auto"/>
        </w:rPr>
      </w:pPr>
      <w:r>
        <w:rPr>
          <w:rFonts w:ascii="Arial" w:cs="Arial" w:eastAsia="Arial" w:hAnsi="Arial"/>
          <w:sz w:val="18"/>
          <w:szCs w:val="18"/>
          <w:color w:val="auto"/>
        </w:rPr>
        <w:t>As of January 31, 2025, there were two holders of record of the Class A common stock, one holder of record of the Class B common stock, three holders of record of the Class C common stock and one holder of record of the Class D common stock.</w:t>
      </w:r>
    </w:p>
    <w:p>
      <w:pPr>
        <w:spacing w:after="0" w:line="72"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On February 17, 2025, the Company declared a quarterly dividend on its Class A and Class C common stock of $0.4312 per share payable on March 17, 2025 to stockholders of record as of March 3, 2025.</w:t>
      </w:r>
    </w:p>
    <w:p>
      <w:pPr>
        <w:spacing w:after="0" w:line="118"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37"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The performance graph below compares the Company’s cumulative total stockholder return on the Company’s Class A common stock and Class C common stock from December 31, 2019 through December 31, 2024, with the cumulative total return of the Standard &amp; Poor’s 500 Composite Stock Price Index, or S&amp;P 500, and the Philadelphia Utility Sector Index, or UTY.</w:t>
      </w:r>
    </w:p>
    <w:p>
      <w:pPr>
        <w:spacing w:after="0" w:line="140"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9"/>
          <w:szCs w:val="19"/>
          <w:color w:val="auto"/>
        </w:rPr>
        <w:t>The performance graph shown below is being furnished and compares each period assuming that $100 was invested on December 31, 2019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6515100" cy="2851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285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6"/>
                <w:szCs w:val="16"/>
                <w:b w:val="1"/>
                <w:bCs w:val="1"/>
                <w:color w:val="auto"/>
              </w:rPr>
              <w:t>December</w:t>
            </w:r>
          </w:p>
        </w:tc>
        <w:tc>
          <w:tcPr>
            <w:tcW w:w="6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December</w:t>
            </w:r>
          </w:p>
        </w:tc>
        <w:tc>
          <w:tcPr>
            <w:tcW w:w="6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December</w:t>
            </w:r>
          </w:p>
        </w:tc>
        <w:tc>
          <w:tcPr>
            <w:tcW w:w="6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December</w:t>
            </w:r>
          </w:p>
        </w:tc>
        <w:tc>
          <w:tcPr>
            <w:tcW w:w="6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December</w:t>
            </w:r>
          </w:p>
        </w:tc>
        <w:tc>
          <w:tcPr>
            <w:tcW w:w="6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December</w:t>
            </w:r>
          </w:p>
        </w:tc>
      </w:tr>
      <w:tr>
        <w:trPr>
          <w:trHeight w:val="214"/>
        </w:trPr>
        <w:tc>
          <w:tcPr>
            <w:tcW w:w="456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31, 2019</w:t>
            </w:r>
          </w:p>
        </w:tc>
        <w:tc>
          <w:tcPr>
            <w:tcW w:w="6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31, 2020</w:t>
            </w:r>
          </w:p>
        </w:tc>
        <w:tc>
          <w:tcPr>
            <w:tcW w:w="6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31, 2021</w:t>
            </w:r>
          </w:p>
        </w:tc>
        <w:tc>
          <w:tcPr>
            <w:tcW w:w="6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31, 2022</w:t>
            </w:r>
          </w:p>
        </w:tc>
        <w:tc>
          <w:tcPr>
            <w:tcW w:w="6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31, 2023</w:t>
            </w:r>
          </w:p>
        </w:tc>
        <w:tc>
          <w:tcPr>
            <w:tcW w:w="6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31, 2024</w:t>
            </w:r>
          </w:p>
        </w:tc>
      </w:tr>
      <w:tr>
        <w:trPr>
          <w:trHeight w:val="290"/>
        </w:trPr>
        <w:tc>
          <w:tcPr>
            <w:tcW w:w="45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3"/>
              </w:rPr>
              <w:t xml:space="preserve">Clearway Energy, Inc. Class A common stock </w:t>
            </w:r>
            <w:r>
              <w:rPr>
                <w:rFonts w:ascii="Arial" w:cs="Arial" w:eastAsia="Arial" w:hAnsi="Arial"/>
                <w:sz w:val="20"/>
                <w:szCs w:val="20"/>
                <w:color w:val="B4B4B4"/>
                <w:w w:val="93"/>
              </w:rPr>
              <w:t>. . . . . . .</w:t>
            </w:r>
          </w:p>
        </w:tc>
        <w:tc>
          <w:tcPr>
            <w:tcW w:w="90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$ 100.00</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$ 161.69</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$ 191.82</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$ 179.10</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$ 162.51</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$ 166.07</w:t>
            </w:r>
          </w:p>
        </w:tc>
      </w:tr>
      <w:tr>
        <w:trPr>
          <w:trHeight w:val="294"/>
        </w:trPr>
        <w:tc>
          <w:tcPr>
            <w:tcW w:w="4560" w:type="dxa"/>
            <w:vAlign w:val="bottom"/>
          </w:tcPr>
          <w:p>
            <w:pPr>
              <w:ind w:left="40"/>
              <w:spacing w:after="0"/>
              <w:rPr>
                <w:sz w:val="20"/>
                <w:szCs w:val="20"/>
                <w:color w:val="auto"/>
              </w:rPr>
            </w:pPr>
            <w:r>
              <w:rPr>
                <w:rFonts w:ascii="Arial" w:cs="Arial" w:eastAsia="Arial" w:hAnsi="Arial"/>
                <w:sz w:val="20"/>
                <w:szCs w:val="20"/>
                <w:color w:val="auto"/>
                <w:w w:val="94"/>
              </w:rPr>
              <w:t xml:space="preserve">Clearway Energy, Inc. Class C common stock  </w:t>
            </w:r>
            <w:r>
              <w:rPr>
                <w:rFonts w:ascii="Arial" w:cs="Arial" w:eastAsia="Arial" w:hAnsi="Arial"/>
                <w:sz w:val="20"/>
                <w:szCs w:val="20"/>
                <w:color w:val="B4B4B4"/>
                <w:w w:val="94"/>
              </w:rPr>
              <w:t>. . . . . .</w:t>
            </w:r>
          </w:p>
        </w:tc>
        <w:tc>
          <w:tcPr>
            <w:tcW w:w="900" w:type="dxa"/>
            <w:vAlign w:val="bottom"/>
          </w:tcPr>
          <w:p>
            <w:pPr>
              <w:jc w:val="right"/>
              <w:ind w:right="7"/>
              <w:spacing w:after="0"/>
              <w:rPr>
                <w:sz w:val="20"/>
                <w:szCs w:val="20"/>
                <w:color w:val="auto"/>
              </w:rPr>
            </w:pPr>
            <w:r>
              <w:rPr>
                <w:rFonts w:ascii="Arial" w:cs="Arial" w:eastAsia="Arial" w:hAnsi="Arial"/>
                <w:sz w:val="20"/>
                <w:szCs w:val="20"/>
                <w:color w:val="auto"/>
              </w:rPr>
              <w:t>100.00</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167.04</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196.83</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181.30</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165.11</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166.54</w:t>
            </w:r>
          </w:p>
        </w:tc>
      </w:tr>
      <w:tr>
        <w:trPr>
          <w:trHeight w:val="291"/>
        </w:trPr>
        <w:tc>
          <w:tcPr>
            <w:tcW w:w="45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3"/>
              </w:rPr>
              <w:t xml:space="preserve">S&amp;P 500 </w:t>
            </w:r>
            <w:r>
              <w:rPr>
                <w:rFonts w:ascii="Arial" w:cs="Arial" w:eastAsia="Arial" w:hAnsi="Arial"/>
                <w:sz w:val="20"/>
                <w:szCs w:val="20"/>
                <w:color w:val="B4B4B4"/>
                <w:w w:val="93"/>
              </w:rPr>
              <w:t>. . . . . . . . . . . . . . . . . . . . . . . . . . . . . . . . . . . .</w:t>
            </w:r>
          </w:p>
        </w:tc>
        <w:tc>
          <w:tcPr>
            <w:tcW w:w="90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100.00</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118.40</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152.39</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124.79</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157.59</w:t>
            </w:r>
          </w:p>
        </w:tc>
        <w:tc>
          <w:tcPr>
            <w:tcW w:w="9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197.02</w:t>
            </w:r>
          </w:p>
        </w:tc>
      </w:tr>
      <w:tr>
        <w:trPr>
          <w:trHeight w:val="272"/>
        </w:trPr>
        <w:tc>
          <w:tcPr>
            <w:tcW w:w="4560" w:type="dxa"/>
            <w:vAlign w:val="bottom"/>
          </w:tcPr>
          <w:p>
            <w:pPr>
              <w:ind w:left="40"/>
              <w:spacing w:after="0"/>
              <w:rPr>
                <w:sz w:val="20"/>
                <w:szCs w:val="20"/>
                <w:color w:val="auto"/>
              </w:rPr>
            </w:pPr>
            <w:r>
              <w:rPr>
                <w:rFonts w:ascii="Arial" w:cs="Arial" w:eastAsia="Arial" w:hAnsi="Arial"/>
                <w:sz w:val="20"/>
                <w:szCs w:val="20"/>
                <w:color w:val="auto"/>
                <w:w w:val="93"/>
              </w:rPr>
              <w:t xml:space="preserve">UTY  </w:t>
            </w:r>
            <w:r>
              <w:rPr>
                <w:rFonts w:ascii="Arial" w:cs="Arial" w:eastAsia="Arial" w:hAnsi="Arial"/>
                <w:sz w:val="20"/>
                <w:szCs w:val="20"/>
                <w:color w:val="B4B4B4"/>
                <w:w w:val="93"/>
              </w:rPr>
              <w:t>. . . . . . . . . . . . . . . . . . . . . . . . . . . . . . . . . . . . . . .</w:t>
            </w:r>
          </w:p>
        </w:tc>
        <w:tc>
          <w:tcPr>
            <w:tcW w:w="900" w:type="dxa"/>
            <w:vAlign w:val="bottom"/>
          </w:tcPr>
          <w:p>
            <w:pPr>
              <w:jc w:val="right"/>
              <w:ind w:right="7"/>
              <w:spacing w:after="0"/>
              <w:rPr>
                <w:sz w:val="20"/>
                <w:szCs w:val="20"/>
                <w:color w:val="auto"/>
              </w:rPr>
            </w:pPr>
            <w:r>
              <w:rPr>
                <w:rFonts w:ascii="Arial" w:cs="Arial" w:eastAsia="Arial" w:hAnsi="Arial"/>
                <w:sz w:val="20"/>
                <w:szCs w:val="20"/>
                <w:color w:val="auto"/>
              </w:rPr>
              <w:t>100.00</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102.72</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121.46</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122.25</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111.05</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134.24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6496050</wp:posOffset>
            </wp:positionH>
            <wp:positionV relativeFrom="paragraph">
              <wp:posOffset>-746760</wp:posOffset>
            </wp:positionV>
            <wp:extent cx="25400" cy="768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768350"/>
                    </a:xfrm>
                    <a:prstGeom prst="rect">
                      <a:avLst/>
                    </a:prstGeom>
                    <a:noFill/>
                  </pic:spPr>
                </pic:pic>
              </a:graphicData>
            </a:graphic>
          </wp:anchor>
        </w:drawing>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260"/>
          </w:cols>
          <w:pgMar w:left="820" w:top="360" w:right="800" w:bottom="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 Reserved</w:t>
      </w:r>
    </w:p>
    <w:p>
      <w:pPr>
        <w:sectPr>
          <w:pgSz w:w="11880" w:h="15480" w:orient="portrait"/>
          <w:cols w:equalWidth="0" w:num="1">
            <w:col w:w="9620"/>
          </w:cols>
          <w:pgMar w:left="820" w:top="3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620"/>
          </w:cols>
          <w:pgMar w:left="820" w:top="360" w:right="144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Item 7 — Management’s Discussion and Analysis of Financial Condition and the Results of Operations</w:t>
      </w:r>
    </w:p>
    <w:p>
      <w:pPr>
        <w:spacing w:after="0" w:line="19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 xml:space="preserve">As you read this discussion and analysis, refer to the Company’s Consolidated Statements of Income to this Form 10-K. Also refer to Item 1 —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and Item 1A — </w:t>
      </w:r>
      <w:r>
        <w:rPr>
          <w:rFonts w:ascii="Arial" w:cs="Arial" w:eastAsia="Arial" w:hAnsi="Arial"/>
          <w:sz w:val="20"/>
          <w:szCs w:val="20"/>
          <w:b w:val="1"/>
          <w:bCs w:val="1"/>
          <w:i w:val="1"/>
          <w:iCs w:val="1"/>
          <w:color w:val="auto"/>
        </w:rPr>
        <w:t>Risk Factors</w:t>
      </w:r>
      <w:r>
        <w:rPr>
          <w:rFonts w:ascii="Arial" w:cs="Arial" w:eastAsia="Arial" w:hAnsi="Arial"/>
          <w:sz w:val="20"/>
          <w:szCs w:val="20"/>
          <w:color w:val="auto"/>
        </w:rPr>
        <w:t>, which include detailed discussions of various items impacting the Company’s business, results of operations and financial condition. Discussions of the year ended December 31, 2022 that are not included in this Annual Report on Form 10-K and year-to-year comparisons of the year ended December 31, 2023 and the year ended December 31, 2022 can be found in “Management’s Discussion and Analysis of Financial Condition and the Results of Operations” in Part II, Item 7 of the Company’s Annual Report on Form 10-K for the year ended December 31, 2023.</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discussion and analysis below has been organized as follows:</w:t>
      </w:r>
    </w:p>
    <w:p>
      <w:pPr>
        <w:spacing w:after="0" w:line="130" w:lineRule="exact"/>
        <w:rPr>
          <w:sz w:val="20"/>
          <w:szCs w:val="20"/>
          <w:color w:val="auto"/>
        </w:rPr>
      </w:pPr>
    </w:p>
    <w:p>
      <w:pPr>
        <w:ind w:left="800" w:right="540" w:firstLine="180"/>
        <w:spacing w:after="0" w:line="281" w:lineRule="auto"/>
        <w:tabs>
          <w:tab w:leader="none" w:pos="143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Executive Summary, including a description of the business and significant events that are important to understanding the results of operations and financial condition;</w:t>
      </w:r>
    </w:p>
    <w:p>
      <w:pPr>
        <w:spacing w:after="0" w:line="1" w:lineRule="exact"/>
        <w:rPr>
          <w:rFonts w:ascii="Arial" w:cs="Arial" w:eastAsia="Arial" w:hAnsi="Arial"/>
          <w:sz w:val="20"/>
          <w:szCs w:val="20"/>
          <w:color w:val="auto"/>
        </w:rPr>
      </w:pPr>
    </w:p>
    <w:p>
      <w:pPr>
        <w:ind w:left="800" w:right="180" w:firstLine="180"/>
        <w:spacing w:after="0" w:line="281" w:lineRule="auto"/>
        <w:tabs>
          <w:tab w:leader="none" w:pos="143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Results of operations, including an explanation of significant differences between the periods in the specific line items of the consolidated statements of income;</w:t>
      </w:r>
    </w:p>
    <w:p>
      <w:pPr>
        <w:spacing w:after="0" w:line="1" w:lineRule="exact"/>
        <w:rPr>
          <w:rFonts w:ascii="Arial" w:cs="Arial" w:eastAsia="Arial" w:hAnsi="Arial"/>
          <w:sz w:val="20"/>
          <w:szCs w:val="20"/>
          <w:color w:val="auto"/>
        </w:rPr>
      </w:pPr>
    </w:p>
    <w:p>
      <w:pPr>
        <w:ind w:left="800" w:right="1100" w:firstLine="180"/>
        <w:spacing w:after="0" w:line="281" w:lineRule="auto"/>
        <w:tabs>
          <w:tab w:leader="none" w:pos="143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Financial condition addressing liquidity position, sources and uses of cash, capital resources and requirements, commitments and off-balance sheet arrangements;</w:t>
      </w:r>
    </w:p>
    <w:p>
      <w:pPr>
        <w:spacing w:after="0" w:line="1" w:lineRule="exact"/>
        <w:rPr>
          <w:rFonts w:ascii="Arial" w:cs="Arial" w:eastAsia="Arial" w:hAnsi="Arial"/>
          <w:sz w:val="20"/>
          <w:szCs w:val="20"/>
          <w:color w:val="auto"/>
        </w:rPr>
      </w:pPr>
    </w:p>
    <w:p>
      <w:pPr>
        <w:ind w:left="1440" w:hanging="460"/>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93" w:lineRule="exact"/>
        <w:rPr>
          <w:rFonts w:ascii="Arial" w:cs="Arial" w:eastAsia="Arial" w:hAnsi="Arial"/>
          <w:sz w:val="18"/>
          <w:szCs w:val="18"/>
          <w:color w:val="auto"/>
        </w:rPr>
      </w:pPr>
    </w:p>
    <w:p>
      <w:pPr>
        <w:ind w:left="800" w:right="600" w:firstLine="180"/>
        <w:spacing w:after="0" w:line="266" w:lineRule="auto"/>
        <w:tabs>
          <w:tab w:leader="none" w:pos="143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Critical accounting policies which are most important to both the portrayal of the Company’s financial condition and results of operations, and which require management’s most difficult, subjective or complex judgment.</w:t>
      </w:r>
    </w:p>
    <w:p>
      <w:pPr>
        <w:sectPr>
          <w:pgSz w:w="11880" w:h="15480" w:orient="portrait"/>
          <w:cols w:equalWidth="0" w:num="1">
            <w:col w:w="10240"/>
          </w:cols>
          <w:pgMar w:left="820" w:top="3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240"/>
          </w:cols>
          <w:pgMar w:left="820" w:top="360" w:right="82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Executive Summary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 and Overview</w:t>
      </w:r>
    </w:p>
    <w:p>
      <w:pPr>
        <w:spacing w:after="0" w:line="197"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144"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9"/>
          <w:szCs w:val="19"/>
          <w:color w:val="auto"/>
        </w:rPr>
        <w:t>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 The weighted average remaining contract duration of the Company’s Renewables segment offtake agreements was approximately 12 years as of December 31, 2024 based on CAFD.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Events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Third-Party Acquisition</w:t>
      </w:r>
    </w:p>
    <w:p>
      <w:pPr>
        <w:spacing w:after="0" w:line="261" w:lineRule="exact"/>
        <w:rPr>
          <w:sz w:val="20"/>
          <w:szCs w:val="20"/>
          <w:color w:val="auto"/>
        </w:rPr>
      </w:pPr>
    </w:p>
    <w:p>
      <w:pPr>
        <w:jc w:val="both"/>
        <w:ind w:left="720" w:right="20" w:hanging="370"/>
        <w:spacing w:after="0" w:line="272" w:lineRule="auto"/>
        <w:tabs>
          <w:tab w:leader="none" w:pos="720" w:val="left"/>
        </w:tabs>
        <w:numPr>
          <w:ilvl w:val="0"/>
          <w:numId w:val="20"/>
        </w:numPr>
        <w:rPr>
          <w:rFonts w:ascii="Arial" w:cs="Arial" w:eastAsia="Arial" w:hAnsi="Arial"/>
          <w:sz w:val="21"/>
          <w:szCs w:val="21"/>
          <w:b w:val="1"/>
          <w:bCs w:val="1"/>
          <w:color w:val="auto"/>
        </w:rPr>
      </w:pPr>
      <w:r>
        <w:rPr>
          <w:rFonts w:ascii="Arial" w:cs="Arial" w:eastAsia="Arial" w:hAnsi="Arial"/>
          <w:sz w:val="19"/>
          <w:szCs w:val="19"/>
          <w:color w:val="auto"/>
        </w:rPr>
        <w:t>On November 25, 2024, the Company entered into a binding agreement to acquire the Tuolumne wind facility, a 137 MW operating facility located in Klickitat County, Washington, from an investment-grade regulated entity for approximately $219 million. After factoring in estimated closing adjustments and new non-recourse facility-level debt, the Company expects its total long-term corporate capital commitment to acquire the facility to be between $70 million and $75 million, which the Company expects to fund with existing sources of liquidity. Tuolumne reached commercial operations in 2009. As part of the acquisition, the Company will enter into a 15-year PPA with the seller of the facility. The Company also has received a PPA contractual extension option to enable a potential future repowering of the facility. The consummation of the transaction is subject to customary closing conditions and certain third-party approvals and is expected in the first half of 2025.</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Drop Down Transactions</w:t>
      </w:r>
    </w:p>
    <w:p>
      <w:pPr>
        <w:spacing w:after="0" w:line="193" w:lineRule="exact"/>
        <w:rPr>
          <w:sz w:val="20"/>
          <w:szCs w:val="20"/>
          <w:color w:val="auto"/>
        </w:rPr>
      </w:pPr>
    </w:p>
    <w:p>
      <w:pPr>
        <w:jc w:val="both"/>
        <w:ind w:left="720" w:hanging="370"/>
        <w:spacing w:after="0" w:line="28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w:t>
      </w:r>
    </w:p>
    <w:p>
      <w:pPr>
        <w:spacing w:after="0" w:line="110" w:lineRule="exact"/>
        <w:rPr>
          <w:rFonts w:ascii="Arial" w:cs="Arial" w:eastAsia="Arial" w:hAnsi="Arial"/>
          <w:sz w:val="18"/>
          <w:szCs w:val="18"/>
          <w:color w:val="auto"/>
        </w:rPr>
      </w:pPr>
    </w:p>
    <w:p>
      <w:pPr>
        <w:jc w:val="both"/>
        <w:ind w:left="720" w:right="20" w:hanging="370"/>
        <w:spacing w:after="0" w:line="258"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On December 20, 2024, the Company, through an indirect subsidiary, entered into an agreement with Clearway Renew to acquire the Class A membership interests in the Honeycomb Portfolio, which includes four BESS facilities under construction in Utah, representing 320 MW of capacity, for $78 million in cash consideration. The consummation of the transaction is subject to customary closing conditions and certain third-party approvals and is expected in the first half of 2026.</w:t>
      </w:r>
    </w:p>
    <w:p>
      <w:pPr>
        <w:spacing w:after="0" w:line="133" w:lineRule="exact"/>
        <w:rPr>
          <w:rFonts w:ascii="Arial" w:cs="Arial" w:eastAsia="Arial" w:hAnsi="Arial"/>
          <w:sz w:val="20"/>
          <w:szCs w:val="20"/>
          <w:color w:val="auto"/>
        </w:rPr>
      </w:pPr>
    </w:p>
    <w:p>
      <w:pPr>
        <w:jc w:val="both"/>
        <w:ind w:left="720" w:right="20" w:hanging="370"/>
        <w:spacing w:after="0" w:line="270"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On November 18, 2024, the Company, through its indirect subsidiary, Dan’s Mountain Parent Holdco LLC, acquired the Class A membership interests in Dan’s 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See Item 15 — Note 3,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for further discussion of the transaction.</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260"/>
          </w:cols>
          <w:pgMar w:left="820" w:top="360" w:right="800" w:bottom="0" w:gutter="0" w:footer="0" w:header="0"/>
          <w:type w:val="continuous"/>
        </w:sectPr>
      </w:pPr>
    </w:p>
    <w:bookmarkStart w:id="49" w:name="page50"/>
    <w:bookmarkEnd w:id="49"/>
    <w:p>
      <w:pPr>
        <w:jc w:val="both"/>
        <w:ind w:left="720" w:right="20" w:hanging="370"/>
        <w:spacing w:after="0" w:line="28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October 28, 2024, the Company, through an indirect subsidiary, entered into an agreement with Clearway Renew to acquire the Class A membership interests in Pine Forest TE Holdco LLC, a tax equity fund that upon mechanical completion will own Pine Forest, a 300 MW solar facility that will be paired with a 200 MW BESS facility currently under construction in Hopkins County, Texas, for $46 million in cash consideration, subject to closing adjustments. Also, on October 28, 2024, the Company, through an indirect subsidiary, entered into an agreement with Clearway Renew to acquire 50% of the Class B membership interests in Pine Forest TE Holdco LLC for $90 million in cash consideration, subject to closing adjustments. The consummation of the transaction is subject to customary closing conditions and certain third-party approvals and is expected in the second half of 2025.</w:t>
      </w:r>
    </w:p>
    <w:p>
      <w:pPr>
        <w:spacing w:after="0" w:line="109" w:lineRule="exact"/>
        <w:rPr>
          <w:rFonts w:ascii="Arial" w:cs="Arial" w:eastAsia="Arial" w:hAnsi="Arial"/>
          <w:sz w:val="18"/>
          <w:szCs w:val="18"/>
          <w:color w:val="auto"/>
        </w:rPr>
      </w:pPr>
    </w:p>
    <w:p>
      <w:pPr>
        <w:jc w:val="both"/>
        <w:ind w:left="720" w:right="20" w:hanging="370"/>
        <w:spacing w:after="0" w:line="29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first half of 2025.</w:t>
      </w:r>
    </w:p>
    <w:p>
      <w:pPr>
        <w:spacing w:after="0" w:line="102" w:lineRule="exact"/>
        <w:rPr>
          <w:rFonts w:ascii="Arial" w:cs="Arial" w:eastAsia="Arial" w:hAnsi="Arial"/>
          <w:sz w:val="18"/>
          <w:szCs w:val="18"/>
          <w:color w:val="auto"/>
        </w:rPr>
      </w:pPr>
    </w:p>
    <w:p>
      <w:pPr>
        <w:jc w:val="both"/>
        <w:ind w:left="720" w:hanging="370"/>
        <w:spacing w:after="0" w:line="25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133" w:lineRule="exact"/>
        <w:rPr>
          <w:rFonts w:ascii="Arial" w:cs="Arial" w:eastAsia="Arial" w:hAnsi="Arial"/>
          <w:sz w:val="20"/>
          <w:szCs w:val="20"/>
          <w:color w:val="auto"/>
        </w:rPr>
      </w:pPr>
    </w:p>
    <w:p>
      <w:pPr>
        <w:jc w:val="both"/>
        <w:ind w:left="720" w:hanging="370"/>
        <w:spacing w:after="0" w:line="25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Item 15 — Note 3, </w:t>
      </w:r>
      <w:r>
        <w:rPr>
          <w:rFonts w:ascii="Arial" w:cs="Arial" w:eastAsia="Arial" w:hAnsi="Arial"/>
          <w:sz w:val="20"/>
          <w:szCs w:val="20"/>
          <w:b w:val="1"/>
          <w:bCs w:val="1"/>
          <w:i w:val="1"/>
          <w:iCs w:val="1"/>
          <w:color w:val="auto"/>
        </w:rPr>
        <w:t>Acquisitions</w:t>
      </w:r>
      <w:r>
        <w:rPr>
          <w:rFonts w:ascii="Arial" w:cs="Arial" w:eastAsia="Arial" w:hAnsi="Arial"/>
          <w:sz w:val="20"/>
          <w:szCs w:val="20"/>
          <w:color w:val="auto"/>
        </w:rPr>
        <w:t>, for further discussion of the transaction.</w:t>
      </w:r>
    </w:p>
    <w:p>
      <w:pPr>
        <w:spacing w:after="0" w:line="133" w:lineRule="exact"/>
        <w:rPr>
          <w:rFonts w:ascii="Arial" w:cs="Arial" w:eastAsia="Arial" w:hAnsi="Arial"/>
          <w:sz w:val="20"/>
          <w:szCs w:val="20"/>
          <w:color w:val="auto"/>
        </w:rPr>
      </w:pPr>
    </w:p>
    <w:p>
      <w:pPr>
        <w:jc w:val="both"/>
        <w:ind w:left="720" w:right="20" w:hanging="370"/>
        <w:spacing w:after="0" w:line="255"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Item 15 — Note 3, </w:t>
      </w:r>
      <w:r>
        <w:rPr>
          <w:rFonts w:ascii="Arial" w:cs="Arial" w:eastAsia="Arial" w:hAnsi="Arial"/>
          <w:sz w:val="20"/>
          <w:szCs w:val="20"/>
          <w:b w:val="1"/>
          <w:bCs w:val="1"/>
          <w:i w:val="1"/>
          <w:iCs w:val="1"/>
          <w:color w:val="auto"/>
        </w:rPr>
        <w:t>Acquisitions</w:t>
      </w:r>
      <w:r>
        <w:rPr>
          <w:rFonts w:ascii="Arial" w:cs="Arial" w:eastAsia="Arial" w:hAnsi="Arial"/>
          <w:sz w:val="20"/>
          <w:szCs w:val="20"/>
          <w:color w:val="auto"/>
        </w:rPr>
        <w:t>, for further discussion of the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 Agreements</w:t>
      </w:r>
    </w:p>
    <w:p>
      <w:pPr>
        <w:spacing w:after="0" w:line="193" w:lineRule="exact"/>
        <w:rPr>
          <w:sz w:val="20"/>
          <w:szCs w:val="20"/>
          <w:color w:val="auto"/>
        </w:rPr>
      </w:pPr>
    </w:p>
    <w:p>
      <w:pPr>
        <w:jc w:val="both"/>
        <w:ind w:left="720" w:hanging="370"/>
        <w:spacing w:after="0" w:line="258"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December 2029. El Segundo is now contracted for 100% of its capacity through 2027 and approximately 50% of its capacity through 2028.</w:t>
      </w:r>
    </w:p>
    <w:p>
      <w:pPr>
        <w:spacing w:after="0" w:line="143" w:lineRule="exact"/>
        <w:rPr>
          <w:rFonts w:ascii="Arial" w:cs="Arial" w:eastAsia="Arial" w:hAnsi="Arial"/>
          <w:sz w:val="20"/>
          <w:szCs w:val="20"/>
          <w:color w:val="auto"/>
        </w:rPr>
      </w:pPr>
    </w:p>
    <w:p>
      <w:pPr>
        <w:jc w:val="both"/>
        <w:ind w:left="720" w:right="20" w:hanging="370"/>
        <w:spacing w:after="0" w:line="287" w:lineRule="auto"/>
        <w:tabs>
          <w:tab w:leader="none" w:pos="7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116" w:lineRule="exact"/>
        <w:rPr>
          <w:rFonts w:ascii="Arial" w:cs="Arial" w:eastAsia="Arial" w:hAnsi="Arial"/>
          <w:sz w:val="19"/>
          <w:szCs w:val="19"/>
          <w:color w:val="auto"/>
        </w:rPr>
      </w:pPr>
    </w:p>
    <w:p>
      <w:pPr>
        <w:jc w:val="both"/>
        <w:ind w:left="720" w:hanging="370"/>
        <w:spacing w:after="0" w:line="258"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Facility-level Financing Activities</w:t>
      </w:r>
    </w:p>
    <w:p>
      <w:pPr>
        <w:spacing w:after="0" w:line="193" w:lineRule="exact"/>
        <w:rPr>
          <w:sz w:val="20"/>
          <w:szCs w:val="20"/>
          <w:color w:val="auto"/>
        </w:rPr>
      </w:pPr>
    </w:p>
    <w:p>
      <w:pPr>
        <w:jc w:val="both"/>
        <w:ind w:left="720" w:hanging="370"/>
        <w:spacing w:after="0" w:line="266"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 xml:space="preserve">In connection with the 2024 Drop Downs of Texas Solar Nova 2, Cedar Creek and Dan’s Mountain, the Company assumed non-recourse facility-level debt. See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further discussion of the non-recourse facility-level debt associated with each facility.</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260"/>
          </w:cols>
          <w:pgMar w:left="820" w:top="367" w:right="800" w:bottom="0" w:gutter="0" w:footer="0" w:header="0"/>
          <w:type w:val="continuous"/>
        </w:sectPr>
      </w:pPr>
    </w:p>
    <w:bookmarkStart w:id="50" w:name="page51"/>
    <w:bookmarkEnd w:id="50"/>
    <w:p>
      <w:pPr>
        <w:jc w:val="both"/>
        <w:ind w:left="720" w:right="20" w:hanging="370"/>
        <w:spacing w:after="0" w:line="29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tax equity bridge loan and cash equity bridge loan, to fund construction completion and related reserves, to pay construction invoices and to pay associated fees with the remaining $26 million distributed to CEG. See Item 15 —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for further discussion of the transactions.</w:t>
      </w:r>
    </w:p>
    <w:p>
      <w:pPr>
        <w:spacing w:after="0" w:line="119" w:lineRule="exact"/>
        <w:rPr>
          <w:rFonts w:ascii="Arial" w:cs="Arial" w:eastAsia="Arial" w:hAnsi="Arial"/>
          <w:sz w:val="18"/>
          <w:szCs w:val="18"/>
          <w:color w:val="auto"/>
        </w:rPr>
      </w:pPr>
    </w:p>
    <w:p>
      <w:pPr>
        <w:jc w:val="both"/>
        <w:ind w:left="720" w:right="20" w:hanging="370"/>
        <w:spacing w:after="0" w:line="275" w:lineRule="auto"/>
        <w:tabs>
          <w:tab w:leader="none" w:pos="7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related to Broken Bow and Crofton Bluffs and to pay related financing costs. See Item 15 —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 for further discussion of the financing arrangement.</w:t>
      </w:r>
    </w:p>
    <w:p>
      <w:pPr>
        <w:spacing w:after="0" w:line="128" w:lineRule="exact"/>
        <w:rPr>
          <w:rFonts w:ascii="Arial" w:cs="Arial" w:eastAsia="Arial" w:hAnsi="Arial"/>
          <w:sz w:val="19"/>
          <w:szCs w:val="19"/>
          <w:color w:val="auto"/>
        </w:rPr>
      </w:pPr>
    </w:p>
    <w:p>
      <w:pPr>
        <w:jc w:val="both"/>
        <w:ind w:left="720" w:right="20" w:hanging="370"/>
        <w:spacing w:after="0" w:line="29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and freed up capacity on the Company’s corporate revolving credit facility. See Item 15 —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for further discussion of the letter of credit facility.</w:t>
      </w:r>
    </w:p>
    <w:p>
      <w:pPr>
        <w:spacing w:after="0" w:line="108" w:lineRule="exact"/>
        <w:rPr>
          <w:rFonts w:ascii="Arial" w:cs="Arial" w:eastAsia="Arial" w:hAnsi="Arial"/>
          <w:sz w:val="18"/>
          <w:szCs w:val="18"/>
          <w:color w:val="auto"/>
        </w:rPr>
      </w:pPr>
    </w:p>
    <w:p>
      <w:pPr>
        <w:jc w:val="both"/>
        <w:ind w:left="720" w:right="20" w:hanging="370"/>
        <w:spacing w:after="0" w:line="284" w:lineRule="auto"/>
        <w:tabs>
          <w:tab w:leader="none" w:pos="7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to the Company by CEG, to repay the tax equity bridge loan, to make a distribution to the cash equity investor, to fund construction completion reserves and to pay associated fees. See Item 15 —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xml:space="preserve">, and Note 10, </w:t>
      </w:r>
      <w:r>
        <w:rPr>
          <w:rFonts w:ascii="Arial" w:cs="Arial" w:eastAsia="Arial" w:hAnsi="Arial"/>
          <w:sz w:val="18"/>
          <w:szCs w:val="18"/>
          <w:b w:val="1"/>
          <w:bCs w:val="1"/>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Debt</w:t>
      </w:r>
      <w:r>
        <w:rPr>
          <w:rFonts w:ascii="Arial" w:cs="Arial" w:eastAsia="Arial" w:hAnsi="Arial"/>
          <w:sz w:val="18"/>
          <w:szCs w:val="18"/>
          <w:color w:val="auto"/>
        </w:rPr>
        <w:t>, for further discussion of the transactions.</w:t>
      </w:r>
    </w:p>
    <w:p>
      <w:pPr>
        <w:spacing w:after="0" w:line="125" w:lineRule="exact"/>
        <w:rPr>
          <w:rFonts w:ascii="Arial" w:cs="Arial" w:eastAsia="Arial" w:hAnsi="Arial"/>
          <w:sz w:val="18"/>
          <w:szCs w:val="18"/>
          <w:b w:val="1"/>
          <w:bCs w:val="1"/>
          <w:i w:val="1"/>
          <w:iCs w:val="1"/>
          <w:color w:val="auto"/>
        </w:rPr>
      </w:pPr>
    </w:p>
    <w:p>
      <w:pPr>
        <w:jc w:val="both"/>
        <w:ind w:left="720" w:right="20" w:hanging="370"/>
        <w:spacing w:after="0" w:line="29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Item 15 —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for further discussion of the refinanced credit agreement.</w:t>
      </w:r>
    </w:p>
    <w:p>
      <w:pPr>
        <w:spacing w:after="0" w:line="112" w:lineRule="exact"/>
        <w:rPr>
          <w:rFonts w:ascii="Arial" w:cs="Arial" w:eastAsia="Arial" w:hAnsi="Arial"/>
          <w:sz w:val="18"/>
          <w:szCs w:val="18"/>
          <w:color w:val="auto"/>
        </w:rPr>
      </w:pPr>
    </w:p>
    <w:p>
      <w:pPr>
        <w:jc w:val="both"/>
        <w:ind w:left="720" w:hanging="370"/>
        <w:spacing w:after="0" w:line="288" w:lineRule="auto"/>
        <w:tabs>
          <w:tab w:leader="none" w:pos="7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Item 15 —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for further discussion of the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 and Regulatory Matters</w:t>
      </w:r>
    </w:p>
    <w:p>
      <w:pPr>
        <w:spacing w:after="0" w:line="194" w:lineRule="exact"/>
        <w:rPr>
          <w:sz w:val="20"/>
          <w:szCs w:val="20"/>
          <w:color w:val="auto"/>
        </w:rPr>
      </w:pPr>
    </w:p>
    <w:p>
      <w:pPr>
        <w:ind w:firstLine="450"/>
        <w:spacing w:after="0" w:line="345"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b w:val="1"/>
          <w:bCs w:val="1"/>
          <w:i w:val="1"/>
          <w:iCs w:val="1"/>
          <w:color w:val="auto"/>
        </w:rPr>
        <w:t>Business, Regulatory Matters</w:t>
      </w:r>
      <w:r>
        <w:rPr>
          <w:rFonts w:ascii="Arial" w:cs="Arial" w:eastAsia="Arial" w:hAnsi="Arial"/>
          <w:sz w:val="18"/>
          <w:szCs w:val="18"/>
          <w:color w:val="auto"/>
        </w:rPr>
        <w:t xml:space="preserve"> and Item 1A —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260"/>
          </w:cols>
          <w:pgMar w:left="820" w:top="367" w:right="80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provides selected financial information: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E6E6E6"/>
            </w:tcBorders>
          </w:tcPr>
          <w:p>
            <w:pPr>
              <w:ind w:left="4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5"/>
        </w:trPr>
        <w:tc>
          <w:tcPr>
            <w:tcW w:w="70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080" w:type="dxa"/>
            <w:vAlign w:val="bottom"/>
          </w:tcPr>
          <w:p>
            <w:pPr>
              <w:jc w:val="right"/>
              <w:spacing w:after="0"/>
              <w:rPr>
                <w:sz w:val="20"/>
                <w:szCs w:val="20"/>
                <w:color w:val="auto"/>
              </w:rPr>
            </w:pPr>
            <w:r>
              <w:rPr>
                <w:rFonts w:ascii="Arial" w:cs="Arial" w:eastAsia="Arial" w:hAnsi="Arial"/>
                <w:sz w:val="18"/>
                <w:szCs w:val="18"/>
                <w:color w:val="auto"/>
                <w:w w:val="92"/>
              </w:rPr>
              <w:t xml:space="preserve">Energy and capacity revenues </w:t>
            </w:r>
            <w:r>
              <w:rPr>
                <w:rFonts w:ascii="Arial" w:cs="Arial" w:eastAsia="Arial" w:hAnsi="Arial"/>
                <w:sz w:val="18"/>
                <w:szCs w:val="18"/>
                <w:color w:val="B4B4B4"/>
                <w:w w:val="92"/>
              </w:rPr>
              <w:t>. . . . . . . . . . . . . . . . . . . . . . . . . . . . . . . . . . . . . . . . . . . . . . . . . . .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62"/>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Other revenues </w:t>
            </w:r>
            <w:r>
              <w:rPr>
                <w:rFonts w:ascii="Arial" w:cs="Arial" w:eastAsia="Arial" w:hAnsi="Arial"/>
                <w:sz w:val="18"/>
                <w:szCs w:val="18"/>
                <w:color w:val="B4B4B4"/>
                <w:w w:val="91"/>
              </w:rPr>
              <w:t>. . . . . . . . . . . . . . . . . . . . . . . . . . . . . . . . . . . . . . . . . . . . . . . . . . . . . . . . . . . . . . . .</w:t>
            </w: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7080" w:type="dxa"/>
            <w:vAlign w:val="bottom"/>
          </w:tcPr>
          <w:p>
            <w:pPr>
              <w:jc w:val="right"/>
              <w:spacing w:after="0"/>
              <w:rPr>
                <w:sz w:val="20"/>
                <w:szCs w:val="20"/>
                <w:color w:val="auto"/>
              </w:rPr>
            </w:pPr>
            <w:r>
              <w:rPr>
                <w:rFonts w:ascii="Arial" w:cs="Arial" w:eastAsia="Arial" w:hAnsi="Arial"/>
                <w:sz w:val="18"/>
                <w:szCs w:val="18"/>
                <w:color w:val="auto"/>
                <w:w w:val="93"/>
              </w:rPr>
              <w:t xml:space="preserve">Contract amortization </w:t>
            </w:r>
            <w:r>
              <w:rPr>
                <w:rFonts w:ascii="Arial" w:cs="Arial" w:eastAsia="Arial" w:hAnsi="Arial"/>
                <w:sz w:val="18"/>
                <w:szCs w:val="18"/>
                <w:color w:val="B4B4B4"/>
                <w:w w:val="93"/>
              </w:rPr>
              <w:t>. . . . . . . . . . . . . . . . . . . . . . . . . . . . . . . . . . . . . . . . . . . . . . . . . . . . . . . . .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3"/>
              </w:rPr>
              <w:t xml:space="preserve">Mark-to-market for economic hedges  </w:t>
            </w:r>
            <w:r>
              <w:rPr>
                <w:rFonts w:ascii="Arial" w:cs="Arial" w:eastAsia="Arial" w:hAnsi="Arial"/>
                <w:sz w:val="18"/>
                <w:szCs w:val="18"/>
                <w:color w:val="B4B4B4"/>
                <w:w w:val="93"/>
              </w:rPr>
              <w:t>.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4B4B4"/>
                <w:w w:val="95"/>
              </w:rPr>
              <w:t>. . . . . . . . . . . . . . . . . . . . . . . . . . . . . . . . . . . . . . . . . . . . . . . . . . . . . . .</w:t>
            </w:r>
            <w:r>
              <w:rPr>
                <w:rFonts w:ascii="Arial" w:cs="Arial" w:eastAsia="Arial" w:hAnsi="Arial"/>
                <w:sz w:val="18"/>
                <w:szCs w:val="18"/>
                <w:color w:val="000000"/>
                <w:w w:val="95"/>
              </w:rPr>
              <w:t>Totaloperatingrevenues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45"/>
        </w:trPr>
        <w:tc>
          <w:tcPr>
            <w:tcW w:w="70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080" w:type="dxa"/>
            <w:vAlign w:val="bottom"/>
          </w:tcPr>
          <w:p>
            <w:pPr>
              <w:jc w:val="right"/>
              <w:spacing w:after="0"/>
              <w:rPr>
                <w:sz w:val="20"/>
                <w:szCs w:val="20"/>
                <w:color w:val="auto"/>
              </w:rPr>
            </w:pPr>
            <w:r>
              <w:rPr>
                <w:rFonts w:ascii="Arial" w:cs="Arial" w:eastAsia="Arial" w:hAnsi="Arial"/>
                <w:sz w:val="18"/>
                <w:szCs w:val="18"/>
                <w:color w:val="auto"/>
                <w:w w:val="92"/>
              </w:rPr>
              <w:t xml:space="preserve">Cost of fuels  </w:t>
            </w:r>
            <w:r>
              <w:rPr>
                <w:rFonts w:ascii="Arial" w:cs="Arial" w:eastAsia="Arial" w:hAnsi="Arial"/>
                <w:sz w:val="18"/>
                <w:szCs w:val="18"/>
                <w:color w:val="B4B4B4"/>
                <w:w w:val="92"/>
              </w:rPr>
              <w:t>. . . . . . . . . . . . . . . . . . . . . . . . . . . . . . . . . . . . . . . . . . . . . . . . . . . . . . . . . . . . . . . .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6"/>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Operations and maintenance </w:t>
            </w:r>
            <w:r>
              <w:rPr>
                <w:rFonts w:ascii="Arial" w:cs="Arial" w:eastAsia="Arial" w:hAnsi="Arial"/>
                <w:sz w:val="18"/>
                <w:szCs w:val="18"/>
                <w:color w:val="B4B4B4"/>
                <w:w w:val="91"/>
              </w:rPr>
              <w:t>. . . . . . . . . . . . . . . . . . . . . . . . . . . . . . . . . . . . . . . . . . . . . . . . . . . . .</w:t>
            </w: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54"/>
        </w:trPr>
        <w:tc>
          <w:tcPr>
            <w:tcW w:w="7080" w:type="dxa"/>
            <w:vAlign w:val="bottom"/>
          </w:tcPr>
          <w:p>
            <w:pPr>
              <w:jc w:val="right"/>
              <w:spacing w:after="0"/>
              <w:rPr>
                <w:sz w:val="20"/>
                <w:szCs w:val="20"/>
                <w:color w:val="auto"/>
              </w:rPr>
            </w:pPr>
            <w:r>
              <w:rPr>
                <w:rFonts w:ascii="Arial" w:cs="Arial" w:eastAsia="Arial" w:hAnsi="Arial"/>
                <w:sz w:val="18"/>
                <w:szCs w:val="18"/>
                <w:color w:val="auto"/>
                <w:w w:val="92"/>
              </w:rPr>
              <w:t xml:space="preserve">Other costs of operations </w:t>
            </w:r>
            <w:r>
              <w:rPr>
                <w:rFonts w:ascii="Arial" w:cs="Arial" w:eastAsia="Arial" w:hAnsi="Arial"/>
                <w:sz w:val="18"/>
                <w:szCs w:val="18"/>
                <w:color w:val="B4B4B4"/>
                <w:w w:val="92"/>
              </w:rPr>
              <w:t>. . . . . . . . . . . . . . . . . . . . . . . . . . . . . . . . . . . . . . . . . . . . . . . . . . . . . . .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6"/>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Depreciation, amortization and accretion </w:t>
            </w:r>
            <w:r>
              <w:rPr>
                <w:rFonts w:ascii="Arial" w:cs="Arial" w:eastAsia="Arial" w:hAnsi="Arial"/>
                <w:sz w:val="18"/>
                <w:szCs w:val="18"/>
                <w:color w:val="B4B4B4"/>
                <w:w w:val="93"/>
              </w:rPr>
              <w:t>. . . . . . . . . . . . . . . . . . . . . . . . . . . . . . . . . . . . . . . . . . .</w:t>
            </w: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8"/>
        </w:trPr>
        <w:tc>
          <w:tcPr>
            <w:tcW w:w="7080" w:type="dxa"/>
            <w:vAlign w:val="bottom"/>
          </w:tcPr>
          <w:p>
            <w:pPr>
              <w:jc w:val="right"/>
              <w:spacing w:after="0"/>
              <w:rPr>
                <w:sz w:val="20"/>
                <w:szCs w:val="20"/>
                <w:color w:val="auto"/>
              </w:rPr>
            </w:pPr>
            <w:r>
              <w:rPr>
                <w:rFonts w:ascii="Arial" w:cs="Arial" w:eastAsia="Arial" w:hAnsi="Arial"/>
                <w:sz w:val="18"/>
                <w:szCs w:val="18"/>
                <w:color w:val="auto"/>
                <w:w w:val="92"/>
              </w:rPr>
              <w:t xml:space="preserve">Impairment losses </w:t>
            </w:r>
            <w:r>
              <w:rPr>
                <w:rFonts w:ascii="Arial" w:cs="Arial" w:eastAsia="Arial" w:hAnsi="Arial"/>
                <w:sz w:val="18"/>
                <w:szCs w:val="18"/>
                <w:color w:val="B4B4B4"/>
                <w:w w:val="92"/>
              </w:rPr>
              <w:t>. . . . . . . . . . . . . . . . . . . . . . . . . . . . . . . . . . . . . . . . . . . . . . . . . . . . . . . . . . . .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2"/>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General and administrative </w:t>
            </w:r>
            <w:r>
              <w:rPr>
                <w:rFonts w:ascii="Arial" w:cs="Arial" w:eastAsia="Arial" w:hAnsi="Arial"/>
                <w:sz w:val="18"/>
                <w:szCs w:val="18"/>
                <w:color w:val="B4B4B4"/>
                <w:w w:val="92"/>
              </w:rPr>
              <w:t>. . . . . . . . . . . . . . . . . . . . . . . . . . . . . . . . . . . . . . . . . . . . . . . . . . . . . .</w:t>
            </w: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1"/>
        </w:trPr>
        <w:tc>
          <w:tcPr>
            <w:tcW w:w="7080" w:type="dxa"/>
            <w:vAlign w:val="bottom"/>
          </w:tcPr>
          <w:p>
            <w:pPr>
              <w:jc w:val="right"/>
              <w:spacing w:after="0"/>
              <w:rPr>
                <w:sz w:val="20"/>
                <w:szCs w:val="20"/>
                <w:color w:val="auto"/>
              </w:rPr>
            </w:pPr>
            <w:r>
              <w:rPr>
                <w:rFonts w:ascii="Arial" w:cs="Arial" w:eastAsia="Arial" w:hAnsi="Arial"/>
                <w:sz w:val="18"/>
                <w:szCs w:val="18"/>
                <w:color w:val="auto"/>
                <w:w w:val="92"/>
              </w:rPr>
              <w:t xml:space="preserve">Transaction and integration costs </w:t>
            </w:r>
            <w:r>
              <w:rPr>
                <w:rFonts w:ascii="Arial" w:cs="Arial" w:eastAsia="Arial" w:hAnsi="Arial"/>
                <w:sz w:val="18"/>
                <w:szCs w:val="18"/>
                <w:color w:val="B4B4B4"/>
                <w:w w:val="92"/>
              </w:rPr>
              <w:t>. . . . . . . . . . . . . . . . . . . . . . . . . . . . . . . . . . . . . . . . . . . . . . . .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7"/>
        </w:trPr>
        <w:tc>
          <w:tcPr>
            <w:tcW w:w="7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Development costs  </w:t>
            </w:r>
            <w:r>
              <w:rPr>
                <w:rFonts w:ascii="Arial" w:cs="Arial" w:eastAsia="Arial" w:hAnsi="Arial"/>
                <w:sz w:val="18"/>
                <w:szCs w:val="18"/>
                <w:color w:val="B4B4B4"/>
                <w:w w:val="92"/>
              </w:rPr>
              <w:t>. . . . . . . . . . . . . . . .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7080" w:type="dxa"/>
            <w:vAlign w:val="bottom"/>
          </w:tcPr>
          <w:p>
            <w:pPr>
              <w:jc w:val="right"/>
              <w:spacing w:after="0"/>
              <w:rPr>
                <w:sz w:val="20"/>
                <w:szCs w:val="20"/>
                <w:color w:val="auto"/>
              </w:rPr>
            </w:pPr>
            <w:r>
              <w:rPr>
                <w:rFonts w:ascii="Arial" w:cs="Arial" w:eastAsia="Arial" w:hAnsi="Arial"/>
                <w:sz w:val="18"/>
                <w:szCs w:val="18"/>
                <w:color w:val="B4B4B4"/>
                <w:w w:val="96"/>
              </w:rPr>
              <w:t>. . . . . . . . . . . . . . . . . . . . . . . . . . . . . . . . . . . . . . . . . . . . . . .</w:t>
            </w:r>
            <w:r>
              <w:rPr>
                <w:rFonts w:ascii="Arial" w:cs="Arial" w:eastAsia="Arial" w:hAnsi="Arial"/>
                <w:sz w:val="18"/>
                <w:szCs w:val="18"/>
                <w:color w:val="000000"/>
                <w:w w:val="96"/>
              </w:rPr>
              <w:t>Totaloperatingcostsandexpenses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3"/>
              </w:rPr>
              <w:t xml:space="preserve">Gain on sale of business </w:t>
            </w:r>
            <w:r>
              <w:rPr>
                <w:rFonts w:ascii="Arial" w:cs="Arial" w:eastAsia="Arial" w:hAnsi="Arial"/>
                <w:sz w:val="18"/>
                <w:szCs w:val="18"/>
                <w:color w:val="B4B4B4"/>
                <w:w w:val="93"/>
              </w:rPr>
              <w:t>. . . . . . . . . . .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E6E6E6"/>
            </w:tcBorders>
          </w:tcPr>
          <w:p>
            <w:pPr>
              <w:jc w:val="right"/>
              <w:spacing w:after="0"/>
              <w:rPr>
                <w:sz w:val="20"/>
                <w:szCs w:val="20"/>
                <w:color w:val="auto"/>
              </w:rPr>
            </w:pPr>
            <w:r>
              <w:rPr>
                <w:rFonts w:ascii="Arial" w:cs="Arial" w:eastAsia="Arial" w:hAnsi="Arial"/>
                <w:sz w:val="18"/>
                <w:szCs w:val="18"/>
                <w:b w:val="1"/>
                <w:bCs w:val="1"/>
                <w:color w:val="B4B4B4"/>
                <w:w w:val="91"/>
              </w:rPr>
              <w:t>. . . . . . . . . . . . . . . . . . . . . . . . . . . . . . . . . . . . . . . . . . . . . . . . . . . . . . . . . . . . . .</w:t>
            </w:r>
            <w:r>
              <w:rPr>
                <w:rFonts w:ascii="Arial" w:cs="Arial" w:eastAsia="Arial" w:hAnsi="Arial"/>
                <w:sz w:val="18"/>
                <w:szCs w:val="18"/>
                <w:b w:val="1"/>
                <w:bCs w:val="1"/>
                <w:color w:val="000000"/>
                <w:w w:val="91"/>
              </w:rPr>
              <w:t>OperatingIncome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45"/>
        </w:trPr>
        <w:tc>
          <w:tcPr>
            <w:tcW w:w="70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080" w:type="dxa"/>
            <w:vAlign w:val="bottom"/>
          </w:tcPr>
          <w:p>
            <w:pPr>
              <w:jc w:val="right"/>
              <w:spacing w:after="0"/>
              <w:rPr>
                <w:sz w:val="20"/>
                <w:szCs w:val="20"/>
                <w:color w:val="auto"/>
              </w:rPr>
            </w:pPr>
            <w:r>
              <w:rPr>
                <w:rFonts w:ascii="Arial" w:cs="Arial" w:eastAsia="Arial" w:hAnsi="Arial"/>
                <w:sz w:val="18"/>
                <w:szCs w:val="18"/>
                <w:color w:val="auto"/>
                <w:w w:val="93"/>
              </w:rPr>
              <w:t xml:space="preserve">Equity in earnings of unconsolidated affiliates </w:t>
            </w:r>
            <w:r>
              <w:rPr>
                <w:rFonts w:ascii="Arial" w:cs="Arial" w:eastAsia="Arial" w:hAnsi="Arial"/>
                <w:sz w:val="18"/>
                <w:szCs w:val="18"/>
                <w:color w:val="B4B4B4"/>
                <w:w w:val="93"/>
              </w:rPr>
              <w:t>. . . . . . . . . . . . . . . . . . . . . . . . . . . . . . . . . . . . . .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2"/>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income, net </w:t>
            </w:r>
            <w:r>
              <w:rPr>
                <w:rFonts w:ascii="Arial" w:cs="Arial" w:eastAsia="Arial" w:hAnsi="Arial"/>
                <w:sz w:val="18"/>
                <w:szCs w:val="18"/>
                <w:color w:val="B4B4B4"/>
                <w:w w:val="92"/>
              </w:rPr>
              <w:t>. . . . . . . . . . . . . . . . . . . . . . . . . . . . . . . . . . . . . . . . . . . . . . . . . . . . . . . . . . . . .</w:t>
            </w: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7080" w:type="dxa"/>
            <w:vAlign w:val="bottom"/>
          </w:tcPr>
          <w:p>
            <w:pPr>
              <w:jc w:val="right"/>
              <w:spacing w:after="0"/>
              <w:rPr>
                <w:sz w:val="20"/>
                <w:szCs w:val="20"/>
                <w:color w:val="auto"/>
              </w:rPr>
            </w:pPr>
            <w:r>
              <w:rPr>
                <w:rFonts w:ascii="Arial" w:cs="Arial" w:eastAsia="Arial" w:hAnsi="Arial"/>
                <w:sz w:val="18"/>
                <w:szCs w:val="18"/>
                <w:color w:val="auto"/>
                <w:w w:val="92"/>
              </w:rPr>
              <w:t xml:space="preserve">Loss on debt extinguishment </w:t>
            </w:r>
            <w:r>
              <w:rPr>
                <w:rFonts w:ascii="Arial" w:cs="Arial" w:eastAsia="Arial" w:hAnsi="Arial"/>
                <w:sz w:val="18"/>
                <w:szCs w:val="18"/>
                <w:color w:val="B4B4B4"/>
                <w:w w:val="92"/>
              </w:rPr>
              <w:t>. . . . . . . . . . . . . . . . . . . . . . . . . . . . . . . . . . . . . . . . . . . . . . . . . . . .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2"/>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Derivative interest income (expense) </w:t>
            </w:r>
            <w:r>
              <w:rPr>
                <w:rFonts w:ascii="Arial" w:cs="Arial" w:eastAsia="Arial" w:hAnsi="Arial"/>
                <w:sz w:val="18"/>
                <w:szCs w:val="18"/>
                <w:color w:val="B4B4B4"/>
                <w:w w:val="93"/>
              </w:rPr>
              <w:t>. . . . . . . . . . . . . . . . . . . . . . . . . . . . . . . . . . . . . . . . . . . . . .</w:t>
            </w: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5"/>
        </w:trPr>
        <w:tc>
          <w:tcPr>
            <w:tcW w:w="70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Other interest expense </w:t>
            </w:r>
            <w:r>
              <w:rPr>
                <w:rFonts w:ascii="Arial" w:cs="Arial" w:eastAsia="Arial" w:hAnsi="Arial"/>
                <w:sz w:val="18"/>
                <w:szCs w:val="18"/>
                <w:color w:val="B4B4B4"/>
                <w:w w:val="92"/>
              </w:rPr>
              <w:t>. . . . . . . . . . . . . . . . . . . . . . . . . . . . . . . . . . . . . . . . . . . . . . . . . . . . . . . . . .</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5"/>
        </w:trPr>
        <w:tc>
          <w:tcPr>
            <w:tcW w:w="7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B4B4B4"/>
                <w:w w:val="97"/>
              </w:rPr>
              <w:t>. . . . . . . . . . . . . . . . . . . . . . . . . . . . . . . . . . . . . . . . . . . . . . . . . . . . . .</w:t>
            </w:r>
            <w:r>
              <w:rPr>
                <w:rFonts w:ascii="Arial" w:cs="Arial" w:eastAsia="Arial" w:hAnsi="Arial"/>
                <w:sz w:val="18"/>
                <w:szCs w:val="18"/>
                <w:color w:val="000000"/>
                <w:w w:val="97"/>
              </w:rPr>
              <w:t>Totalotherexpense,net</w:t>
            </w: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(229)</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0"/>
        </w:trPr>
        <w:tc>
          <w:tcPr>
            <w:tcW w:w="7080" w:type="dxa"/>
            <w:vAlign w:val="bottom"/>
          </w:tcPr>
          <w:p>
            <w:pPr>
              <w:jc w:val="right"/>
              <w:spacing w:after="0"/>
              <w:rPr>
                <w:sz w:val="20"/>
                <w:szCs w:val="20"/>
                <w:color w:val="auto"/>
              </w:rPr>
            </w:pPr>
            <w:r>
              <w:rPr>
                <w:rFonts w:ascii="Arial" w:cs="Arial" w:eastAsia="Arial" w:hAnsi="Arial"/>
                <w:sz w:val="18"/>
                <w:szCs w:val="18"/>
                <w:b w:val="1"/>
                <w:bCs w:val="1"/>
                <w:color w:val="B4B4B4"/>
                <w:w w:val="93"/>
              </w:rPr>
              <w:t>. . . . . . . . . . . . . . . . . . . . . . . . . . . . . . . . . . . . . . . . . . . . . . .</w:t>
            </w:r>
            <w:r>
              <w:rPr>
                <w:rFonts w:ascii="Arial" w:cs="Arial" w:eastAsia="Arial" w:hAnsi="Arial"/>
                <w:sz w:val="18"/>
                <w:szCs w:val="18"/>
                <w:b w:val="1"/>
                <w:bCs w:val="1"/>
                <w:color w:val="000000"/>
                <w:w w:val="93"/>
              </w:rPr>
              <w:t>(Loss)IncomeBeforeIncomeTaxes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Income tax expense (benefit)  </w:t>
            </w:r>
            <w:r>
              <w:rPr>
                <w:rFonts w:ascii="Arial" w:cs="Arial" w:eastAsia="Arial" w:hAnsi="Arial"/>
                <w:sz w:val="18"/>
                <w:szCs w:val="18"/>
                <w:color w:val="B4B4B4"/>
                <w:w w:val="92"/>
              </w:rPr>
              <w:t>. . . . . . . .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E6E6E6"/>
            </w:tcBorders>
          </w:tcPr>
          <w:p>
            <w:pPr>
              <w:jc w:val="right"/>
              <w:spacing w:after="0"/>
              <w:rPr>
                <w:sz w:val="20"/>
                <w:szCs w:val="20"/>
                <w:color w:val="auto"/>
              </w:rPr>
            </w:pPr>
            <w:r>
              <w:rPr>
                <w:rFonts w:ascii="Arial" w:cs="Arial" w:eastAsia="Arial" w:hAnsi="Arial"/>
                <w:sz w:val="18"/>
                <w:szCs w:val="18"/>
                <w:b w:val="1"/>
                <w:bCs w:val="1"/>
                <w:color w:val="B4B4B4"/>
                <w:w w:val="93"/>
              </w:rPr>
              <w:t>. . . . . . . . . . . . . . . . . . . . . . . . . . . . . . . . . . . . . . . . . . . . . . . . . . . . . . . . . . . . .</w:t>
            </w:r>
            <w:r>
              <w:rPr>
                <w:rFonts w:ascii="Arial" w:cs="Arial" w:eastAsia="Arial" w:hAnsi="Arial"/>
                <w:sz w:val="18"/>
                <w:szCs w:val="18"/>
                <w:b w:val="1"/>
                <w:bCs w:val="1"/>
                <w:color w:val="000000"/>
                <w:w w:val="93"/>
              </w:rPr>
              <w:t>Net(Loss)Income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6"/>
        </w:trPr>
        <w:tc>
          <w:tcPr>
            <w:tcW w:w="7080" w:type="dxa"/>
            <w:vAlign w:val="bottom"/>
            <w:shd w:val="clear" w:color="auto" w:fill="E6E6E6"/>
          </w:tcPr>
          <w:p>
            <w:pPr>
              <w:jc w:val="right"/>
              <w:ind w:right="30"/>
              <w:spacing w:after="0"/>
              <w:rPr>
                <w:sz w:val="20"/>
                <w:szCs w:val="20"/>
                <w:color w:val="auto"/>
              </w:rPr>
            </w:pPr>
            <w:r>
              <w:rPr>
                <w:rFonts w:ascii="Arial" w:cs="Arial" w:eastAsia="Arial" w:hAnsi="Arial"/>
                <w:sz w:val="18"/>
                <w:szCs w:val="18"/>
                <w:color w:val="auto"/>
                <w:w w:val="93"/>
              </w:rPr>
              <w:t>Less: Net (loss) income attributable to noncontrolling interests and redeemable noncontrolling</w:t>
            </w:r>
          </w:p>
        </w:tc>
        <w:tc>
          <w:tcPr>
            <w:tcW w:w="24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4"/>
              </w:rPr>
              <w:t xml:space="preserve">interests </w:t>
            </w:r>
            <w:r>
              <w:rPr>
                <w:rFonts w:ascii="Arial" w:cs="Arial" w:eastAsia="Arial" w:hAnsi="Arial"/>
                <w:sz w:val="18"/>
                <w:szCs w:val="18"/>
                <w:color w:val="B4B4B4"/>
                <w:w w:val="94"/>
              </w:rPr>
              <w:t>. . . . . . . . . . . . . . . . . . . . . . . . . . . . . . . . . . . . . . . . . . . . . . . . . . . . . . . . . . . . . . . . . . .</w:t>
            </w: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80" w:type="dxa"/>
            <w:vAlign w:val="bottom"/>
          </w:tcPr>
          <w:p>
            <w:pPr>
              <w:jc w:val="right"/>
              <w:spacing w:after="0" w:line="197" w:lineRule="exact"/>
              <w:rPr>
                <w:sz w:val="20"/>
                <w:szCs w:val="20"/>
                <w:color w:val="auto"/>
              </w:rPr>
            </w:pPr>
            <w:r>
              <w:rPr>
                <w:rFonts w:ascii="Arial" w:cs="Arial" w:eastAsia="Arial" w:hAnsi="Arial"/>
                <w:sz w:val="18"/>
                <w:szCs w:val="18"/>
                <w:b w:val="1"/>
                <w:bCs w:val="1"/>
                <w:color w:val="auto"/>
                <w:w w:val="92"/>
              </w:rPr>
              <w:t xml:space="preserve">Net Income Attributable to Clearway Energy, Inc. </w:t>
            </w:r>
            <w:r>
              <w:rPr>
                <w:rFonts w:ascii="Arial" w:cs="Arial" w:eastAsia="Arial" w:hAnsi="Arial"/>
                <w:sz w:val="18"/>
                <w:szCs w:val="18"/>
                <w:b w:val="1"/>
                <w:bCs w:val="1"/>
                <w:color w:val="B4B4B4"/>
                <w:w w:val="92"/>
              </w:rPr>
              <w:t>. . . . . . . . . . . . . . . . . . . . . . . . . . . . . . . . . .</w:t>
            </w:r>
          </w:p>
        </w:tc>
        <w:tc>
          <w:tcPr>
            <w:tcW w:w="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88</w:t>
            </w: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79</w:t>
            </w: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-43815</wp:posOffset>
            </wp:positionV>
            <wp:extent cx="203517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5175" cy="5080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Pr>
          <w:p>
            <w:pPr>
              <w:spacing w:after="0"/>
              <w:rPr>
                <w:sz w:val="21"/>
                <w:szCs w:val="21"/>
                <w:color w:val="auto"/>
              </w:rPr>
            </w:pPr>
          </w:p>
        </w:tc>
        <w:tc>
          <w:tcPr>
            <w:tcW w:w="2980" w:type="dxa"/>
            <w:vAlign w:val="bottom"/>
            <w:tcBorders>
              <w:bottom w:val="single" w:sz="8" w:color="auto"/>
            </w:tcBorders>
            <w:gridSpan w:val="7"/>
          </w:tcPr>
          <w:p>
            <w:pPr>
              <w:jc w:val="right"/>
              <w:ind w:right="31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Business metrics:</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80" w:type="dxa"/>
            <w:vAlign w:val="bottom"/>
            <w:tcBorders>
              <w:top w:val="single" w:sz="8" w:color="E6E6E6"/>
            </w:tcBorders>
            <w:shd w:val="clear" w:color="auto" w:fill="E6E6E6"/>
          </w:tcPr>
          <w:p>
            <w:pPr>
              <w:jc w:val="right"/>
              <w:spacing w:after="0" w:line="245" w:lineRule="exact"/>
              <w:rPr>
                <w:sz w:val="20"/>
                <w:szCs w:val="20"/>
                <w:color w:val="auto"/>
              </w:rPr>
            </w:pPr>
            <w:r>
              <w:rPr>
                <w:rFonts w:ascii="Arial" w:cs="Arial" w:eastAsia="Arial" w:hAnsi="Arial"/>
                <w:sz w:val="18"/>
                <w:szCs w:val="18"/>
                <w:color w:val="B4B4B4"/>
                <w:w w:val="96"/>
              </w:rPr>
              <w:t>. . . . . . . . . . . . . . . . . . . . . . . . . . . . . . . . . . . . . . . .</w:t>
            </w:r>
            <w:r>
              <w:rPr>
                <w:rFonts w:ascii="Arial" w:cs="Arial" w:eastAsia="Arial" w:hAnsi="Arial"/>
                <w:sz w:val="18"/>
                <w:szCs w:val="18"/>
                <w:color w:val="000000"/>
                <w:w w:val="96"/>
              </w:rPr>
              <w:t>SolarMWhgenerated/sold(inthousands)</w:t>
            </w:r>
            <w:r>
              <w:rPr>
                <w:rFonts w:ascii="Arial" w:cs="Arial" w:eastAsia="Arial" w:hAnsi="Arial"/>
                <w:sz w:val="23"/>
                <w:szCs w:val="23"/>
                <w:color w:val="000000"/>
                <w:w w:val="96"/>
                <w:vertAlign w:val="superscript"/>
              </w:rPr>
              <w:t>(a)</w:t>
            </w:r>
          </w:p>
        </w:tc>
        <w:tc>
          <w:tcPr>
            <w:tcW w:w="8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8,658</w:t>
            </w:r>
          </w:p>
        </w:tc>
        <w:tc>
          <w:tcPr>
            <w:tcW w:w="2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8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5,425</w:t>
            </w:r>
          </w:p>
        </w:tc>
        <w:tc>
          <w:tcPr>
            <w:tcW w:w="2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8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80" w:type="dxa"/>
            <w:vAlign w:val="bottom"/>
          </w:tcPr>
          <w:p>
            <w:pPr>
              <w:jc w:val="right"/>
              <w:spacing w:after="0" w:line="245" w:lineRule="exact"/>
              <w:rPr>
                <w:sz w:val="20"/>
                <w:szCs w:val="20"/>
                <w:color w:val="auto"/>
              </w:rPr>
            </w:pPr>
            <w:r>
              <w:rPr>
                <w:rFonts w:ascii="Arial" w:cs="Arial" w:eastAsia="Arial" w:hAnsi="Arial"/>
                <w:sz w:val="18"/>
                <w:szCs w:val="18"/>
                <w:color w:val="auto"/>
                <w:w w:val="92"/>
              </w:rPr>
              <w:t xml:space="preserve">Wind MWh generated/sold (in thousands) </w:t>
            </w:r>
            <w:r>
              <w:rPr>
                <w:rFonts w:ascii="Arial" w:cs="Arial" w:eastAsia="Arial" w:hAnsi="Arial"/>
                <w:sz w:val="23"/>
                <w:szCs w:val="23"/>
                <w:color w:val="auto"/>
                <w:w w:val="92"/>
                <w:vertAlign w:val="superscript"/>
              </w:rPr>
              <w:t>(a)</w:t>
            </w:r>
            <w:r>
              <w:rPr>
                <w:rFonts w:ascii="Arial" w:cs="Arial" w:eastAsia="Arial" w:hAnsi="Arial"/>
                <w:sz w:val="18"/>
                <w:szCs w:val="18"/>
                <w:color w:val="auto"/>
                <w:w w:val="92"/>
              </w:rPr>
              <w:t xml:space="preserve">  </w:t>
            </w:r>
            <w:r>
              <w:rPr>
                <w:rFonts w:ascii="Arial" w:cs="Arial" w:eastAsia="Arial" w:hAnsi="Arial"/>
                <w:sz w:val="18"/>
                <w:szCs w:val="18"/>
                <w:color w:val="B4B4B4"/>
                <w:w w:val="92"/>
              </w:rPr>
              <w:t>. . . . . . . . . . . . . . . . . . . . . . . . . . . . . . . . . . . . . . . .</w:t>
            </w:r>
          </w:p>
        </w:tc>
        <w:tc>
          <w:tcPr>
            <w:tcW w:w="820" w:type="dxa"/>
            <w:vAlign w:val="bottom"/>
          </w:tcPr>
          <w:p>
            <w:pPr>
              <w:jc w:val="right"/>
              <w:spacing w:after="0"/>
              <w:rPr>
                <w:sz w:val="20"/>
                <w:szCs w:val="20"/>
                <w:color w:val="auto"/>
              </w:rPr>
            </w:pPr>
            <w:r>
              <w:rPr>
                <w:rFonts w:ascii="Arial" w:cs="Arial" w:eastAsia="Arial" w:hAnsi="Arial"/>
                <w:sz w:val="18"/>
                <w:szCs w:val="18"/>
                <w:color w:val="auto"/>
              </w:rPr>
              <w:t>9,951</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9,414</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9,343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80" w:type="dxa"/>
            <w:vAlign w:val="bottom"/>
            <w:tcBorders>
              <w:top w:val="single" w:sz="8" w:color="E6E6E6"/>
              <w:bottom w:val="single" w:sz="8" w:color="E6E6E6"/>
            </w:tcBorders>
            <w:shd w:val="clear" w:color="auto" w:fill="E6E6E6"/>
          </w:tcPr>
          <w:p>
            <w:pPr>
              <w:jc w:val="right"/>
              <w:spacing w:after="0" w:line="215" w:lineRule="exact"/>
              <w:rPr>
                <w:sz w:val="20"/>
                <w:szCs w:val="20"/>
                <w:color w:val="auto"/>
              </w:rPr>
            </w:pPr>
            <w:r>
              <w:rPr>
                <w:rFonts w:ascii="Arial" w:cs="Arial" w:eastAsia="Arial" w:hAnsi="Arial"/>
                <w:sz w:val="18"/>
                <w:szCs w:val="18"/>
                <w:color w:val="B4B4B4"/>
                <w:w w:val="94"/>
              </w:rPr>
              <w:t>. . . . . . . . . . . . . . . . . . . . . . . . . . . . . . . . . . . .</w:t>
            </w:r>
            <w:r>
              <w:rPr>
                <w:rFonts w:ascii="Arial" w:cs="Arial" w:eastAsia="Arial" w:hAnsi="Arial"/>
                <w:sz w:val="18"/>
                <w:szCs w:val="18"/>
                <w:color w:val="000000"/>
                <w:w w:val="94"/>
              </w:rPr>
              <w:t>RenewablesMWhgenerated/sold(inthousands)</w:t>
            </w:r>
            <w:r>
              <w:rPr>
                <w:rFonts w:ascii="Arial" w:cs="Arial" w:eastAsia="Arial" w:hAnsi="Arial"/>
                <w:sz w:val="23"/>
                <w:szCs w:val="23"/>
                <w:color w:val="000000"/>
                <w:w w:val="94"/>
                <w:vertAlign w:val="superscript"/>
              </w:rPr>
              <w:t>(a)</w:t>
            </w: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18,609</w:t>
            </w:r>
          </w:p>
        </w:tc>
        <w:tc>
          <w:tcPr>
            <w:tcW w:w="200" w:type="dxa"/>
            <w:vAlign w:val="bottom"/>
            <w:tcBorders>
              <w:top w:val="single" w:sz="8" w:color="auto"/>
              <w:bottom w:val="single" w:sz="8" w:color="auto"/>
            </w:tcBorders>
            <w:shd w:val="clear" w:color="auto" w:fill="E6E6E6"/>
          </w:tcPr>
          <w:p>
            <w:pPr>
              <w:spacing w:after="0"/>
              <w:rPr>
                <w:sz w:val="20"/>
                <w:szCs w:val="20"/>
                <w:color w:val="auto"/>
              </w:rPr>
            </w:pPr>
          </w:p>
        </w:tc>
        <w:tc>
          <w:tcPr>
            <w:tcW w:w="60" w:type="dxa"/>
            <w:vAlign w:val="bottom"/>
            <w:tcBorders>
              <w:top w:val="single" w:sz="8" w:color="E6E6E6"/>
              <w:bottom w:val="single" w:sz="8" w:color="E6E6E6"/>
            </w:tcBorders>
            <w:shd w:val="clear" w:color="auto" w:fill="E6E6E6"/>
          </w:tcPr>
          <w:p>
            <w:pPr>
              <w:spacing w:after="0"/>
              <w:rPr>
                <w:sz w:val="20"/>
                <w:szCs w:val="20"/>
                <w:color w:val="auto"/>
              </w:rPr>
            </w:pP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14,839</w:t>
            </w:r>
          </w:p>
        </w:tc>
        <w:tc>
          <w:tcPr>
            <w:tcW w:w="200" w:type="dxa"/>
            <w:vAlign w:val="bottom"/>
            <w:tcBorders>
              <w:top w:val="single" w:sz="8" w:color="auto"/>
              <w:bottom w:val="single" w:sz="8" w:color="auto"/>
            </w:tcBorders>
            <w:shd w:val="clear" w:color="auto" w:fill="E6E6E6"/>
          </w:tcPr>
          <w:p>
            <w:pPr>
              <w:spacing w:after="0"/>
              <w:rPr>
                <w:sz w:val="20"/>
                <w:szCs w:val="20"/>
                <w:color w:val="auto"/>
              </w:rPr>
            </w:pPr>
          </w:p>
        </w:tc>
        <w:tc>
          <w:tcPr>
            <w:tcW w:w="60" w:type="dxa"/>
            <w:vAlign w:val="bottom"/>
            <w:tcBorders>
              <w:top w:val="single" w:sz="8" w:color="E6E6E6"/>
              <w:bottom w:val="single" w:sz="8" w:color="E6E6E6"/>
            </w:tcBorders>
            <w:shd w:val="clear" w:color="auto" w:fill="E6E6E6"/>
          </w:tcPr>
          <w:p>
            <w:pPr>
              <w:spacing w:after="0"/>
              <w:rPr>
                <w:sz w:val="20"/>
                <w:szCs w:val="20"/>
                <w:color w:val="auto"/>
              </w:rPr>
            </w:pP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14,334</w:t>
            </w:r>
          </w:p>
        </w:tc>
        <w:tc>
          <w:tcPr>
            <w:tcW w:w="200" w:type="dxa"/>
            <w:vAlign w:val="bottom"/>
            <w:tcBorders>
              <w:top w:val="single" w:sz="8" w:color="auto"/>
              <w:bottom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E6E6E6"/>
              <w:bottom w:val="single" w:sz="8" w:color="E6E6E6"/>
            </w:tcBorders>
            <w:vMerge w:val="restart"/>
          </w:tcPr>
          <w:p>
            <w:pPr>
              <w:ind w:left="40"/>
              <w:spacing w:after="0" w:line="245" w:lineRule="exact"/>
              <w:rPr>
                <w:sz w:val="20"/>
                <w:szCs w:val="20"/>
                <w:color w:val="auto"/>
              </w:rPr>
            </w:pPr>
            <w:r>
              <w:rPr>
                <w:rFonts w:ascii="Arial" w:cs="Arial" w:eastAsia="Arial" w:hAnsi="Arial"/>
                <w:sz w:val="18"/>
                <w:szCs w:val="18"/>
                <w:color w:val="auto"/>
              </w:rPr>
              <w:t xml:space="preserve">Solar weighted-average capacity factor </w:t>
            </w:r>
            <w:r>
              <w:rPr>
                <w:rFonts w:ascii="Arial" w:cs="Arial" w:eastAsia="Arial" w:hAnsi="Arial"/>
                <w:sz w:val="23"/>
                <w:szCs w:val="23"/>
                <w:color w:val="auto"/>
                <w:vertAlign w:val="superscript"/>
              </w:rPr>
              <w:t>(b)</w:t>
            </w:r>
          </w:p>
        </w:tc>
        <w:tc>
          <w:tcPr>
            <w:tcW w:w="1020" w:type="dxa"/>
            <w:vAlign w:val="bottom"/>
            <w:tcBorders>
              <w:top w:val="single" w:sz="8" w:color="E6E6E6"/>
              <w:bottom w:val="single" w:sz="8" w:color="auto"/>
            </w:tcBorders>
            <w:gridSpan w:val="2"/>
          </w:tcPr>
          <w:p>
            <w:pPr>
              <w:spacing w:after="0" w:line="20" w:lineRule="exact"/>
              <w:rPr>
                <w:sz w:val="1"/>
                <w:szCs w:val="1"/>
                <w:color w:val="auto"/>
              </w:rPr>
            </w:pPr>
          </w:p>
        </w:tc>
        <w:tc>
          <w:tcPr>
            <w:tcW w:w="60" w:type="dxa"/>
            <w:vAlign w:val="bottom"/>
            <w:tcBorders>
              <w:top w:val="single" w:sz="8" w:color="E6E6E6"/>
              <w:bottom w:val="single" w:sz="8" w:color="E6E6E6"/>
            </w:tcBorders>
            <w:vMerge w:val="restart"/>
          </w:tcPr>
          <w:p>
            <w:pPr>
              <w:spacing w:after="0" w:line="20" w:lineRule="exact"/>
              <w:rPr>
                <w:sz w:val="1"/>
                <w:szCs w:val="1"/>
                <w:color w:val="auto"/>
              </w:rPr>
            </w:pPr>
          </w:p>
        </w:tc>
        <w:tc>
          <w:tcPr>
            <w:tcW w:w="1020" w:type="dxa"/>
            <w:vAlign w:val="bottom"/>
            <w:tcBorders>
              <w:top w:val="single" w:sz="8" w:color="E6E6E6"/>
              <w:bottom w:val="single" w:sz="8" w:color="auto"/>
            </w:tcBorders>
            <w:gridSpan w:val="2"/>
          </w:tcPr>
          <w:p>
            <w:pPr>
              <w:spacing w:after="0" w:line="20" w:lineRule="exact"/>
              <w:rPr>
                <w:sz w:val="1"/>
                <w:szCs w:val="1"/>
                <w:color w:val="auto"/>
              </w:rPr>
            </w:pPr>
          </w:p>
        </w:tc>
        <w:tc>
          <w:tcPr>
            <w:tcW w:w="60" w:type="dxa"/>
            <w:vAlign w:val="bottom"/>
            <w:tcBorders>
              <w:top w:val="single" w:sz="8" w:color="E6E6E6"/>
              <w:bottom w:val="single" w:sz="8" w:color="E6E6E6"/>
            </w:tcBorders>
            <w:vMerge w:val="restart"/>
          </w:tcPr>
          <w:p>
            <w:pPr>
              <w:spacing w:after="0" w:line="20" w:lineRule="exact"/>
              <w:rPr>
                <w:sz w:val="1"/>
                <w:szCs w:val="1"/>
                <w:color w:val="auto"/>
              </w:rPr>
            </w:pPr>
          </w:p>
        </w:tc>
        <w:tc>
          <w:tcPr>
            <w:tcW w:w="1020" w:type="dxa"/>
            <w:vAlign w:val="bottom"/>
            <w:tcBorders>
              <w:top w:val="single" w:sz="8" w:color="E6E6E6"/>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080" w:type="dxa"/>
            <w:vAlign w:val="bottom"/>
            <w:vMerge w:val="continue"/>
          </w:tcPr>
          <w:p>
            <w:pPr>
              <w:jc w:val="right"/>
              <w:spacing w:after="0" w:line="142" w:lineRule="exact"/>
              <w:rPr>
                <w:sz w:val="20"/>
                <w:szCs w:val="20"/>
                <w:color w:val="auto"/>
              </w:rPr>
            </w:pPr>
            <w:r>
              <w:rPr>
                <w:rFonts w:ascii="Arial" w:cs="Arial" w:eastAsia="Arial" w:hAnsi="Arial"/>
                <w:sz w:val="16"/>
                <w:szCs w:val="16"/>
                <w:color w:val="B4B4B4"/>
              </w:rPr>
              <w:t>. . . . . . . . . . . . . . . . . . . . . . . . . . . . . . . . . . . . . . . . . . . .</w:t>
            </w: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29.8 %</w:t>
            </w:r>
          </w:p>
        </w:tc>
        <w:tc>
          <w:tcPr>
            <w:tcW w:w="60" w:type="dxa"/>
            <w:vAlign w:val="bottom"/>
            <w:vMerge w:val="continue"/>
          </w:tcPr>
          <w:p>
            <w:pPr>
              <w:spacing w:after="0"/>
              <w:rPr>
                <w:sz w:val="17"/>
                <w:szCs w:val="17"/>
                <w:color w:val="auto"/>
              </w:rPr>
            </w:pP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27.5 %</w:t>
            </w:r>
          </w:p>
        </w:tc>
        <w:tc>
          <w:tcPr>
            <w:tcW w:w="60" w:type="dxa"/>
            <w:vAlign w:val="bottom"/>
            <w:vMerge w:val="continue"/>
          </w:tcPr>
          <w:p>
            <w:pPr>
              <w:spacing w:after="0"/>
              <w:rPr>
                <w:sz w:val="17"/>
                <w:szCs w:val="17"/>
                <w:color w:val="auto"/>
              </w:rPr>
            </w:pP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55"/>
        </w:trPr>
        <w:tc>
          <w:tcPr>
            <w:tcW w:w="7080" w:type="dxa"/>
            <w:vAlign w:val="bottom"/>
            <w:shd w:val="clear" w:color="auto" w:fill="E6E6E6"/>
          </w:tcPr>
          <w:p>
            <w:pPr>
              <w:jc w:val="right"/>
              <w:spacing w:after="0" w:line="255" w:lineRule="exact"/>
              <w:rPr>
                <w:sz w:val="20"/>
                <w:szCs w:val="20"/>
                <w:color w:val="auto"/>
              </w:rPr>
            </w:pPr>
            <w:r>
              <w:rPr>
                <w:rFonts w:ascii="Arial" w:cs="Arial" w:eastAsia="Arial" w:hAnsi="Arial"/>
                <w:sz w:val="18"/>
                <w:szCs w:val="18"/>
                <w:color w:val="auto"/>
                <w:w w:val="90"/>
              </w:rPr>
              <w:t xml:space="preserve">Wind weighted-average capacity factor </w:t>
            </w:r>
            <w:r>
              <w:rPr>
                <w:rFonts w:ascii="Arial" w:cs="Arial" w:eastAsia="Arial" w:hAnsi="Arial"/>
                <w:sz w:val="23"/>
                <w:szCs w:val="23"/>
                <w:color w:val="auto"/>
                <w:w w:val="90"/>
                <w:vertAlign w:val="superscript"/>
              </w:rPr>
              <w:t>(c)</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 . . . . . . . . . . . .</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30.1 %</w:t>
            </w:r>
          </w:p>
        </w:tc>
        <w:tc>
          <w:tcPr>
            <w:tcW w:w="10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28.3 %</w:t>
            </w:r>
          </w:p>
        </w:tc>
        <w:tc>
          <w:tcPr>
            <w:tcW w:w="10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55"/>
        </w:trPr>
        <w:tc>
          <w:tcPr>
            <w:tcW w:w="7080" w:type="dxa"/>
            <w:vAlign w:val="bottom"/>
          </w:tcPr>
          <w:p>
            <w:pPr>
              <w:jc w:val="right"/>
              <w:spacing w:after="0" w:line="255" w:lineRule="exact"/>
              <w:rPr>
                <w:sz w:val="20"/>
                <w:szCs w:val="20"/>
                <w:color w:val="auto"/>
              </w:rPr>
            </w:pPr>
            <w:r>
              <w:rPr>
                <w:rFonts w:ascii="Arial" w:cs="Arial" w:eastAsia="Arial" w:hAnsi="Arial"/>
                <w:sz w:val="18"/>
                <w:szCs w:val="18"/>
                <w:color w:val="auto"/>
                <w:w w:val="90"/>
              </w:rPr>
              <w:t xml:space="preserve">Thermal MWt sold (in thousands) </w:t>
            </w:r>
            <w:r>
              <w:rPr>
                <w:rFonts w:ascii="Arial" w:cs="Arial" w:eastAsia="Arial" w:hAnsi="Arial"/>
                <w:sz w:val="23"/>
                <w:szCs w:val="23"/>
                <w:color w:val="auto"/>
                <w:w w:val="90"/>
                <w:vertAlign w:val="superscript"/>
              </w:rPr>
              <w:t>(d)</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 . . . . . . . . . . . . . . .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80" w:type="dxa"/>
            <w:vAlign w:val="bottom"/>
            <w:shd w:val="clear" w:color="auto" w:fill="E6E6E6"/>
          </w:tcPr>
          <w:p>
            <w:pPr>
              <w:jc w:val="right"/>
              <w:spacing w:after="0" w:line="255" w:lineRule="exact"/>
              <w:rPr>
                <w:sz w:val="20"/>
                <w:szCs w:val="20"/>
                <w:color w:val="auto"/>
              </w:rPr>
            </w:pPr>
            <w:r>
              <w:rPr>
                <w:rFonts w:ascii="Arial" w:cs="Arial" w:eastAsia="Arial" w:hAnsi="Arial"/>
                <w:sz w:val="18"/>
                <w:szCs w:val="18"/>
                <w:color w:val="auto"/>
                <w:w w:val="90"/>
              </w:rPr>
              <w:t xml:space="preserve">Thermal MWh sold (in thousands) </w:t>
            </w:r>
            <w:r>
              <w:rPr>
                <w:rFonts w:ascii="Arial" w:cs="Arial" w:eastAsia="Arial" w:hAnsi="Arial"/>
                <w:sz w:val="23"/>
                <w:szCs w:val="23"/>
                <w:color w:val="auto"/>
                <w:w w:val="90"/>
                <w:vertAlign w:val="superscript"/>
              </w:rPr>
              <w:t>(d)</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 . . . . . . . . . . . . . . . .</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80" w:type="dxa"/>
            <w:vAlign w:val="bottom"/>
          </w:tcPr>
          <w:p>
            <w:pPr>
              <w:jc w:val="right"/>
              <w:spacing w:after="0" w:line="255" w:lineRule="exact"/>
              <w:rPr>
                <w:sz w:val="20"/>
                <w:szCs w:val="20"/>
                <w:color w:val="auto"/>
              </w:rPr>
            </w:pPr>
            <w:r>
              <w:rPr>
                <w:rFonts w:ascii="Arial" w:cs="Arial" w:eastAsia="Arial" w:hAnsi="Arial"/>
                <w:sz w:val="18"/>
                <w:szCs w:val="18"/>
                <w:color w:val="auto"/>
                <w:w w:val="89"/>
              </w:rPr>
              <w:t xml:space="preserve">Flexible Generation MWh generated (in thousands) </w:t>
            </w:r>
            <w:r>
              <w:rPr>
                <w:rFonts w:ascii="Arial" w:cs="Arial" w:eastAsia="Arial" w:hAnsi="Arial"/>
                <w:sz w:val="23"/>
                <w:szCs w:val="23"/>
                <w:color w:val="auto"/>
                <w:w w:val="89"/>
                <w:vertAlign w:val="superscript"/>
              </w:rPr>
              <w:t>(a) (e)</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w:t>
            </w:r>
          </w:p>
        </w:tc>
        <w:tc>
          <w:tcPr>
            <w:tcW w:w="82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Flexible Generation equivalent availability factor </w:t>
            </w:r>
            <w:r>
              <w:rPr>
                <w:rFonts w:ascii="Arial" w:cs="Arial" w:eastAsia="Arial" w:hAnsi="Arial"/>
                <w:sz w:val="18"/>
                <w:szCs w:val="18"/>
                <w:color w:val="B4B4B4"/>
                <w:w w:val="92"/>
              </w:rPr>
              <w:t>. . . . . . . . . . . . . . . . . . . . . . . . . . . . . . . . . . . . . .</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-996315</wp:posOffset>
            </wp:positionV>
            <wp:extent cx="203517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51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wp:posOffset>
            </wp:positionV>
            <wp:extent cx="126682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72" w:lineRule="exact"/>
        <w:rPr>
          <w:sz w:val="20"/>
          <w:szCs w:val="20"/>
          <w:color w:val="auto"/>
        </w:rPr>
      </w:pPr>
    </w:p>
    <w:p>
      <w:pPr>
        <w:ind w:left="280" w:hanging="200"/>
        <w:spacing w:after="0"/>
        <w:tabs>
          <w:tab w:leader="none" w:pos="2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Volumes do not include the MWh generated/sold by the Company’s equity method investments.</w:t>
      </w:r>
    </w:p>
    <w:p>
      <w:pPr>
        <w:spacing w:after="0" w:line="2" w:lineRule="exact"/>
        <w:rPr>
          <w:rFonts w:ascii="Arial" w:cs="Arial" w:eastAsia="Arial" w:hAnsi="Arial"/>
          <w:sz w:val="21"/>
          <w:szCs w:val="21"/>
          <w:color w:val="auto"/>
          <w:vertAlign w:val="superscript"/>
        </w:rPr>
      </w:pPr>
    </w:p>
    <w:p>
      <w:pPr>
        <w:ind w:left="280" w:hanging="200"/>
        <w:spacing w:after="0" w:line="218" w:lineRule="auto"/>
        <w:tabs>
          <w:tab w:leader="none" w:pos="28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Typical average capacity factors for solar facilities is 25%. The weighted-average capacity factors can vary based on seasonality and weather.</w:t>
      </w:r>
    </w:p>
    <w:p>
      <w:pPr>
        <w:spacing w:after="0" w:line="3" w:lineRule="exact"/>
        <w:rPr>
          <w:rFonts w:ascii="Arial" w:cs="Arial" w:eastAsia="Arial" w:hAnsi="Arial"/>
          <w:sz w:val="20"/>
          <w:szCs w:val="20"/>
          <w:color w:val="auto"/>
          <w:vertAlign w:val="superscript"/>
        </w:rPr>
      </w:pPr>
    </w:p>
    <w:p>
      <w:pPr>
        <w:ind w:left="280" w:hanging="200"/>
        <w:spacing w:after="0" w:line="218" w:lineRule="auto"/>
        <w:tabs>
          <w:tab w:leader="none" w:pos="28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Typical average capacity factors for wind facilities is 25-45%. The weighted-average capacity factors can vary based on seasonality and weather.</w:t>
      </w:r>
    </w:p>
    <w:p>
      <w:pPr>
        <w:spacing w:after="0" w:line="3" w:lineRule="exact"/>
        <w:rPr>
          <w:rFonts w:ascii="Arial" w:cs="Arial" w:eastAsia="Arial" w:hAnsi="Arial"/>
          <w:sz w:val="20"/>
          <w:szCs w:val="20"/>
          <w:color w:val="auto"/>
          <w:vertAlign w:val="superscript"/>
        </w:rPr>
      </w:pPr>
    </w:p>
    <w:p>
      <w:pPr>
        <w:ind w:left="260" w:hanging="180"/>
        <w:spacing w:after="0" w:line="207" w:lineRule="auto"/>
        <w:tabs>
          <w:tab w:leader="none" w:pos="26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On May 1, 2022, the Company completed the sale of 100% of its interests in the Thermal Business to KKR.</w:t>
      </w:r>
    </w:p>
    <w:p>
      <w:pPr>
        <w:spacing w:after="0" w:line="3" w:lineRule="exact"/>
        <w:rPr>
          <w:rFonts w:ascii="Arial" w:cs="Arial" w:eastAsia="Arial" w:hAnsi="Arial"/>
          <w:sz w:val="21"/>
          <w:szCs w:val="21"/>
          <w:color w:val="auto"/>
          <w:vertAlign w:val="superscript"/>
        </w:rPr>
      </w:pPr>
    </w:p>
    <w:p>
      <w:pPr>
        <w:ind w:left="280" w:hanging="200"/>
        <w:spacing w:after="0" w:line="207" w:lineRule="auto"/>
        <w:tabs>
          <w:tab w:leader="none" w:pos="2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Volumes generated in 2022 were not sold as the Flexible Generation facilities sold only capacity rather than energy prior to 2023.</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260"/>
          </w:cols>
          <w:pgMar w:left="820" w:top="360" w:right="800" w:bottom="0" w:gutter="0" w:footer="0" w:header="0"/>
          <w:type w:val="continuous"/>
        </w:sectPr>
      </w:pPr>
    </w:p>
    <w:bookmarkStart w:id="52" w:name="page53"/>
    <w:bookmarkEnd w:id="52"/>
    <w:p>
      <w:pPr>
        <w:ind w:right="1600"/>
        <w:spacing w:after="0" w:line="441" w:lineRule="auto"/>
        <w:rPr>
          <w:sz w:val="20"/>
          <w:szCs w:val="20"/>
          <w:color w:val="auto"/>
        </w:rPr>
      </w:pPr>
      <w:r>
        <w:rPr>
          <w:rFonts w:ascii="Arial" w:cs="Arial" w:eastAsia="Arial" w:hAnsi="Arial"/>
          <w:sz w:val="20"/>
          <w:szCs w:val="20"/>
          <w:b w:val="1"/>
          <w:bCs w:val="1"/>
          <w:color w:val="auto"/>
        </w:rPr>
        <w:t xml:space="preserve">Management’s discussion of the results of operations for the years ended December 31, 2024 and 2023 </w:t>
      </w:r>
      <w:r>
        <w:rPr>
          <w:rFonts w:ascii="Arial" w:cs="Arial" w:eastAsia="Arial" w:hAnsi="Arial"/>
          <w:sz w:val="20"/>
          <w:szCs w:val="20"/>
          <w:b w:val="1"/>
          <w:bCs w:val="1"/>
          <w:i w:val="1"/>
          <w:iCs w:val="1"/>
          <w:color w:val="auto"/>
        </w:rPr>
        <w:t>Operating Revenues</w:t>
      </w:r>
    </w:p>
    <w:p>
      <w:pPr>
        <w:spacing w:after="0" w:line="2"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Operating revenues increased by $57 million for the year ended December 31, 2024, compared to the same period in 2023, due to a combination of the drivers summarized in the table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Borders>
              <w:bottom w:val="single" w:sz="8" w:color="E6E6E6"/>
            </w:tcBorders>
          </w:tcPr>
          <w:p>
            <w:pPr>
              <w:spacing w:after="0"/>
              <w:rPr>
                <w:sz w:val="21"/>
                <w:szCs w:val="21"/>
                <w:color w:val="auto"/>
              </w:rPr>
            </w:pPr>
          </w:p>
        </w:tc>
        <w:tc>
          <w:tcPr>
            <w:tcW w:w="6920" w:type="dxa"/>
            <w:vAlign w:val="bottom"/>
            <w:tcBorders>
              <w:bottom w:val="single" w:sz="8" w:color="E6E6E6"/>
            </w:tcBorders>
          </w:tcPr>
          <w:p>
            <w:pPr>
              <w:spacing w:after="0"/>
              <w:rPr>
                <w:sz w:val="21"/>
                <w:szCs w:val="21"/>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(In millions)</w:t>
            </w:r>
          </w:p>
        </w:tc>
      </w:tr>
      <w:tr>
        <w:trPr>
          <w:trHeight w:val="204"/>
        </w:trPr>
        <w:tc>
          <w:tcPr>
            <w:tcW w:w="2080" w:type="dxa"/>
            <w:vAlign w:val="bottom"/>
            <w:shd w:val="clear" w:color="auto" w:fill="E6E6E6"/>
          </w:tcPr>
          <w:p>
            <w:pPr>
              <w:ind w:left="40"/>
              <w:spacing w:after="0" w:line="204" w:lineRule="exact"/>
              <w:rPr>
                <w:sz w:val="20"/>
                <w:szCs w:val="20"/>
                <w:color w:val="auto"/>
              </w:rPr>
            </w:pPr>
            <w:r>
              <w:rPr>
                <w:rFonts w:ascii="Arial" w:cs="Arial" w:eastAsia="Arial" w:hAnsi="Arial"/>
                <w:sz w:val="20"/>
                <w:szCs w:val="20"/>
                <w:b w:val="1"/>
                <w:bCs w:val="1"/>
                <w:color w:val="auto"/>
              </w:rPr>
              <w:t>Flexible Generation</w:t>
            </w:r>
          </w:p>
        </w:tc>
        <w:tc>
          <w:tcPr>
            <w:tcW w:w="6920" w:type="dxa"/>
            <w:vAlign w:val="bottom"/>
            <w:shd w:val="clear" w:color="auto" w:fill="E6E6E6"/>
          </w:tcPr>
          <w:p>
            <w:pPr>
              <w:ind w:left="360"/>
              <w:spacing w:after="0" w:line="204" w:lineRule="exact"/>
              <w:rPr>
                <w:sz w:val="20"/>
                <w:szCs w:val="20"/>
                <w:color w:val="auto"/>
              </w:rPr>
            </w:pPr>
            <w:r>
              <w:rPr>
                <w:rFonts w:ascii="Arial" w:cs="Arial" w:eastAsia="Arial" w:hAnsi="Arial"/>
                <w:sz w:val="20"/>
                <w:szCs w:val="20"/>
                <w:color w:val="auto"/>
              </w:rPr>
              <w:t>Decrease primarily driven by lower prices for capacity revenue due to the</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r>
      <w:tr>
        <w:trPr>
          <w:trHeight w:val="200"/>
        </w:trPr>
        <w:tc>
          <w:tcPr>
            <w:tcW w:w="2080" w:type="dxa"/>
            <w:vAlign w:val="bottom"/>
            <w:shd w:val="clear" w:color="auto" w:fill="E6E6E6"/>
          </w:tcPr>
          <w:p>
            <w:pPr>
              <w:ind w:left="40"/>
              <w:spacing w:after="0" w:line="200" w:lineRule="exact"/>
              <w:rPr>
                <w:sz w:val="20"/>
                <w:szCs w:val="20"/>
                <w:color w:val="auto"/>
              </w:rPr>
            </w:pPr>
            <w:r>
              <w:rPr>
                <w:rFonts w:ascii="Arial" w:cs="Arial" w:eastAsia="Arial" w:hAnsi="Arial"/>
                <w:sz w:val="20"/>
                <w:szCs w:val="20"/>
                <w:b w:val="1"/>
                <w:bCs w:val="1"/>
                <w:color w:val="auto"/>
              </w:rPr>
              <w:t>Segment</w:t>
            </w:r>
          </w:p>
        </w:tc>
        <w:tc>
          <w:tcPr>
            <w:tcW w:w="6920" w:type="dxa"/>
            <w:vAlign w:val="bottom"/>
            <w:shd w:val="clear" w:color="auto" w:fill="E6E6E6"/>
          </w:tcPr>
          <w:p>
            <w:pPr>
              <w:ind w:left="360"/>
              <w:spacing w:after="0" w:line="200" w:lineRule="exact"/>
              <w:rPr>
                <w:sz w:val="20"/>
                <w:szCs w:val="20"/>
                <w:color w:val="auto"/>
              </w:rPr>
            </w:pPr>
            <w:r>
              <w:rPr>
                <w:rFonts w:ascii="Arial" w:cs="Arial" w:eastAsia="Arial" w:hAnsi="Arial"/>
                <w:sz w:val="20"/>
                <w:szCs w:val="20"/>
                <w:color w:val="auto"/>
                <w:w w:val="95"/>
              </w:rPr>
              <w:t>expiration of PPAs and commencement of RA capacity revenue at the Walnut</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r>
      <w:tr>
        <w:trPr>
          <w:trHeight w:val="200"/>
        </w:trPr>
        <w:tc>
          <w:tcPr>
            <w:tcW w:w="2080" w:type="dxa"/>
            <w:vAlign w:val="bottom"/>
            <w:shd w:val="clear" w:color="auto" w:fill="E6E6E6"/>
          </w:tcPr>
          <w:p>
            <w:pPr>
              <w:spacing w:after="0"/>
              <w:rPr>
                <w:sz w:val="17"/>
                <w:szCs w:val="17"/>
                <w:color w:val="auto"/>
              </w:rPr>
            </w:pPr>
          </w:p>
        </w:tc>
        <w:tc>
          <w:tcPr>
            <w:tcW w:w="6920" w:type="dxa"/>
            <w:vAlign w:val="bottom"/>
            <w:shd w:val="clear" w:color="auto" w:fill="E6E6E6"/>
          </w:tcPr>
          <w:p>
            <w:pPr>
              <w:ind w:left="360"/>
              <w:spacing w:after="0" w:line="200" w:lineRule="exact"/>
              <w:rPr>
                <w:sz w:val="20"/>
                <w:szCs w:val="20"/>
                <w:color w:val="auto"/>
              </w:rPr>
            </w:pPr>
            <w:r>
              <w:rPr>
                <w:rFonts w:ascii="Arial" w:cs="Arial" w:eastAsia="Arial" w:hAnsi="Arial"/>
                <w:sz w:val="20"/>
                <w:szCs w:val="20"/>
                <w:color w:val="auto"/>
                <w:w w:val="92"/>
              </w:rPr>
              <w:t>Creek and Marsh Landing facilities during the second quarter of 2023 and the El</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r>
      <w:tr>
        <w:trPr>
          <w:trHeight w:val="286"/>
        </w:trPr>
        <w:tc>
          <w:tcPr>
            <w:tcW w:w="2080" w:type="dxa"/>
            <w:vAlign w:val="bottom"/>
            <w:shd w:val="clear" w:color="auto" w:fill="E6E6E6"/>
          </w:tcPr>
          <w:p>
            <w:pPr>
              <w:spacing w:after="0"/>
              <w:rPr>
                <w:sz w:val="24"/>
                <w:szCs w:val="24"/>
                <w:color w:val="auto"/>
              </w:rPr>
            </w:pPr>
          </w:p>
        </w:tc>
        <w:tc>
          <w:tcPr>
            <w:tcW w:w="6920" w:type="dxa"/>
            <w:vAlign w:val="bottom"/>
            <w:shd w:val="clear" w:color="auto" w:fill="E6E6E6"/>
          </w:tcPr>
          <w:p>
            <w:pPr>
              <w:ind w:left="360"/>
              <w:spacing w:after="0"/>
              <w:rPr>
                <w:sz w:val="20"/>
                <w:szCs w:val="20"/>
                <w:color w:val="auto"/>
              </w:rPr>
            </w:pPr>
            <w:r>
              <w:rPr>
                <w:rFonts w:ascii="Arial" w:cs="Arial" w:eastAsia="Arial" w:hAnsi="Arial"/>
                <w:sz w:val="20"/>
                <w:szCs w:val="20"/>
                <w:color w:val="auto"/>
              </w:rPr>
              <w:t>Segundo facility during the third quarter of 2023.</w:t>
            </w:r>
          </w:p>
        </w:tc>
        <w:tc>
          <w:tcPr>
            <w:tcW w:w="520" w:type="dxa"/>
            <w:vAlign w:val="bottom"/>
            <w:shd w:val="clear" w:color="auto" w:fill="E6E6E6"/>
          </w:tcPr>
          <w:p>
            <w:pPr>
              <w:jc w:val="right"/>
              <w:ind w:right="265"/>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w:t>
            </w:r>
          </w:p>
        </w:tc>
      </w:tr>
    </w:tbl>
    <w:p>
      <w:pPr>
        <w:spacing w:after="0" w:line="12" w:lineRule="exact"/>
        <w:rPr>
          <w:sz w:val="20"/>
          <w:szCs w:val="20"/>
          <w:color w:val="auto"/>
        </w:rPr>
      </w:pPr>
    </w:p>
    <w:p>
      <w:pPr>
        <w:sectPr>
          <w:pgSz w:w="11880" w:h="15480" w:orient="portrait"/>
          <w:cols w:equalWidth="0" w:num="1">
            <w:col w:w="10260"/>
          </w:cols>
          <w:pgMar w:left="820" w:top="360" w:right="800" w:bottom="0" w:gutter="0" w:footer="0" w:header="0"/>
        </w:sectPr>
      </w:pPr>
    </w:p>
    <w:p>
      <w:pPr>
        <w:ind w:left="2440"/>
        <w:spacing w:after="0" w:line="241" w:lineRule="auto"/>
        <w:rPr>
          <w:sz w:val="20"/>
          <w:szCs w:val="20"/>
          <w:color w:val="auto"/>
        </w:rPr>
      </w:pPr>
      <w:r>
        <w:rPr>
          <w:rFonts w:ascii="Arial" w:cs="Arial" w:eastAsia="Arial" w:hAnsi="Arial"/>
          <w:sz w:val="20"/>
          <w:szCs w:val="20"/>
          <w:color w:val="auto"/>
        </w:rPr>
        <w:t>Decrease driven by the sales-type lease revenue recognition of the Marsh Landing Black Start addition during the second quarter of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13335</wp:posOffset>
                </wp:positionV>
                <wp:extent cx="6514465" cy="44767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47675"/>
                        </a:xfrm>
                        <a:prstGeom prst="rect">
                          <a:avLst/>
                        </a:prstGeom>
                        <a:solidFill>
                          <a:srgbClr val="E6E6E6"/>
                        </a:solidFill>
                      </wps:spPr>
                      <wps:bodyPr/>
                    </wps:wsp>
                  </a:graphicData>
                </a:graphic>
              </wp:anchor>
            </w:drawing>
          </mc:Choice>
          <mc:Fallback>
            <w:pict>
              <v:rect id="Shape 15" o:spid="_x0000_s1040" style="position:absolute;margin-left:-0.4499pt;margin-top:1.05pt;width:512.9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Increase primarily driven by higher energy revenue due to the commencement of</w:t>
      </w:r>
    </w:p>
    <w:p>
      <w:pPr>
        <w:ind w:left="2440"/>
        <w:spacing w:after="0" w:line="219" w:lineRule="auto"/>
        <w:rPr>
          <w:sz w:val="20"/>
          <w:szCs w:val="20"/>
          <w:color w:val="auto"/>
        </w:rPr>
      </w:pPr>
      <w:r>
        <w:rPr>
          <w:rFonts w:ascii="Arial" w:cs="Arial" w:eastAsia="Arial" w:hAnsi="Arial"/>
          <w:sz w:val="19"/>
          <w:szCs w:val="19"/>
          <w:color w:val="auto"/>
        </w:rPr>
        <w:t>merchant operations following the expiration of PPAs at the Walnut Creek,</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Marsh Landing and El Segundo facilities during 2023.</w:t>
      </w:r>
    </w:p>
    <w:p>
      <w:pPr>
        <w:spacing w:after="0" w:line="45"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Renewables Segment</w:t>
      </w:r>
      <w:r>
        <w:rPr>
          <w:sz w:val="20"/>
          <w:szCs w:val="20"/>
          <w:color w:val="auto"/>
        </w:rPr>
        <w:tab/>
      </w:r>
      <w:r>
        <w:rPr>
          <w:rFonts w:ascii="Arial" w:cs="Arial" w:eastAsia="Arial" w:hAnsi="Arial"/>
          <w:sz w:val="19"/>
          <w:szCs w:val="19"/>
          <w:color w:val="auto"/>
        </w:rPr>
        <w:t>Increase driven by the Daggett 2, Daggett 3, Victory Pass and Arica solar and</w:t>
      </w:r>
    </w:p>
    <w:p>
      <w:pPr>
        <w:ind w:left="2440"/>
        <w:spacing w:after="0" w:line="219" w:lineRule="auto"/>
        <w:rPr>
          <w:sz w:val="20"/>
          <w:szCs w:val="20"/>
          <w:color w:val="auto"/>
        </w:rPr>
      </w:pPr>
      <w:r>
        <w:rPr>
          <w:rFonts w:ascii="Arial" w:cs="Arial" w:eastAsia="Arial" w:hAnsi="Arial"/>
          <w:sz w:val="19"/>
          <w:szCs w:val="19"/>
          <w:color w:val="auto"/>
        </w:rPr>
        <w:t>BESS acquisitions, which reached commercial operations in December 2023,</w:t>
      </w:r>
    </w:p>
    <w:p>
      <w:pPr>
        <w:ind w:left="2440"/>
        <w:spacing w:after="0" w:line="220" w:lineRule="auto"/>
        <w:rPr>
          <w:sz w:val="20"/>
          <w:szCs w:val="20"/>
          <w:color w:val="auto"/>
        </w:rPr>
      </w:pPr>
      <w:r>
        <w:rPr>
          <w:rFonts w:ascii="Arial" w:cs="Arial" w:eastAsia="Arial" w:hAnsi="Arial"/>
          <w:sz w:val="19"/>
          <w:szCs w:val="19"/>
          <w:color w:val="auto"/>
        </w:rPr>
        <w:t>July 2023, March 2024 and April 2024, respectively, the acquisition of Texas</w:t>
      </w:r>
    </w:p>
    <w:p>
      <w:pPr>
        <w:ind w:left="2440"/>
        <w:spacing w:after="0" w:line="220" w:lineRule="auto"/>
        <w:rPr>
          <w:sz w:val="20"/>
          <w:szCs w:val="20"/>
          <w:color w:val="auto"/>
        </w:rPr>
      </w:pPr>
      <w:r>
        <w:rPr>
          <w:rFonts w:ascii="Arial" w:cs="Arial" w:eastAsia="Arial" w:hAnsi="Arial"/>
          <w:sz w:val="19"/>
          <w:szCs w:val="19"/>
          <w:color w:val="auto"/>
        </w:rPr>
        <w:t>Solar Nova 1 and Texas Solar Nova 2 in December 2023 and March 2024,</w:t>
      </w:r>
    </w:p>
    <w:p>
      <w:pPr>
        <w:jc w:val="right"/>
        <w:spacing w:after="0" w:line="208" w:lineRule="auto"/>
        <w:rPr>
          <w:sz w:val="20"/>
          <w:szCs w:val="20"/>
          <w:color w:val="auto"/>
        </w:rPr>
      </w:pPr>
      <w:r>
        <w:rPr>
          <w:rFonts w:ascii="Arial" w:cs="Arial" w:eastAsia="Arial" w:hAnsi="Arial"/>
          <w:sz w:val="20"/>
          <w:szCs w:val="20"/>
          <w:color w:val="auto"/>
        </w:rPr>
        <w:t>respectively,  and  the  Rosamond  Central  BESS  acquisition,  which  reached</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commercial operations in June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6514465" cy="1905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6" o:spid="_x0000_s1041" style="position:absolute;margin-left:-0.4499pt;margin-top:3.1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Increase primarily driven by higher wind production at the Alta wind facilities.</w:t>
      </w:r>
    </w:p>
    <w:p>
      <w:pPr>
        <w:spacing w:after="0" w:line="8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Increase driven by the acquisition of the Cedar Creek wind facility in April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51435</wp:posOffset>
                </wp:positionV>
                <wp:extent cx="6514465" cy="31432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14325"/>
                        </a:xfrm>
                        <a:prstGeom prst="rect">
                          <a:avLst/>
                        </a:prstGeom>
                        <a:solidFill>
                          <a:srgbClr val="E6E6E6"/>
                        </a:solidFill>
                      </wps:spPr>
                      <wps:bodyPr/>
                    </wps:wsp>
                  </a:graphicData>
                </a:graphic>
              </wp:anchor>
            </w:drawing>
          </mc:Choice>
          <mc:Fallback>
            <w:pict>
              <v:rect id="Shape 17" o:spid="_x0000_s1042" style="position:absolute;margin-left:-0.4499pt;margin-top:4.05pt;width:512.95pt;height:2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43"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Contract amortization</w:t>
      </w:r>
      <w:r>
        <w:rPr>
          <w:sz w:val="20"/>
          <w:szCs w:val="20"/>
          <w:color w:val="auto"/>
        </w:rPr>
        <w:tab/>
      </w:r>
      <w:r>
        <w:rPr>
          <w:rFonts w:ascii="Arial" w:cs="Arial" w:eastAsia="Arial" w:hAnsi="Arial"/>
          <w:sz w:val="19"/>
          <w:szCs w:val="19"/>
          <w:color w:val="auto"/>
        </w:rPr>
        <w:t>Increase primarily driven by the Walnut Creek PPA, which was fully amortized</w:t>
      </w:r>
    </w:p>
    <w:p>
      <w:pPr>
        <w:ind w:left="2440"/>
        <w:spacing w:after="0"/>
        <w:rPr>
          <w:sz w:val="20"/>
          <w:szCs w:val="20"/>
          <w:color w:val="auto"/>
        </w:rPr>
      </w:pPr>
      <w:r>
        <w:rPr>
          <w:rFonts w:ascii="Arial" w:cs="Arial" w:eastAsia="Arial" w:hAnsi="Arial"/>
          <w:sz w:val="20"/>
          <w:szCs w:val="20"/>
          <w:color w:val="auto"/>
        </w:rPr>
        <w:t>during the second quarter of 2023.</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Mark-to-market economic  </w:t>
      </w:r>
      <w:r>
        <w:rPr>
          <w:rFonts w:ascii="Arial" w:cs="Arial" w:eastAsia="Arial" w:hAnsi="Arial"/>
          <w:sz w:val="18"/>
          <w:szCs w:val="18"/>
          <w:color w:val="auto"/>
        </w:rPr>
        <w:t>Decrease primarily driven by an increase in forward power prices in the ERCOT</w:t>
      </w:r>
    </w:p>
    <w:p>
      <w:pPr>
        <w:ind w:left="40"/>
        <w:spacing w:after="0"/>
        <w:tabs>
          <w:tab w:leader="none" w:pos="2420" w:val="left"/>
        </w:tabs>
        <w:rPr>
          <w:sz w:val="20"/>
          <w:szCs w:val="20"/>
          <w:color w:val="auto"/>
        </w:rPr>
      </w:pPr>
      <w:r>
        <w:rPr>
          <w:rFonts w:ascii="Arial" w:cs="Arial" w:eastAsia="Arial" w:hAnsi="Arial"/>
          <w:sz w:val="20"/>
          <w:szCs w:val="20"/>
          <w:b w:val="1"/>
          <w:bCs w:val="1"/>
          <w:color w:val="auto"/>
        </w:rPr>
        <w:t>hedges</w:t>
      </w:r>
      <w:r>
        <w:rPr>
          <w:sz w:val="20"/>
          <w:szCs w:val="20"/>
          <w:color w:val="auto"/>
        </w:rPr>
        <w:tab/>
      </w:r>
      <w:r>
        <w:rPr>
          <w:rFonts w:ascii="Arial" w:cs="Arial" w:eastAsia="Arial" w:hAnsi="Arial"/>
          <w:sz w:val="20"/>
          <w:szCs w:val="20"/>
          <w:color w:val="auto"/>
        </w:rPr>
        <w:t>and PJM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6515100" cy="320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6515100" cy="320675"/>
                    </a:xfrm>
                    <a:prstGeom prst="rect">
                      <a:avLst/>
                    </a:prstGeom>
                    <a:noFill/>
                  </pic:spPr>
                </pic:pic>
              </a:graphicData>
            </a:graphic>
          </wp:anchor>
        </w:drawing>
      </w:r>
    </w:p>
    <w:p>
      <w:pPr>
        <w:spacing w:after="0" w:line="60" w:lineRule="exact"/>
        <w:rPr>
          <w:sz w:val="20"/>
          <w:szCs w:val="20"/>
          <w:color w:val="auto"/>
        </w:rPr>
      </w:pPr>
    </w:p>
    <w:p>
      <w:pPr>
        <w:ind w:left="2440" w:right="20"/>
        <w:spacing w:after="0" w:line="266" w:lineRule="auto"/>
        <w:rPr>
          <w:sz w:val="20"/>
          <w:szCs w:val="20"/>
          <w:color w:val="auto"/>
        </w:rPr>
      </w:pPr>
      <w:r>
        <w:rPr>
          <w:rFonts w:ascii="Arial" w:cs="Arial" w:eastAsia="Arial" w:hAnsi="Arial"/>
          <w:sz w:val="19"/>
          <w:szCs w:val="19"/>
          <w:color w:val="auto"/>
        </w:rPr>
        <w:t>Increase due to heat rate call option contracts entered into by El Segundo, Marsh Landing and Walnut Creek during the third quarter of 2023.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(21)</w:t>
      </w:r>
    </w:p>
    <w:p>
      <w:pPr>
        <w:spacing w:after="0" w:line="200" w:lineRule="exact"/>
        <w:rPr>
          <w:sz w:val="20"/>
          <w:szCs w:val="20"/>
          <w:color w:val="auto"/>
        </w:rPr>
      </w:pPr>
    </w:p>
    <w:p>
      <w:pPr>
        <w:spacing w:after="0" w:line="275"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138</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50</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15</w:t>
      </w:r>
    </w:p>
    <w:p>
      <w:pPr>
        <w:spacing w:after="0" w:line="265"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w:t>
      </w:r>
    </w:p>
    <w:p>
      <w:pPr>
        <w:spacing w:after="0" w:line="265"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(68)</w:t>
      </w:r>
    </w:p>
    <w:p>
      <w:pPr>
        <w:spacing w:after="0" w:line="265" w:lineRule="exact"/>
        <w:rPr>
          <w:sz w:val="20"/>
          <w:szCs w:val="20"/>
          <w:color w:val="auto"/>
        </w:rPr>
      </w:pPr>
    </w:p>
    <w:p>
      <w:pPr>
        <w:ind w:left="902"/>
        <w:spacing w:after="0"/>
        <w:rPr>
          <w:sz w:val="20"/>
          <w:szCs w:val="20"/>
          <w:color w:val="auto"/>
        </w:rPr>
      </w:pPr>
      <w:r>
        <w:rPr>
          <w:rFonts w:ascii="Arial" w:cs="Arial" w:eastAsia="Arial" w:hAnsi="Arial"/>
          <w:sz w:val="20"/>
          <w:szCs w:val="20"/>
          <w:color w:val="auto"/>
        </w:rPr>
        <w:t>14</w:t>
      </w:r>
    </w:p>
    <w:p>
      <w:pPr>
        <w:spacing w:after="0" w:line="55" w:lineRule="exact"/>
        <w:rPr>
          <w:sz w:val="20"/>
          <w:szCs w:val="20"/>
          <w:color w:val="auto"/>
        </w:rPr>
      </w:pPr>
    </w:p>
    <w:p>
      <w:pPr>
        <w:ind w:left="902" w:hanging="902"/>
        <w:spacing w:after="0"/>
        <w:tabs>
          <w:tab w:leader="none" w:pos="9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2540</wp:posOffset>
            </wp:positionV>
            <wp:extent cx="81597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815975"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8980" w:space="78"/>
            <w:col w:w="1202"/>
          </w:cols>
          <w:pgMar w:left="820" w:top="360" w:right="800"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Fuels</w:t>
      </w:r>
    </w:p>
    <w:p>
      <w:pPr>
        <w:spacing w:after="0" w:line="198"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Cost of fuels decreased by $17 million during the year ended December 31, 2024, compared to the same period in 2023, primarily due to the associated costs of the sales-type lease recognition of the Marsh Landing Black Start addition during the second quarter of 2023.</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Operations and Maintenance Expense</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Operations and maintenance expense increased by $32 million during the year ended December 31, 2024, compared to the same period in 2023, primarily due to the solar and BESS acquisitions referenced above.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Amortization and Accretion</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Depreciation, amortization and accretion increased by $101 million during the year ended December 31, 2024, compared to the same period in 2023, primarily due to the solar and BESS acquisitions referenced above.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 Earnings of Unconsolidated Affiliates</w:t>
      </w:r>
    </w:p>
    <w:p>
      <w:pPr>
        <w:spacing w:after="0" w:line="198"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Equity in earnings of unconsolidated affiliates increased by $23 million during the year ended December 31, 2024, compared to the same period in 2023, due to changes in the fair value of interest rate swaps, lower depreciation expense and higher wind production.</w:t>
      </w:r>
    </w:p>
    <w:p>
      <w:pPr>
        <w:sectPr>
          <w:pgSz w:w="11880" w:h="15480" w:orient="portrait"/>
          <w:cols w:equalWidth="0" w:num="1">
            <w:col w:w="10260"/>
          </w:cols>
          <w:pgMar w:left="820" w:top="360"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260"/>
          </w:cols>
          <w:pgMar w:left="820" w:top="360" w:right="80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Interest expense decreased by $30 million during the year ended December 31, 2024, compared to the same period in 2023, primarily due to the following: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Borders>
              <w:bottom w:val="single" w:sz="8" w:color="E6E6E6"/>
            </w:tcBorders>
          </w:tcPr>
          <w:p>
            <w:pPr>
              <w:spacing w:after="0"/>
              <w:rPr>
                <w:sz w:val="21"/>
                <w:szCs w:val="21"/>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90"/>
        </w:trPr>
        <w:tc>
          <w:tcPr>
            <w:tcW w:w="900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Change in fair value of interest rate swaps due to changes in interest rates </w:t>
            </w:r>
            <w:r>
              <w:rPr>
                <w:rFonts w:ascii="Arial" w:cs="Arial" w:eastAsia="Arial" w:hAnsi="Arial"/>
                <w:sz w:val="20"/>
                <w:szCs w:val="20"/>
                <w:color w:val="B4B4B4"/>
                <w:w w:val="90"/>
              </w:rPr>
              <w:t>. . . . . . . . . . . . . . . . . . . . . . . . . . . . . .</w:t>
            </w:r>
          </w:p>
        </w:tc>
        <w:tc>
          <w:tcPr>
            <w:tcW w:w="520" w:type="dxa"/>
            <w:vAlign w:val="bottom"/>
            <w:shd w:val="clear" w:color="auto" w:fill="E6E6E6"/>
          </w:tcPr>
          <w:p>
            <w:pPr>
              <w:jc w:val="right"/>
              <w:ind w:right="263"/>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22"/>
        </w:trPr>
        <w:tc>
          <w:tcPr>
            <w:tcW w:w="9000" w:type="dxa"/>
            <w:vAlign w:val="bottom"/>
          </w:tcPr>
          <w:p>
            <w:pPr>
              <w:ind w:left="40"/>
              <w:spacing w:after="0" w:line="222" w:lineRule="exact"/>
              <w:rPr>
                <w:sz w:val="20"/>
                <w:szCs w:val="20"/>
                <w:color w:val="auto"/>
              </w:rPr>
            </w:pPr>
            <w:r>
              <w:rPr>
                <w:rFonts w:ascii="Arial" w:cs="Arial" w:eastAsia="Arial" w:hAnsi="Arial"/>
                <w:sz w:val="20"/>
                <w:szCs w:val="20"/>
                <w:color w:val="auto"/>
                <w:w w:val="90"/>
              </w:rPr>
              <w:t>Increase in interest expense due to an increase in principal balances for the Renewables segment primarily due</w:t>
            </w:r>
          </w:p>
        </w:tc>
        <w:tc>
          <w:tcPr>
            <w:tcW w:w="5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67"/>
        </w:trPr>
        <w:tc>
          <w:tcPr>
            <w:tcW w:w="9000" w:type="dxa"/>
            <w:vAlign w:val="bottom"/>
          </w:tcPr>
          <w:p>
            <w:pPr>
              <w:ind w:left="40"/>
              <w:spacing w:after="0"/>
              <w:rPr>
                <w:sz w:val="20"/>
                <w:szCs w:val="20"/>
                <w:color w:val="auto"/>
              </w:rPr>
            </w:pPr>
            <w:r>
              <w:rPr>
                <w:rFonts w:ascii="Arial" w:cs="Arial" w:eastAsia="Arial" w:hAnsi="Arial"/>
                <w:sz w:val="20"/>
                <w:szCs w:val="20"/>
                <w:color w:val="auto"/>
                <w:w w:val="90"/>
              </w:rPr>
              <w:t xml:space="preserve">to solar and BESS acquisitions </w:t>
            </w:r>
            <w:r>
              <w:rPr>
                <w:rFonts w:ascii="Arial" w:cs="Arial" w:eastAsia="Arial" w:hAnsi="Arial"/>
                <w:sz w:val="20"/>
                <w:szCs w:val="20"/>
                <w:color w:val="B4B4B4"/>
                <w:w w:val="90"/>
              </w:rPr>
              <w:t>. . . . . . . . . . . . . . . . . . . . . . . . . . . . . . . . . . . . . . . . . . . . . . . . . . . . . . . . . . . . . . . .</w:t>
            </w:r>
          </w:p>
        </w:tc>
        <w:tc>
          <w:tcPr>
            <w:tcW w:w="5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9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4B4B4"/>
                <w:w w:val="90"/>
              </w:rPr>
              <w:t>. . . . . . . . . . . . . . . . . . . . . . . . . . . . . . . . . . . . . . . . . . . . . . . . . . . . . . . . . . . . . . . . . . . . . . . . . . . . . . . . . . . .</w:t>
            </w:r>
          </w:p>
        </w:tc>
        <w:tc>
          <w:tcPr>
            <w:tcW w:w="5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75"/>
        </w:trPr>
        <w:tc>
          <w:tcPr>
            <w:tcW w:w="9000" w:type="dxa"/>
            <w:vAlign w:val="bottom"/>
          </w:tcPr>
          <w:p>
            <w:pPr>
              <w:spacing w:after="0"/>
              <w:rPr>
                <w:sz w:val="23"/>
                <w:szCs w:val="23"/>
                <w:color w:val="auto"/>
              </w:rPr>
            </w:pPr>
          </w:p>
        </w:tc>
        <w:tc>
          <w:tcPr>
            <w:tcW w:w="520" w:type="dxa"/>
            <w:vAlign w:val="bottom"/>
            <w:tcBorders>
              <w:bottom w:val="single" w:sz="8" w:color="auto"/>
            </w:tcBorders>
          </w:tcPr>
          <w:p>
            <w:pPr>
              <w:jc w:val="right"/>
              <w:ind w:right="263"/>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-43815</wp:posOffset>
            </wp:positionV>
            <wp:extent cx="81597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extLst>
                    </a:blip>
                    <a:srcRect/>
                    <a:stretch>
                      <a:fillRect/>
                    </a:stretch>
                  </pic:blipFill>
                  <pic:spPr bwMode="auto">
                    <a:xfrm>
                      <a:off x="0" y="0"/>
                      <a:ext cx="815975"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98"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For the year ended December 31, 2024, the Company recorded an income tax expense of $30 million on pretax loss of $33 million. For the same period in 2023, the Company recorded an income tax benefit of $2 million on pretax loss of $16 million.</w:t>
      </w:r>
    </w:p>
    <w:p>
      <w:pPr>
        <w:spacing w:after="0" w:line="132" w:lineRule="exact"/>
        <w:rPr>
          <w:sz w:val="20"/>
          <w:szCs w:val="20"/>
          <w:color w:val="auto"/>
        </w:rPr>
      </w:pPr>
    </w:p>
    <w:p>
      <w:pPr>
        <w:jc w:val="both"/>
        <w:ind w:right="20" w:firstLine="450"/>
        <w:spacing w:after="0" w:line="300" w:lineRule="auto"/>
        <w:rPr>
          <w:sz w:val="20"/>
          <w:szCs w:val="20"/>
          <w:color w:val="auto"/>
        </w:rPr>
      </w:pPr>
      <w:r>
        <w:rPr>
          <w:rFonts w:ascii="Arial" w:cs="Arial" w:eastAsia="Arial" w:hAnsi="Arial"/>
          <w:sz w:val="18"/>
          <w:szCs w:val="18"/>
          <w:color w:val="auto"/>
        </w:rPr>
        <w:t xml:space="preserve">As further described in Item 15 — Note 2, </w:t>
      </w:r>
      <w:r>
        <w:rPr>
          <w:rFonts w:ascii="Arial" w:cs="Arial" w:eastAsia="Arial" w:hAnsi="Arial"/>
          <w:sz w:val="18"/>
          <w:szCs w:val="18"/>
          <w:b w:val="1"/>
          <w:bCs w:val="1"/>
          <w:i w:val="1"/>
          <w:iCs w:val="1"/>
          <w:color w:val="auto"/>
        </w:rPr>
        <w:t>Summary of Significant Accounting Policies</w:t>
      </w:r>
      <w:r>
        <w:rPr>
          <w:rFonts w:ascii="Arial" w:cs="Arial" w:eastAsia="Arial" w:hAnsi="Arial"/>
          <w:sz w:val="18"/>
          <w:szCs w:val="18"/>
          <w:color w:val="auto"/>
        </w:rPr>
        <w:t xml:space="preserve">, the Company has elected to prospectively adopt the guidance in ASU No. 2023-09, </w:t>
      </w:r>
      <w:r>
        <w:rPr>
          <w:rFonts w:ascii="Arial" w:cs="Arial" w:eastAsia="Arial" w:hAnsi="Arial"/>
          <w:sz w:val="18"/>
          <w:szCs w:val="18"/>
          <w:b w:val="1"/>
          <w:bCs w:val="1"/>
          <w:i w:val="1"/>
          <w:iCs w:val="1"/>
          <w:color w:val="auto"/>
        </w:rPr>
        <w:t>Income Taxes (Topic 740): Improvements to Income Taxes Disclosures</w:t>
      </w:r>
      <w:r>
        <w:rPr>
          <w:rFonts w:ascii="Arial" w:cs="Arial" w:eastAsia="Arial" w:hAnsi="Arial"/>
          <w:sz w:val="18"/>
          <w:szCs w:val="18"/>
          <w:color w:val="auto"/>
        </w:rPr>
        <w:t>, or ASU 2023-09. The following table is a reconciliation of the U.S. federal statutory rate of 21% to the Company’s effective rate for the year ended December 31, 2024 in accordance with the guidance in ASU No. 2023-09:</w:t>
      </w:r>
    </w:p>
    <w:p>
      <w:pPr>
        <w:spacing w:after="0" w:line="62"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top w:val="single" w:sz="8" w:color="auto"/>
              <w:bottom w:val="single" w:sz="8" w:color="auto"/>
            </w:tcBorders>
          </w:tcPr>
          <w:p>
            <w:pPr>
              <w:spacing w:after="0"/>
              <w:rPr>
                <w:sz w:val="20"/>
                <w:szCs w:val="20"/>
                <w:color w:val="auto"/>
              </w:rPr>
            </w:pPr>
          </w:p>
        </w:tc>
      </w:tr>
      <w:tr>
        <w:trPr>
          <w:trHeight w:val="237"/>
        </w:trPr>
        <w:tc>
          <w:tcPr>
            <w:tcW w:w="7800" w:type="dxa"/>
            <w:vAlign w:val="bottom"/>
          </w:tcPr>
          <w:p>
            <w:pPr>
              <w:ind w:left="40"/>
              <w:spacing w:after="0"/>
              <w:rPr>
                <w:sz w:val="20"/>
                <w:szCs w:val="20"/>
                <w:color w:val="auto"/>
              </w:rPr>
            </w:pPr>
            <w:r>
              <w:rPr>
                <w:rFonts w:ascii="Arial" w:cs="Arial" w:eastAsia="Arial" w:hAnsi="Arial"/>
                <w:sz w:val="16"/>
                <w:szCs w:val="16"/>
                <w:b w:val="1"/>
                <w:bCs w:val="1"/>
                <w:color w:val="auto"/>
              </w:rPr>
              <w:t>(In millions, except percentages)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3"/>
        </w:trPr>
        <w:tc>
          <w:tcPr>
            <w:tcW w:w="78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w w:val="90"/>
              </w:rPr>
              <w:t xml:space="preserve">Loss Before Income Taxes </w:t>
            </w:r>
            <w:r>
              <w:rPr>
                <w:rFonts w:ascii="Arial" w:cs="Arial" w:eastAsia="Arial" w:hAnsi="Arial"/>
                <w:sz w:val="18"/>
                <w:szCs w:val="18"/>
                <w:color w:val="B4B4B4"/>
                <w:w w:val="90"/>
              </w:rPr>
              <w:t>. . . . . . . . . . . . . . . . . . . . . . . . . . . . . . . . . . . . . . . . . . . . . . . . . . . . . . . . . . . . . . . .</w:t>
            </w:r>
          </w:p>
        </w:tc>
        <w:tc>
          <w:tcPr>
            <w:tcW w:w="360" w:type="dxa"/>
            <w:vAlign w:val="bottom"/>
            <w:tcBorders>
              <w:bottom w:val="single" w:sz="8" w:color="auto"/>
            </w:tcBorders>
            <w:shd w:val="clear" w:color="auto" w:fill="E6E6E6"/>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6E6E6"/>
          </w:tcPr>
          <w:p>
            <w:pPr>
              <w:jc w:val="right"/>
              <w:ind w:right="91"/>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E6E6E6"/>
            </w:tcBorders>
            <w:shd w:val="clear" w:color="auto" w:fill="E6E6E6"/>
          </w:tcPr>
          <w:p>
            <w:pPr>
              <w:spacing w:after="0"/>
              <w:rPr>
                <w:sz w:val="22"/>
                <w:szCs w:val="22"/>
                <w:color w:val="auto"/>
              </w:rPr>
            </w:pPr>
          </w:p>
        </w:tc>
        <w:tc>
          <w:tcPr>
            <w:tcW w:w="840" w:type="dxa"/>
            <w:vAlign w:val="bottom"/>
            <w:tcBorders>
              <w:bottom w:val="single" w:sz="8" w:color="E6E6E6"/>
            </w:tcBorders>
            <w:shd w:val="clear" w:color="auto" w:fill="E6E6E6"/>
          </w:tcPr>
          <w:p>
            <w:pPr>
              <w:spacing w:after="0"/>
              <w:rPr>
                <w:sz w:val="22"/>
                <w:szCs w:val="22"/>
                <w:color w:val="auto"/>
              </w:rPr>
            </w:pPr>
          </w:p>
        </w:tc>
      </w:tr>
      <w:tr>
        <w:trPr>
          <w:trHeight w:val="110"/>
        </w:trPr>
        <w:tc>
          <w:tcPr>
            <w:tcW w:w="7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55"/>
        </w:trPr>
        <w:tc>
          <w:tcPr>
            <w:tcW w:w="78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Tax at 21% </w:t>
            </w:r>
            <w:r>
              <w:rPr>
                <w:rFonts w:ascii="Arial" w:cs="Arial" w:eastAsia="Arial" w:hAnsi="Arial"/>
                <w:sz w:val="18"/>
                <w:szCs w:val="18"/>
                <w:color w:val="B4B4B4"/>
                <w:w w:val="90"/>
              </w:rPr>
              <w:t>. . . . . . . . . . . . . . . . . . . . . . . . . . . . . . . . . . . . . . . . . . . . . . . . . . . . . . . . . . . . . . . . . . . . . . . . . . . .</w:t>
            </w:r>
          </w:p>
        </w:tc>
        <w:tc>
          <w:tcPr>
            <w:tcW w:w="360" w:type="dxa"/>
            <w:vAlign w:val="bottom"/>
            <w:shd w:val="clear" w:color="auto" w:fill="E6E6E6"/>
          </w:tcPr>
          <w:p>
            <w:pPr>
              <w:spacing w:after="0"/>
              <w:rPr>
                <w:sz w:val="22"/>
                <w:szCs w:val="22"/>
                <w:color w:val="auto"/>
              </w:rPr>
            </w:pPr>
          </w:p>
        </w:tc>
        <w:tc>
          <w:tcPr>
            <w:tcW w:w="84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(7)</w:t>
            </w:r>
          </w:p>
        </w:tc>
        <w:tc>
          <w:tcPr>
            <w:tcW w:w="6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21.0 %</w:t>
            </w:r>
          </w:p>
        </w:tc>
      </w:tr>
      <w:tr>
        <w:trPr>
          <w:trHeight w:val="255"/>
        </w:trPr>
        <w:tc>
          <w:tcPr>
            <w:tcW w:w="7800" w:type="dxa"/>
            <w:vAlign w:val="bottom"/>
          </w:tcPr>
          <w:p>
            <w:pPr>
              <w:jc w:val="right"/>
              <w:spacing w:after="0" w:line="255" w:lineRule="exact"/>
              <w:rPr>
                <w:sz w:val="20"/>
                <w:szCs w:val="20"/>
                <w:color w:val="auto"/>
              </w:rPr>
            </w:pPr>
            <w:r>
              <w:rPr>
                <w:rFonts w:ascii="Arial" w:cs="Arial" w:eastAsia="Arial" w:hAnsi="Arial"/>
                <w:sz w:val="18"/>
                <w:szCs w:val="18"/>
                <w:color w:val="auto"/>
                <w:w w:val="91"/>
              </w:rPr>
              <w:t xml:space="preserve">State taxes, net of federal benefit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 . . . . . . . . . . . . . . . . . . . . . . . . . . .</w:t>
            </w:r>
          </w:p>
        </w:tc>
        <w:tc>
          <w:tcPr>
            <w:tcW w:w="360" w:type="dxa"/>
            <w:vAlign w:val="bottom"/>
          </w:tcPr>
          <w:p>
            <w:pPr>
              <w:spacing w:after="0"/>
              <w:rPr>
                <w:sz w:val="22"/>
                <w:szCs w:val="22"/>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55"/>
        </w:trPr>
        <w:tc>
          <w:tcPr>
            <w:tcW w:w="78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Tax credits </w:t>
            </w:r>
            <w:r>
              <w:rPr>
                <w:rFonts w:ascii="Arial" w:cs="Arial" w:eastAsia="Arial" w:hAnsi="Arial"/>
                <w:sz w:val="18"/>
                <w:szCs w:val="18"/>
                <w:color w:val="B4B4B4"/>
                <w:w w:val="92"/>
              </w:rPr>
              <w:t>. . . . . . . . . . . . . . . . . . . . . . . . . . . . . . . . . . . . . . . . . . . . . . . . . . . . . . . . . . . . . . . . . . . . . . . . . . .</w:t>
            </w:r>
          </w:p>
        </w:tc>
        <w:tc>
          <w:tcPr>
            <w:tcW w:w="360" w:type="dxa"/>
            <w:vAlign w:val="bottom"/>
            <w:shd w:val="clear" w:color="auto" w:fill="E6E6E6"/>
          </w:tcPr>
          <w:p>
            <w:pPr>
              <w:spacing w:after="0"/>
              <w:rPr>
                <w:sz w:val="22"/>
                <w:szCs w:val="22"/>
                <w:color w:val="auto"/>
              </w:rPr>
            </w:pPr>
          </w:p>
        </w:tc>
        <w:tc>
          <w:tcPr>
            <w:tcW w:w="84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12.1 %</w:t>
            </w:r>
          </w:p>
        </w:tc>
      </w:tr>
      <w:tr>
        <w:trPr>
          <w:trHeight w:val="248"/>
        </w:trPr>
        <w:tc>
          <w:tcPr>
            <w:tcW w:w="7800" w:type="dxa"/>
            <w:vAlign w:val="bottom"/>
          </w:tcPr>
          <w:p>
            <w:pPr>
              <w:jc w:val="right"/>
              <w:spacing w:after="0"/>
              <w:rPr>
                <w:sz w:val="20"/>
                <w:szCs w:val="20"/>
                <w:color w:val="auto"/>
              </w:rPr>
            </w:pPr>
            <w:r>
              <w:rPr>
                <w:rFonts w:ascii="Arial" w:cs="Arial" w:eastAsia="Arial" w:hAnsi="Arial"/>
                <w:sz w:val="18"/>
                <w:szCs w:val="18"/>
                <w:color w:val="auto"/>
                <w:w w:val="92"/>
              </w:rPr>
              <w:t xml:space="preserve">Nontaxable/nondeductible items: </w:t>
            </w:r>
            <w:r>
              <w:rPr>
                <w:rFonts w:ascii="Arial" w:cs="Arial" w:eastAsia="Arial" w:hAnsi="Arial"/>
                <w:sz w:val="18"/>
                <w:szCs w:val="18"/>
                <w:color w:val="B4B4B4"/>
                <w:w w:val="92"/>
              </w:rPr>
              <w:t>. . . . . . . . . . . . . . . . . . . . . . . . . . . . . . . . . . . . . . . . . . . . . . . . . . . . . . . . .</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2"/>
        </w:trPr>
        <w:tc>
          <w:tcPr>
            <w:tcW w:w="78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HLBV impact </w:t>
            </w:r>
            <w:r>
              <w:rPr>
                <w:rFonts w:ascii="Arial" w:cs="Arial" w:eastAsia="Arial" w:hAnsi="Arial"/>
                <w:sz w:val="18"/>
                <w:szCs w:val="18"/>
                <w:color w:val="B4B4B4"/>
                <w:w w:val="94"/>
              </w:rPr>
              <w:t>. . . . . . . . . . . . . . . . . . . . . . . . . . . . . . . . . . . . . . . . . . . . . . . . . . . . . . . . . . . . . . . . . . . . . . .</w:t>
            </w:r>
          </w:p>
        </w:tc>
        <w:tc>
          <w:tcPr>
            <w:tcW w:w="360" w:type="dxa"/>
            <w:vAlign w:val="bottom"/>
            <w:shd w:val="clear" w:color="auto" w:fill="E6E6E6"/>
          </w:tcPr>
          <w:p>
            <w:pPr>
              <w:spacing w:after="0"/>
              <w:rPr>
                <w:sz w:val="22"/>
                <w:szCs w:val="22"/>
                <w:color w:val="auto"/>
              </w:rPr>
            </w:pPr>
          </w:p>
        </w:tc>
        <w:tc>
          <w:tcPr>
            <w:tcW w:w="84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rPr>
              <w:t>32</w:t>
            </w:r>
          </w:p>
        </w:tc>
        <w:tc>
          <w:tcPr>
            <w:tcW w:w="6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(96.9)%</w:t>
            </w:r>
          </w:p>
        </w:tc>
      </w:tr>
      <w:tr>
        <w:trPr>
          <w:trHeight w:val="248"/>
        </w:trPr>
        <w:tc>
          <w:tcPr>
            <w:tcW w:w="7800" w:type="dxa"/>
            <w:vAlign w:val="bottom"/>
          </w:tcPr>
          <w:p>
            <w:pPr>
              <w:jc w:val="right"/>
              <w:spacing w:after="0"/>
              <w:rPr>
                <w:sz w:val="20"/>
                <w:szCs w:val="20"/>
                <w:color w:val="auto"/>
              </w:rPr>
            </w:pPr>
            <w:r>
              <w:rPr>
                <w:rFonts w:ascii="Arial" w:cs="Arial" w:eastAsia="Arial" w:hAnsi="Arial"/>
                <w:sz w:val="18"/>
                <w:szCs w:val="18"/>
                <w:color w:val="auto"/>
                <w:w w:val="93"/>
              </w:rPr>
              <w:t xml:space="preserve">Employee share-based payments </w:t>
            </w:r>
            <w:r>
              <w:rPr>
                <w:rFonts w:ascii="Arial" w:cs="Arial" w:eastAsia="Arial" w:hAnsi="Arial"/>
                <w:sz w:val="18"/>
                <w:szCs w:val="18"/>
                <w:color w:val="B4B4B4"/>
                <w:w w:val="93"/>
              </w:rPr>
              <w:t>. . . . . . . . . . . . . . . . . . . . . . . . . . . . . . . . . . . . . . . . . . . . . . . . . . . . . . . .</w:t>
            </w:r>
          </w:p>
        </w:tc>
        <w:tc>
          <w:tcPr>
            <w:tcW w:w="36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4B4B4"/>
                <w:w w:val="92"/>
              </w:rPr>
              <w:t>. . . . . . . . . . . . . . . . . . . . . . . . . . . . . . . . . . . . . . . . . . . . . . . . . . . . . . . . . . . . . . . . . . . . . . . . . . . . . .</w:t>
            </w:r>
          </w:p>
        </w:tc>
        <w:tc>
          <w:tcPr>
            <w:tcW w:w="36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ind w:right="151"/>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(2.9)%</w:t>
            </w:r>
          </w:p>
        </w:tc>
      </w:tr>
      <w:tr>
        <w:trPr>
          <w:trHeight w:val="197"/>
        </w:trPr>
        <w:tc>
          <w:tcPr>
            <w:tcW w:w="7800" w:type="dxa"/>
            <w:vAlign w:val="bottom"/>
          </w:tcPr>
          <w:p>
            <w:pPr>
              <w:jc w:val="right"/>
              <w:spacing w:after="0" w:line="197" w:lineRule="exact"/>
              <w:rPr>
                <w:sz w:val="20"/>
                <w:szCs w:val="20"/>
                <w:color w:val="auto"/>
              </w:rPr>
            </w:pPr>
            <w:r>
              <w:rPr>
                <w:rFonts w:ascii="Arial" w:cs="Arial" w:eastAsia="Arial" w:hAnsi="Arial"/>
                <w:sz w:val="18"/>
                <w:szCs w:val="18"/>
                <w:color w:val="B4B4B4"/>
                <w:w w:val="95"/>
              </w:rPr>
              <w:t>. . . . . . . . . . . . . . . . . . . . . . . . . . . . . . . . . . . . . . . . . . . . . . . . . . . . . . . . . . . . . . . . . .</w:t>
            </w:r>
            <w:r>
              <w:rPr>
                <w:rFonts w:ascii="Arial" w:cs="Arial" w:eastAsia="Arial" w:hAnsi="Arial"/>
                <w:sz w:val="18"/>
                <w:szCs w:val="18"/>
                <w:color w:val="000000"/>
                <w:w w:val="95"/>
              </w:rPr>
              <w:t>Incometaxexpense</w:t>
            </w:r>
          </w:p>
        </w:tc>
        <w:tc>
          <w:tcPr>
            <w:tcW w:w="360" w:type="dxa"/>
            <w:vAlign w:val="bottom"/>
            <w:tcBorders>
              <w:bottom w:val="single" w:sz="8" w:color="auto"/>
            </w:tcBorders>
          </w:tcPr>
          <w:p>
            <w:pPr>
              <w:jc w:val="right"/>
              <w:ind w:right="130"/>
              <w:spacing w:after="0" w:line="197"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1"/>
              <w:spacing w:after="0" w:line="197"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(90.9)%</w:t>
            </w:r>
          </w:p>
        </w:tc>
      </w:tr>
      <w:tr>
        <w:trPr>
          <w:trHeight w:val="20"/>
        </w:trPr>
        <w:tc>
          <w:tcPr>
            <w:tcW w:w="7800" w:type="dxa"/>
            <w:vAlign w:val="bottom"/>
            <w:tcBorders>
              <w:bottom w:val="single" w:sz="8" w:color="E6E6E6"/>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5"/>
        </w:trPr>
        <w:tc>
          <w:tcPr>
            <w:tcW w:w="780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3"/>
              </w:rPr>
              <w:t>. . . . . . . . . . . . . . . . . . . . . . . . . . . . . . . . . . . . . . . . . . . . . . . . . . . . . . . . . . . . . . . . .</w:t>
            </w:r>
            <w:r>
              <w:rPr>
                <w:rFonts w:ascii="Arial" w:cs="Arial" w:eastAsia="Arial" w:hAnsi="Arial"/>
                <w:sz w:val="18"/>
                <w:szCs w:val="18"/>
                <w:color w:val="000000"/>
                <w:w w:val="93"/>
              </w:rPr>
              <w:t>Effectiveincometaxrate</w:t>
            </w:r>
          </w:p>
        </w:tc>
        <w:tc>
          <w:tcPr>
            <w:tcW w:w="36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(90.9)%</w:t>
            </w:r>
          </w:p>
        </w:tc>
        <w:tc>
          <w:tcPr>
            <w:tcW w:w="6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-186690</wp:posOffset>
            </wp:positionV>
            <wp:extent cx="15875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158750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126682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57" w:lineRule="exact"/>
        <w:rPr>
          <w:sz w:val="20"/>
          <w:szCs w:val="20"/>
          <w:color w:val="auto"/>
        </w:rPr>
      </w:pPr>
    </w:p>
    <w:p>
      <w:pPr>
        <w:ind w:left="280" w:hanging="200"/>
        <w:spacing w:after="0"/>
        <w:tabs>
          <w:tab w:leader="none" w:pos="2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State taxes in California made up the majority of the tax effect in this category.</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260"/>
          </w:cols>
          <w:pgMar w:left="820" w:top="359" w:right="800" w:bottom="0" w:gutter="0" w:footer="0" w:header="0"/>
          <w:type w:val="continuous"/>
        </w:sectPr>
      </w:pPr>
    </w:p>
    <w:bookmarkStart w:id="54" w:name="page55"/>
    <w:bookmarkEnd w:id="54"/>
    <w:p>
      <w:pPr>
        <w:ind w:right="20" w:firstLine="450"/>
        <w:spacing w:after="0" w:line="283" w:lineRule="auto"/>
        <w:rPr>
          <w:sz w:val="20"/>
          <w:szCs w:val="20"/>
          <w:color w:val="auto"/>
        </w:rPr>
      </w:pPr>
      <w:r>
        <w:rPr>
          <w:rFonts w:ascii="Arial" w:cs="Arial" w:eastAsia="Arial" w:hAnsi="Arial"/>
          <w:sz w:val="20"/>
          <w:szCs w:val="20"/>
          <w:color w:val="auto"/>
        </w:rPr>
        <w:t>The following table is a reconciliation of the U.S. federal statutory rate of 21% to the Company’s effective rate for the year ended December 31, 2023 in accordance with the guidance prior to the adoption of ASU 2023-09: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8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Year Ended December 31,</w:t>
            </w:r>
          </w:p>
        </w:tc>
      </w:tr>
      <w:tr>
        <w:trPr>
          <w:trHeight w:val="235"/>
        </w:trPr>
        <w:tc>
          <w:tcPr>
            <w:tcW w:w="8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2023</w:t>
            </w:r>
          </w:p>
        </w:tc>
      </w:tr>
      <w:tr>
        <w:trPr>
          <w:trHeight w:val="237"/>
        </w:trPr>
        <w:tc>
          <w:tcPr>
            <w:tcW w:w="8280" w:type="dxa"/>
            <w:vAlign w:val="bottom"/>
          </w:tcPr>
          <w:p>
            <w:pPr>
              <w:jc w:val="right"/>
              <w:ind w:right="5951"/>
              <w:spacing w:after="0"/>
              <w:rPr>
                <w:sz w:val="20"/>
                <w:szCs w:val="20"/>
                <w:color w:val="auto"/>
              </w:rPr>
            </w:pPr>
            <w:r>
              <w:rPr>
                <w:rFonts w:ascii="Arial" w:cs="Arial" w:eastAsia="Arial" w:hAnsi="Arial"/>
                <w:sz w:val="16"/>
                <w:szCs w:val="16"/>
                <w:b w:val="1"/>
                <w:bCs w:val="1"/>
                <w:color w:val="auto"/>
                <w:w w:val="89"/>
              </w:rPr>
              <w:t>(In millions, except percentages)</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8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0"/>
              </w:rPr>
              <w:t xml:space="preserve">Loss Before Income Taxes </w:t>
            </w:r>
            <w:r>
              <w:rPr>
                <w:rFonts w:ascii="Arial" w:cs="Arial" w:eastAsia="Arial" w:hAnsi="Arial"/>
                <w:sz w:val="18"/>
                <w:szCs w:val="18"/>
                <w:color w:val="B4B4B4"/>
                <w:w w:val="90"/>
              </w:rPr>
              <w:t>. . . . . . . . . . . . . . . . . . . . . . . . . . . . . . . . . . . . . . . . . . . . . . . . . . . . . . . . . . . . . . . . . . . . .</w:t>
            </w:r>
          </w:p>
        </w:tc>
        <w:tc>
          <w:tcPr>
            <w:tcW w:w="480" w:type="dxa"/>
            <w:vAlign w:val="bottom"/>
            <w:tcBorders>
              <w:bottom w:val="single" w:sz="8" w:color="auto"/>
            </w:tcBorders>
            <w:shd w:val="clear" w:color="auto" w:fill="E6E6E6"/>
          </w:tcPr>
          <w:p>
            <w:pPr>
              <w:jc w:val="right"/>
              <w:ind w:right="253"/>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E6E6E6"/>
          </w:tcPr>
          <w:p>
            <w:pPr>
              <w:jc w:val="right"/>
              <w:ind w:right="91"/>
              <w:spacing w:after="0"/>
              <w:rPr>
                <w:sz w:val="20"/>
                <w:szCs w:val="20"/>
                <w:color w:val="auto"/>
              </w:rPr>
            </w:pPr>
            <w:r>
              <w:rPr>
                <w:rFonts w:ascii="Arial" w:cs="Arial" w:eastAsia="Arial" w:hAnsi="Arial"/>
                <w:sz w:val="18"/>
                <w:szCs w:val="18"/>
                <w:color w:val="auto"/>
              </w:rPr>
              <w:t>(16)</w:t>
            </w:r>
          </w:p>
        </w:tc>
      </w:tr>
      <w:tr>
        <w:trPr>
          <w:trHeight w:val="110"/>
        </w:trPr>
        <w:tc>
          <w:tcPr>
            <w:tcW w:w="8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55"/>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Tax at 21% </w:t>
            </w:r>
            <w:r>
              <w:rPr>
                <w:rFonts w:ascii="Arial" w:cs="Arial" w:eastAsia="Arial" w:hAnsi="Arial"/>
                <w:sz w:val="18"/>
                <w:szCs w:val="18"/>
                <w:color w:val="B4B4B4"/>
                <w:w w:val="90"/>
              </w:rPr>
              <w:t>. . . . . . . . . . . . . . . . . . . . . . . . . . . . . . . . . . . . . . . . . . . . . . . . . . . . . . . . . . . . . . . . . . . . . . . . . . . . . . . . .</w:t>
            </w:r>
          </w:p>
        </w:tc>
        <w:tc>
          <w:tcPr>
            <w:tcW w:w="480" w:type="dxa"/>
            <w:vAlign w:val="bottom"/>
            <w:shd w:val="clear" w:color="auto" w:fill="E6E6E6"/>
          </w:tcPr>
          <w:p>
            <w:pPr>
              <w:spacing w:after="0"/>
              <w:rPr>
                <w:sz w:val="22"/>
                <w:szCs w:val="22"/>
                <w:color w:val="auto"/>
              </w:rPr>
            </w:pPr>
          </w:p>
        </w:tc>
        <w:tc>
          <w:tcPr>
            <w:tcW w:w="15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(3)</w:t>
            </w:r>
          </w:p>
        </w:tc>
      </w:tr>
      <w:tr>
        <w:trPr>
          <w:trHeight w:val="248"/>
        </w:trPr>
        <w:tc>
          <w:tcPr>
            <w:tcW w:w="8280" w:type="dxa"/>
            <w:vAlign w:val="bottom"/>
          </w:tcPr>
          <w:p>
            <w:pPr>
              <w:jc w:val="right"/>
              <w:spacing w:after="0"/>
              <w:rPr>
                <w:sz w:val="20"/>
                <w:szCs w:val="20"/>
                <w:color w:val="auto"/>
              </w:rPr>
            </w:pPr>
            <w:r>
              <w:rPr>
                <w:rFonts w:ascii="Arial" w:cs="Arial" w:eastAsia="Arial" w:hAnsi="Arial"/>
                <w:sz w:val="18"/>
                <w:szCs w:val="18"/>
                <w:color w:val="auto"/>
                <w:w w:val="91"/>
              </w:rPr>
              <w:t xml:space="preserve">State taxes, net of federal benefit </w:t>
            </w:r>
            <w:r>
              <w:rPr>
                <w:rFonts w:ascii="Arial" w:cs="Arial" w:eastAsia="Arial" w:hAnsi="Arial"/>
                <w:sz w:val="18"/>
                <w:szCs w:val="18"/>
                <w:color w:val="B4B4B4"/>
                <w:w w:val="91"/>
              </w:rPr>
              <w:t>. . . . . . . . . . . . . . . . . . . . . . . . . . . . . . . . . . . . . . . . . . . . . . . . . . . . . . . . . . . . . . .</w:t>
            </w:r>
          </w:p>
        </w:tc>
        <w:tc>
          <w:tcPr>
            <w:tcW w:w="48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w:t>
            </w:r>
          </w:p>
        </w:tc>
      </w:tr>
      <w:tr>
        <w:trPr>
          <w:trHeight w:val="262"/>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Impact of non-taxable partnership earnings  </w:t>
            </w:r>
            <w:r>
              <w:rPr>
                <w:rFonts w:ascii="Arial" w:cs="Arial" w:eastAsia="Arial" w:hAnsi="Arial"/>
                <w:sz w:val="18"/>
                <w:szCs w:val="18"/>
                <w:color w:val="B4B4B4"/>
                <w:w w:val="92"/>
              </w:rPr>
              <w:t>. . . . . . . . . . . . . . . . . . . . . . . . . . . . . . . . . . . . . . . . . . . . . . . . . . . . . .</w:t>
            </w:r>
          </w:p>
        </w:tc>
        <w:tc>
          <w:tcPr>
            <w:tcW w:w="480" w:type="dxa"/>
            <w:vAlign w:val="bottom"/>
            <w:shd w:val="clear" w:color="auto" w:fill="E6E6E6"/>
          </w:tcPr>
          <w:p>
            <w:pPr>
              <w:spacing w:after="0"/>
              <w:rPr>
                <w:sz w:val="22"/>
                <w:szCs w:val="22"/>
                <w:color w:val="auto"/>
              </w:rPr>
            </w:pPr>
          </w:p>
        </w:tc>
        <w:tc>
          <w:tcPr>
            <w:tcW w:w="150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rPr>
              <w:t>21</w:t>
            </w:r>
          </w:p>
        </w:tc>
      </w:tr>
      <w:tr>
        <w:trPr>
          <w:trHeight w:val="248"/>
        </w:trPr>
        <w:tc>
          <w:tcPr>
            <w:tcW w:w="8280" w:type="dxa"/>
            <w:vAlign w:val="bottom"/>
          </w:tcPr>
          <w:p>
            <w:pPr>
              <w:jc w:val="right"/>
              <w:spacing w:after="0"/>
              <w:rPr>
                <w:sz w:val="20"/>
                <w:szCs w:val="20"/>
                <w:color w:val="auto"/>
              </w:rPr>
            </w:pPr>
            <w:r>
              <w:rPr>
                <w:rFonts w:ascii="Arial" w:cs="Arial" w:eastAsia="Arial" w:hAnsi="Arial"/>
                <w:sz w:val="18"/>
                <w:szCs w:val="18"/>
                <w:color w:val="auto"/>
                <w:w w:val="93"/>
              </w:rPr>
              <w:t xml:space="preserve">Valuation allowance </w:t>
            </w:r>
            <w:r>
              <w:rPr>
                <w:rFonts w:ascii="Arial" w:cs="Arial" w:eastAsia="Arial" w:hAnsi="Arial"/>
                <w:sz w:val="18"/>
                <w:szCs w:val="18"/>
                <w:color w:val="B4B4B4"/>
                <w:w w:val="93"/>
              </w:rPr>
              <w:t>. . . . . . . . . . . . . . . . . . . . . . . . . . . . . . . . . . . . . . . . . . . . . . . . . . . . . . . . . . . . . . . . . . . . . . . .</w:t>
            </w:r>
          </w:p>
        </w:tc>
        <w:tc>
          <w:tcPr>
            <w:tcW w:w="480" w:type="dxa"/>
            <w:vAlign w:val="bottom"/>
          </w:tcPr>
          <w:p>
            <w:pPr>
              <w:spacing w:after="0"/>
              <w:rPr>
                <w:sz w:val="21"/>
                <w:szCs w:val="21"/>
                <w:color w:val="auto"/>
              </w:rPr>
            </w:pPr>
          </w:p>
        </w:tc>
        <w:tc>
          <w:tcPr>
            <w:tcW w:w="1500" w:type="dxa"/>
            <w:vAlign w:val="bottom"/>
          </w:tcPr>
          <w:p>
            <w:pPr>
              <w:jc w:val="right"/>
              <w:ind w:right="151"/>
              <w:spacing w:after="0"/>
              <w:rPr>
                <w:sz w:val="20"/>
                <w:szCs w:val="20"/>
                <w:color w:val="auto"/>
              </w:rPr>
            </w:pPr>
            <w:r>
              <w:rPr>
                <w:rFonts w:ascii="Arial" w:cs="Arial" w:eastAsia="Arial" w:hAnsi="Arial"/>
                <w:sz w:val="18"/>
                <w:szCs w:val="18"/>
                <w:color w:val="auto"/>
              </w:rPr>
              <w:t>3</w:t>
            </w:r>
          </w:p>
        </w:tc>
      </w:tr>
      <w:tr>
        <w:trPr>
          <w:trHeight w:val="262"/>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Investment tax credits </w:t>
            </w:r>
            <w:r>
              <w:rPr>
                <w:rFonts w:ascii="Arial" w:cs="Arial" w:eastAsia="Arial" w:hAnsi="Arial"/>
                <w:sz w:val="18"/>
                <w:szCs w:val="18"/>
                <w:color w:val="B4B4B4"/>
                <w:w w:val="92"/>
              </w:rPr>
              <w:t>. . . . . . . . . . . . . . . . . . . . . . . . . . . . . . . . . . . . . . . . . . . . . . . . . . . . . . . . . . . . . . . . . . . . . . .</w:t>
            </w:r>
          </w:p>
        </w:tc>
        <w:tc>
          <w:tcPr>
            <w:tcW w:w="480" w:type="dxa"/>
            <w:vAlign w:val="bottom"/>
            <w:shd w:val="clear" w:color="auto" w:fill="E6E6E6"/>
          </w:tcPr>
          <w:p>
            <w:pPr>
              <w:spacing w:after="0"/>
              <w:rPr>
                <w:sz w:val="22"/>
                <w:szCs w:val="22"/>
                <w:color w:val="auto"/>
              </w:rPr>
            </w:pPr>
          </w:p>
        </w:tc>
        <w:tc>
          <w:tcPr>
            <w:tcW w:w="15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(1)</w:t>
            </w:r>
          </w:p>
        </w:tc>
      </w:tr>
      <w:tr>
        <w:trPr>
          <w:trHeight w:val="255"/>
        </w:trPr>
        <w:tc>
          <w:tcPr>
            <w:tcW w:w="8280" w:type="dxa"/>
            <w:vAlign w:val="bottom"/>
          </w:tcPr>
          <w:p>
            <w:pPr>
              <w:jc w:val="right"/>
              <w:spacing w:after="0" w:line="255" w:lineRule="exact"/>
              <w:rPr>
                <w:sz w:val="20"/>
                <w:szCs w:val="20"/>
                <w:color w:val="auto"/>
              </w:rPr>
            </w:pPr>
            <w:r>
              <w:rPr>
                <w:rFonts w:ascii="Arial" w:cs="Arial" w:eastAsia="Arial" w:hAnsi="Arial"/>
                <w:sz w:val="18"/>
                <w:szCs w:val="18"/>
                <w:color w:val="auto"/>
                <w:w w:val="91"/>
              </w:rPr>
              <w:t xml:space="preserve">Production tax credits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 . . . . . . . . . . . . . . . . . . . . . . . . . . . . . . . . . . . . . . . . .</w:t>
            </w:r>
          </w:p>
        </w:tc>
        <w:tc>
          <w:tcPr>
            <w:tcW w:w="480" w:type="dxa"/>
            <w:vAlign w:val="bottom"/>
          </w:tcPr>
          <w:p>
            <w:pPr>
              <w:spacing w:after="0"/>
              <w:rPr>
                <w:sz w:val="22"/>
                <w:szCs w:val="22"/>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(16)</w:t>
            </w:r>
          </w:p>
        </w:tc>
      </w:tr>
      <w:tr>
        <w:trPr>
          <w:trHeight w:val="255"/>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Rate change </w:t>
            </w:r>
            <w:r>
              <w:rPr>
                <w:rFonts w:ascii="Arial" w:cs="Arial" w:eastAsia="Arial" w:hAnsi="Arial"/>
                <w:sz w:val="18"/>
                <w:szCs w:val="18"/>
                <w:color w:val="B4B4B4"/>
                <w:w w:val="91"/>
              </w:rPr>
              <w:t>. . . . . . . . . . . . . . . . . . . . . . . . . . . . . . . . . . . . . . . . . . . . . . . . . . . . . . . . . . . . . . . . . . . . . . . . . . . . . . .</w:t>
            </w:r>
          </w:p>
        </w:tc>
        <w:tc>
          <w:tcPr>
            <w:tcW w:w="480" w:type="dxa"/>
            <w:vAlign w:val="bottom"/>
            <w:shd w:val="clear" w:color="auto" w:fill="E6E6E6"/>
          </w:tcPr>
          <w:p>
            <w:pPr>
              <w:spacing w:after="0"/>
              <w:rPr>
                <w:sz w:val="22"/>
                <w:szCs w:val="22"/>
                <w:color w:val="auto"/>
              </w:rPr>
            </w:pPr>
          </w:p>
        </w:tc>
        <w:tc>
          <w:tcPr>
            <w:tcW w:w="150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rPr>
              <w:t>1</w:t>
            </w:r>
          </w:p>
        </w:tc>
      </w:tr>
      <w:tr>
        <w:trPr>
          <w:trHeight w:val="248"/>
        </w:trPr>
        <w:tc>
          <w:tcPr>
            <w:tcW w:w="8280" w:type="dxa"/>
            <w:vAlign w:val="bottom"/>
          </w:tcPr>
          <w:p>
            <w:pPr>
              <w:jc w:val="right"/>
              <w:spacing w:after="0"/>
              <w:rPr>
                <w:sz w:val="20"/>
                <w:szCs w:val="20"/>
                <w:color w:val="auto"/>
              </w:rPr>
            </w:pPr>
            <w:r>
              <w:rPr>
                <w:rFonts w:ascii="Arial" w:cs="Arial" w:eastAsia="Arial" w:hAnsi="Arial"/>
                <w:sz w:val="18"/>
                <w:szCs w:val="18"/>
                <w:color w:val="auto"/>
                <w:w w:val="90"/>
              </w:rPr>
              <w:t xml:space="preserve">State taxes assessed at subsidiaries </w:t>
            </w:r>
            <w:r>
              <w:rPr>
                <w:rFonts w:ascii="Arial" w:cs="Arial" w:eastAsia="Arial" w:hAnsi="Arial"/>
                <w:sz w:val="18"/>
                <w:szCs w:val="18"/>
                <w:color w:val="B4B4B4"/>
                <w:w w:val="90"/>
              </w:rPr>
              <w:t>. . . . . . . . . . . . . . . . . . . . . . . . . . . . . . . . . . . . . . . . . . . . . . . . . . . . . . . . . . . . .</w:t>
            </w:r>
          </w:p>
        </w:tc>
        <w:tc>
          <w:tcPr>
            <w:tcW w:w="48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0"/>
        </w:trPr>
        <w:tc>
          <w:tcPr>
            <w:tcW w:w="8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4B4B4"/>
                <w:w w:val="92"/>
              </w:rPr>
              <w:t>. . . . . . . . . . . . . . . . . . . . . . . . . . . . . . . . . . . . . . . . . . . . . . . . . . . . . . . . . . . . . . . . . . . . . . . . . . . . . . . . . . . .</w:t>
            </w:r>
          </w:p>
        </w:tc>
        <w:tc>
          <w:tcPr>
            <w:tcW w:w="480" w:type="dxa"/>
            <w:vAlign w:val="bottom"/>
            <w:tcBorders>
              <w:bottom w:val="single" w:sz="8" w:color="auto"/>
            </w:tcBorders>
            <w:shd w:val="clear" w:color="auto" w:fill="E6E6E6"/>
          </w:tcPr>
          <w:p>
            <w:pPr>
              <w:spacing w:after="0"/>
              <w:rPr>
                <w:sz w:val="23"/>
                <w:szCs w:val="23"/>
                <w:color w:val="auto"/>
              </w:rPr>
            </w:pPr>
          </w:p>
        </w:tc>
        <w:tc>
          <w:tcPr>
            <w:tcW w:w="1500" w:type="dxa"/>
            <w:vAlign w:val="bottom"/>
            <w:tcBorders>
              <w:bottom w:val="single" w:sz="8" w:color="auto"/>
            </w:tcBorders>
            <w:shd w:val="clear" w:color="auto" w:fill="E6E6E6"/>
          </w:tcPr>
          <w:p>
            <w:pPr>
              <w:jc w:val="right"/>
              <w:ind w:right="91"/>
              <w:spacing w:after="0"/>
              <w:rPr>
                <w:sz w:val="20"/>
                <w:szCs w:val="20"/>
                <w:color w:val="auto"/>
              </w:rPr>
            </w:pPr>
            <w:r>
              <w:rPr>
                <w:rFonts w:ascii="Arial" w:cs="Arial" w:eastAsia="Arial" w:hAnsi="Arial"/>
                <w:sz w:val="18"/>
                <w:szCs w:val="18"/>
                <w:color w:val="auto"/>
              </w:rPr>
              <w:t>(2)</w:t>
            </w:r>
          </w:p>
        </w:tc>
      </w:tr>
      <w:tr>
        <w:trPr>
          <w:trHeight w:val="197"/>
        </w:trPr>
        <w:tc>
          <w:tcPr>
            <w:tcW w:w="8280" w:type="dxa"/>
            <w:vAlign w:val="bottom"/>
          </w:tcPr>
          <w:p>
            <w:pPr>
              <w:jc w:val="right"/>
              <w:spacing w:after="0" w:line="197" w:lineRule="exact"/>
              <w:rPr>
                <w:sz w:val="20"/>
                <w:szCs w:val="20"/>
                <w:color w:val="auto"/>
              </w:rPr>
            </w:pPr>
            <w:r>
              <w:rPr>
                <w:rFonts w:ascii="Arial" w:cs="Arial" w:eastAsia="Arial" w:hAnsi="Arial"/>
                <w:sz w:val="18"/>
                <w:szCs w:val="18"/>
                <w:color w:val="B4B4B4"/>
                <w:w w:val="95"/>
              </w:rPr>
              <w:t>. . . . . . . . . . . . . . . . . . . . . . . . . . . . . . . . . . . . . . . . . . . . . . . . . . . . . . . . . . . . . . . . . . . . . . . . .</w:t>
            </w:r>
            <w:r>
              <w:rPr>
                <w:rFonts w:ascii="Arial" w:cs="Arial" w:eastAsia="Arial" w:hAnsi="Arial"/>
                <w:sz w:val="18"/>
                <w:szCs w:val="18"/>
                <w:color w:val="000000"/>
                <w:w w:val="95"/>
              </w:rPr>
              <w:t>Incometaxbenefit</w:t>
            </w:r>
          </w:p>
        </w:tc>
        <w:tc>
          <w:tcPr>
            <w:tcW w:w="480" w:type="dxa"/>
            <w:vAlign w:val="bottom"/>
            <w:tcBorders>
              <w:bottom w:val="single" w:sz="8" w:color="auto"/>
            </w:tcBorders>
          </w:tcPr>
          <w:p>
            <w:pPr>
              <w:jc w:val="right"/>
              <w:ind w:right="253"/>
              <w:spacing w:after="0" w:line="197"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91"/>
              <w:spacing w:after="0" w:line="197" w:lineRule="exact"/>
              <w:rPr>
                <w:sz w:val="20"/>
                <w:szCs w:val="20"/>
                <w:color w:val="auto"/>
              </w:rPr>
            </w:pPr>
            <w:r>
              <w:rPr>
                <w:rFonts w:ascii="Arial" w:cs="Arial" w:eastAsia="Arial" w:hAnsi="Arial"/>
                <w:sz w:val="18"/>
                <w:szCs w:val="18"/>
                <w:color w:val="auto"/>
              </w:rPr>
              <w:t>(2)</w:t>
            </w:r>
          </w:p>
        </w:tc>
      </w:tr>
      <w:tr>
        <w:trPr>
          <w:trHeight w:val="20"/>
        </w:trPr>
        <w:tc>
          <w:tcPr>
            <w:tcW w:w="8280" w:type="dxa"/>
            <w:vAlign w:val="bottom"/>
            <w:tcBorders>
              <w:bottom w:val="single" w:sz="8" w:color="E6E6E6"/>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5"/>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3"/>
              </w:rPr>
              <w:t>. . . . . . . . . . . . . . . . . . . . . . . . . . . . . . . . . . . . . . . . . . . . . . . . . . . . . . . . . . . . . . . . . . . . . .</w:t>
            </w:r>
            <w:r>
              <w:rPr>
                <w:rFonts w:ascii="Arial" w:cs="Arial" w:eastAsia="Arial" w:hAnsi="Arial"/>
                <w:sz w:val="18"/>
                <w:szCs w:val="18"/>
                <w:color w:val="000000"/>
                <w:w w:val="93"/>
              </w:rPr>
              <w:t>Effectiveincometaxrate</w:t>
            </w:r>
          </w:p>
        </w:tc>
        <w:tc>
          <w:tcPr>
            <w:tcW w:w="480" w:type="dxa"/>
            <w:vAlign w:val="bottom"/>
            <w:shd w:val="clear" w:color="auto" w:fill="E6E6E6"/>
          </w:tcPr>
          <w:p>
            <w:pPr>
              <w:spacing w:after="0"/>
              <w:rPr>
                <w:sz w:val="19"/>
                <w:szCs w:val="19"/>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-186690</wp:posOffset>
            </wp:positionV>
            <wp:extent cx="128270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128270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wp:posOffset>
            </wp:positionV>
            <wp:extent cx="126682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5" w:lineRule="exact"/>
        <w:rPr>
          <w:sz w:val="20"/>
          <w:szCs w:val="20"/>
          <w:color w:val="auto"/>
        </w:rPr>
      </w:pPr>
    </w:p>
    <w:p>
      <w:pPr>
        <w:ind w:left="80"/>
        <w:spacing w:after="0" w:line="226" w:lineRule="auto"/>
        <w:tabs>
          <w:tab w:leader="none" w:pos="284"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On December 6, 2023, the Company executed an agreement with a third party to sell the PTCs generated by the Alta X and Alta XI wind facilities, which resulted in a $14 million income tax benefit (reduction to income tax expense).</w:t>
      </w:r>
    </w:p>
    <w:p>
      <w:pPr>
        <w:spacing w:after="0" w:line="151"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 Attributable to Noncontrolling Interests and Redeemable Noncontrolling Interests</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For the year ended December 31, 2024, the Company had a net loss of $151 million attributable to noncontrolling interests and redeemable noncontrolling interests comprised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Borders>
              <w:bottom w:val="single" w:sz="8" w:color="E6E6E6"/>
            </w:tcBorders>
          </w:tcPr>
          <w:p>
            <w:pPr>
              <w:spacing w:after="0"/>
              <w:rPr>
                <w:sz w:val="21"/>
                <w:szCs w:val="21"/>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2"/>
        </w:trPr>
        <w:tc>
          <w:tcPr>
            <w:tcW w:w="9000" w:type="dxa"/>
            <w:vAlign w:val="bottom"/>
            <w:shd w:val="clear" w:color="auto" w:fill="E6E6E6"/>
          </w:tcPr>
          <w:p>
            <w:pPr>
              <w:ind w:left="40"/>
              <w:spacing w:after="0" w:line="212" w:lineRule="exact"/>
              <w:rPr>
                <w:sz w:val="20"/>
                <w:szCs w:val="20"/>
                <w:color w:val="auto"/>
              </w:rPr>
            </w:pPr>
            <w:r>
              <w:rPr>
                <w:rFonts w:ascii="Arial" w:cs="Arial" w:eastAsia="Arial" w:hAnsi="Arial"/>
                <w:sz w:val="20"/>
                <w:szCs w:val="20"/>
                <w:color w:val="auto"/>
                <w:w w:val="94"/>
              </w:rPr>
              <w:t>Losses attributable to tax equity financing arrangements and the application of the HLBV method (primarily</w:t>
            </w:r>
          </w:p>
        </w:tc>
        <w:tc>
          <w:tcPr>
            <w:tcW w:w="480" w:type="dxa"/>
            <w:vAlign w:val="bottom"/>
            <w:vMerge w:val="restart"/>
            <w:shd w:val="clear" w:color="auto" w:fill="E6E6E6"/>
          </w:tcPr>
          <w:p>
            <w:pPr>
              <w:jc w:val="right"/>
              <w:ind w:right="223"/>
              <w:spacing w:after="0"/>
              <w:rPr>
                <w:sz w:val="20"/>
                <w:szCs w:val="20"/>
                <w:color w:val="auto"/>
              </w:rPr>
            </w:pPr>
            <w:r>
              <w:rPr>
                <w:rFonts w:ascii="Arial" w:cs="Arial" w:eastAsia="Arial" w:hAnsi="Arial"/>
                <w:sz w:val="20"/>
                <w:szCs w:val="20"/>
                <w:color w:val="auto"/>
              </w:rPr>
              <w:t>$</w:t>
            </w: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(404)</w:t>
            </w:r>
          </w:p>
        </w:tc>
        <w:tc>
          <w:tcPr>
            <w:tcW w:w="0" w:type="dxa"/>
            <w:vAlign w:val="bottom"/>
          </w:tcPr>
          <w:p>
            <w:pPr>
              <w:spacing w:after="0"/>
              <w:rPr>
                <w:sz w:val="1"/>
                <w:szCs w:val="1"/>
                <w:color w:val="auto"/>
              </w:rPr>
            </w:pPr>
          </w:p>
        </w:tc>
      </w:tr>
      <w:tr>
        <w:trPr>
          <w:trHeight w:val="273"/>
        </w:trPr>
        <w:tc>
          <w:tcPr>
            <w:tcW w:w="9000" w:type="dxa"/>
            <w:vAlign w:val="bottom"/>
            <w:shd w:val="clear" w:color="auto" w:fill="E6E6E6"/>
          </w:tcPr>
          <w:p>
            <w:pPr>
              <w:ind w:left="40"/>
              <w:spacing w:after="0"/>
              <w:rPr>
                <w:sz w:val="20"/>
                <w:szCs w:val="20"/>
                <w:color w:val="auto"/>
              </w:rPr>
            </w:pPr>
            <w:r>
              <w:rPr>
                <w:rFonts w:ascii="Arial" w:cs="Arial" w:eastAsia="Arial" w:hAnsi="Arial"/>
                <w:sz w:val="20"/>
                <w:szCs w:val="20"/>
                <w:color w:val="auto"/>
                <w:w w:val="94"/>
              </w:rPr>
              <w:t xml:space="preserve">due to VP-Arica TE Holdco LLC and Rosie TE HoldCo LLC HLBV losses) </w:t>
            </w:r>
            <w:r>
              <w:rPr>
                <w:rFonts w:ascii="Arial" w:cs="Arial" w:eastAsia="Arial" w:hAnsi="Arial"/>
                <w:sz w:val="20"/>
                <w:szCs w:val="20"/>
                <w:color w:val="B4B4B4"/>
                <w:w w:val="94"/>
              </w:rPr>
              <w:t>. . . . . . . . . . . . . . . . . . . . . . . . . . .</w:t>
            </w:r>
          </w:p>
        </w:tc>
        <w:tc>
          <w:tcPr>
            <w:tcW w:w="480" w:type="dxa"/>
            <w:vAlign w:val="bottom"/>
            <w:vMerge w:val="continue"/>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9000" w:type="dxa"/>
            <w:vAlign w:val="bottom"/>
          </w:tcPr>
          <w:p>
            <w:pPr>
              <w:ind w:left="40"/>
              <w:spacing w:after="0" w:line="222" w:lineRule="exact"/>
              <w:rPr>
                <w:sz w:val="20"/>
                <w:szCs w:val="20"/>
                <w:color w:val="auto"/>
              </w:rPr>
            </w:pPr>
            <w:r>
              <w:rPr>
                <w:rFonts w:ascii="Arial" w:cs="Arial" w:eastAsia="Arial" w:hAnsi="Arial"/>
                <w:sz w:val="20"/>
                <w:szCs w:val="20"/>
                <w:color w:val="auto"/>
                <w:w w:val="98"/>
              </w:rPr>
              <w:t>Income attributable to third-party partnerships (primarily due to VP-Arica TE Holdco LLC and Rosie TE</w:t>
            </w:r>
          </w:p>
        </w:tc>
        <w:tc>
          <w:tcPr>
            <w:tcW w:w="4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67"/>
        </w:trPr>
        <w:tc>
          <w:tcPr>
            <w:tcW w:w="9000" w:type="dxa"/>
            <w:vAlign w:val="bottom"/>
          </w:tcPr>
          <w:p>
            <w:pPr>
              <w:ind w:left="40"/>
              <w:spacing w:after="0"/>
              <w:rPr>
                <w:sz w:val="20"/>
                <w:szCs w:val="20"/>
                <w:color w:val="auto"/>
              </w:rPr>
            </w:pPr>
            <w:r>
              <w:rPr>
                <w:rFonts w:ascii="Arial" w:cs="Arial" w:eastAsia="Arial" w:hAnsi="Arial"/>
                <w:sz w:val="20"/>
                <w:szCs w:val="20"/>
                <w:color w:val="auto"/>
                <w:w w:val="92"/>
              </w:rPr>
              <w:t xml:space="preserve">Holdco LLC HLBV losses) </w:t>
            </w:r>
            <w:r>
              <w:rPr>
                <w:rFonts w:ascii="Arial" w:cs="Arial" w:eastAsia="Arial" w:hAnsi="Arial"/>
                <w:sz w:val="20"/>
                <w:szCs w:val="20"/>
                <w:color w:val="B4B4B4"/>
                <w:w w:val="92"/>
              </w:rPr>
              <w:t>. . . . . . . . . . . . . . . . . . . . . . . . . . . . . . . . . . . . . . . . . . . . . . . . . . . . . . . . . . . . . . . . . .</w:t>
            </w:r>
          </w:p>
        </w:tc>
        <w:tc>
          <w:tcPr>
            <w:tcW w:w="48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9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2"/>
              </w:rPr>
              <w:t xml:space="preserve">CEG’s economic interest in Clearway Energy LLC </w:t>
            </w:r>
            <w:r>
              <w:rPr>
                <w:rFonts w:ascii="Arial" w:cs="Arial" w:eastAsia="Arial" w:hAnsi="Arial"/>
                <w:sz w:val="20"/>
                <w:szCs w:val="20"/>
                <w:color w:val="B4B4B4"/>
                <w:w w:val="92"/>
              </w:rPr>
              <w:t>. . . . . . . . . . . . . . . . . . . . . . . . . . . . . . . . . . . . . . . . . . . . . . .</w:t>
            </w:r>
          </w:p>
        </w:tc>
        <w:tc>
          <w:tcPr>
            <w:tcW w:w="48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60"/>
        </w:trPr>
        <w:tc>
          <w:tcPr>
            <w:tcW w:w="9000" w:type="dxa"/>
            <w:vAlign w:val="bottom"/>
          </w:tcPr>
          <w:p>
            <w:pPr>
              <w:spacing w:after="0"/>
              <w:rPr>
                <w:sz w:val="22"/>
                <w:szCs w:val="22"/>
                <w:color w:val="auto"/>
              </w:rPr>
            </w:pPr>
          </w:p>
        </w:tc>
        <w:tc>
          <w:tcPr>
            <w:tcW w:w="480" w:type="dxa"/>
            <w:vAlign w:val="bottom"/>
            <w:tcBorders>
              <w:bottom w:val="single" w:sz="8" w:color="auto"/>
            </w:tcBorders>
          </w:tcPr>
          <w:p>
            <w:pPr>
              <w:jc w:val="right"/>
              <w:ind w:right="223"/>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-43815</wp:posOffset>
            </wp:positionV>
            <wp:extent cx="81597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815975" cy="50800"/>
                    </a:xfrm>
                    <a:prstGeom prst="rect">
                      <a:avLst/>
                    </a:prstGeom>
                    <a:noFill/>
                  </pic:spPr>
                </pic:pic>
              </a:graphicData>
            </a:graphic>
          </wp:anchor>
        </w:drawing>
      </w:r>
    </w:p>
    <w:p>
      <w:pPr>
        <w:spacing w:after="0" w:line="16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For the year ended December 31, 2023, the Company had a net loss of $93 million attributable to noncontrolling interests and redeemable noncontrolling interests comprised of the following:</w:t>
      </w:r>
    </w:p>
    <w:p>
      <w:pPr>
        <w:sectPr>
          <w:pgSz w:w="11880" w:h="15480" w:orient="portrait"/>
          <w:cols w:equalWidth="0" w:num="1">
            <w:col w:w="10260"/>
          </w:cols>
          <w:pgMar w:left="820" w:top="367" w:right="800" w:bottom="0" w:gutter="0" w:footer="0" w:header="0"/>
        </w:sectPr>
      </w:pPr>
    </w:p>
    <w:p>
      <w:pPr>
        <w:spacing w:after="0" w:line="381" w:lineRule="exact"/>
        <w:rPr>
          <w:sz w:val="20"/>
          <w:szCs w:val="20"/>
          <w:color w:val="auto"/>
        </w:rPr>
      </w:pPr>
    </w:p>
    <w:p>
      <w:pPr>
        <w:ind w:left="40"/>
        <w:spacing w:after="0" w:line="269" w:lineRule="auto"/>
        <w:rPr>
          <w:sz w:val="20"/>
          <w:szCs w:val="20"/>
          <w:color w:val="auto"/>
        </w:rPr>
      </w:pPr>
      <w:r>
        <w:rPr>
          <w:rFonts w:ascii="Arial" w:cs="Arial" w:eastAsia="Arial" w:hAnsi="Arial"/>
          <w:sz w:val="18"/>
          <w:szCs w:val="18"/>
          <w:color w:val="auto"/>
        </w:rPr>
        <w:t xml:space="preserve">Losses attributable to tax equity financing arrangements and the application of HLBV method (primarily due to Daggett TE Holdco LLC and Daggett 2 TE Holdco LLC HLBV losses) </w:t>
      </w:r>
      <w:r>
        <w:rPr>
          <w:rFonts w:ascii="Arial" w:cs="Arial" w:eastAsia="Arial" w:hAnsi="Arial"/>
          <w:sz w:val="18"/>
          <w:szCs w:val="18"/>
          <w:color w:val="B4B4B4"/>
        </w:rPr>
        <w:t>.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-313690</wp:posOffset>
            </wp:positionV>
            <wp:extent cx="6515100" cy="320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6515100" cy="320675"/>
                    </a:xfrm>
                    <a:prstGeom prst="rect">
                      <a:avLst/>
                    </a:prstGeom>
                    <a:noFill/>
                  </pic:spPr>
                </pic:pic>
              </a:graphicData>
            </a:graphic>
          </wp:anchor>
        </w:drawing>
      </w:r>
    </w:p>
    <w:p>
      <w:pPr>
        <w:ind w:left="40"/>
        <w:spacing w:after="0" w:line="289" w:lineRule="auto"/>
        <w:rPr>
          <w:sz w:val="20"/>
          <w:szCs w:val="20"/>
          <w:color w:val="auto"/>
        </w:rPr>
      </w:pPr>
      <w:r>
        <w:rPr>
          <w:rFonts w:ascii="Arial" w:cs="Arial" w:eastAsia="Arial" w:hAnsi="Arial"/>
          <w:sz w:val="18"/>
          <w:szCs w:val="18"/>
          <w:color w:val="auto"/>
        </w:rPr>
        <w:t xml:space="preserve">Income attributable to third-party partnerships (primarily due to Daggett TE Holdco LLC and Daggett 2 TE Holdco LLC HLBV losses) </w:t>
      </w:r>
      <w:r>
        <w:rPr>
          <w:rFonts w:ascii="Arial" w:cs="Arial" w:eastAsia="Arial" w:hAnsi="Arial"/>
          <w:sz w:val="18"/>
          <w:szCs w:val="18"/>
          <w:color w:val="B4B4B4"/>
        </w:rPr>
        <w:t>.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51510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6515100" cy="1968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CEG’s economic interest in Clearway Energy LLC </w:t>
      </w:r>
      <w:r>
        <w:rPr>
          <w:rFonts w:ascii="Arial" w:cs="Arial" w:eastAsia="Arial" w:hAnsi="Arial"/>
          <w:sz w:val="18"/>
          <w:szCs w:val="18"/>
          <w:color w:val="B4B4B4"/>
        </w:rPr>
        <w:t>. . . . . . . . . . . . . . . . . . . . . . . . . . . . . . . . . . . . . . . . . . . . . . .</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02"/>
        <w:spacing w:after="0"/>
        <w:rPr>
          <w:sz w:val="20"/>
          <w:szCs w:val="20"/>
          <w:color w:val="auto"/>
        </w:rPr>
      </w:pPr>
      <w:r>
        <w:rPr>
          <w:rFonts w:ascii="Arial" w:cs="Arial" w:eastAsia="Arial" w:hAnsi="Arial"/>
          <w:sz w:val="18"/>
          <w:szCs w:val="18"/>
          <w:b w:val="1"/>
          <w:bCs w:val="1"/>
          <w:color w:val="auto"/>
        </w:rPr>
        <w:t>(In millions)</w:t>
      </w:r>
    </w:p>
    <w:p>
      <w:pPr>
        <w:spacing w:after="0" w:line="267" w:lineRule="exact"/>
        <w:rPr>
          <w:sz w:val="20"/>
          <w:szCs w:val="20"/>
          <w:color w:val="auto"/>
        </w:rPr>
      </w:pPr>
    </w:p>
    <w:p>
      <w:pPr>
        <w:ind w:left="742" w:hanging="742"/>
        <w:spacing w:after="0"/>
        <w:tabs>
          <w:tab w:leader="none" w:pos="7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(388)</w:t>
      </w:r>
    </w:p>
    <w:p>
      <w:pPr>
        <w:spacing w:after="0" w:line="258"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226</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69</w:t>
      </w:r>
    </w:p>
    <w:p>
      <w:pPr>
        <w:spacing w:after="0" w:line="70" w:lineRule="exact"/>
        <w:rPr>
          <w:sz w:val="20"/>
          <w:szCs w:val="20"/>
          <w:color w:val="auto"/>
        </w:rPr>
      </w:pPr>
    </w:p>
    <w:p>
      <w:pPr>
        <w:ind w:left="842" w:hanging="842"/>
        <w:spacing w:after="0"/>
        <w:tabs>
          <w:tab w:leader="none" w:pos="842" w:val="left"/>
        </w:tabs>
        <w:numPr>
          <w:ilvl w:val="0"/>
          <w:numId w:val="31"/>
        </w:numPr>
        <w:rPr>
          <w:rFonts w:ascii="Arial" w:cs="Arial" w:eastAsia="Arial" w:hAnsi="Arial"/>
          <w:sz w:val="19"/>
          <w:szCs w:val="19"/>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10160</wp:posOffset>
            </wp:positionV>
            <wp:extent cx="81597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815975"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8880" w:space="178"/>
            <w:col w:w="1202"/>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260"/>
          </w:cols>
          <w:pgMar w:left="820" w:top="367" w:right="80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77"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8"/>
          <w:szCs w:val="18"/>
          <w:color w:val="auto"/>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Liquidity Position</w:t>
      </w:r>
    </w:p>
    <w:p>
      <w:pPr>
        <w:spacing w:after="0" w:line="178" w:lineRule="exact"/>
        <w:rPr>
          <w:sz w:val="20"/>
          <w:szCs w:val="20"/>
          <w:color w:val="auto"/>
        </w:rPr>
      </w:pPr>
    </w:p>
    <w:p>
      <w:pPr>
        <w:jc w:val="both"/>
        <w:ind w:right="20" w:firstLine="450"/>
        <w:spacing w:after="0" w:line="310" w:lineRule="auto"/>
        <w:rPr>
          <w:sz w:val="20"/>
          <w:szCs w:val="20"/>
          <w:color w:val="auto"/>
        </w:rPr>
      </w:pPr>
      <w:r>
        <w:rPr>
          <w:rFonts w:ascii="Arial" w:cs="Arial" w:eastAsia="Arial" w:hAnsi="Arial"/>
          <w:sz w:val="19"/>
          <w:szCs w:val="19"/>
          <w:color w:val="auto"/>
        </w:rPr>
        <w:t>As of December 31, 2024 and 2023, the Company’s liquidity was approximately $1,330 million and $1,505 million, respectively, comprised of cash, restricted cash and availability under the Company’s revolving credit facility.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As of December 31,</w:t>
            </w:r>
          </w:p>
        </w:tc>
      </w:tr>
      <w:tr>
        <w:trPr>
          <w:trHeight w:val="235"/>
        </w:trPr>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r>
      <w:tr>
        <w:trPr>
          <w:trHeight w:val="283"/>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(In millions)</w:t>
            </w:r>
          </w:p>
        </w:tc>
      </w:tr>
      <w:tr>
        <w:trPr>
          <w:trHeight w:val="307"/>
        </w:trPr>
        <w:tc>
          <w:tcPr>
            <w:tcW w:w="778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3"/>
        </w:trPr>
        <w:tc>
          <w:tcPr>
            <w:tcW w:w="7780" w:type="dxa"/>
            <w:vAlign w:val="bottom"/>
          </w:tcPr>
          <w:p>
            <w:pPr>
              <w:jc w:val="right"/>
              <w:spacing w:after="0"/>
              <w:rPr>
                <w:sz w:val="20"/>
                <w:szCs w:val="20"/>
                <w:color w:val="auto"/>
              </w:rPr>
            </w:pPr>
            <w:r>
              <w:rPr>
                <w:rFonts w:ascii="Arial" w:cs="Arial" w:eastAsia="Arial" w:hAnsi="Arial"/>
                <w:sz w:val="18"/>
                <w:szCs w:val="18"/>
                <w:color w:val="auto"/>
                <w:w w:val="94"/>
              </w:rPr>
              <w:t xml:space="preserve">Clearway Energy, Inc. and Clearway Energy LLC, excluding subsidiaries  </w:t>
            </w:r>
            <w:r>
              <w:rPr>
                <w:rFonts w:ascii="Arial" w:cs="Arial" w:eastAsia="Arial" w:hAnsi="Arial"/>
                <w:sz w:val="18"/>
                <w:szCs w:val="18"/>
                <w:color w:val="B4B4B4"/>
                <w:w w:val="94"/>
              </w:rPr>
              <w:t>. . . . . . . . . . . . . . . . . . . . . .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307"/>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Subsidiaries </w:t>
            </w:r>
            <w:r>
              <w:rPr>
                <w:rFonts w:ascii="Arial" w:cs="Arial" w:eastAsia="Arial" w:hAnsi="Arial"/>
                <w:sz w:val="18"/>
                <w:szCs w:val="18"/>
                <w:color w:val="B4B4B4"/>
                <w:w w:val="92"/>
              </w:rPr>
              <w:t>. . . . . . . . . . . . . . . . . . . . . . . . . . . . . . . . . . . . . . . . . . . . . . . . . . . . . . . . . . . . . . . . . . . . . . . . .</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w:t>
            </w:r>
          </w:p>
        </w:tc>
      </w:tr>
      <w:tr>
        <w:trPr>
          <w:trHeight w:val="29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7"/>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Operating accounts  </w:t>
            </w:r>
            <w:r>
              <w:rPr>
                <w:rFonts w:ascii="Arial" w:cs="Arial" w:eastAsia="Arial" w:hAnsi="Arial"/>
                <w:sz w:val="18"/>
                <w:szCs w:val="18"/>
                <w:color w:val="B4B4B4"/>
                <w:w w:val="93"/>
              </w:rPr>
              <w:t>. . . . . . . . . . . . . . . . . . . . . . . . . . . . . . . . . . . . . . . . . . . . . . . . . . . . . . . . . . . . . . . . . .</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176</w:t>
            </w:r>
          </w:p>
        </w:tc>
      </w:tr>
      <w:tr>
        <w:trPr>
          <w:trHeight w:val="290"/>
        </w:trPr>
        <w:tc>
          <w:tcPr>
            <w:tcW w:w="77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4"/>
              </w:rPr>
              <w:t xml:space="preserve">Reserves, including debt service, distributions, performance obligations and other reserves  </w:t>
            </w:r>
            <w:r>
              <w:rPr>
                <w:rFonts w:ascii="Arial" w:cs="Arial" w:eastAsia="Arial" w:hAnsi="Arial"/>
                <w:sz w:val="18"/>
                <w:szCs w:val="18"/>
                <w:color w:val="B4B4B4"/>
                <w:w w:val="94"/>
              </w:rPr>
              <w:t>. . . . . . . . .</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90"/>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Total cash, cash equivalents and restricted cash </w:t>
            </w:r>
            <w:r>
              <w:rPr>
                <w:rFonts w:ascii="Arial" w:cs="Arial" w:eastAsia="Arial" w:hAnsi="Arial"/>
                <w:sz w:val="18"/>
                <w:szCs w:val="18"/>
                <w:color w:val="B4B4B4"/>
                <w:w w:val="90"/>
              </w:rPr>
              <w:t>. . . . . . . . . . . . . . . . . . . . . . . . . . . . . . . . . . . . . . . . . . . . . . .</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733</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1,051</w:t>
            </w:r>
          </w:p>
        </w:tc>
      </w:tr>
      <w:tr>
        <w:trPr>
          <w:trHeight w:val="290"/>
        </w:trPr>
        <w:tc>
          <w:tcPr>
            <w:tcW w:w="77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6"/>
              </w:rPr>
              <w:t xml:space="preserve">Revolving credit facility availability </w:t>
            </w:r>
            <w:r>
              <w:rPr>
                <w:rFonts w:ascii="Arial" w:cs="Arial" w:eastAsia="Arial" w:hAnsi="Arial"/>
                <w:sz w:val="18"/>
                <w:szCs w:val="18"/>
                <w:color w:val="B4B4B4"/>
                <w:w w:val="96"/>
              </w:rPr>
              <w:t>. . . . . . . . . . . . . . . . . . . . . . . . . . . . . . . . . . . . . . . . . . . . . . . . . . . . .</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80"/>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0"/>
              </w:rPr>
              <w:t xml:space="preserve">Total liquidity </w:t>
            </w:r>
            <w:r>
              <w:rPr>
                <w:rFonts w:ascii="Arial" w:cs="Arial" w:eastAsia="Arial" w:hAnsi="Arial"/>
                <w:sz w:val="18"/>
                <w:szCs w:val="18"/>
                <w:b w:val="1"/>
                <w:bCs w:val="1"/>
                <w:color w:val="B4B4B4"/>
                <w:w w:val="90"/>
              </w:rPr>
              <w:t>. . . . . . . . . . . . . . . . . . . . . . . . . . . . . . . . . . . . . . . . . . . . . . . . . . . . . . . . . . . . . . . . . . . . . . . . .</w:t>
            </w:r>
          </w:p>
        </w:tc>
        <w:tc>
          <w:tcPr>
            <w:tcW w:w="28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1,330</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1,505</w:t>
            </w:r>
          </w:p>
        </w:tc>
      </w:tr>
      <w:tr>
        <w:trPr>
          <w:trHeight w:val="20"/>
        </w:trPr>
        <w:tc>
          <w:tcPr>
            <w:tcW w:w="778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-43815</wp:posOffset>
            </wp:positionV>
            <wp:extent cx="159702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1597025" cy="50800"/>
                    </a:xfrm>
                    <a:prstGeom prst="rect">
                      <a:avLst/>
                    </a:prstGeom>
                    <a:noFill/>
                  </pic:spPr>
                </pic:pic>
              </a:graphicData>
            </a:graphic>
          </wp:anchor>
        </w:drawing>
      </w:r>
    </w:p>
    <w:p>
      <w:pPr>
        <w:spacing w:after="0" w:line="167"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8"/>
          <w:szCs w:val="18"/>
          <w:color w:val="auto"/>
        </w:rPr>
        <w:t>The Company’s liquidity includes $401 million and $516 million of restricted cash balances as of December 31, 2024 and 2023, respectively. Restricted cash consists primarily of funds to satisfy the requirements of certain debt arrangements and funds held within the Company’s facilities that are restricted in their use. As of December 31, 2024, these restricted funds were comprised of $184 million designated to fund operating expenses, approximately $37 million designated for current debt service payments, and $102 million restricted for reserves, including debt service, performance obligations and other reserves, as well as capital expenditures. The remaining $78 million is held in distribution reserve accounts.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Clearway Energy LLC and Clearway Energy Operating LLC Revolving Credit Facility</w:t>
      </w:r>
    </w:p>
    <w:p>
      <w:pPr>
        <w:spacing w:after="0" w:line="193"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As of December 31, 2024, the Company had no outstanding borrowings under its revolving credit facility and $103 million in letters of credit outstanding. The facility will continue to be used for general corporate purposes, including financing of future investments or acquisitions and posting letters of credit.</w:t>
      </w:r>
    </w:p>
    <w:p>
      <w:pPr>
        <w:spacing w:after="0" w:line="135"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Ratings</w:t>
      </w:r>
    </w:p>
    <w:p>
      <w:pPr>
        <w:spacing w:after="0" w:line="198"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260"/>
          </w:cols>
          <w:pgMar w:left="820" w:top="360" w:right="800" w:bottom="0" w:gutter="0" w:footer="0" w:header="0"/>
          <w:type w:val="continuous"/>
        </w:sectPr>
      </w:pPr>
    </w:p>
    <w:bookmarkStart w:id="56" w:name="page57"/>
    <w:bookmarkEnd w:id="56"/>
    <w:p>
      <w:pPr>
        <w:jc w:val="both"/>
        <w:ind w:left="10" w:right="20" w:firstLine="450"/>
        <w:spacing w:after="0" w:line="283" w:lineRule="auto"/>
        <w:rPr>
          <w:sz w:val="20"/>
          <w:szCs w:val="20"/>
          <w:color w:val="auto"/>
        </w:rPr>
      </w:pPr>
      <w:r>
        <w:rPr>
          <w:rFonts w:ascii="Arial" w:cs="Arial" w:eastAsia="Arial" w:hAnsi="Arial"/>
          <w:sz w:val="20"/>
          <w:szCs w:val="20"/>
          <w:color w:val="auto"/>
        </w:rPr>
        <w:t>The following table summarizes the credit ratings for the Company and its Senior Notes as of December 31, 2024. The ratings outlook is stable.</w:t>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440" w:type="dxa"/>
            <w:vAlign w:val="bottom"/>
            <w:tcBorders>
              <w:bottom w:val="single" w:sz="8" w:color="E6E6E6"/>
            </w:tcBorders>
          </w:tcPr>
          <w:p>
            <w:pPr>
              <w:spacing w:after="0"/>
              <w:rPr>
                <w:sz w:val="19"/>
                <w:szCs w:val="19"/>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S&amp;P</w:t>
            </w:r>
          </w:p>
        </w:tc>
        <w:tc>
          <w:tcPr>
            <w:tcW w:w="80" w:type="dxa"/>
            <w:vAlign w:val="bottom"/>
            <w:tcBorders>
              <w:bottom w:val="single" w:sz="8" w:color="E6E6E6"/>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Moody’s</w:t>
            </w:r>
          </w:p>
        </w:tc>
      </w:tr>
      <w:tr>
        <w:trPr>
          <w:trHeight w:val="245"/>
        </w:trPr>
        <w:tc>
          <w:tcPr>
            <w:tcW w:w="74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2"/>
              </w:rPr>
              <w:t xml:space="preserve">Clearway Energy, Inc.  </w:t>
            </w:r>
            <w:r>
              <w:rPr>
                <w:rFonts w:ascii="Arial" w:cs="Arial" w:eastAsia="Arial" w:hAnsi="Arial"/>
                <w:sz w:val="20"/>
                <w:szCs w:val="20"/>
                <w:color w:val="B4B4B4"/>
                <w:w w:val="92"/>
              </w:rPr>
              <w:t>. . . . . . . . . . . . . . . . . . . . . . . . . . . . . . . . . . . . . . . . . . . . . . . . . . . . . .</w:t>
            </w:r>
          </w:p>
        </w:tc>
        <w:tc>
          <w:tcPr>
            <w:tcW w:w="1360" w:type="dxa"/>
            <w:vAlign w:val="bottom"/>
            <w:shd w:val="clear" w:color="auto" w:fill="E6E6E6"/>
          </w:tcPr>
          <w:p>
            <w:pPr>
              <w:ind w:left="540"/>
              <w:spacing w:after="0"/>
              <w:rPr>
                <w:sz w:val="20"/>
                <w:szCs w:val="20"/>
                <w:color w:val="auto"/>
              </w:rPr>
            </w:pPr>
            <w:r>
              <w:rPr>
                <w:rFonts w:ascii="Arial" w:cs="Arial" w:eastAsia="Arial" w:hAnsi="Arial"/>
                <w:sz w:val="20"/>
                <w:szCs w:val="20"/>
                <w:color w:val="auto"/>
              </w:rPr>
              <w:t>BB</w:t>
            </w:r>
          </w:p>
        </w:tc>
        <w:tc>
          <w:tcPr>
            <w:tcW w:w="80" w:type="dxa"/>
            <w:vAlign w:val="bottom"/>
            <w:shd w:val="clear" w:color="auto" w:fill="E6E6E6"/>
          </w:tcPr>
          <w:p>
            <w:pPr>
              <w:spacing w:after="0"/>
              <w:rPr>
                <w:sz w:val="21"/>
                <w:szCs w:val="21"/>
                <w:color w:val="auto"/>
              </w:rPr>
            </w:pPr>
          </w:p>
        </w:tc>
        <w:tc>
          <w:tcPr>
            <w:tcW w:w="13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Ba2</w:t>
            </w:r>
          </w:p>
        </w:tc>
      </w:tr>
      <w:tr>
        <w:trPr>
          <w:trHeight w:val="255"/>
        </w:trPr>
        <w:tc>
          <w:tcPr>
            <w:tcW w:w="7440" w:type="dxa"/>
            <w:vAlign w:val="bottom"/>
          </w:tcPr>
          <w:p>
            <w:pPr>
              <w:ind w:left="40"/>
              <w:spacing w:after="0"/>
              <w:rPr>
                <w:sz w:val="20"/>
                <w:szCs w:val="20"/>
                <w:color w:val="auto"/>
              </w:rPr>
            </w:pPr>
            <w:r>
              <w:rPr>
                <w:rFonts w:ascii="Arial" w:cs="Arial" w:eastAsia="Arial" w:hAnsi="Arial"/>
                <w:sz w:val="20"/>
                <w:szCs w:val="20"/>
                <w:color w:val="auto"/>
                <w:w w:val="90"/>
              </w:rPr>
              <w:t xml:space="preserve">4.750% Senior Notes, due 2028  </w:t>
            </w:r>
            <w:r>
              <w:rPr>
                <w:rFonts w:ascii="Arial" w:cs="Arial" w:eastAsia="Arial" w:hAnsi="Arial"/>
                <w:sz w:val="20"/>
                <w:szCs w:val="20"/>
                <w:color w:val="B4B4B4"/>
                <w:w w:val="90"/>
              </w:rPr>
              <w:t>. . . . . . . . . . . . . . . . . . . . . . . . . . . . . . . . . . . . . . . . . . . . . . .</w:t>
            </w:r>
          </w:p>
        </w:tc>
        <w:tc>
          <w:tcPr>
            <w:tcW w:w="136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Ba2</w:t>
            </w:r>
          </w:p>
        </w:tc>
      </w:tr>
      <w:tr>
        <w:trPr>
          <w:trHeight w:val="255"/>
        </w:trPr>
        <w:tc>
          <w:tcPr>
            <w:tcW w:w="74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3.750% Senior Notes, due 2031  </w:t>
            </w:r>
            <w:r>
              <w:rPr>
                <w:rFonts w:ascii="Arial" w:cs="Arial" w:eastAsia="Arial" w:hAnsi="Arial"/>
                <w:sz w:val="20"/>
                <w:szCs w:val="20"/>
                <w:color w:val="B4B4B4"/>
                <w:w w:val="90"/>
              </w:rPr>
              <w:t>. . . . . . . . . . . . . . . . . . . . . . . . . . . . . . . . . . . . . . . . . . . . . . .</w:t>
            </w:r>
          </w:p>
        </w:tc>
        <w:tc>
          <w:tcPr>
            <w:tcW w:w="1360" w:type="dxa"/>
            <w:vAlign w:val="bottom"/>
            <w:shd w:val="clear" w:color="auto" w:fill="E6E6E6"/>
          </w:tcPr>
          <w:p>
            <w:pPr>
              <w:ind w:left="540"/>
              <w:spacing w:after="0"/>
              <w:rPr>
                <w:sz w:val="20"/>
                <w:szCs w:val="20"/>
                <w:color w:val="auto"/>
              </w:rPr>
            </w:pPr>
            <w:r>
              <w:rPr>
                <w:rFonts w:ascii="Arial" w:cs="Arial" w:eastAsia="Arial" w:hAnsi="Arial"/>
                <w:sz w:val="20"/>
                <w:szCs w:val="20"/>
                <w:color w:val="auto"/>
              </w:rPr>
              <w:t>BB</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Ba2</w:t>
            </w:r>
          </w:p>
        </w:tc>
      </w:tr>
      <w:tr>
        <w:trPr>
          <w:trHeight w:val="261"/>
        </w:trPr>
        <w:tc>
          <w:tcPr>
            <w:tcW w:w="7440" w:type="dxa"/>
            <w:vAlign w:val="bottom"/>
          </w:tcPr>
          <w:p>
            <w:pPr>
              <w:ind w:left="40"/>
              <w:spacing w:after="0"/>
              <w:rPr>
                <w:sz w:val="20"/>
                <w:szCs w:val="20"/>
                <w:color w:val="auto"/>
              </w:rPr>
            </w:pPr>
            <w:r>
              <w:rPr>
                <w:rFonts w:ascii="Arial" w:cs="Arial" w:eastAsia="Arial" w:hAnsi="Arial"/>
                <w:sz w:val="20"/>
                <w:szCs w:val="20"/>
                <w:color w:val="auto"/>
                <w:w w:val="90"/>
              </w:rPr>
              <w:t xml:space="preserve">3.750% Senior Notes, due 2032  </w:t>
            </w:r>
            <w:r>
              <w:rPr>
                <w:rFonts w:ascii="Arial" w:cs="Arial" w:eastAsia="Arial" w:hAnsi="Arial"/>
                <w:sz w:val="20"/>
                <w:szCs w:val="20"/>
                <w:color w:val="B4B4B4"/>
                <w:w w:val="90"/>
              </w:rPr>
              <w:t>. . . . . . . . . . . . . . . . . . . . . . . . . . . . . . . . . . . . . . . . . . . . . . .</w:t>
            </w:r>
          </w:p>
        </w:tc>
        <w:tc>
          <w:tcPr>
            <w:tcW w:w="136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Ba2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6492875</wp:posOffset>
            </wp:positionH>
            <wp:positionV relativeFrom="paragraph">
              <wp:posOffset>-663575</wp:posOffset>
            </wp:positionV>
            <wp:extent cx="25400" cy="673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25400" cy="673100"/>
                    </a:xfrm>
                    <a:prstGeom prst="rect">
                      <a:avLst/>
                    </a:prstGeom>
                    <a:noFill/>
                  </pic:spPr>
                </pic:pic>
              </a:graphicData>
            </a:graphic>
          </wp:anchor>
        </w:drawing>
      </w:r>
    </w:p>
    <w:p>
      <w:pPr>
        <w:spacing w:after="0" w:line="183"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98" w:lineRule="exact"/>
        <w:rPr>
          <w:sz w:val="20"/>
          <w:szCs w:val="20"/>
          <w:color w:val="auto"/>
        </w:rPr>
      </w:pPr>
    </w:p>
    <w:p>
      <w:pPr>
        <w:jc w:val="both"/>
        <w:ind w:left="10" w:right="20" w:firstLine="450"/>
        <w:spacing w:after="0" w:line="258" w:lineRule="auto"/>
        <w:rPr>
          <w:sz w:val="20"/>
          <w:szCs w:val="20"/>
          <w:color w:val="auto"/>
        </w:rPr>
      </w:pPr>
      <w:r>
        <w:rPr>
          <w:rFonts w:ascii="Arial" w:cs="Arial" w:eastAsia="Arial" w:hAnsi="Arial"/>
          <w:sz w:val="20"/>
          <w:szCs w:val="20"/>
          <w:color w:val="auto"/>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the Company’s financing arrangements consist of corporate level debt, which includes Senior Notes and the revolving credit facility; the ATM Program; and facility-level financings for its various assets.</w:t>
      </w:r>
    </w:p>
    <w:p>
      <w:pPr>
        <w:spacing w:after="0" w:line="141" w:lineRule="exact"/>
        <w:rPr>
          <w:sz w:val="20"/>
          <w:szCs w:val="20"/>
          <w:color w:val="auto"/>
        </w:rPr>
      </w:pPr>
    </w:p>
    <w:p>
      <w:pPr>
        <w:ind w:left="450"/>
        <w:spacing w:after="0"/>
        <w:rPr>
          <w:sz w:val="20"/>
          <w:szCs w:val="20"/>
          <w:color w:val="auto"/>
        </w:rPr>
      </w:pPr>
      <w:r>
        <w:rPr>
          <w:rFonts w:ascii="Arial" w:cs="Arial" w:eastAsia="Arial" w:hAnsi="Arial"/>
          <w:sz w:val="20"/>
          <w:szCs w:val="20"/>
          <w:b w:val="1"/>
          <w:bCs w:val="1"/>
          <w:i w:val="1"/>
          <w:iCs w:val="1"/>
          <w:color w:val="auto"/>
        </w:rPr>
        <w:t>Capistrano Portfolio Holdco LLC Financing</w:t>
      </w:r>
    </w:p>
    <w:p>
      <w:pPr>
        <w:spacing w:after="0" w:line="193" w:lineRule="exact"/>
        <w:rPr>
          <w:sz w:val="20"/>
          <w:szCs w:val="20"/>
          <w:color w:val="auto"/>
        </w:rPr>
      </w:pPr>
    </w:p>
    <w:p>
      <w:pPr>
        <w:jc w:val="both"/>
        <w:ind w:left="10" w:right="20" w:firstLine="450"/>
        <w:spacing w:after="0" w:line="279" w:lineRule="auto"/>
        <w:rPr>
          <w:sz w:val="20"/>
          <w:szCs w:val="20"/>
          <w:color w:val="auto"/>
        </w:rPr>
      </w:pPr>
      <w:r>
        <w:rPr>
          <w:rFonts w:ascii="Arial" w:cs="Arial" w:eastAsia="Arial" w:hAnsi="Arial"/>
          <w:sz w:val="19"/>
          <w:szCs w:val="19"/>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in the amount of $63 million related to Broken Bow and Crofton Bluffs and to pay related financing costs.</w:t>
      </w:r>
    </w:p>
    <w:p>
      <w:pPr>
        <w:spacing w:after="0" w:line="121" w:lineRule="exact"/>
        <w:rPr>
          <w:sz w:val="20"/>
          <w:szCs w:val="20"/>
          <w:color w:val="auto"/>
        </w:rPr>
      </w:pPr>
    </w:p>
    <w:p>
      <w:pPr>
        <w:ind w:left="450"/>
        <w:spacing w:after="0"/>
        <w:rPr>
          <w:sz w:val="20"/>
          <w:szCs w:val="20"/>
          <w:color w:val="auto"/>
        </w:rPr>
      </w:pPr>
      <w:r>
        <w:rPr>
          <w:rFonts w:ascii="Arial" w:cs="Arial" w:eastAsia="Arial" w:hAnsi="Arial"/>
          <w:sz w:val="20"/>
          <w:szCs w:val="20"/>
          <w:b w:val="1"/>
          <w:bCs w:val="1"/>
          <w:i w:val="1"/>
          <w:iCs w:val="1"/>
          <w:color w:val="auto"/>
        </w:rPr>
        <w:t>Natural Gas Holdco LC Facility</w:t>
      </w:r>
    </w:p>
    <w:p>
      <w:pPr>
        <w:spacing w:after="0" w:line="193" w:lineRule="exact"/>
        <w:rPr>
          <w:sz w:val="20"/>
          <w:szCs w:val="20"/>
          <w:color w:val="auto"/>
        </w:rPr>
      </w:pPr>
    </w:p>
    <w:p>
      <w:pPr>
        <w:jc w:val="both"/>
        <w:ind w:left="10" w:firstLine="450"/>
        <w:spacing w:after="0" w:line="275" w:lineRule="auto"/>
        <w:rPr>
          <w:sz w:val="20"/>
          <w:szCs w:val="20"/>
          <w:color w:val="auto"/>
        </w:rPr>
      </w:pPr>
      <w:r>
        <w:rPr>
          <w:rFonts w:ascii="Arial" w:cs="Arial" w:eastAsia="Arial" w:hAnsi="Arial"/>
          <w:sz w:val="19"/>
          <w:szCs w:val="19"/>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and freed up capacity on the Company’s corporate revolving credit facility. The letter of credit facility has an initial term of three years and the option for two additional one-year extensions. As of December 31, 2024, $105 million was outstanding under the letter of credit facility.</w:t>
      </w:r>
    </w:p>
    <w:p>
      <w:pPr>
        <w:spacing w:after="0" w:line="12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Uses of Liquidity</w:t>
      </w:r>
    </w:p>
    <w:p>
      <w:pPr>
        <w:spacing w:after="0" w:line="198" w:lineRule="exact"/>
        <w:rPr>
          <w:sz w:val="20"/>
          <w:szCs w:val="20"/>
          <w:color w:val="auto"/>
        </w:rPr>
      </w:pPr>
    </w:p>
    <w:p>
      <w:pPr>
        <w:ind w:left="450"/>
        <w:spacing w:after="0"/>
        <w:rPr>
          <w:sz w:val="20"/>
          <w:szCs w:val="20"/>
          <w:color w:val="auto"/>
        </w:rPr>
      </w:pPr>
      <w:r>
        <w:rPr>
          <w:rFonts w:ascii="Arial" w:cs="Arial" w:eastAsia="Arial" w:hAnsi="Arial"/>
          <w:sz w:val="18"/>
          <w:szCs w:val="18"/>
          <w:color w:val="auto"/>
        </w:rPr>
        <w:t>The Company’s requirements for liquidity and capital resources, other than for operating its facilities, are categorized as:</w:t>
      </w:r>
    </w:p>
    <w:p>
      <w:pPr>
        <w:spacing w:after="0" w:line="30" w:lineRule="exact"/>
        <w:rPr>
          <w:sz w:val="20"/>
          <w:szCs w:val="20"/>
          <w:color w:val="auto"/>
        </w:rPr>
      </w:pPr>
    </w:p>
    <w:p>
      <w:pPr>
        <w:jc w:val="both"/>
        <w:ind w:left="10" w:hanging="10"/>
        <w:spacing w:after="0" w:line="337" w:lineRule="auto"/>
        <w:tabs>
          <w:tab w:leader="none" w:pos="259"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debt service obligations, as described more fully in Item 15 — Note 10, </w:t>
      </w:r>
      <w:r>
        <w:rPr>
          <w:rFonts w:ascii="Arial" w:cs="Arial" w:eastAsia="Arial" w:hAnsi="Arial"/>
          <w:sz w:val="17"/>
          <w:szCs w:val="17"/>
          <w:b w:val="1"/>
          <w:bCs w:val="1"/>
          <w:i w:val="1"/>
          <w:iCs w:val="1"/>
          <w:color w:val="auto"/>
        </w:rPr>
        <w:t>Long-term Debt</w:t>
      </w:r>
      <w:r>
        <w:rPr>
          <w:rFonts w:ascii="Arial" w:cs="Arial" w:eastAsia="Arial" w:hAnsi="Arial"/>
          <w:sz w:val="17"/>
          <w:szCs w:val="17"/>
          <w:color w:val="auto"/>
        </w:rPr>
        <w:t xml:space="preserve">; (ii) capital expenditures; (iii) off-balance sheet arrangements; (iv) acquisitions and investments, as described more fully in Item 15 — Note 3, </w:t>
      </w:r>
      <w:r>
        <w:rPr>
          <w:rFonts w:ascii="Arial" w:cs="Arial" w:eastAsia="Arial" w:hAnsi="Arial"/>
          <w:sz w:val="17"/>
          <w:szCs w:val="17"/>
          <w:b w:val="1"/>
          <w:bCs w:val="1"/>
          <w:i w:val="1"/>
          <w:iCs w:val="1"/>
          <w:color w:val="auto"/>
        </w:rPr>
        <w:t>Acquisitions</w:t>
      </w:r>
      <w:r>
        <w:rPr>
          <w:rFonts w:ascii="Arial" w:cs="Arial" w:eastAsia="Arial" w:hAnsi="Arial"/>
          <w:sz w:val="17"/>
          <w:szCs w:val="17"/>
          <w:color w:val="auto"/>
        </w:rPr>
        <w:t xml:space="preserve"> and Note 5, </w:t>
      </w:r>
      <w:r>
        <w:rPr>
          <w:rFonts w:ascii="Arial" w:cs="Arial" w:eastAsia="Arial" w:hAnsi="Arial"/>
          <w:sz w:val="17"/>
          <w:szCs w:val="17"/>
          <w:b w:val="1"/>
          <w:bCs w:val="1"/>
          <w:i w:val="1"/>
          <w:iCs w:val="1"/>
          <w:color w:val="auto"/>
        </w:rPr>
        <w:t>Investments Accounted for by the Equity Method and Variable Interest Entities</w:t>
      </w:r>
      <w:r>
        <w:rPr>
          <w:rFonts w:ascii="Arial" w:cs="Arial" w:eastAsia="Arial" w:hAnsi="Arial"/>
          <w:sz w:val="17"/>
          <w:szCs w:val="17"/>
          <w:color w:val="auto"/>
        </w:rPr>
        <w:t>; and (v) cash dividends to investors.</w:t>
      </w:r>
    </w:p>
    <w:p>
      <w:pPr>
        <w:sectPr>
          <w:pgSz w:w="11880" w:h="15480" w:orient="portrait"/>
          <w:cols w:equalWidth="0" w:num="1">
            <w:col w:w="10270"/>
          </w:cols>
          <w:pgMar w:left="81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270"/>
          </w:cols>
          <w:pgMar w:left="810" w:top="367" w:right="800" w:bottom="0" w:gutter="0" w:footer="0" w:header="0"/>
          <w:type w:val="continuous"/>
        </w:sectPr>
      </w:pPr>
    </w:p>
    <w:bookmarkStart w:id="57" w:name="page58"/>
    <w:bookmarkEnd w:id="57"/>
    <w:p>
      <w:pPr>
        <w:ind w:left="440"/>
        <w:spacing w:after="0"/>
        <w:rPr>
          <w:sz w:val="20"/>
          <w:szCs w:val="20"/>
          <w:color w:val="auto"/>
        </w:rPr>
      </w:pPr>
      <w:r>
        <w:rPr>
          <w:rFonts w:ascii="Arial" w:cs="Arial" w:eastAsia="Arial" w:hAnsi="Arial"/>
          <w:sz w:val="20"/>
          <w:szCs w:val="20"/>
          <w:b w:val="1"/>
          <w:bCs w:val="1"/>
          <w:i w:val="1"/>
          <w:iCs w:val="1"/>
          <w:color w:val="auto"/>
        </w:rPr>
        <w:t>Debt Service Obligations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Principal payments on debt as of December 31, 2024, are due in the following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7"/>
                <w:szCs w:val="17"/>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2025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4"/>
              </w:rPr>
              <w:t>2026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2027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4"/>
              </w:rPr>
              <w:t>2028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2029</w:t>
            </w:r>
          </w:p>
        </w:tc>
        <w:tc>
          <w:tcPr>
            <w:tcW w:w="60" w:type="dxa"/>
            <w:vAlign w:val="bottom"/>
          </w:tcPr>
          <w:p>
            <w:pPr>
              <w:spacing w:after="0"/>
              <w:rPr>
                <w:sz w:val="17"/>
                <w:szCs w:val="17"/>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There-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w w:val="97"/>
              </w:rPr>
              <w:t>after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w w:val="87"/>
              </w:rPr>
              <w:t>(In millions)</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E6E6E6"/>
          </w:tcPr>
          <w:p>
            <w:pPr>
              <w:spacing w:after="0"/>
              <w:rPr>
                <w:sz w:val="22"/>
                <w:szCs w:val="22"/>
                <w:color w:val="auto"/>
              </w:rPr>
            </w:pPr>
          </w:p>
        </w:tc>
        <w:tc>
          <w:tcPr>
            <w:tcW w:w="486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Corporate-level debt:</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6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2"/>
              </w:rPr>
              <w:t xml:space="preserve">Clearway Energy Operating LLC Senior Notes, due 2028 </w:t>
            </w:r>
            <w:r>
              <w:rPr>
                <w:rFonts w:ascii="Arial" w:cs="Arial" w:eastAsia="Arial" w:hAnsi="Arial"/>
                <w:sz w:val="18"/>
                <w:szCs w:val="18"/>
                <w:color w:val="B4B4B4"/>
                <w:w w:val="92"/>
              </w:rPr>
              <w:t>. . . . . .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Clearway Energy Operating LLC Senior Notes, due 2031 </w:t>
            </w:r>
            <w:r>
              <w:rPr>
                <w:rFonts w:ascii="Arial" w:cs="Arial" w:eastAsia="Arial" w:hAnsi="Arial"/>
                <w:sz w:val="18"/>
                <w:szCs w:val="18"/>
                <w:color w:val="B4B4B4"/>
                <w:w w:val="92"/>
              </w:rPr>
              <w:t>.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925</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5"/>
        </w:trPr>
        <w:tc>
          <w:tcPr>
            <w:tcW w:w="40" w:type="dxa"/>
            <w:vAlign w:val="bottom"/>
            <w:tcBorders>
              <w:bottom w:val="single" w:sz="8" w:color="E6E6E6"/>
            </w:tcBorders>
          </w:tcPr>
          <w:p>
            <w:pPr>
              <w:spacing w:after="0"/>
              <w:rPr>
                <w:sz w:val="23"/>
                <w:szCs w:val="23"/>
                <w:color w:val="auto"/>
              </w:rPr>
            </w:pPr>
          </w:p>
        </w:tc>
        <w:tc>
          <w:tcPr>
            <w:tcW w:w="486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color w:val="auto"/>
                <w:w w:val="92"/>
              </w:rPr>
              <w:t xml:space="preserve">Clearway Energy Operating LLC Senior Notes, due 2032 </w:t>
            </w:r>
            <w:r>
              <w:rPr>
                <w:rFonts w:ascii="Arial" w:cs="Arial" w:eastAsia="Arial" w:hAnsi="Arial"/>
                <w:sz w:val="18"/>
                <w:szCs w:val="18"/>
                <w:color w:val="B4B4B4"/>
                <w:w w:val="92"/>
              </w:rPr>
              <w:t>. . . . . . .</w:t>
            </w: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5"/>
        </w:trPr>
        <w:tc>
          <w:tcPr>
            <w:tcW w:w="40" w:type="dxa"/>
            <w:vAlign w:val="bottom"/>
            <w:tcBorders>
              <w:bottom w:val="single" w:sz="8" w:color="E6E6E6"/>
            </w:tcBorders>
            <w:shd w:val="clear" w:color="auto" w:fill="E6E6E6"/>
          </w:tcPr>
          <w:p>
            <w:pPr>
              <w:spacing w:after="0"/>
              <w:rPr>
                <w:sz w:val="22"/>
                <w:szCs w:val="22"/>
                <w:color w:val="auto"/>
              </w:rPr>
            </w:pPr>
          </w:p>
        </w:tc>
        <w:tc>
          <w:tcPr>
            <w:tcW w:w="486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8"/>
                <w:szCs w:val="18"/>
                <w:b w:val="1"/>
                <w:bCs w:val="1"/>
                <w:color w:val="B4B4B4"/>
                <w:w w:val="95"/>
              </w:rPr>
              <w:t>. . . . . . . . . . . . . . . . . . . . . . . . . . . . .</w:t>
            </w:r>
            <w:r>
              <w:rPr>
                <w:rFonts w:ascii="Arial" w:cs="Arial" w:eastAsia="Arial" w:hAnsi="Arial"/>
                <w:sz w:val="18"/>
                <w:szCs w:val="18"/>
                <w:b w:val="1"/>
                <w:bCs w:val="1"/>
                <w:color w:val="000000"/>
                <w:w w:val="95"/>
              </w:rPr>
              <w:t>TotalCorporate-leveldebt</w:t>
            </w:r>
          </w:p>
        </w:tc>
        <w:tc>
          <w:tcPr>
            <w:tcW w:w="140" w:type="dxa"/>
            <w:vAlign w:val="bottom"/>
            <w:tcBorders>
              <w:bottom w:val="single" w:sz="8" w:color="E6E6E6"/>
            </w:tcBorders>
            <w:shd w:val="clear" w:color="auto" w:fill="E6E6E6"/>
          </w:tcPr>
          <w:p>
            <w:pPr>
              <w:spacing w:after="0"/>
              <w:rPr>
                <w:sz w:val="22"/>
                <w:szCs w:val="22"/>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1,275</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Facility-level debt: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Agua Caliente Solar LLC, due 2037 </w:t>
            </w:r>
            <w:r>
              <w:rPr>
                <w:rFonts w:ascii="Arial" w:cs="Arial" w:eastAsia="Arial" w:hAnsi="Arial"/>
                <w:sz w:val="18"/>
                <w:szCs w:val="18"/>
                <w:color w:val="B4B4B4"/>
                <w:w w:val="92"/>
              </w:rPr>
              <w:t>. . . . . . .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3"/>
              </w:rPr>
              <w:t xml:space="preserve">Alta Wind Asset Management LLC, due 2031 </w:t>
            </w:r>
            <w:r>
              <w:rPr>
                <w:rFonts w:ascii="Arial" w:cs="Arial" w:eastAsia="Arial" w:hAnsi="Arial"/>
                <w:sz w:val="18"/>
                <w:szCs w:val="18"/>
                <w:color w:val="B4B4B4"/>
                <w:w w:val="93"/>
              </w:rPr>
              <w:t>.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Alta Wind I-V lease financing arrangements, due 2034 and 2035 </w:t>
            </w:r>
            <w:r>
              <w:rPr>
                <w:rFonts w:ascii="Arial" w:cs="Arial" w:eastAsia="Arial" w:hAnsi="Arial"/>
                <w:sz w:val="18"/>
                <w:szCs w:val="18"/>
                <w:color w:val="B4B4B4"/>
                <w:w w:val="92"/>
              </w:rPr>
              <w:t>.</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4"/>
              </w:rPr>
              <w:t xml:space="preserve">Alta Wind Realty Investments LLC, due 2031  </w:t>
            </w:r>
            <w:r>
              <w:rPr>
                <w:rFonts w:ascii="Arial" w:cs="Arial" w:eastAsia="Arial" w:hAnsi="Arial"/>
                <w:sz w:val="18"/>
                <w:szCs w:val="18"/>
                <w:color w:val="B4B4B4"/>
                <w:w w:val="94"/>
              </w:rPr>
              <w:t>.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1"/>
              </w:rPr>
              <w:t xml:space="preserve">Borrego, due 2038 </w:t>
            </w:r>
            <w:r>
              <w:rPr>
                <w:rFonts w:ascii="Arial" w:cs="Arial" w:eastAsia="Arial" w:hAnsi="Arial"/>
                <w:sz w:val="18"/>
                <w:szCs w:val="18"/>
                <w:color w:val="B4B4B4"/>
                <w:w w:val="91"/>
              </w:rPr>
              <w:t>. . . . . . . . . . . . . . . . . . . . .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2"/>
              </w:rPr>
              <w:t xml:space="preserve">Buckthorn Solar, due 2025 </w:t>
            </w:r>
            <w:r>
              <w:rPr>
                <w:rFonts w:ascii="Arial" w:cs="Arial" w:eastAsia="Arial" w:hAnsi="Arial"/>
                <w:sz w:val="18"/>
                <w:szCs w:val="18"/>
                <w:color w:val="B4B4B4"/>
                <w:w w:val="92"/>
              </w:rPr>
              <w:t>. . . . . . . . . . . . . .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Capistrano Portfolio Holdco LLC, due 2033 </w:t>
            </w:r>
            <w:r>
              <w:rPr>
                <w:rFonts w:ascii="Arial" w:cs="Arial" w:eastAsia="Arial" w:hAnsi="Arial"/>
                <w:sz w:val="18"/>
                <w:szCs w:val="18"/>
                <w:color w:val="B4B4B4"/>
                <w:w w:val="92"/>
              </w:rPr>
              <w:t>.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3"/>
              </w:rPr>
              <w:t xml:space="preserve">Carlsbad Energy Holdings LLC, due 2027  </w:t>
            </w:r>
            <w:r>
              <w:rPr>
                <w:rFonts w:ascii="Arial" w:cs="Arial" w:eastAsia="Arial" w:hAnsi="Arial"/>
                <w:sz w:val="18"/>
                <w:szCs w:val="18"/>
                <w:color w:val="B4B4B4"/>
                <w:w w:val="93"/>
              </w:rPr>
              <w:t>.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Carlsbad Energy Holdings LLC, due 2038 </w:t>
            </w:r>
            <w:r>
              <w:rPr>
                <w:rFonts w:ascii="Arial" w:cs="Arial" w:eastAsia="Arial" w:hAnsi="Arial"/>
                <w:sz w:val="18"/>
                <w:szCs w:val="18"/>
                <w:color w:val="B4B4B4"/>
                <w:w w:val="92"/>
              </w:rPr>
              <w:t>. .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346</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2"/>
              </w:rPr>
              <w:t xml:space="preserve">Carlsbad Holdco, LLC, due 2038 </w:t>
            </w:r>
            <w:r>
              <w:rPr>
                <w:rFonts w:ascii="Arial" w:cs="Arial" w:eastAsia="Arial" w:hAnsi="Arial"/>
                <w:sz w:val="18"/>
                <w:szCs w:val="18"/>
                <w:color w:val="B4B4B4"/>
                <w:w w:val="92"/>
              </w:rPr>
              <w:t>. . . . . . . . .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1"/>
              </w:rPr>
              <w:t xml:space="preserve">Cedar Creek, due 2029 </w:t>
            </w:r>
            <w:r>
              <w:rPr>
                <w:rFonts w:ascii="Arial" w:cs="Arial" w:eastAsia="Arial" w:hAnsi="Arial"/>
                <w:sz w:val="18"/>
                <w:szCs w:val="18"/>
                <w:color w:val="B4B4B4"/>
                <w:w w:val="91"/>
              </w:rPr>
              <w:t>. . . . . . . . . . . . . . . . .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2"/>
              </w:rPr>
              <w:t xml:space="preserve">Cedro Hill, due 2029 </w:t>
            </w:r>
            <w:r>
              <w:rPr>
                <w:rFonts w:ascii="Arial" w:cs="Arial" w:eastAsia="Arial" w:hAnsi="Arial"/>
                <w:sz w:val="18"/>
                <w:szCs w:val="18"/>
                <w:color w:val="B4B4B4"/>
                <w:w w:val="92"/>
              </w:rPr>
              <w:t>. . . . . . . . . . . . . . . . . . .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CVSR, due 2037 </w:t>
            </w:r>
            <w:r>
              <w:rPr>
                <w:rFonts w:ascii="Arial" w:cs="Arial" w:eastAsia="Arial" w:hAnsi="Arial"/>
                <w:sz w:val="18"/>
                <w:szCs w:val="18"/>
                <w:color w:val="B4B4B4"/>
                <w:w w:val="92"/>
              </w:rPr>
              <w:t>. . . . . . . . . . . . . . . . . . . . . .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1"/>
              </w:rPr>
              <w:t xml:space="preserve">CVSR Holdco Notes, due 2037 </w:t>
            </w:r>
            <w:r>
              <w:rPr>
                <w:rFonts w:ascii="Arial" w:cs="Arial" w:eastAsia="Arial" w:hAnsi="Arial"/>
                <w:sz w:val="18"/>
                <w:szCs w:val="18"/>
                <w:color w:val="B4B4B4"/>
                <w:w w:val="91"/>
              </w:rPr>
              <w:t>. . . . . . . . . . .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E6E6E6"/>
            </w:tcBorders>
            <w:shd w:val="clear" w:color="auto" w:fill="E6E6E6"/>
          </w:tcPr>
          <w:p>
            <w:pPr>
              <w:spacing w:after="0"/>
              <w:rPr>
                <w:sz w:val="23"/>
                <w:szCs w:val="23"/>
                <w:color w:val="auto"/>
              </w:rPr>
            </w:pPr>
          </w:p>
        </w:tc>
        <w:tc>
          <w:tcPr>
            <w:tcW w:w="486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0"/>
              </w:rPr>
              <w:t xml:space="preserve">Daggett 2, due 2028 </w:t>
            </w:r>
            <w:r>
              <w:rPr>
                <w:rFonts w:ascii="Arial" w:cs="Arial" w:eastAsia="Arial" w:hAnsi="Arial"/>
                <w:sz w:val="18"/>
                <w:szCs w:val="18"/>
                <w:color w:val="B4B4B4"/>
                <w:w w:val="90"/>
              </w:rPr>
              <w:t>. . . . . . . . . . . . . . . . . . . . . . . . . . . . . . . . . . . . .</w:t>
            </w: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0"/>
              </w:rPr>
              <w:t xml:space="preserve">Daggett 3, due 2028 </w:t>
            </w:r>
            <w:r>
              <w:rPr>
                <w:rFonts w:ascii="Arial" w:cs="Arial" w:eastAsia="Arial" w:hAnsi="Arial"/>
                <w:sz w:val="18"/>
                <w:szCs w:val="18"/>
                <w:color w:val="B4B4B4"/>
                <w:w w:val="90"/>
              </w:rPr>
              <w:t>. . . . . . . . . . . . . . . . . . . .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0" w:type="dxa"/>
            <w:vAlign w:val="bottom"/>
            <w:shd w:val="clear" w:color="auto" w:fill="E6E6E6"/>
          </w:tcPr>
          <w:p>
            <w:pPr>
              <w:spacing w:after="0"/>
              <w:rPr>
                <w:sz w:val="24"/>
                <w:szCs w:val="24"/>
                <w:color w:val="auto"/>
              </w:rPr>
            </w:pPr>
          </w:p>
        </w:tc>
        <w:tc>
          <w:tcPr>
            <w:tcW w:w="486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1"/>
              </w:rPr>
              <w:t xml:space="preserve">Dan’s Mountain, due 2025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 .</w:t>
            </w: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3"/>
              </w:rPr>
              <w:t xml:space="preserve">DG-CS Master Borrower LLC, due 2040 </w:t>
            </w:r>
            <w:r>
              <w:rPr>
                <w:rFonts w:ascii="Arial" w:cs="Arial" w:eastAsia="Arial" w:hAnsi="Arial"/>
                <w:sz w:val="18"/>
                <w:szCs w:val="18"/>
                <w:color w:val="B4B4B4"/>
                <w:w w:val="93"/>
              </w:rPr>
              <w:t>. . . . . . . . . . . . . . . . . . .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0" w:type="dxa"/>
            <w:vAlign w:val="bottom"/>
            <w:shd w:val="clear" w:color="auto" w:fill="E6E6E6"/>
          </w:tcPr>
          <w:p>
            <w:pPr>
              <w:spacing w:after="0"/>
              <w:rPr>
                <w:sz w:val="24"/>
                <w:szCs w:val="24"/>
                <w:color w:val="auto"/>
              </w:rPr>
            </w:pPr>
          </w:p>
        </w:tc>
        <w:tc>
          <w:tcPr>
            <w:tcW w:w="486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4"/>
              </w:rPr>
              <w:t xml:space="preserve">Mililani Class B Member Holdco LLC, due 2028  </w:t>
            </w:r>
            <w:r>
              <w:rPr>
                <w:rFonts w:ascii="Arial" w:cs="Arial" w:eastAsia="Arial" w:hAnsi="Arial"/>
                <w:sz w:val="18"/>
                <w:szCs w:val="18"/>
                <w:color w:val="B4B4B4"/>
                <w:w w:val="94"/>
              </w:rPr>
              <w:t>. . . . . . . . . . . . .</w:t>
            </w: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1"/>
              </w:rPr>
              <w:t xml:space="preserve">NIMH Solar, due 2031 and 2033 </w:t>
            </w:r>
            <w:r>
              <w:rPr>
                <w:rFonts w:ascii="Arial" w:cs="Arial" w:eastAsia="Arial" w:hAnsi="Arial"/>
                <w:sz w:val="18"/>
                <w:szCs w:val="18"/>
                <w:color w:val="B4B4B4"/>
                <w:w w:val="91"/>
              </w:rPr>
              <w:t>. . . . . . . . . . . . . . . . . . . . . . . . . . .</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2"/>
        </w:trPr>
        <w:tc>
          <w:tcPr>
            <w:tcW w:w="40" w:type="dxa"/>
            <w:vAlign w:val="bottom"/>
            <w:shd w:val="clear" w:color="auto" w:fill="E6E6E6"/>
          </w:tcPr>
          <w:p>
            <w:pPr>
              <w:spacing w:after="0"/>
              <w:rPr>
                <w:sz w:val="24"/>
                <w:szCs w:val="24"/>
                <w:color w:val="auto"/>
              </w:rPr>
            </w:pPr>
          </w:p>
        </w:tc>
        <w:tc>
          <w:tcPr>
            <w:tcW w:w="486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3"/>
              </w:rPr>
              <w:t xml:space="preserve">Oahu Solar Holdings LLC, due 2026 </w:t>
            </w:r>
            <w:r>
              <w:rPr>
                <w:rFonts w:ascii="Arial" w:cs="Arial" w:eastAsia="Arial" w:hAnsi="Arial"/>
                <w:sz w:val="18"/>
                <w:szCs w:val="18"/>
                <w:color w:val="B4B4B4"/>
                <w:w w:val="93"/>
              </w:rPr>
              <w:t>. . . . . . . . . . . . . . . . . . . . . . .</w:t>
            </w: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1"/>
              </w:rPr>
              <w:t xml:space="preserve">Rosie Class B LLC, due 2029 </w:t>
            </w:r>
            <w:r>
              <w:rPr>
                <w:rFonts w:ascii="Arial" w:cs="Arial" w:eastAsia="Arial" w:hAnsi="Arial"/>
                <w:sz w:val="18"/>
                <w:szCs w:val="18"/>
                <w:color w:val="B4B4B4"/>
                <w:w w:val="91"/>
              </w:rPr>
              <w:t>. . . . . . . . . . . . . . . . . . . . . . . . . . . . .</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92"/>
        </w:trPr>
        <w:tc>
          <w:tcPr>
            <w:tcW w:w="40" w:type="dxa"/>
            <w:vAlign w:val="bottom"/>
            <w:shd w:val="clear" w:color="auto" w:fill="E6E6E6"/>
          </w:tcPr>
          <w:p>
            <w:pPr>
              <w:spacing w:after="0"/>
              <w:rPr>
                <w:sz w:val="24"/>
                <w:szCs w:val="24"/>
                <w:color w:val="auto"/>
              </w:rPr>
            </w:pPr>
          </w:p>
        </w:tc>
        <w:tc>
          <w:tcPr>
            <w:tcW w:w="486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2"/>
              </w:rPr>
              <w:t xml:space="preserve">TSN1 Class B Member LLC, due 2029  </w:t>
            </w:r>
            <w:r>
              <w:rPr>
                <w:rFonts w:ascii="Arial" w:cs="Arial" w:eastAsia="Arial" w:hAnsi="Arial"/>
                <w:sz w:val="18"/>
                <w:szCs w:val="18"/>
                <w:color w:val="B4B4B4"/>
                <w:w w:val="92"/>
              </w:rPr>
              <w:t>. . . . . . . . . . . . . . . . . . . . .</w:t>
            </w: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2"/>
              </w:rPr>
              <w:t xml:space="preserve">Utah Solar Holdings, due 2036 </w:t>
            </w:r>
            <w:r>
              <w:rPr>
                <w:rFonts w:ascii="Arial" w:cs="Arial" w:eastAsia="Arial" w:hAnsi="Arial"/>
                <w:sz w:val="18"/>
                <w:szCs w:val="18"/>
                <w:color w:val="B4B4B4"/>
                <w:w w:val="92"/>
              </w:rPr>
              <w:t>. . . . . . . . . . . . . . . . . . . . . . . . . . . .</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92"/>
        </w:trPr>
        <w:tc>
          <w:tcPr>
            <w:tcW w:w="40" w:type="dxa"/>
            <w:vAlign w:val="bottom"/>
            <w:shd w:val="clear" w:color="auto" w:fill="E6E6E6"/>
          </w:tcPr>
          <w:p>
            <w:pPr>
              <w:spacing w:after="0"/>
              <w:rPr>
                <w:sz w:val="24"/>
                <w:szCs w:val="24"/>
                <w:color w:val="auto"/>
              </w:rPr>
            </w:pPr>
          </w:p>
        </w:tc>
        <w:tc>
          <w:tcPr>
            <w:tcW w:w="486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4"/>
              </w:rPr>
              <w:t xml:space="preserve">Viento Funding II, LLC, due 2029 </w:t>
            </w:r>
            <w:r>
              <w:rPr>
                <w:rFonts w:ascii="Arial" w:cs="Arial" w:eastAsia="Arial" w:hAnsi="Arial"/>
                <w:sz w:val="18"/>
                <w:szCs w:val="18"/>
                <w:color w:val="B4B4B4"/>
                <w:w w:val="94"/>
              </w:rPr>
              <w:t>. . . . . . . . . . . . . . . . . . . . . . . . .</w:t>
            </w: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w w:val="94"/>
              </w:rPr>
              <w:t xml:space="preserve">Other </w:t>
            </w:r>
            <w:r>
              <w:rPr>
                <w:rFonts w:ascii="Arial" w:cs="Arial" w:eastAsia="Arial" w:hAnsi="Arial"/>
                <w:sz w:val="18"/>
                <w:szCs w:val="18"/>
                <w:color w:val="B4B4B4"/>
                <w:w w:val="94"/>
              </w:rPr>
              <w:t>. . . . . . . . . . . . . . . . . . . . . . . . . . . . . . . . . . . . . . . . . . . . . . . .</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5"/>
        </w:trPr>
        <w:tc>
          <w:tcPr>
            <w:tcW w:w="40" w:type="dxa"/>
            <w:vAlign w:val="bottom"/>
            <w:tcBorders>
              <w:top w:val="single" w:sz="8" w:color="E6E6E6"/>
              <w:bottom w:val="single" w:sz="8" w:color="E6E6E6"/>
            </w:tcBorders>
            <w:shd w:val="clear" w:color="auto" w:fill="E6E6E6"/>
          </w:tcPr>
          <w:p>
            <w:pPr>
              <w:spacing w:after="0"/>
              <w:rPr>
                <w:sz w:val="23"/>
                <w:szCs w:val="23"/>
                <w:color w:val="auto"/>
              </w:rPr>
            </w:pPr>
          </w:p>
        </w:tc>
        <w:tc>
          <w:tcPr>
            <w:tcW w:w="4860" w:type="dxa"/>
            <w:vAlign w:val="bottom"/>
            <w:tcBorders>
              <w:top w:val="single" w:sz="8" w:color="E6E6E6"/>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8"/>
                <w:szCs w:val="18"/>
                <w:b w:val="1"/>
                <w:bCs w:val="1"/>
                <w:color w:val="auto"/>
                <w:w w:val="92"/>
              </w:rPr>
              <w:t xml:space="preserve">Total facility-level debt </w:t>
            </w:r>
            <w:r>
              <w:rPr>
                <w:rFonts w:ascii="Arial" w:cs="Arial" w:eastAsia="Arial" w:hAnsi="Arial"/>
                <w:sz w:val="18"/>
                <w:szCs w:val="18"/>
                <w:b w:val="1"/>
                <w:bCs w:val="1"/>
                <w:color w:val="B4B4B4"/>
                <w:w w:val="92"/>
              </w:rPr>
              <w:t>. . . . . . . . . . . . . . . . . . . . . . . . . . . . . . . .</w:t>
            </w:r>
          </w:p>
        </w:tc>
        <w:tc>
          <w:tcPr>
            <w:tcW w:w="140" w:type="dxa"/>
            <w:vAlign w:val="bottom"/>
            <w:tcBorders>
              <w:top w:val="single" w:sz="8" w:color="auto"/>
              <w:bottom w:val="single" w:sz="8" w:color="auto"/>
            </w:tcBorders>
            <w:shd w:val="clear" w:color="auto" w:fill="E6E6E6"/>
          </w:tcPr>
          <w:p>
            <w:pPr>
              <w:spacing w:after="0"/>
              <w:rPr>
                <w:sz w:val="23"/>
                <w:szCs w:val="23"/>
                <w:color w:val="auto"/>
              </w:rPr>
            </w:pPr>
          </w:p>
        </w:tc>
        <w:tc>
          <w:tcPr>
            <w:tcW w:w="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555</w:t>
            </w:r>
          </w:p>
        </w:tc>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160" w:type="dxa"/>
            <w:vAlign w:val="bottom"/>
            <w:tcBorders>
              <w:top w:val="single" w:sz="8" w:color="auto"/>
              <w:bottom w:val="single" w:sz="8" w:color="auto"/>
            </w:tcBorders>
            <w:shd w:val="clear" w:color="auto" w:fill="E6E6E6"/>
          </w:tcPr>
          <w:p>
            <w:pPr>
              <w:spacing w:after="0"/>
              <w:rPr>
                <w:sz w:val="23"/>
                <w:szCs w:val="23"/>
                <w:color w:val="auto"/>
              </w:rPr>
            </w:pPr>
          </w:p>
        </w:tc>
        <w:tc>
          <w:tcPr>
            <w:tcW w:w="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140" w:type="dxa"/>
            <w:vAlign w:val="bottom"/>
            <w:tcBorders>
              <w:top w:val="single" w:sz="8" w:color="auto"/>
              <w:bottom w:val="single" w:sz="8" w:color="auto"/>
            </w:tcBorders>
            <w:shd w:val="clear" w:color="auto" w:fill="E6E6E6"/>
          </w:tcPr>
          <w:p>
            <w:pPr>
              <w:spacing w:after="0"/>
              <w:rPr>
                <w:sz w:val="23"/>
                <w:szCs w:val="23"/>
                <w:color w:val="auto"/>
              </w:rPr>
            </w:pPr>
          </w:p>
        </w:tc>
        <w:tc>
          <w:tcPr>
            <w:tcW w:w="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333</w:t>
            </w:r>
          </w:p>
        </w:tc>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160" w:type="dxa"/>
            <w:vAlign w:val="bottom"/>
            <w:tcBorders>
              <w:top w:val="single" w:sz="8" w:color="auto"/>
              <w:bottom w:val="single" w:sz="8" w:color="auto"/>
            </w:tcBorders>
            <w:shd w:val="clear" w:color="auto" w:fill="E6E6E6"/>
          </w:tcPr>
          <w:p>
            <w:pPr>
              <w:spacing w:after="0"/>
              <w:rPr>
                <w:sz w:val="23"/>
                <w:szCs w:val="23"/>
                <w:color w:val="auto"/>
              </w:rPr>
            </w:pPr>
          </w:p>
        </w:tc>
        <w:tc>
          <w:tcPr>
            <w:tcW w:w="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776</w:t>
            </w: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140" w:type="dxa"/>
            <w:vAlign w:val="bottom"/>
            <w:tcBorders>
              <w:top w:val="single" w:sz="8" w:color="auto"/>
              <w:bottom w:val="single" w:sz="8" w:color="auto"/>
            </w:tcBorders>
            <w:shd w:val="clear" w:color="auto" w:fill="E6E6E6"/>
          </w:tcPr>
          <w:p>
            <w:pPr>
              <w:spacing w:after="0"/>
              <w:rPr>
                <w:sz w:val="23"/>
                <w:szCs w:val="23"/>
                <w:color w:val="auto"/>
              </w:rPr>
            </w:pPr>
          </w:p>
        </w:tc>
        <w:tc>
          <w:tcPr>
            <w:tcW w:w="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821</w:t>
            </w:r>
          </w:p>
        </w:tc>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180" w:type="dxa"/>
            <w:vAlign w:val="bottom"/>
            <w:tcBorders>
              <w:top w:val="single" w:sz="8" w:color="auto"/>
              <w:bottom w:val="single" w:sz="8" w:color="auto"/>
            </w:tcBorders>
            <w:shd w:val="clear" w:color="auto" w:fill="E6E6E6"/>
          </w:tcPr>
          <w:p>
            <w:pPr>
              <w:spacing w:after="0"/>
              <w:rPr>
                <w:sz w:val="23"/>
                <w:szCs w:val="23"/>
                <w:color w:val="auto"/>
              </w:rPr>
            </w:pPr>
          </w:p>
        </w:tc>
        <w:tc>
          <w:tcPr>
            <w:tcW w:w="6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2,232</w:t>
            </w:r>
          </w:p>
        </w:tc>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160" w:type="dxa"/>
            <w:vAlign w:val="bottom"/>
            <w:tcBorders>
              <w:top w:val="single" w:sz="8" w:color="auto"/>
              <w:bottom w:val="single" w:sz="8" w:color="auto"/>
            </w:tcBorders>
            <w:shd w:val="clear" w:color="auto" w:fill="E6E6E6"/>
          </w:tcPr>
          <w:p>
            <w:pPr>
              <w:spacing w:after="0"/>
              <w:rPr>
                <w:sz w:val="23"/>
                <w:szCs w:val="23"/>
                <w:color w:val="auto"/>
              </w:rPr>
            </w:pPr>
          </w:p>
        </w:tc>
        <w:tc>
          <w:tcPr>
            <w:tcW w:w="6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Total debt </w:t>
            </w:r>
            <w:r>
              <w:rPr>
                <w:rFonts w:ascii="Arial" w:cs="Arial" w:eastAsia="Arial" w:hAnsi="Arial"/>
                <w:sz w:val="18"/>
                <w:szCs w:val="18"/>
                <w:b w:val="1"/>
                <w:bCs w:val="1"/>
                <w:color w:val="B4B4B4"/>
                <w:w w:val="91"/>
              </w:rPr>
              <w:t>. . . . . . . . . . . . . . . . . . . . . . . . . . . . . . . . . . . . . . . . . . .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-43815</wp:posOffset>
            </wp:positionV>
            <wp:extent cx="342582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34258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2" w:lineRule="exact"/>
        <w:rPr>
          <w:sz w:val="20"/>
          <w:szCs w:val="20"/>
          <w:color w:val="auto"/>
        </w:rPr>
      </w:pPr>
    </w:p>
    <w:p>
      <w:pPr>
        <w:ind w:left="80"/>
        <w:spacing w:after="0" w:line="209" w:lineRule="auto"/>
        <w:tabs>
          <w:tab w:leader="none" w:pos="352"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At December 31, 2024, amount includes $125 million of construction-related financings recorded in long-term debt on the Company’s consolidated balance sheet that is being funded through long-term equity contributions.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98"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9"/>
          <w:szCs w:val="19"/>
          <w:color w:val="auto"/>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260"/>
          </w:cols>
          <w:pgMar w:left="820" w:top="359" w:right="800" w:bottom="0" w:gutter="0" w:footer="0" w:header="0"/>
          <w:type w:val="continuous"/>
        </w:sectPr>
      </w:pPr>
    </w:p>
    <w:bookmarkStart w:id="58" w:name="page59"/>
    <w:bookmarkEnd w:id="58"/>
    <w:p>
      <w:pPr>
        <w:jc w:val="both"/>
        <w:ind w:firstLine="450"/>
        <w:spacing w:after="0" w:line="268" w:lineRule="auto"/>
        <w:rPr>
          <w:sz w:val="20"/>
          <w:szCs w:val="20"/>
          <w:color w:val="auto"/>
        </w:rPr>
      </w:pPr>
      <w:r>
        <w:rPr>
          <w:rFonts w:ascii="Arial" w:cs="Arial" w:eastAsia="Arial" w:hAnsi="Arial"/>
          <w:sz w:val="19"/>
          <w:szCs w:val="19"/>
          <w:color w:val="auto"/>
        </w:rPr>
        <w:t>For the years ended December 31, 2024 and 2023, the Company used approximately $287 million and $212 million, respectively, to fund capital expenditures, primarily in the Renewables segment, funded through construction-related financing. Growth capital expenditures included $107 million incurred in connection with the Victory Pass and Arica solar and BESS facilities, $54 million incurred in connection with the repowering of the Cedro Hill wind facility, $41 million incurred in connection with the Rosamond Central BESS facility, $23 million incurred in connection with Dan’s Mountain, $14 million incurred in connection with the Texas Solar Nova 1 and Texas Solar Nova 2 facilities, $14 million incurred in connection with the Daggett 2 solar and BESS facility, $10 million incurred in connection with the Daggett 3 solar and BESS facility, $7 million incurred in connection with the Cedar Creek wind facility and $6 million incurred by other facilities. In addition, for the years ended December 31, 2024 and 2023, the Company incurred $11 million and $22 million, respectively, of maintenance capital expenditures, which are net of credits received from equipment manufacturers.</w:t>
      </w:r>
    </w:p>
    <w:p>
      <w:pPr>
        <w:spacing w:after="0" w:line="140"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Company estimates $24 million of maintenance capital expenditures for 2025. These estimates are subject to continuing review and adjustment and actual capital expenditures may vary from these estimates.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Obligations under Certain Guarantee Contracts</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Company may enter into guarantee arrangements in the normal course of business to facilitate commercial transactions with third parties.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Retained or Contingent Interests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Obligations Arising Out of a Variable Interest in an Unconsolidated Entity</w:t>
      </w:r>
    </w:p>
    <w:p>
      <w:pPr>
        <w:spacing w:after="0" w:line="175"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b w:val="1"/>
          <w:bCs w:val="1"/>
          <w:i w:val="1"/>
          <w:iCs w:val="1"/>
          <w:color w:val="auto"/>
        </w:rPr>
        <w:t xml:space="preserve">Variable interest in equity investments </w:t>
      </w:r>
      <w:r>
        <w:rPr>
          <w:rFonts w:ascii="Arial" w:cs="Arial" w:eastAsia="Arial" w:hAnsi="Arial"/>
          <w:sz w:val="18"/>
          <w:szCs w:val="18"/>
          <w:color w:val="auto"/>
        </w:rPr>
        <w:t>— As of December 31, 2024, the Company has several investments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ownership interest percentage of 50% or less. GenConn is a VIE for which the Company is not the primary beneficiary. The Company’s pro-rata share of non-recourse debt held by unconsolidated affiliates was approximately $282 million as of December 31, 2024. This indebtedness may restrict the ability of these subsidiaries to issue dividends or distributions to the Company. See also Item 15 —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Contractual Obligations and Commercial Commitments</w:t>
      </w:r>
    </w:p>
    <w:p>
      <w:pPr>
        <w:spacing w:after="0" w:line="198" w:lineRule="exact"/>
        <w:rPr>
          <w:sz w:val="20"/>
          <w:szCs w:val="20"/>
          <w:color w:val="auto"/>
        </w:rPr>
      </w:pPr>
    </w:p>
    <w:p>
      <w:pPr>
        <w:jc w:val="both"/>
        <w:ind w:right="20" w:firstLine="450"/>
        <w:spacing w:after="0" w:line="309" w:lineRule="auto"/>
        <w:rPr>
          <w:sz w:val="20"/>
          <w:szCs w:val="20"/>
          <w:color w:val="auto"/>
        </w:rPr>
      </w:pPr>
      <w:r>
        <w:rPr>
          <w:rFonts w:ascii="Arial" w:cs="Arial" w:eastAsia="Arial" w:hAnsi="Arial"/>
          <w:sz w:val="18"/>
          <w:szCs w:val="18"/>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and Note 17,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for additional discussion.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10"/>
          </w:tcPr>
          <w:p>
            <w:pPr>
              <w:jc w:val="right"/>
              <w:ind w:right="543"/>
              <w:spacing w:after="0"/>
              <w:rPr>
                <w:sz w:val="20"/>
                <w:szCs w:val="20"/>
                <w:color w:val="auto"/>
              </w:rPr>
            </w:pPr>
            <w:r>
              <w:rPr>
                <w:rFonts w:ascii="Arial" w:cs="Arial" w:eastAsia="Arial" w:hAnsi="Arial"/>
                <w:sz w:val="16"/>
                <w:szCs w:val="16"/>
                <w:b w:val="1"/>
                <w:bCs w:val="1"/>
                <w:color w:val="auto"/>
              </w:rPr>
              <w:t>By Remaining Maturity at December 31,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7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Contractual Cash Obligations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66"/>
              <w:spacing w:after="0"/>
              <w:rPr>
                <w:sz w:val="20"/>
                <w:szCs w:val="20"/>
                <w:color w:val="auto"/>
              </w:rPr>
            </w:pPr>
            <w:r>
              <w:rPr>
                <w:rFonts w:ascii="Arial" w:cs="Arial" w:eastAsia="Arial" w:hAnsi="Arial"/>
                <w:sz w:val="16"/>
                <w:szCs w:val="16"/>
                <w:b w:val="1"/>
                <w:bCs w:val="1"/>
                <w:color w:val="auto"/>
              </w:rPr>
              <w:t>Under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6"/>
                <w:szCs w:val="16"/>
                <w:b w:val="1"/>
                <w:bCs w:val="1"/>
                <w:color w:val="auto"/>
                <w:w w:val="87"/>
              </w:rPr>
              <w:t>1-3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6"/>
                <w:szCs w:val="16"/>
                <w:b w:val="1"/>
                <w:bCs w:val="1"/>
                <w:color w:val="auto"/>
                <w:w w:val="89"/>
              </w:rPr>
              <w:t>3-5 Years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26"/>
              <w:spacing w:after="0"/>
              <w:rPr>
                <w:sz w:val="20"/>
                <w:szCs w:val="20"/>
                <w:color w:val="auto"/>
              </w:rPr>
            </w:pPr>
            <w:r>
              <w:rPr>
                <w:rFonts w:ascii="Arial" w:cs="Arial" w:eastAsia="Arial" w:hAnsi="Arial"/>
                <w:sz w:val="16"/>
                <w:szCs w:val="16"/>
                <w:b w:val="1"/>
                <w:bCs w:val="1"/>
                <w:color w:val="auto"/>
              </w:rPr>
              <w:t>Over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46"/>
              <w:spacing w:after="0" w:line="174" w:lineRule="exact"/>
              <w:rPr>
                <w:sz w:val="20"/>
                <w:szCs w:val="20"/>
                <w:color w:val="auto"/>
              </w:rPr>
            </w:pPr>
            <w:r>
              <w:rPr>
                <w:rFonts w:ascii="Arial" w:cs="Arial" w:eastAsia="Arial" w:hAnsi="Arial"/>
                <w:sz w:val="16"/>
                <w:szCs w:val="16"/>
                <w:b w:val="1"/>
                <w:bCs w:val="1"/>
                <w:color w:val="auto"/>
              </w:rPr>
              <w:t>1 Year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26"/>
              <w:spacing w:after="0" w:line="174" w:lineRule="exact"/>
              <w:rPr>
                <w:sz w:val="20"/>
                <w:szCs w:val="20"/>
                <w:color w:val="auto"/>
              </w:rPr>
            </w:pPr>
            <w:r>
              <w:rPr>
                <w:rFonts w:ascii="Arial" w:cs="Arial" w:eastAsia="Arial" w:hAnsi="Arial"/>
                <w:sz w:val="16"/>
                <w:szCs w:val="16"/>
                <w:b w:val="1"/>
                <w:bCs w:val="1"/>
                <w:color w:val="auto"/>
                <w:w w:val="94"/>
              </w:rPr>
              <w:t>5 Years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4"/>
          </w:tcPr>
          <w:p>
            <w:pPr>
              <w:jc w:val="right"/>
              <w:ind w:right="486"/>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40" w:type="dxa"/>
            <w:vAlign w:val="bottom"/>
            <w:shd w:val="clear" w:color="auto" w:fill="E6E6E6"/>
          </w:tcPr>
          <w:p>
            <w:pPr>
              <w:spacing w:after="0"/>
              <w:rPr>
                <w:sz w:val="24"/>
                <w:szCs w:val="24"/>
                <w:color w:val="auto"/>
              </w:rPr>
            </w:pPr>
          </w:p>
        </w:tc>
        <w:tc>
          <w:tcPr>
            <w:tcW w:w="376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4"/>
              </w:rPr>
              <w:t>Long-term debt (including estimated interest)</w:t>
            </w:r>
          </w:p>
        </w:tc>
        <w:tc>
          <w:tcPr>
            <w:tcW w:w="42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B4B4B4"/>
              </w:rPr>
              <w:t xml:space="preserve">. . </w:t>
            </w:r>
            <w:r>
              <w:rPr>
                <w:rFonts w:ascii="Arial" w:cs="Arial" w:eastAsia="Arial" w:hAnsi="Arial"/>
                <w:sz w:val="20"/>
                <w:szCs w:val="20"/>
                <w:color w:val="000000"/>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865</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1,281</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2,814</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ind w:right="6"/>
              <w:spacing w:after="0"/>
              <w:rPr>
                <w:sz w:val="20"/>
                <w:szCs w:val="20"/>
                <w:color w:val="auto"/>
              </w:rPr>
            </w:pPr>
            <w:r>
              <w:rPr>
                <w:rFonts w:ascii="Arial" w:cs="Arial" w:eastAsia="Arial" w:hAnsi="Arial"/>
                <w:sz w:val="20"/>
                <w:szCs w:val="20"/>
                <w:color w:val="auto"/>
              </w:rPr>
              <w:t>3,850</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8,810</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9,928</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20"/>
                <w:szCs w:val="20"/>
                <w:color w:val="auto"/>
                <w:w w:val="90"/>
              </w:rPr>
              <w:t xml:space="preserve">Operating leases  </w:t>
            </w:r>
            <w:r>
              <w:rPr>
                <w:rFonts w:ascii="Arial" w:cs="Arial" w:eastAsia="Arial" w:hAnsi="Arial"/>
                <w:sz w:val="20"/>
                <w:szCs w:val="20"/>
                <w:color w:val="B4B4B4"/>
                <w:w w:val="90"/>
              </w:rPr>
              <w:t>. . . . . . . . . . . . . . . . . . . . . . .</w:t>
            </w:r>
          </w:p>
        </w:tc>
        <w:tc>
          <w:tcPr>
            <w:tcW w:w="220" w:type="dxa"/>
            <w:vAlign w:val="bottom"/>
          </w:tcPr>
          <w:p>
            <w:pPr>
              <w:ind w:left="20"/>
              <w:spacing w:after="0"/>
              <w:rPr>
                <w:sz w:val="20"/>
                <w:szCs w:val="20"/>
                <w:color w:val="auto"/>
              </w:rPr>
            </w:pPr>
            <w:r>
              <w:rPr>
                <w:rFonts w:ascii="Arial" w:cs="Arial" w:eastAsia="Arial" w:hAnsi="Arial"/>
                <w:sz w:val="20"/>
                <w:szCs w:val="20"/>
                <w:color w:val="B4B4B4"/>
              </w:rPr>
              <w:t>. .</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Arial" w:cs="Arial" w:eastAsia="Arial" w:hAnsi="Arial"/>
                <w:sz w:val="20"/>
                <w:szCs w:val="20"/>
                <w:color w:val="auto"/>
              </w:rPr>
              <w:t>771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1,155</w:t>
            </w:r>
          </w:p>
        </w:tc>
        <w:tc>
          <w:tcPr>
            <w:tcW w:w="0" w:type="dxa"/>
            <w:vAlign w:val="bottom"/>
          </w:tcPr>
          <w:p>
            <w:pPr>
              <w:spacing w:after="0"/>
              <w:rPr>
                <w:sz w:val="1"/>
                <w:szCs w:val="1"/>
                <w:color w:val="auto"/>
              </w:rPr>
            </w:pPr>
          </w:p>
        </w:tc>
      </w:tr>
      <w:tr>
        <w:trPr>
          <w:trHeight w:val="306"/>
        </w:trPr>
        <w:tc>
          <w:tcPr>
            <w:tcW w:w="40" w:type="dxa"/>
            <w:vAlign w:val="bottom"/>
            <w:shd w:val="clear" w:color="auto" w:fill="E6E6E6"/>
          </w:tcPr>
          <w:p>
            <w:pPr>
              <w:spacing w:after="0"/>
              <w:rPr>
                <w:sz w:val="24"/>
                <w:szCs w:val="24"/>
                <w:color w:val="auto"/>
              </w:rPr>
            </w:pPr>
          </w:p>
        </w:tc>
        <w:tc>
          <w:tcPr>
            <w:tcW w:w="376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0"/>
              </w:rPr>
              <w:t xml:space="preserve">Natural gas transportation obligations </w:t>
            </w:r>
            <w:r>
              <w:rPr>
                <w:rFonts w:ascii="Arial" w:cs="Arial" w:eastAsia="Arial" w:hAnsi="Arial"/>
                <w:sz w:val="26"/>
                <w:szCs w:val="26"/>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w:t>
            </w:r>
          </w:p>
        </w:tc>
        <w:tc>
          <w:tcPr>
            <w:tcW w:w="220" w:type="dxa"/>
            <w:vAlign w:val="bottom"/>
            <w:shd w:val="clear" w:color="auto" w:fill="E6E6E6"/>
          </w:tcPr>
          <w:p>
            <w:pPr>
              <w:ind w:left="20"/>
              <w:spacing w:after="0"/>
              <w:rPr>
                <w:sz w:val="20"/>
                <w:szCs w:val="20"/>
                <w:color w:val="auto"/>
              </w:rPr>
            </w:pPr>
            <w:r>
              <w:rPr>
                <w:rFonts w:ascii="Arial" w:cs="Arial" w:eastAsia="Arial" w:hAnsi="Arial"/>
                <w:sz w:val="20"/>
                <w:szCs w:val="20"/>
                <w:color w:val="B4B4B4"/>
              </w:rPr>
              <w:t>. .</w:t>
            </w: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80" w:type="dxa"/>
            <w:vAlign w:val="bottom"/>
            <w:shd w:val="clear" w:color="auto" w:fill="E6E6E6"/>
          </w:tcPr>
          <w:p>
            <w:pPr>
              <w:jc w:val="right"/>
              <w:ind w:right="6"/>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0"/>
        </w:trPr>
        <w:tc>
          <w:tcPr>
            <w:tcW w:w="40" w:type="dxa"/>
            <w:vAlign w:val="bottom"/>
            <w:tcBorders>
              <w:bottom w:val="single" w:sz="8" w:color="E6E6E6"/>
            </w:tcBorders>
          </w:tcPr>
          <w:p>
            <w:pPr>
              <w:spacing w:after="0"/>
              <w:rPr>
                <w:sz w:val="24"/>
                <w:szCs w:val="24"/>
                <w:color w:val="auto"/>
              </w:rPr>
            </w:pPr>
          </w:p>
        </w:tc>
        <w:tc>
          <w:tcPr>
            <w:tcW w:w="3760" w:type="dxa"/>
            <w:vAlign w:val="bottom"/>
            <w:tcBorders>
              <w:bottom w:val="single" w:sz="8" w:color="E6E6E6"/>
            </w:tcBorders>
            <w:gridSpan w:val="3"/>
          </w:tcPr>
          <w:p>
            <w:pPr>
              <w:spacing w:after="0" w:line="290" w:lineRule="exact"/>
              <w:rPr>
                <w:sz w:val="20"/>
                <w:szCs w:val="20"/>
                <w:color w:val="auto"/>
              </w:rPr>
            </w:pPr>
            <w:r>
              <w:rPr>
                <w:rFonts w:ascii="Arial" w:cs="Arial" w:eastAsia="Arial" w:hAnsi="Arial"/>
                <w:sz w:val="20"/>
                <w:szCs w:val="20"/>
                <w:color w:val="auto"/>
                <w:w w:val="91"/>
              </w:rPr>
              <w:t xml:space="preserve">Other liabilities </w:t>
            </w:r>
            <w:r>
              <w:rPr>
                <w:rFonts w:ascii="Arial" w:cs="Arial" w:eastAsia="Arial" w:hAnsi="Arial"/>
                <w:sz w:val="26"/>
                <w:szCs w:val="26"/>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w:t>
            </w:r>
          </w:p>
        </w:tc>
        <w:tc>
          <w:tcPr>
            <w:tcW w:w="220" w:type="dxa"/>
            <w:vAlign w:val="bottom"/>
            <w:tcBorders>
              <w:bottom w:val="single" w:sz="8" w:color="E6E6E6"/>
            </w:tcBorders>
          </w:tcPr>
          <w:p>
            <w:pPr>
              <w:ind w:left="20"/>
              <w:spacing w:after="0"/>
              <w:rPr>
                <w:sz w:val="20"/>
                <w:szCs w:val="20"/>
                <w:color w:val="auto"/>
              </w:rPr>
            </w:pPr>
            <w:r>
              <w:rPr>
                <w:rFonts w:ascii="Arial" w:cs="Arial" w:eastAsia="Arial" w:hAnsi="Arial"/>
                <w:sz w:val="20"/>
                <w:szCs w:val="20"/>
                <w:color w:val="B4B4B4"/>
              </w:rPr>
              <w:t>. .</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w:t>
            </w: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color w:val="auto"/>
              </w:rPr>
              <w:t>187</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445</w:t>
            </w:r>
          </w:p>
        </w:tc>
        <w:tc>
          <w:tcPr>
            <w:tcW w:w="0" w:type="dxa"/>
            <w:vAlign w:val="bottom"/>
          </w:tcPr>
          <w:p>
            <w:pPr>
              <w:spacing w:after="0"/>
              <w:rPr>
                <w:sz w:val="1"/>
                <w:szCs w:val="1"/>
                <w:color w:val="auto"/>
              </w:rPr>
            </w:pPr>
          </w:p>
        </w:tc>
      </w:tr>
      <w:tr>
        <w:trPr>
          <w:trHeight w:val="280"/>
        </w:trPr>
        <w:tc>
          <w:tcPr>
            <w:tcW w:w="40" w:type="dxa"/>
            <w:vAlign w:val="bottom"/>
            <w:shd w:val="clear" w:color="auto" w:fill="E6E6E6"/>
          </w:tcPr>
          <w:p>
            <w:pPr>
              <w:spacing w:after="0"/>
              <w:rPr>
                <w:sz w:val="24"/>
                <w:szCs w:val="24"/>
                <w:color w:val="auto"/>
              </w:rPr>
            </w:pPr>
          </w:p>
        </w:tc>
        <w:tc>
          <w:tcPr>
            <w:tcW w:w="376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0"/>
              </w:rPr>
              <w:t xml:space="preserve">Total </w:t>
            </w:r>
            <w:r>
              <w:rPr>
                <w:rFonts w:ascii="Arial" w:cs="Arial" w:eastAsia="Arial" w:hAnsi="Arial"/>
                <w:sz w:val="20"/>
                <w:szCs w:val="20"/>
                <w:color w:val="B4B4B4"/>
                <w:w w:val="90"/>
              </w:rPr>
              <w:t>. . . . . . . . . . . . . . . . . . . . . . . . . . . . . . . . .</w:t>
            </w:r>
          </w:p>
        </w:tc>
        <w:tc>
          <w:tcPr>
            <w:tcW w:w="42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B4B4B4"/>
              </w:rPr>
              <w:t xml:space="preserve">. . </w:t>
            </w:r>
            <w:r>
              <w:rPr>
                <w:rFonts w:ascii="Arial" w:cs="Arial" w:eastAsia="Arial" w:hAnsi="Arial"/>
                <w:sz w:val="20"/>
                <w:szCs w:val="20"/>
                <w:color w:val="000000"/>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929</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1,402</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2,932</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ind w:right="6"/>
              <w:spacing w:after="0"/>
              <w:rPr>
                <w:sz w:val="20"/>
                <w:szCs w:val="20"/>
                <w:color w:val="auto"/>
              </w:rPr>
            </w:pPr>
            <w:r>
              <w:rPr>
                <w:rFonts w:ascii="Arial" w:cs="Arial" w:eastAsia="Arial" w:hAnsi="Arial"/>
                <w:sz w:val="20"/>
                <w:szCs w:val="20"/>
                <w:color w:val="auto"/>
              </w:rPr>
              <w:t>4,808</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10,071</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11,535</w:t>
            </w:r>
          </w:p>
        </w:tc>
        <w:tc>
          <w:tcPr>
            <w:tcW w:w="0" w:type="dxa"/>
            <w:vAlign w:val="bottom"/>
          </w:tcPr>
          <w:p>
            <w:pPr>
              <w:spacing w:after="0"/>
              <w:rPr>
                <w:sz w:val="1"/>
                <w:szCs w:val="1"/>
                <w:color w:val="auto"/>
              </w:rPr>
            </w:pPr>
          </w:p>
        </w:tc>
      </w:tr>
      <w:tr>
        <w:trPr>
          <w:trHeight w:val="20"/>
        </w:trPr>
        <w:tc>
          <w:tcPr>
            <w:tcW w:w="40" w:type="dxa"/>
            <w:vAlign w:val="bottom"/>
            <w:tcBorders>
              <w:top w:val="single" w:sz="8" w:color="E6E6E6"/>
            </w:tcBorders>
          </w:tcPr>
          <w:p>
            <w:pPr>
              <w:spacing w:after="0" w:line="20" w:lineRule="exact"/>
              <w:rPr>
                <w:sz w:val="1"/>
                <w:szCs w:val="1"/>
                <w:color w:val="auto"/>
              </w:rPr>
            </w:pPr>
          </w:p>
        </w:tc>
        <w:tc>
          <w:tcPr>
            <w:tcW w:w="194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7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-132715</wp:posOffset>
            </wp:positionV>
            <wp:extent cx="392112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3921125" cy="50800"/>
                    </a:xfrm>
                    <a:prstGeom prst="rect">
                      <a:avLst/>
                    </a:prstGeom>
                    <a:noFill/>
                  </pic:spPr>
                </pic:pic>
              </a:graphicData>
            </a:graphic>
          </wp:anchor>
        </w:drawing>
      </w:r>
    </w:p>
    <w:p>
      <w:pPr>
        <w:spacing w:after="0" w:line="47" w:lineRule="exact"/>
        <w:rPr>
          <w:sz w:val="20"/>
          <w:szCs w:val="20"/>
          <w:color w:val="auto"/>
        </w:rPr>
      </w:pPr>
    </w:p>
    <w:p>
      <w:pPr>
        <w:ind w:left="80"/>
        <w:spacing w:after="0" w:line="209" w:lineRule="auto"/>
        <w:tabs>
          <w:tab w:leader="none" w:pos="304"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These contractual cash obligations relate to reservation charges under the backbone transportation service contracts. In 2024, these contracts were amended to a volumetric approach and only incur charges when dispatched.</w:t>
      </w:r>
    </w:p>
    <w:p>
      <w:pPr>
        <w:ind w:left="320" w:hanging="240"/>
        <w:spacing w:after="0" w:line="224" w:lineRule="auto"/>
        <w:tabs>
          <w:tab w:leader="none" w:pos="320"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Includes water right agreements, service and maintenance agreements and LTSA commitments.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260"/>
          </w:cols>
          <w:pgMar w:left="820" w:top="367" w:right="800" w:bottom="0" w:gutter="0" w:footer="0" w:header="0"/>
          <w:type w:val="continuous"/>
        </w:sectPr>
      </w:pPr>
    </w:p>
    <w:bookmarkStart w:id="59" w:name="page60"/>
    <w:bookmarkEnd w:id="59"/>
    <w:p>
      <w:pPr>
        <w:ind w:left="440"/>
        <w:spacing w:after="0"/>
        <w:rPr>
          <w:sz w:val="20"/>
          <w:szCs w:val="20"/>
          <w:color w:val="auto"/>
        </w:rPr>
      </w:pPr>
      <w:r>
        <w:rPr>
          <w:rFonts w:ascii="Arial" w:cs="Arial" w:eastAsia="Arial" w:hAnsi="Arial"/>
          <w:sz w:val="20"/>
          <w:szCs w:val="20"/>
          <w:b w:val="1"/>
          <w:bCs w:val="1"/>
          <w:i w:val="1"/>
          <w:iCs w:val="1"/>
          <w:color w:val="auto"/>
        </w:rPr>
        <w:t>Acquisitions and Investments</w:t>
      </w:r>
    </w:p>
    <w:p>
      <w:pPr>
        <w:spacing w:after="0" w:line="198"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31"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8"/>
          <w:szCs w:val="18"/>
          <w:b w:val="1"/>
          <w:bCs w:val="1"/>
          <w:i w:val="1"/>
          <w:iCs w:val="1"/>
          <w:color w:val="auto"/>
        </w:rPr>
        <w:t xml:space="preserve">Cedro Hill Repowering Financing Activities — </w:t>
      </w:r>
      <w:r>
        <w:rPr>
          <w:rFonts w:ascii="Arial" w:cs="Arial" w:eastAsia="Arial" w:hAnsi="Arial"/>
          <w:sz w:val="18"/>
          <w:szCs w:val="18"/>
          <w:color w:val="auto"/>
        </w:rPr>
        <w:t>On December 27, 2024, when the repowering of the Cedro Hill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tax equity bridge loan and cash equity bridge loan, to fund construction completion and related reserves, to pay construction invoices and to pay associated fees with the remaining $26 million distributed to CEG. Also at substantial completion, the outstanding construction loans were converted to a term loan. Under the financing agreement, the Company borrowed an additional $88 million during 2024.</w:t>
      </w:r>
    </w:p>
    <w:p>
      <w:pPr>
        <w:spacing w:after="0" w:line="115"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9"/>
          <w:szCs w:val="19"/>
          <w:b w:val="1"/>
          <w:bCs w:val="1"/>
          <w:i w:val="1"/>
          <w:iCs w:val="1"/>
          <w:color w:val="auto"/>
        </w:rPr>
        <w:t xml:space="preserve">Tuolumne Third-Party Acquisition — </w:t>
      </w:r>
      <w:r>
        <w:rPr>
          <w:rFonts w:ascii="Arial" w:cs="Arial" w:eastAsia="Arial" w:hAnsi="Arial"/>
          <w:sz w:val="19"/>
          <w:szCs w:val="19"/>
          <w:color w:val="auto"/>
        </w:rPr>
        <w:t>On November 25, 2024, the Company entered into a binding agreement to acquire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Tuolumne wind facility, a 137 MW operating facility located in Klickitat County, Washington, from an investment-grade regulated entity for approximately $219 million. After factoring in estimated closing adjustments and new non-recourse facility-level debt, the Company expects its total long-term corporate capital commitment to acquire the facility to be between $70 million and $75 million, which the Company expects to fund with existing sources of liquidity. Tuolumne reached commercial operations in 2009. As part of the acquisition, the Company will enter into a 15-year PPA with the seller of the facility. The Company also has received a PPA contractual extension option to enable a potential future repowering of the facility. The consummation of the transaction is subject to customary closing conditions and certain third-party approvals and is expected in the first half of 2025.</w:t>
      </w:r>
    </w:p>
    <w:p>
      <w:pPr>
        <w:spacing w:after="0" w:line="128" w:lineRule="exact"/>
        <w:rPr>
          <w:sz w:val="20"/>
          <w:szCs w:val="20"/>
          <w:color w:val="auto"/>
        </w:rPr>
      </w:pPr>
    </w:p>
    <w:p>
      <w:pPr>
        <w:jc w:val="both"/>
        <w:ind w:right="20" w:firstLine="450"/>
        <w:spacing w:after="0" w:line="284" w:lineRule="auto"/>
        <w:rPr>
          <w:sz w:val="20"/>
          <w:szCs w:val="20"/>
          <w:color w:val="auto"/>
        </w:rPr>
      </w:pPr>
      <w:r>
        <w:rPr>
          <w:rFonts w:ascii="Arial" w:cs="Arial" w:eastAsia="Arial" w:hAnsi="Arial"/>
          <w:sz w:val="18"/>
          <w:szCs w:val="18"/>
          <w:b w:val="1"/>
          <w:bCs w:val="1"/>
          <w:i w:val="1"/>
          <w:iCs w:val="1"/>
          <w:color w:val="auto"/>
        </w:rPr>
        <w:t xml:space="preserve">Dan’s Mountain Drop Down — </w:t>
      </w:r>
      <w:r>
        <w:rPr>
          <w:rFonts w:ascii="Arial" w:cs="Arial" w:eastAsia="Arial" w:hAnsi="Arial"/>
          <w:sz w:val="18"/>
          <w:szCs w:val="18"/>
          <w:color w:val="auto"/>
        </w:rPr>
        <w:t>On November 18, 2024, the Company, through its indirect subsidiary, Dan’s Mountain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Holdco LLC, acquired the Class A membership interests in Dan’s Mountain TargetCo LLC, the indirect owner of the Dan’s Mountain wind facility,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Dan’s Mountain has a 12-year PPA with an investment-grade utility that will commence when the underlying operating assets reach commercial operations, which is expected to occur in the first half of 2025. The acquisition was funded with existing sources of liquidity. As part of the acquisition of Dan’s Mountain, the Company assumed the facility’s financing agreement, which included a cash equity bridge loan that was partially paid off at acquisition date and a tax equity bridge loan, both of which will be completely paid off when the facility reaches substantial completion. Subsequent to the acquisition, the Company borrowed an additional $24 million in tax equity bridge loans.</w:t>
      </w:r>
    </w:p>
    <w:p>
      <w:pPr>
        <w:spacing w:after="0" w:line="121"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b w:val="1"/>
          <w:bCs w:val="1"/>
          <w:i w:val="1"/>
          <w:iCs w:val="1"/>
          <w:color w:val="auto"/>
        </w:rPr>
        <w:t xml:space="preserve">Rosamond Central BESS Drop Down and Financing Activities — </w:t>
      </w:r>
      <w:r>
        <w:rPr>
          <w:rFonts w:ascii="Arial" w:cs="Arial" w:eastAsia="Arial" w:hAnsi="Arial"/>
          <w:sz w:val="18"/>
          <w:szCs w:val="18"/>
          <w:color w:val="auto"/>
        </w:rPr>
        <w:t>On June 13, 2024, when the Rosamond Central BESS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to the Company by CEG, to repay the tax equity bridge loan, to make a distribution to the cash equity investor, to fund construction completion reserves and to pay associated fees. Additionally, on June 13, 2024, the outstanding construction loans were converted to a term loan. Under the financing agreement, the Company borrowed an additional $30 million during 2024.</w:t>
      </w:r>
    </w:p>
    <w:p>
      <w:pPr>
        <w:spacing w:after="0" w:line="116"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b w:val="1"/>
          <w:bCs w:val="1"/>
          <w:i w:val="1"/>
          <w:iCs w:val="1"/>
          <w:color w:val="auto"/>
        </w:rPr>
        <w:t xml:space="preserve">Victory Pass and Arica Drop Down — </w:t>
      </w:r>
      <w:r>
        <w:rPr>
          <w:rFonts w:ascii="Arial" w:cs="Arial" w:eastAsia="Arial" w:hAnsi="Arial"/>
          <w:sz w:val="19"/>
          <w:szCs w:val="19"/>
          <w:color w:val="auto"/>
        </w:rPr>
        <w:t>On May 1, 2024, when the Victory Pass and Arica solar and BESS facilities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260"/>
          </w:cols>
          <w:pgMar w:left="820" w:top="359" w:right="800" w:bottom="0" w:gutter="0" w:footer="0" w:header="0"/>
          <w:type w:val="continuous"/>
        </w:sectPr>
      </w:pPr>
    </w:p>
    <w:bookmarkStart w:id="60" w:name="page61"/>
    <w:bookmarkEnd w:id="60"/>
    <w:p>
      <w:pPr>
        <w:jc w:val="both"/>
        <w:ind w:right="200" w:firstLine="450"/>
        <w:spacing w:after="0" w:line="255" w:lineRule="auto"/>
        <w:rPr>
          <w:sz w:val="20"/>
          <w:szCs w:val="20"/>
          <w:color w:val="auto"/>
        </w:rPr>
      </w:pPr>
      <w:r>
        <w:rPr>
          <w:rFonts w:ascii="Arial" w:cs="Arial" w:eastAsia="Arial" w:hAnsi="Arial"/>
          <w:sz w:val="20"/>
          <w:szCs w:val="20"/>
          <w:b w:val="1"/>
          <w:bCs w:val="1"/>
          <w:i w:val="1"/>
          <w:iCs w:val="1"/>
          <w:color w:val="auto"/>
        </w:rPr>
        <w:t xml:space="preserve">Cedar Creek Drop Down — </w:t>
      </w:r>
      <w:r>
        <w:rPr>
          <w:rFonts w:ascii="Arial" w:cs="Arial" w:eastAsia="Arial" w:hAnsi="Arial"/>
          <w:sz w:val="20"/>
          <w:szCs w:val="20"/>
          <w:color w:val="auto"/>
        </w:rPr>
        <w:t>On April 16, 2024, the Company, through its indirect subsidiary, Cedar Creek Wind Holdco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spacing w:after="0" w:line="145" w:lineRule="exact"/>
        <w:rPr>
          <w:sz w:val="20"/>
          <w:szCs w:val="20"/>
          <w:color w:val="auto"/>
        </w:rPr>
      </w:pPr>
    </w:p>
    <w:p>
      <w:pPr>
        <w:jc w:val="both"/>
        <w:ind w:right="180" w:firstLine="450"/>
        <w:spacing w:after="0" w:line="270" w:lineRule="auto"/>
        <w:rPr>
          <w:sz w:val="20"/>
          <w:szCs w:val="20"/>
          <w:color w:val="auto"/>
        </w:rPr>
      </w:pPr>
      <w:r>
        <w:rPr>
          <w:rFonts w:ascii="Arial" w:cs="Arial" w:eastAsia="Arial" w:hAnsi="Arial"/>
          <w:sz w:val="19"/>
          <w:szCs w:val="19"/>
          <w:b w:val="1"/>
          <w:bCs w:val="1"/>
          <w:i w:val="1"/>
          <w:iCs w:val="1"/>
          <w:color w:val="auto"/>
        </w:rPr>
        <w:t xml:space="preserve">Texas Solar Nova 2 Drop Down — </w:t>
      </w:r>
      <w:r>
        <w:rPr>
          <w:rFonts w:ascii="Arial" w:cs="Arial" w:eastAsia="Arial" w:hAnsi="Arial"/>
          <w:sz w:val="19"/>
          <w:szCs w:val="19"/>
          <w:color w:val="auto"/>
        </w:rPr>
        <w:t>On March 15, 2024, the Company, through its indirect subsidiary, TSN1 TE Holdco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Cash Dividends to Investors</w:t>
      </w:r>
    </w:p>
    <w:p>
      <w:pPr>
        <w:spacing w:after="0" w:line="198" w:lineRule="exact"/>
        <w:rPr>
          <w:sz w:val="20"/>
          <w:szCs w:val="20"/>
          <w:color w:val="auto"/>
        </w:rPr>
      </w:pPr>
    </w:p>
    <w:p>
      <w:pPr>
        <w:jc w:val="both"/>
        <w:ind w:right="200" w:firstLine="450"/>
        <w:spacing w:after="0" w:line="255" w:lineRule="auto"/>
        <w:rPr>
          <w:sz w:val="20"/>
          <w:szCs w:val="20"/>
          <w:color w:val="auto"/>
        </w:rPr>
      </w:pPr>
      <w:r>
        <w:rPr>
          <w:rFonts w:ascii="Arial" w:cs="Arial" w:eastAsia="Arial" w:hAnsi="Arial"/>
          <w:sz w:val="20"/>
          <w:szCs w:val="20"/>
          <w:color w:val="auto"/>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50" w:lineRule="exact"/>
        <w:rPr>
          <w:sz w:val="20"/>
          <w:szCs w:val="20"/>
          <w:color w:val="auto"/>
        </w:rPr>
      </w:pPr>
    </w:p>
    <w:p>
      <w:pPr>
        <w:ind w:right="320" w:firstLine="450"/>
        <w:spacing w:after="0" w:line="283" w:lineRule="auto"/>
        <w:rPr>
          <w:sz w:val="20"/>
          <w:szCs w:val="20"/>
          <w:color w:val="auto"/>
        </w:rPr>
      </w:pPr>
      <w:r>
        <w:rPr>
          <w:rFonts w:ascii="Arial" w:cs="Arial" w:eastAsia="Arial" w:hAnsi="Arial"/>
          <w:sz w:val="20"/>
          <w:szCs w:val="20"/>
          <w:color w:val="auto"/>
        </w:rPr>
        <w:t>The following table lists the dividends paid on the Company’s Class A common stock and Class C common stock during the year ended December 31,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2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Fourth Quarter</w:t>
            </w:r>
          </w:p>
        </w:tc>
        <w:tc>
          <w:tcPr>
            <w:tcW w:w="80" w:type="dxa"/>
            <w:vAlign w:val="bottom"/>
          </w:tcPr>
          <w:p>
            <w:pPr>
              <w:spacing w:after="0"/>
              <w:rPr>
                <w:sz w:val="16"/>
                <w:szCs w:val="16"/>
                <w:color w:val="auto"/>
              </w:rPr>
            </w:pPr>
          </w:p>
        </w:tc>
        <w:tc>
          <w:tcPr>
            <w:tcW w:w="128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Third Quarter</w:t>
            </w:r>
          </w:p>
        </w:tc>
        <w:tc>
          <w:tcPr>
            <w:tcW w:w="60" w:type="dxa"/>
            <w:vAlign w:val="bottom"/>
          </w:tcPr>
          <w:p>
            <w:pPr>
              <w:spacing w:after="0"/>
              <w:rPr>
                <w:sz w:val="16"/>
                <w:szCs w:val="16"/>
                <w:color w:val="auto"/>
              </w:rPr>
            </w:pPr>
          </w:p>
        </w:tc>
        <w:tc>
          <w:tcPr>
            <w:tcW w:w="12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w w:val="96"/>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0"/>
              <w:spacing w:after="0"/>
              <w:rPr>
                <w:sz w:val="20"/>
                <w:szCs w:val="20"/>
                <w:color w:val="auto"/>
              </w:rPr>
            </w:pPr>
            <w:r>
              <w:rPr>
                <w:rFonts w:ascii="Arial" w:cs="Arial" w:eastAsia="Arial" w:hAnsi="Arial"/>
                <w:sz w:val="16"/>
                <w:szCs w:val="16"/>
                <w:b w:val="1"/>
                <w:bCs w:val="1"/>
                <w:color w:val="auto"/>
                <w:w w:val="94"/>
              </w:rPr>
              <w:t>First Quarter</w:t>
            </w:r>
          </w:p>
        </w:tc>
      </w:tr>
      <w:tr>
        <w:trPr>
          <w:trHeight w:val="214"/>
        </w:trPr>
        <w:tc>
          <w:tcPr>
            <w:tcW w:w="510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2024</w:t>
            </w:r>
          </w:p>
        </w:tc>
      </w:tr>
      <w:tr>
        <w:trPr>
          <w:trHeight w:val="290"/>
        </w:trPr>
        <w:tc>
          <w:tcPr>
            <w:tcW w:w="51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0"/>
              </w:rPr>
              <w:t xml:space="preserve">Dividends per Class A share </w:t>
            </w:r>
            <w:r>
              <w:rPr>
                <w:rFonts w:ascii="Arial" w:cs="Arial" w:eastAsia="Arial" w:hAnsi="Arial"/>
                <w:sz w:val="20"/>
                <w:szCs w:val="20"/>
                <w:b w:val="1"/>
                <w:bCs w:val="1"/>
                <w:color w:val="B4B4B4"/>
                <w:w w:val="90"/>
              </w:rPr>
              <w:t>. . . . .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0.4240</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0.4171</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0.4102</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0.4033</w:t>
            </w:r>
          </w:p>
        </w:tc>
      </w:tr>
      <w:tr>
        <w:trPr>
          <w:trHeight w:val="287"/>
        </w:trPr>
        <w:tc>
          <w:tcPr>
            <w:tcW w:w="5100" w:type="dxa"/>
            <w:vAlign w:val="bottom"/>
          </w:tcPr>
          <w:p>
            <w:pPr>
              <w:ind w:left="40"/>
              <w:spacing w:after="0"/>
              <w:rPr>
                <w:sz w:val="20"/>
                <w:szCs w:val="20"/>
                <w:color w:val="auto"/>
              </w:rPr>
            </w:pPr>
            <w:r>
              <w:rPr>
                <w:rFonts w:ascii="Arial" w:cs="Arial" w:eastAsia="Arial" w:hAnsi="Arial"/>
                <w:sz w:val="20"/>
                <w:szCs w:val="20"/>
                <w:b w:val="1"/>
                <w:bCs w:val="1"/>
                <w:color w:val="auto"/>
                <w:w w:val="90"/>
              </w:rPr>
              <w:t xml:space="preserve">Dividends per Class C share </w:t>
            </w:r>
            <w:r>
              <w:rPr>
                <w:rFonts w:ascii="Arial" w:cs="Arial" w:eastAsia="Arial" w:hAnsi="Arial"/>
                <w:sz w:val="20"/>
                <w:szCs w:val="20"/>
                <w:b w:val="1"/>
                <w:bCs w:val="1"/>
                <w:color w:val="B4B4B4"/>
                <w:w w:val="90"/>
              </w:rPr>
              <w:t>. . . . .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0.4240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color w:val="auto"/>
              </w:rPr>
              <w:t>0.4171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0.4102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20"/>
                <w:szCs w:val="20"/>
                <w:color w:val="auto"/>
              </w:rPr>
              <w:t>0.4033</w:t>
            </w:r>
          </w:p>
        </w:tc>
      </w:tr>
    </w:tbl>
    <w:p>
      <w:pPr>
        <w:spacing w:after="0" w:line="230" w:lineRule="exact"/>
        <w:rPr>
          <w:sz w:val="20"/>
          <w:szCs w:val="20"/>
          <w:color w:val="auto"/>
        </w:rPr>
      </w:pPr>
    </w:p>
    <w:p>
      <w:pPr>
        <w:ind w:right="200" w:firstLine="450"/>
        <w:spacing w:after="0" w:line="283" w:lineRule="auto"/>
        <w:rPr>
          <w:sz w:val="20"/>
          <w:szCs w:val="20"/>
          <w:color w:val="auto"/>
        </w:rPr>
      </w:pPr>
      <w:r>
        <w:rPr>
          <w:rFonts w:ascii="Arial" w:cs="Arial" w:eastAsia="Arial" w:hAnsi="Arial"/>
          <w:sz w:val="20"/>
          <w:szCs w:val="20"/>
          <w:color w:val="auto"/>
        </w:rPr>
        <w:t>On February 17, 2025, the Company declared a quarterly dividend on its Class A and Class C common stock of $0.4312 per share payable on March 17, 2025 to stockholders of record as of March 3, 2025.</w:t>
      </w:r>
    </w:p>
    <w:p>
      <w:pPr>
        <w:sectPr>
          <w:pgSz w:w="11880" w:h="15480" w:orient="portrait"/>
          <w:cols w:equalWidth="0" w:num="1">
            <w:col w:w="10440"/>
          </w:cols>
          <w:pgMar w:left="820" w:top="362"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440"/>
          </w:cols>
          <w:pgMar w:left="820" w:top="362" w:right="62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Cash Flow Discussion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reflects the changes in cash flows for the comparative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7"/>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5"/>
          </w:tcPr>
          <w:p>
            <w:pPr>
              <w:ind w:left="1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672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Net cash provided by operating activities </w:t>
            </w:r>
            <w:r>
              <w:rPr>
                <w:rFonts w:ascii="Arial" w:cs="Arial" w:eastAsia="Arial" w:hAnsi="Arial"/>
                <w:sz w:val="20"/>
                <w:szCs w:val="20"/>
                <w:color w:val="B4B4B4"/>
                <w:w w:val="91"/>
              </w:rPr>
              <w:t>. . . . . . . . . . . . . . . . . . . . . . . . . . . . . . . . .</w:t>
            </w:r>
          </w:p>
        </w:tc>
        <w:tc>
          <w:tcPr>
            <w:tcW w:w="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770</w:t>
            </w:r>
          </w:p>
        </w:tc>
        <w:tc>
          <w:tcPr>
            <w:tcW w:w="42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702</w:t>
            </w:r>
          </w:p>
        </w:tc>
        <w:tc>
          <w:tcPr>
            <w:tcW w:w="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ind w:lef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78"/>
        </w:trPr>
        <w:tc>
          <w:tcPr>
            <w:tcW w:w="6720" w:type="dxa"/>
            <w:vAlign w:val="bottom"/>
          </w:tcPr>
          <w:p>
            <w:pPr>
              <w:ind w:left="40"/>
              <w:spacing w:after="0"/>
              <w:rPr>
                <w:sz w:val="20"/>
                <w:szCs w:val="20"/>
                <w:color w:val="auto"/>
              </w:rPr>
            </w:pPr>
            <w:r>
              <w:rPr>
                <w:rFonts w:ascii="Arial" w:cs="Arial" w:eastAsia="Arial" w:hAnsi="Arial"/>
                <w:sz w:val="20"/>
                <w:szCs w:val="20"/>
                <w:color w:val="auto"/>
                <w:w w:val="91"/>
              </w:rPr>
              <w:t xml:space="preserve">Net cash used in investing activities </w:t>
            </w:r>
            <w:r>
              <w:rPr>
                <w:rFonts w:ascii="Arial" w:cs="Arial" w:eastAsia="Arial" w:hAnsi="Arial"/>
                <w:sz w:val="20"/>
                <w:szCs w:val="20"/>
                <w:color w:val="B4B4B4"/>
                <w:w w:val="91"/>
              </w:rPr>
              <w:t>. . . . . . . . . . . . . . . . . . . . . . . . . . . . . . . . . . . . .</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(523)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92"/>
        </w:trPr>
        <w:tc>
          <w:tcPr>
            <w:tcW w:w="672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Net cash used in financing activities </w:t>
            </w:r>
            <w:r>
              <w:rPr>
                <w:rFonts w:ascii="Arial" w:cs="Arial" w:eastAsia="Arial" w:hAnsi="Arial"/>
                <w:sz w:val="20"/>
                <w:szCs w:val="20"/>
                <w:color w:val="B4B4B4"/>
                <w:w w:val="91"/>
              </w:rPr>
              <w:t>. . . . . . . . . . . . . . . . . . . . . . . . . . . . . . . . . . . . .</w:t>
            </w: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(363)</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8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(124)</w:t>
            </w: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w:t>
            </w:r>
          </w:p>
        </w:tc>
        <w:tc>
          <w:tcPr>
            <w:tcW w:w="0" w:type="dxa"/>
            <w:vAlign w:val="bottom"/>
          </w:tcPr>
          <w:p>
            <w:pPr>
              <w:spacing w:after="0"/>
              <w:rPr>
                <w:sz w:val="1"/>
                <w:szCs w:val="1"/>
                <w:color w:val="auto"/>
              </w:rPr>
            </w:pPr>
          </w:p>
        </w:tc>
      </w:tr>
      <w:tr>
        <w:trPr>
          <w:trHeight w:val="475"/>
        </w:trPr>
        <w:tc>
          <w:tcPr>
            <w:tcW w:w="6720" w:type="dxa"/>
            <w:vAlign w:val="bottom"/>
          </w:tcPr>
          <w:p>
            <w:pPr>
              <w:ind w:left="440"/>
              <w:spacing w:after="0"/>
              <w:rPr>
                <w:sz w:val="20"/>
                <w:szCs w:val="20"/>
                <w:color w:val="auto"/>
              </w:rPr>
            </w:pPr>
            <w:r>
              <w:rPr>
                <w:rFonts w:ascii="Arial" w:cs="Arial" w:eastAsia="Arial" w:hAnsi="Arial"/>
                <w:sz w:val="20"/>
                <w:szCs w:val="20"/>
                <w:b w:val="1"/>
                <w:bCs w:val="1"/>
                <w:i w:val="1"/>
                <w:iCs w:val="1"/>
                <w:color w:val="auto"/>
              </w:rPr>
              <w:t>Net Cash Provided by 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72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Changes to net cash provided by operating activities were driven by:</w:t>
            </w:r>
          </w:p>
        </w:tc>
        <w:tc>
          <w:tcPr>
            <w:tcW w:w="26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90"/>
        </w:trPr>
        <w:tc>
          <w:tcPr>
            <w:tcW w:w="69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1"/>
              </w:rPr>
              <w:t xml:space="preserve">Increase in operating income after adjusting for non-cash items </w:t>
            </w:r>
            <w:r>
              <w:rPr>
                <w:rFonts w:ascii="Arial" w:cs="Arial" w:eastAsia="Arial" w:hAnsi="Arial"/>
                <w:sz w:val="20"/>
                <w:szCs w:val="20"/>
                <w:color w:val="B4B4B4"/>
                <w:w w:val="91"/>
              </w:rPr>
              <w:t>. . . . . . . . . . . . . . . . .</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B4B4B4"/>
                <w:w w:val="92"/>
              </w:rPr>
              <w:t>. . . .</w:t>
            </w:r>
          </w:p>
        </w:tc>
        <w:tc>
          <w:tcPr>
            <w:tcW w:w="880" w:type="dxa"/>
            <w:vAlign w:val="bottom"/>
            <w:gridSpan w:val="4"/>
            <w:shd w:val="clear" w:color="auto" w:fill="E6E6E6"/>
          </w:tcPr>
          <w:p>
            <w:pPr>
              <w:ind w:left="20"/>
              <w:spacing w:after="0"/>
              <w:rPr>
                <w:sz w:val="20"/>
                <w:szCs w:val="20"/>
                <w:color w:val="auto"/>
              </w:rPr>
            </w:pPr>
            <w:r>
              <w:rPr>
                <w:rFonts w:ascii="Arial" w:cs="Arial" w:eastAsia="Arial" w:hAnsi="Arial"/>
                <w:sz w:val="20"/>
                <w:szCs w:val="20"/>
                <w:color w:val="B4B4B4"/>
                <w:w w:val="94"/>
              </w:rPr>
              <w:t xml:space="preserve">. . . . . . . </w:t>
            </w:r>
            <w:r>
              <w:rPr>
                <w:rFonts w:ascii="Arial" w:cs="Arial" w:eastAsia="Arial" w:hAnsi="Arial"/>
                <w:sz w:val="20"/>
                <w:szCs w:val="20"/>
                <w:color w:val="000000"/>
                <w:w w:val="94"/>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22"/>
        </w:trPr>
        <w:tc>
          <w:tcPr>
            <w:tcW w:w="9160" w:type="dxa"/>
            <w:vAlign w:val="bottom"/>
            <w:gridSpan w:val="9"/>
          </w:tcPr>
          <w:p>
            <w:pPr>
              <w:ind w:left="160"/>
              <w:spacing w:after="0" w:line="222" w:lineRule="exact"/>
              <w:rPr>
                <w:sz w:val="20"/>
                <w:szCs w:val="20"/>
                <w:color w:val="auto"/>
              </w:rPr>
            </w:pPr>
            <w:r>
              <w:rPr>
                <w:rFonts w:ascii="Arial" w:cs="Arial" w:eastAsia="Arial" w:hAnsi="Arial"/>
                <w:sz w:val="20"/>
                <w:szCs w:val="20"/>
                <w:color w:val="auto"/>
                <w:w w:val="94"/>
              </w:rPr>
              <w:t>Increase in working capital primarily driven by the timing of accounts receivable collections and payments of</w:t>
            </w:r>
          </w:p>
        </w:tc>
        <w:tc>
          <w:tcPr>
            <w:tcW w:w="200" w:type="dxa"/>
            <w:vAlign w:val="bottom"/>
          </w:tcPr>
          <w:p>
            <w:pPr>
              <w:spacing w:after="0"/>
              <w:rPr>
                <w:sz w:val="19"/>
                <w:szCs w:val="19"/>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67"/>
        </w:trPr>
        <w:tc>
          <w:tcPr>
            <w:tcW w:w="6980" w:type="dxa"/>
            <w:vAlign w:val="bottom"/>
            <w:gridSpan w:val="2"/>
          </w:tcPr>
          <w:p>
            <w:pPr>
              <w:ind w:left="160"/>
              <w:spacing w:after="0"/>
              <w:rPr>
                <w:sz w:val="20"/>
                <w:szCs w:val="20"/>
                <w:color w:val="auto"/>
              </w:rPr>
            </w:pPr>
            <w:r>
              <w:rPr>
                <w:rFonts w:ascii="Arial" w:cs="Arial" w:eastAsia="Arial" w:hAnsi="Arial"/>
                <w:sz w:val="20"/>
                <w:szCs w:val="20"/>
                <w:color w:val="auto"/>
                <w:w w:val="91"/>
              </w:rPr>
              <w:t xml:space="preserve">current liabilities, including accounts payable and current income taxes </w:t>
            </w:r>
            <w:r>
              <w:rPr>
                <w:rFonts w:ascii="Arial" w:cs="Arial" w:eastAsia="Arial" w:hAnsi="Arial"/>
                <w:sz w:val="20"/>
                <w:szCs w:val="20"/>
                <w:color w:val="B4B4B4"/>
                <w:w w:val="91"/>
              </w:rPr>
              <w:t>. . . . . . . . . . .</w:t>
            </w:r>
          </w:p>
        </w:tc>
        <w:tc>
          <w:tcPr>
            <w:tcW w:w="1300" w:type="dxa"/>
            <w:vAlign w:val="bottom"/>
            <w:gridSpan w:val="3"/>
          </w:tcPr>
          <w:p>
            <w:pPr>
              <w:jc w:val="right"/>
              <w:spacing w:after="0"/>
              <w:rPr>
                <w:sz w:val="20"/>
                <w:szCs w:val="20"/>
                <w:color w:val="auto"/>
              </w:rPr>
            </w:pPr>
            <w:r>
              <w:rPr>
                <w:rFonts w:ascii="Arial" w:cs="Arial" w:eastAsia="Arial" w:hAnsi="Arial"/>
                <w:sz w:val="20"/>
                <w:szCs w:val="20"/>
                <w:color w:val="B4B4B4"/>
                <w:w w:val="90"/>
              </w:rPr>
              <w:t>. . . . . . . . . .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6980" w:type="dxa"/>
            <w:vAlign w:val="bottom"/>
            <w:tcBorders>
              <w:bottom w:val="single" w:sz="8" w:color="E6E6E6"/>
            </w:tcBorders>
            <w:gridSpan w:val="2"/>
            <w:shd w:val="clear" w:color="auto" w:fill="E6E6E6"/>
          </w:tcPr>
          <w:p>
            <w:pPr>
              <w:ind w:left="160"/>
              <w:spacing w:after="0"/>
              <w:rPr>
                <w:sz w:val="20"/>
                <w:szCs w:val="20"/>
                <w:color w:val="auto"/>
              </w:rPr>
            </w:pPr>
            <w:r>
              <w:rPr>
                <w:rFonts w:ascii="Arial" w:cs="Arial" w:eastAsia="Arial" w:hAnsi="Arial"/>
                <w:sz w:val="20"/>
                <w:szCs w:val="20"/>
                <w:color w:val="auto"/>
                <w:w w:val="91"/>
              </w:rPr>
              <w:t xml:space="preserve">Increase in distributions from unconsolidated affiliates </w:t>
            </w:r>
            <w:r>
              <w:rPr>
                <w:rFonts w:ascii="Arial" w:cs="Arial" w:eastAsia="Arial" w:hAnsi="Arial"/>
                <w:sz w:val="20"/>
                <w:szCs w:val="20"/>
                <w:color w:val="B4B4B4"/>
                <w:w w:val="91"/>
              </w:rPr>
              <w:t>. . . . . . . . . . . . . . . . . . . . . . . .</w:t>
            </w:r>
          </w:p>
        </w:tc>
        <w:tc>
          <w:tcPr>
            <w:tcW w:w="130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20"/>
                <w:szCs w:val="20"/>
                <w:color w:val="B4B4B4"/>
                <w:w w:val="90"/>
              </w:rPr>
              <w:t>. . . . . . . . . . . . .</w:t>
            </w:r>
          </w:p>
        </w:tc>
        <w:tc>
          <w:tcPr>
            <w:tcW w:w="7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0"/>
        </w:trPr>
        <w:tc>
          <w:tcPr>
            <w:tcW w:w="6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4"/>
          </w:tcPr>
          <w:p>
            <w:pPr>
              <w:ind w:left="780"/>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20"/>
                <w:szCs w:val="20"/>
                <w:b w:val="1"/>
                <w:bCs w:val="1"/>
                <w:i w:val="1"/>
                <w:iCs w:val="1"/>
                <w:color w:val="auto"/>
              </w:rPr>
              <w:t>Net Cash Used In Investing Activities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72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Changes to net cash used in investing activities were driven by:</w:t>
            </w:r>
          </w:p>
        </w:tc>
        <w:tc>
          <w:tcPr>
            <w:tcW w:w="26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90"/>
        </w:trPr>
        <w:tc>
          <w:tcPr>
            <w:tcW w:w="69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1"/>
              </w:rPr>
              <w:t xml:space="preserve">Increase in cash paid for Drop Down Assets, net of cash acquired </w:t>
            </w:r>
            <w:r>
              <w:rPr>
                <w:rFonts w:ascii="Arial" w:cs="Arial" w:eastAsia="Arial" w:hAnsi="Arial"/>
                <w:sz w:val="20"/>
                <w:szCs w:val="20"/>
                <w:color w:val="B4B4B4"/>
                <w:w w:val="91"/>
              </w:rPr>
              <w:t>. . . . . . . . . . . . . . .</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B4B4B4"/>
                <w:w w:val="92"/>
              </w:rPr>
              <w:t>. . . .</w:t>
            </w:r>
          </w:p>
        </w:tc>
        <w:tc>
          <w:tcPr>
            <w:tcW w:w="880" w:type="dxa"/>
            <w:vAlign w:val="bottom"/>
            <w:gridSpan w:val="4"/>
            <w:shd w:val="clear" w:color="auto" w:fill="E6E6E6"/>
          </w:tcPr>
          <w:p>
            <w:pPr>
              <w:ind w:left="20"/>
              <w:spacing w:after="0"/>
              <w:rPr>
                <w:sz w:val="20"/>
                <w:szCs w:val="20"/>
                <w:color w:val="auto"/>
              </w:rPr>
            </w:pPr>
            <w:r>
              <w:rPr>
                <w:rFonts w:ascii="Arial" w:cs="Arial" w:eastAsia="Arial" w:hAnsi="Arial"/>
                <w:sz w:val="20"/>
                <w:szCs w:val="20"/>
                <w:color w:val="B4B4B4"/>
                <w:w w:val="94"/>
              </w:rPr>
              <w:t xml:space="preserve">. . . . . . . </w:t>
            </w:r>
            <w:r>
              <w:rPr>
                <w:rFonts w:ascii="Arial" w:cs="Arial" w:eastAsia="Arial" w:hAnsi="Arial"/>
                <w:sz w:val="20"/>
                <w:szCs w:val="20"/>
                <w:color w:val="000000"/>
                <w:w w:val="94"/>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(633)</w:t>
            </w:r>
          </w:p>
        </w:tc>
        <w:tc>
          <w:tcPr>
            <w:tcW w:w="0" w:type="dxa"/>
            <w:vAlign w:val="bottom"/>
          </w:tcPr>
          <w:p>
            <w:pPr>
              <w:spacing w:after="0"/>
              <w:rPr>
                <w:sz w:val="1"/>
                <w:szCs w:val="1"/>
                <w:color w:val="auto"/>
              </w:rPr>
            </w:pPr>
          </w:p>
        </w:tc>
      </w:tr>
      <w:tr>
        <w:trPr>
          <w:trHeight w:val="293"/>
        </w:trPr>
        <w:tc>
          <w:tcPr>
            <w:tcW w:w="6980" w:type="dxa"/>
            <w:vAlign w:val="bottom"/>
            <w:gridSpan w:val="2"/>
          </w:tcPr>
          <w:p>
            <w:pPr>
              <w:ind w:left="160"/>
              <w:spacing w:after="0"/>
              <w:rPr>
                <w:sz w:val="20"/>
                <w:szCs w:val="20"/>
                <w:color w:val="auto"/>
              </w:rPr>
            </w:pPr>
            <w:r>
              <w:rPr>
                <w:rFonts w:ascii="Arial" w:cs="Arial" w:eastAsia="Arial" w:hAnsi="Arial"/>
                <w:sz w:val="20"/>
                <w:szCs w:val="20"/>
                <w:color w:val="auto"/>
                <w:w w:val="90"/>
              </w:rPr>
              <w:t xml:space="preserve">Increase in capital expenditures </w:t>
            </w:r>
            <w:r>
              <w:rPr>
                <w:rFonts w:ascii="Arial" w:cs="Arial" w:eastAsia="Arial" w:hAnsi="Arial"/>
                <w:sz w:val="20"/>
                <w:szCs w:val="20"/>
                <w:color w:val="B4B4B4"/>
                <w:w w:val="90"/>
              </w:rPr>
              <w:t>. . . . . . . . . . . . . . . . . . . . . . . . . . . . . . . . . . . . . . . . . .</w:t>
            </w:r>
          </w:p>
        </w:tc>
        <w:tc>
          <w:tcPr>
            <w:tcW w:w="880" w:type="dxa"/>
            <w:vAlign w:val="bottom"/>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307"/>
        </w:trPr>
        <w:tc>
          <w:tcPr>
            <w:tcW w:w="9160" w:type="dxa"/>
            <w:vAlign w:val="bottom"/>
            <w:gridSpan w:val="9"/>
            <w:shd w:val="clear" w:color="auto" w:fill="E6E6E6"/>
          </w:tcPr>
          <w:p>
            <w:pPr>
              <w:ind w:left="160"/>
              <w:spacing w:after="0"/>
              <w:rPr>
                <w:sz w:val="20"/>
                <w:szCs w:val="20"/>
                <w:color w:val="auto"/>
              </w:rPr>
            </w:pPr>
            <w:r>
              <w:rPr>
                <w:rFonts w:ascii="Arial" w:cs="Arial" w:eastAsia="Arial" w:hAnsi="Arial"/>
                <w:sz w:val="20"/>
                <w:szCs w:val="20"/>
                <w:color w:val="auto"/>
                <w:w w:val="92"/>
              </w:rPr>
              <w:t xml:space="preserve">Decrease in note receivable – affiliate related to the Rosie Class B LLC loan issued to Clearway Renew </w:t>
            </w:r>
            <w:r>
              <w:rPr>
                <w:rFonts w:ascii="Arial" w:cs="Arial" w:eastAsia="Arial" w:hAnsi="Arial"/>
                <w:sz w:val="20"/>
                <w:szCs w:val="20"/>
                <w:color w:val="B4B4B4"/>
                <w:w w:val="92"/>
              </w:rPr>
              <w:t>. . . . .</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358</w:t>
            </w:r>
          </w:p>
        </w:tc>
        <w:tc>
          <w:tcPr>
            <w:tcW w:w="0" w:type="dxa"/>
            <w:vAlign w:val="bottom"/>
          </w:tcPr>
          <w:p>
            <w:pPr>
              <w:spacing w:after="0"/>
              <w:rPr>
                <w:sz w:val="1"/>
                <w:szCs w:val="1"/>
                <w:color w:val="auto"/>
              </w:rPr>
            </w:pPr>
          </w:p>
        </w:tc>
      </w:tr>
      <w:tr>
        <w:trPr>
          <w:trHeight w:val="293"/>
        </w:trPr>
        <w:tc>
          <w:tcPr>
            <w:tcW w:w="7860" w:type="dxa"/>
            <w:vAlign w:val="bottom"/>
            <w:gridSpan w:val="3"/>
          </w:tcPr>
          <w:p>
            <w:pPr>
              <w:ind w:left="160"/>
              <w:spacing w:after="0"/>
              <w:rPr>
                <w:sz w:val="20"/>
                <w:szCs w:val="20"/>
                <w:color w:val="auto"/>
              </w:rPr>
            </w:pPr>
            <w:r>
              <w:rPr>
                <w:rFonts w:ascii="Arial" w:cs="Arial" w:eastAsia="Arial" w:hAnsi="Arial"/>
                <w:sz w:val="20"/>
                <w:szCs w:val="20"/>
                <w:color w:val="auto"/>
                <w:w w:val="93"/>
              </w:rPr>
              <w:t xml:space="preserve">Payment for equipment deposit from affiliate in 2023 related to the Cedro Hill wind facility </w:t>
            </w:r>
            <w:r>
              <w:rPr>
                <w:rFonts w:ascii="Arial" w:cs="Arial" w:eastAsia="Arial" w:hAnsi="Arial"/>
                <w:sz w:val="20"/>
                <w:szCs w:val="20"/>
                <w:color w:val="B4B4B4"/>
                <w:w w:val="93"/>
              </w:rPr>
              <w:t>. . .</w:t>
            </w:r>
          </w:p>
        </w:tc>
        <w:tc>
          <w:tcPr>
            <w:tcW w:w="420" w:type="dxa"/>
            <w:vAlign w:val="bottom"/>
            <w:gridSpan w:val="2"/>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07"/>
        </w:trPr>
        <w:tc>
          <w:tcPr>
            <w:tcW w:w="69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0"/>
              </w:rPr>
              <w:t xml:space="preserve">Decrease in investments in unconsolidated affiliates </w:t>
            </w:r>
            <w:r>
              <w:rPr>
                <w:rFonts w:ascii="Arial" w:cs="Arial" w:eastAsia="Arial" w:hAnsi="Arial"/>
                <w:sz w:val="20"/>
                <w:szCs w:val="20"/>
                <w:color w:val="B4B4B4"/>
                <w:w w:val="90"/>
              </w:rPr>
              <w:t>. . . . . . . . . . . . . . . . . . . . . . . . . .</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shd w:val="clear" w:color="auto" w:fill="E6E6E6"/>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93"/>
        </w:trPr>
        <w:tc>
          <w:tcPr>
            <w:tcW w:w="6980" w:type="dxa"/>
            <w:vAlign w:val="bottom"/>
            <w:gridSpan w:val="2"/>
          </w:tcPr>
          <w:p>
            <w:pPr>
              <w:ind w:left="160"/>
              <w:spacing w:after="0"/>
              <w:rPr>
                <w:sz w:val="20"/>
                <w:szCs w:val="20"/>
                <w:color w:val="auto"/>
              </w:rPr>
            </w:pPr>
            <w:r>
              <w:rPr>
                <w:rFonts w:ascii="Arial" w:cs="Arial" w:eastAsia="Arial" w:hAnsi="Arial"/>
                <w:sz w:val="20"/>
                <w:szCs w:val="20"/>
                <w:color w:val="auto"/>
                <w:w w:val="91"/>
              </w:rPr>
              <w:t xml:space="preserve">Increase in the return of investment from unconsolidated affiliates </w:t>
            </w:r>
            <w:r>
              <w:rPr>
                <w:rFonts w:ascii="Arial" w:cs="Arial" w:eastAsia="Arial" w:hAnsi="Arial"/>
                <w:sz w:val="20"/>
                <w:szCs w:val="20"/>
                <w:color w:val="B4B4B4"/>
                <w:w w:val="91"/>
              </w:rPr>
              <w:t>. . . . . . . . . . . . . . .</w:t>
            </w:r>
          </w:p>
        </w:tc>
        <w:tc>
          <w:tcPr>
            <w:tcW w:w="1300" w:type="dxa"/>
            <w:vAlign w:val="bottom"/>
            <w:gridSpan w:val="3"/>
          </w:tcPr>
          <w:p>
            <w:pPr>
              <w:jc w:val="right"/>
              <w:spacing w:after="0"/>
              <w:rPr>
                <w:sz w:val="20"/>
                <w:szCs w:val="20"/>
                <w:color w:val="auto"/>
              </w:rPr>
            </w:pPr>
            <w:r>
              <w:rPr>
                <w:rFonts w:ascii="Arial" w:cs="Arial" w:eastAsia="Arial" w:hAnsi="Arial"/>
                <w:sz w:val="20"/>
                <w:szCs w:val="20"/>
                <w:color w:val="B4B4B4"/>
                <w:w w:val="90"/>
              </w:rPr>
              <w:t>. . . . . . . . . .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307"/>
        </w:trPr>
        <w:tc>
          <w:tcPr>
            <w:tcW w:w="69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3"/>
              </w:rPr>
              <w:t xml:space="preserve">Payment for equipment deposit in 2023 related to the Cedro Hill wind facility </w:t>
            </w:r>
            <w:r>
              <w:rPr>
                <w:rFonts w:ascii="Arial" w:cs="Arial" w:eastAsia="Arial" w:hAnsi="Arial"/>
                <w:sz w:val="20"/>
                <w:szCs w:val="20"/>
                <w:color w:val="B4B4B4"/>
                <w:w w:val="93"/>
              </w:rPr>
              <w:t>. . . . .</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shd w:val="clear" w:color="auto" w:fill="E6E6E6"/>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90"/>
        </w:trPr>
        <w:tc>
          <w:tcPr>
            <w:tcW w:w="6980" w:type="dxa"/>
            <w:vAlign w:val="bottom"/>
            <w:tcBorders>
              <w:bottom w:val="single" w:sz="8" w:color="E6E6E6"/>
            </w:tcBorders>
            <w:gridSpan w:val="2"/>
          </w:tcPr>
          <w:p>
            <w:pPr>
              <w:ind w:left="160"/>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4B4B4"/>
                <w:w w:val="90"/>
              </w:rPr>
              <w:t>. . . . . . . . . . . . . . . . . . . . . . . . . . . . . . . . . . . . . . . . . . . . . . . . . . . . . . . . . . . . . . .</w:t>
            </w:r>
          </w:p>
        </w:tc>
        <w:tc>
          <w:tcPr>
            <w:tcW w:w="88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Borders>
              <w:bottom w:val="single" w:sz="8" w:color="E6E6E6"/>
            </w:tcBorders>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0"/>
        </w:trPr>
        <w:tc>
          <w:tcPr>
            <w:tcW w:w="67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880" w:type="dxa"/>
            <w:vAlign w:val="bottom"/>
            <w:gridSpan w:val="4"/>
            <w:shd w:val="clear" w:color="auto" w:fill="E6E6E6"/>
          </w:tcPr>
          <w:p>
            <w:pPr>
              <w:ind w:left="780"/>
              <w:spacing w:after="0"/>
              <w:rPr>
                <w:sz w:val="20"/>
                <w:szCs w:val="20"/>
                <w:color w:val="auto"/>
              </w:rPr>
            </w:pPr>
            <w:r>
              <w:rPr>
                <w:rFonts w:ascii="Arial" w:cs="Arial" w:eastAsia="Arial" w:hAnsi="Arial"/>
                <w:sz w:val="20"/>
                <w:szCs w:val="20"/>
                <w:color w:val="auto"/>
                <w:w w:val="71"/>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0"/>
        </w:trPr>
        <w:tc>
          <w:tcPr>
            <w:tcW w:w="6720" w:type="dxa"/>
            <w:vAlign w:val="bottom"/>
            <w:tcBorders>
              <w:top w:val="single" w:sz="8" w:color="E6E6E6"/>
              <w:bottom w:val="single" w:sz="8" w:color="E6E6E6"/>
            </w:tcBorders>
            <w:vMerge w:val="restart"/>
          </w:tcPr>
          <w:p>
            <w:pPr>
              <w:ind w:left="500"/>
              <w:spacing w:after="0"/>
              <w:rPr>
                <w:sz w:val="20"/>
                <w:szCs w:val="20"/>
                <w:color w:val="auto"/>
              </w:rPr>
            </w:pPr>
            <w:r>
              <w:rPr>
                <w:rFonts w:ascii="Arial" w:cs="Arial" w:eastAsia="Arial" w:hAnsi="Arial"/>
                <w:sz w:val="20"/>
                <w:szCs w:val="20"/>
                <w:b w:val="1"/>
                <w:bCs w:val="1"/>
                <w:i w:val="1"/>
                <w:iCs w:val="1"/>
                <w:color w:val="auto"/>
              </w:rPr>
              <w:t>Net Cash Used In Financing Activities</w:t>
            </w:r>
          </w:p>
        </w:tc>
        <w:tc>
          <w:tcPr>
            <w:tcW w:w="260" w:type="dxa"/>
            <w:vAlign w:val="bottom"/>
            <w:tcBorders>
              <w:top w:val="single" w:sz="8" w:color="E6E6E6"/>
            </w:tcBorders>
          </w:tcPr>
          <w:p>
            <w:pPr>
              <w:spacing w:after="0" w:line="20" w:lineRule="exact"/>
              <w:rPr>
                <w:sz w:val="1"/>
                <w:szCs w:val="1"/>
                <w:color w:val="auto"/>
              </w:rPr>
            </w:pPr>
          </w:p>
        </w:tc>
        <w:tc>
          <w:tcPr>
            <w:tcW w:w="880" w:type="dxa"/>
            <w:vAlign w:val="bottom"/>
            <w:tcBorders>
              <w:top w:val="single" w:sz="8" w:color="E6E6E6"/>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E6E6E6"/>
            </w:tcBorders>
          </w:tcPr>
          <w:p>
            <w:pPr>
              <w:spacing w:after="0" w:line="20" w:lineRule="exact"/>
              <w:rPr>
                <w:sz w:val="1"/>
                <w:szCs w:val="1"/>
                <w:color w:val="auto"/>
              </w:rPr>
            </w:pPr>
          </w:p>
        </w:tc>
        <w:tc>
          <w:tcPr>
            <w:tcW w:w="720" w:type="dxa"/>
            <w:vAlign w:val="bottom"/>
            <w:tcBorders>
              <w:top w:val="single" w:sz="8" w:color="E6E6E6"/>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72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Changes in net cash used in financing activities were driven by:</w:t>
            </w:r>
          </w:p>
        </w:tc>
        <w:tc>
          <w:tcPr>
            <w:tcW w:w="26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90"/>
        </w:trPr>
        <w:tc>
          <w:tcPr>
            <w:tcW w:w="8280" w:type="dxa"/>
            <w:vAlign w:val="bottom"/>
            <w:gridSpan w:val="5"/>
            <w:shd w:val="clear" w:color="auto" w:fill="E6E6E6"/>
          </w:tcPr>
          <w:p>
            <w:pPr>
              <w:ind w:left="160"/>
              <w:spacing w:after="0"/>
              <w:rPr>
                <w:sz w:val="20"/>
                <w:szCs w:val="20"/>
                <w:color w:val="auto"/>
              </w:rPr>
            </w:pPr>
            <w:r>
              <w:rPr>
                <w:rFonts w:ascii="Arial" w:cs="Arial" w:eastAsia="Arial" w:hAnsi="Arial"/>
                <w:sz w:val="20"/>
                <w:szCs w:val="20"/>
                <w:color w:val="auto"/>
                <w:w w:val="90"/>
              </w:rPr>
              <w:t>Increase in payments for long-term debt and a decrease in proceeds from issuance of long-term debt</w:t>
            </w:r>
          </w:p>
        </w:tc>
        <w:tc>
          <w:tcPr>
            <w:tcW w:w="880" w:type="dxa"/>
            <w:vAlign w:val="bottom"/>
            <w:gridSpan w:val="4"/>
            <w:shd w:val="clear" w:color="auto" w:fill="E6E6E6"/>
          </w:tcPr>
          <w:p>
            <w:pPr>
              <w:ind w:left="20"/>
              <w:spacing w:after="0"/>
              <w:rPr>
                <w:sz w:val="20"/>
                <w:szCs w:val="20"/>
                <w:color w:val="auto"/>
              </w:rPr>
            </w:pPr>
            <w:r>
              <w:rPr>
                <w:rFonts w:ascii="Arial" w:cs="Arial" w:eastAsia="Arial" w:hAnsi="Arial"/>
                <w:sz w:val="20"/>
                <w:szCs w:val="20"/>
                <w:color w:val="B4B4B4"/>
                <w:w w:val="94"/>
              </w:rPr>
              <w:t xml:space="preserve">. . . . . . . </w:t>
            </w:r>
            <w:r>
              <w:rPr>
                <w:rFonts w:ascii="Arial" w:cs="Arial" w:eastAsia="Arial" w:hAnsi="Arial"/>
                <w:sz w:val="20"/>
                <w:szCs w:val="20"/>
                <w:color w:val="000000"/>
                <w:w w:val="94"/>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(714)</w:t>
            </w:r>
          </w:p>
        </w:tc>
        <w:tc>
          <w:tcPr>
            <w:tcW w:w="0" w:type="dxa"/>
            <w:vAlign w:val="bottom"/>
          </w:tcPr>
          <w:p>
            <w:pPr>
              <w:spacing w:after="0"/>
              <w:rPr>
                <w:sz w:val="1"/>
                <w:szCs w:val="1"/>
                <w:color w:val="auto"/>
              </w:rPr>
            </w:pPr>
          </w:p>
        </w:tc>
      </w:tr>
      <w:tr>
        <w:trPr>
          <w:trHeight w:val="293"/>
        </w:trPr>
        <w:tc>
          <w:tcPr>
            <w:tcW w:w="7860" w:type="dxa"/>
            <w:vAlign w:val="bottom"/>
            <w:gridSpan w:val="3"/>
          </w:tcPr>
          <w:p>
            <w:pPr>
              <w:ind w:left="160"/>
              <w:spacing w:after="0"/>
              <w:rPr>
                <w:sz w:val="20"/>
                <w:szCs w:val="20"/>
                <w:color w:val="auto"/>
              </w:rPr>
            </w:pPr>
            <w:r>
              <w:rPr>
                <w:rFonts w:ascii="Arial" w:cs="Arial" w:eastAsia="Arial" w:hAnsi="Arial"/>
                <w:sz w:val="20"/>
                <w:szCs w:val="20"/>
                <w:color w:val="auto"/>
                <w:w w:val="91"/>
              </w:rPr>
              <w:t xml:space="preserve">Increase in dividends paid to common stockholders and distributions paid to CEG unit holders </w:t>
            </w:r>
            <w:r>
              <w:rPr>
                <w:rFonts w:ascii="Arial" w:cs="Arial" w:eastAsia="Arial" w:hAnsi="Arial"/>
                <w:sz w:val="20"/>
                <w:szCs w:val="20"/>
                <w:color w:val="B4B4B4"/>
                <w:w w:val="91"/>
              </w:rPr>
              <w:t>.</w:t>
            </w:r>
          </w:p>
        </w:tc>
        <w:tc>
          <w:tcPr>
            <w:tcW w:w="420" w:type="dxa"/>
            <w:vAlign w:val="bottom"/>
            <w:gridSpan w:val="2"/>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306"/>
        </w:trPr>
        <w:tc>
          <w:tcPr>
            <w:tcW w:w="69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2"/>
              </w:rPr>
              <w:t xml:space="preserve">Increase in contributions from noncontrolling interests, net of distributions </w:t>
            </w:r>
            <w:r>
              <w:rPr>
                <w:rFonts w:ascii="Arial" w:cs="Arial" w:eastAsia="Arial" w:hAnsi="Arial"/>
                <w:sz w:val="20"/>
                <w:szCs w:val="20"/>
                <w:color w:val="B4B4B4"/>
                <w:w w:val="92"/>
              </w:rPr>
              <w:t>. . . . . . . .</w:t>
            </w:r>
          </w:p>
        </w:tc>
        <w:tc>
          <w:tcPr>
            <w:tcW w:w="130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B4B4B4"/>
                <w:w w:val="90"/>
              </w:rPr>
              <w:t>. . . . . . . . . . . . .</w:t>
            </w:r>
          </w:p>
        </w:tc>
        <w:tc>
          <w:tcPr>
            <w:tcW w:w="720" w:type="dxa"/>
            <w:vAlign w:val="bottom"/>
            <w:shd w:val="clear" w:color="auto" w:fill="E6E6E6"/>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294"/>
        </w:trPr>
        <w:tc>
          <w:tcPr>
            <w:tcW w:w="6980" w:type="dxa"/>
            <w:vAlign w:val="bottom"/>
            <w:gridSpan w:val="2"/>
          </w:tcPr>
          <w:p>
            <w:pPr>
              <w:ind w:left="160"/>
              <w:spacing w:after="0"/>
              <w:rPr>
                <w:sz w:val="20"/>
                <w:szCs w:val="20"/>
                <w:color w:val="auto"/>
              </w:rPr>
            </w:pPr>
            <w:r>
              <w:rPr>
                <w:rFonts w:ascii="Arial" w:cs="Arial" w:eastAsia="Arial" w:hAnsi="Arial"/>
                <w:sz w:val="20"/>
                <w:szCs w:val="20"/>
                <w:color w:val="auto"/>
                <w:w w:val="91"/>
              </w:rPr>
              <w:t xml:space="preserve">Decrease in tax-related distributions  </w:t>
            </w:r>
            <w:r>
              <w:rPr>
                <w:rFonts w:ascii="Arial" w:cs="Arial" w:eastAsia="Arial" w:hAnsi="Arial"/>
                <w:sz w:val="20"/>
                <w:szCs w:val="20"/>
                <w:color w:val="B4B4B4"/>
                <w:w w:val="91"/>
              </w:rPr>
              <w:t>. . . . . . . . . . . . . . . . . . . . . . . . . . . . . . . . . . . . . .</w:t>
            </w:r>
          </w:p>
        </w:tc>
        <w:tc>
          <w:tcPr>
            <w:tcW w:w="880" w:type="dxa"/>
            <w:vAlign w:val="bottom"/>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306"/>
        </w:trPr>
        <w:tc>
          <w:tcPr>
            <w:tcW w:w="8280" w:type="dxa"/>
            <w:vAlign w:val="bottom"/>
            <w:gridSpan w:val="5"/>
            <w:shd w:val="clear" w:color="auto" w:fill="E6E6E6"/>
          </w:tcPr>
          <w:p>
            <w:pPr>
              <w:ind w:left="160"/>
              <w:spacing w:after="0"/>
              <w:rPr>
                <w:sz w:val="20"/>
                <w:szCs w:val="20"/>
                <w:color w:val="auto"/>
              </w:rPr>
            </w:pPr>
            <w:r>
              <w:rPr>
                <w:rFonts w:ascii="Arial" w:cs="Arial" w:eastAsia="Arial" w:hAnsi="Arial"/>
                <w:sz w:val="20"/>
                <w:szCs w:val="20"/>
                <w:color w:val="auto"/>
                <w:w w:val="90"/>
              </w:rPr>
              <w:t xml:space="preserve">Decrease in buyouts of noncontrolling interest and redeemable noncontrolling interest </w:t>
            </w:r>
            <w:r>
              <w:rPr>
                <w:rFonts w:ascii="Arial" w:cs="Arial" w:eastAsia="Arial" w:hAnsi="Arial"/>
                <w:sz w:val="20"/>
                <w:szCs w:val="20"/>
                <w:color w:val="B4B4B4"/>
                <w:w w:val="90"/>
              </w:rPr>
              <w:t>. . . . . . . . . . . .</w:t>
            </w:r>
          </w:p>
        </w:tc>
        <w:tc>
          <w:tcPr>
            <w:tcW w:w="720" w:type="dxa"/>
            <w:vAlign w:val="bottom"/>
            <w:shd w:val="clear" w:color="auto" w:fill="E6E6E6"/>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4"/>
        </w:trPr>
        <w:tc>
          <w:tcPr>
            <w:tcW w:w="6980" w:type="dxa"/>
            <w:vAlign w:val="bottom"/>
            <w:gridSpan w:val="2"/>
          </w:tcPr>
          <w:p>
            <w:pPr>
              <w:ind w:left="160"/>
              <w:spacing w:after="0"/>
              <w:rPr>
                <w:sz w:val="20"/>
                <w:szCs w:val="20"/>
                <w:color w:val="auto"/>
              </w:rPr>
            </w:pPr>
            <w:r>
              <w:rPr>
                <w:rFonts w:ascii="Arial" w:cs="Arial" w:eastAsia="Arial" w:hAnsi="Arial"/>
                <w:sz w:val="20"/>
                <w:szCs w:val="20"/>
                <w:color w:val="auto"/>
                <w:w w:val="89"/>
              </w:rPr>
              <w:t xml:space="preserve">Decrease in payments of debt issuance costs </w:t>
            </w:r>
            <w:r>
              <w:rPr>
                <w:rFonts w:ascii="Arial" w:cs="Arial" w:eastAsia="Arial" w:hAnsi="Arial"/>
                <w:sz w:val="20"/>
                <w:szCs w:val="20"/>
                <w:color w:val="B4B4B4"/>
                <w:w w:val="89"/>
              </w:rPr>
              <w:t>. . . . . . . . . . . . . . . . . . . . . . . . . . . . . . . .</w:t>
            </w:r>
          </w:p>
        </w:tc>
        <w:tc>
          <w:tcPr>
            <w:tcW w:w="880" w:type="dxa"/>
            <w:vAlign w:val="bottom"/>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gridSpan w:val="2"/>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11"/>
        </w:trPr>
        <w:tc>
          <w:tcPr>
            <w:tcW w:w="6980" w:type="dxa"/>
            <w:vAlign w:val="bottom"/>
            <w:tcBorders>
              <w:bottom w:val="single" w:sz="8" w:color="E6E6E6"/>
            </w:tcBorders>
            <w:gridSpan w:val="2"/>
            <w:shd w:val="clear" w:color="auto" w:fill="E6E6E6"/>
          </w:tcPr>
          <w:p>
            <w:pPr>
              <w:ind w:left="160"/>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4B4B4"/>
                <w:w w:val="90"/>
              </w:rPr>
              <w:t>. . . . . . . . . . . . . . . . . . . . . . . . . . . . . . . . . . . . . . . . . . . . . . . . . . . . . . . . . . . . . . .</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B4B4B4"/>
                <w:w w:val="88"/>
              </w:rPr>
              <w:t>. . . . . . . . .</w:t>
            </w:r>
          </w:p>
        </w:tc>
        <w:tc>
          <w:tcPr>
            <w:tcW w:w="4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B4B4B4"/>
                <w:w w:val="92"/>
              </w:rPr>
              <w:t>. . . .</w:t>
            </w:r>
          </w:p>
        </w:tc>
        <w:tc>
          <w:tcPr>
            <w:tcW w:w="7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20"/>
                <w:szCs w:val="20"/>
                <w:color w:val="B4B4B4"/>
                <w:w w:val="94"/>
              </w:rPr>
              <w:t>. . . . . . .</w:t>
            </w:r>
          </w:p>
        </w:tc>
        <w:tc>
          <w:tcPr>
            <w:tcW w:w="6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60"/>
        </w:trPr>
        <w:tc>
          <w:tcPr>
            <w:tcW w:w="6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4"/>
          </w:tcPr>
          <w:p>
            <w:pPr>
              <w:ind w:left="780"/>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-4409440</wp:posOffset>
            </wp:positionV>
            <wp:extent cx="81597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815975" cy="5080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-2136140</wp:posOffset>
            </wp:positionV>
            <wp:extent cx="81597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815975" cy="5080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-43815</wp:posOffset>
            </wp:positionV>
            <wp:extent cx="81597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815975" cy="50800"/>
                    </a:xfrm>
                    <a:prstGeom prst="rect">
                      <a:avLst/>
                    </a:prstGeom>
                    <a:noFill/>
                  </pic:spPr>
                </pic:pic>
              </a:graphicData>
            </a:graphic>
          </wp:anchor>
        </w:drawing>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260"/>
          </w:cols>
          <w:pgMar w:left="820" w:top="360" w:right="80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NOLs, Deferred Tax Assets and Uncertain Tax Position Implications, under ASC 740</w:t>
      </w:r>
    </w:p>
    <w:p>
      <w:pPr>
        <w:spacing w:after="0" w:line="197"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20"/>
          <w:szCs w:val="20"/>
          <w:color w:val="auto"/>
        </w:rPr>
        <w:t>As of December 31, 2024, the Company has a cumulative federal NOL carryforward balance of $278 million for financial statement purposes, none of which are subject to expiration. Additionally, as of December 31, 2024, the Company has a cumulative state NOL carryforward balance of $99 million for financial statement purposes, which will expire between 2025 and 2041 if unutilized. The Company does not anticipate material income tax payments through 2026. In addition, as of December 31, 2024, the Company had PTC and ITC carryforward balances totaling $23 million, which will expire between 2035 and 2044 if unutilized.</w:t>
      </w:r>
    </w:p>
    <w:p>
      <w:pPr>
        <w:spacing w:after="0" w:line="142"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As of December 31, 2024, the Company has an interest disallowance carryforward of $82 million as a result of Internal Revenue Code §163(j). The disallowed interest deduction has an indefinite carryforward period and any limitations on the utilization of this carryforward have been factored into the Company’s valuation allowance analysis. As of December 31, 2023, the Company had an interest disallowance carryforward of $75 million</w:t>
      </w:r>
      <w:r>
        <w:rPr>
          <w:rFonts w:ascii="Arial" w:cs="Arial" w:eastAsia="Arial" w:hAnsi="Arial"/>
          <w:sz w:val="18"/>
          <w:szCs w:val="18"/>
          <w:color w:val="auto"/>
        </w:rPr>
        <w:t>.</w:t>
      </w:r>
    </w:p>
    <w:p>
      <w:pPr>
        <w:spacing w:after="0" w:line="140"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Company, after the utilization of NOL and tax credit carryforwards, paid $1 million in income taxes during the year ended December 31, 2024. The Company does not anticipate being subject to the corporate minimum tax on financial statement income, which is discussed in further detail below.</w:t>
      </w:r>
    </w:p>
    <w:p>
      <w:pPr>
        <w:spacing w:after="0" w:line="135"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8"/>
          <w:szCs w:val="18"/>
          <w:color w:val="auto"/>
        </w:rPr>
        <w:t>Federal tax legislation enacted in 2022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facilities and the production of clean energy. The Company continues to analyze the potential impact of this tax legislation and monitor guidance that may be issued by the United States Department of the Treasury, but it does not anticipate the corporate minimum tax will apply to it or that the foregoing tax provisions will otherwise have a material impact on its consolidated financial statements.</w:t>
      </w:r>
    </w:p>
    <w:p>
      <w:pPr>
        <w:spacing w:after="0" w:line="119"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9"/>
          <w:szCs w:val="19"/>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2024, the U.S. federal partnership returns of three of the Company’s subsidiaries are under audit by the IRS. The IRS has issued proposed adjustments with respect to one of the subsidiaries under audit. The Company believes that such proposed adjustments are without merit and in any case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no material uncertain tax benefits.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260"/>
          </w:cols>
          <w:pgMar w:left="820" w:top="360" w:right="800" w:bottom="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77" w:lineRule="exact"/>
        <w:rPr>
          <w:sz w:val="20"/>
          <w:szCs w:val="20"/>
          <w:color w:val="auto"/>
        </w:rPr>
      </w:pPr>
    </w:p>
    <w:p>
      <w:pPr>
        <w:jc w:val="both"/>
        <w:ind w:left="60" w:right="60" w:firstLine="450"/>
        <w:spacing w:after="0" w:line="266" w:lineRule="auto"/>
        <w:rPr>
          <w:sz w:val="20"/>
          <w:szCs w:val="20"/>
          <w:color w:val="auto"/>
        </w:rPr>
      </w:pPr>
      <w:r>
        <w:rPr>
          <w:rFonts w:ascii="Arial" w:cs="Arial" w:eastAsia="Arial" w:hAnsi="Arial"/>
          <w:sz w:val="20"/>
          <w:szCs w:val="20"/>
          <w:color w:val="auto"/>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35" w:lineRule="exact"/>
        <w:rPr>
          <w:sz w:val="20"/>
          <w:szCs w:val="20"/>
          <w:color w:val="auto"/>
        </w:rPr>
      </w:pPr>
    </w:p>
    <w:p>
      <w:pPr>
        <w:jc w:val="both"/>
        <w:ind w:left="60" w:right="80" w:firstLine="450"/>
        <w:spacing w:after="0" w:line="275" w:lineRule="auto"/>
        <w:rPr>
          <w:sz w:val="20"/>
          <w:szCs w:val="20"/>
          <w:color w:val="auto"/>
        </w:rPr>
      </w:pPr>
      <w:r>
        <w:rPr>
          <w:rFonts w:ascii="Arial" w:cs="Arial" w:eastAsia="Arial" w:hAnsi="Arial"/>
          <w:sz w:val="19"/>
          <w:szCs w:val="19"/>
          <w:color w:val="auto"/>
        </w:rPr>
        <w:t xml:space="preserve">The tables below disclose the activities of non-exchange traded contracts accounted for at fair value in accordance with ASC 820. Specifically, these tables disaggregate realized and unrealized changes in fair value; disaggregate estimated fair values at December 31, 2024, based on their level within the fair value hierarchy defined in ASC 820; and indicate the maturities of contracts at December 31, 2024. For a full discussion of the Company’s valuation methodology of its contracts, see </w:t>
      </w:r>
      <w:r>
        <w:rPr>
          <w:rFonts w:ascii="Arial" w:cs="Arial" w:eastAsia="Arial" w:hAnsi="Arial"/>
          <w:sz w:val="19"/>
          <w:szCs w:val="19"/>
          <w:b w:val="1"/>
          <w:bCs w:val="1"/>
          <w:i w:val="1"/>
          <w:iCs w:val="1"/>
          <w:color w:val="auto"/>
        </w:rPr>
        <w:t>Derivative Fair Value Measurements</w:t>
      </w:r>
      <w:r>
        <w:rPr>
          <w:rFonts w:ascii="Arial" w:cs="Arial" w:eastAsia="Arial" w:hAnsi="Arial"/>
          <w:sz w:val="19"/>
          <w:szCs w:val="19"/>
          <w:color w:val="auto"/>
        </w:rPr>
        <w:t xml:space="preserve"> in Item 15 — Note 6, </w:t>
      </w: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420" w:type="dxa"/>
            <w:vAlign w:val="bottom"/>
            <w:gridSpan w:val="3"/>
          </w:tcPr>
          <w:p>
            <w:pPr>
              <w:jc w:val="right"/>
              <w:ind w:right="2080"/>
              <w:spacing w:after="0"/>
              <w:rPr>
                <w:sz w:val="20"/>
                <w:szCs w:val="20"/>
                <w:color w:val="auto"/>
              </w:rPr>
            </w:pPr>
            <w:r>
              <w:rPr>
                <w:rFonts w:ascii="Arial" w:cs="Arial" w:eastAsia="Arial" w:hAnsi="Arial"/>
                <w:sz w:val="16"/>
                <w:szCs w:val="16"/>
                <w:b w:val="1"/>
                <w:bCs w:val="1"/>
                <w:color w:val="auto"/>
                <w:w w:val="89"/>
              </w:rPr>
              <w:t>Derivative Activity (Losses)/Gains</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920" w:type="dxa"/>
            <w:vAlign w:val="bottom"/>
            <w:tcBorders>
              <w:top w:val="single" w:sz="8" w:color="auto"/>
              <w:bottom w:val="single" w:sz="8" w:color="E6E6E6"/>
            </w:tcBorders>
          </w:tcPr>
          <w:p>
            <w:pPr>
              <w:spacing w:after="0" w:line="20" w:lineRule="exact"/>
              <w:rPr>
                <w:sz w:val="1"/>
                <w:szCs w:val="1"/>
                <w:color w:val="auto"/>
              </w:rPr>
            </w:pPr>
          </w:p>
        </w:tc>
        <w:tc>
          <w:tcPr>
            <w:tcW w:w="400" w:type="dxa"/>
            <w:vAlign w:val="bottom"/>
            <w:tcBorders>
              <w:top w:val="single" w:sz="8" w:color="auto"/>
              <w:bottom w:val="single" w:sz="8" w:color="E6E6E6"/>
            </w:tcBorders>
          </w:tcPr>
          <w:p>
            <w:pPr>
              <w:spacing w:after="0" w:line="20" w:lineRule="exact"/>
              <w:rPr>
                <w:sz w:val="1"/>
                <w:szCs w:val="1"/>
                <w:color w:val="auto"/>
              </w:rPr>
            </w:pPr>
          </w:p>
        </w:tc>
        <w:tc>
          <w:tcPr>
            <w:tcW w:w="2100" w:type="dxa"/>
            <w:vAlign w:val="bottom"/>
            <w:tcBorders>
              <w:bottom w:val="single" w:sz="8" w:color="E6E6E6"/>
            </w:tcBorders>
          </w:tcPr>
          <w:p>
            <w:pPr>
              <w:spacing w:after="0" w:line="20" w:lineRule="exact"/>
              <w:rPr>
                <w:sz w:val="1"/>
                <w:szCs w:val="1"/>
                <w:color w:val="auto"/>
              </w:rPr>
            </w:pPr>
          </w:p>
        </w:tc>
        <w:tc>
          <w:tcPr>
            <w:tcW w:w="780" w:type="dxa"/>
            <w:vAlign w:val="bottom"/>
            <w:tcBorders>
              <w:bottom w:val="single" w:sz="8" w:color="E6E6E6"/>
            </w:tcBorders>
          </w:tcPr>
          <w:p>
            <w:pPr>
              <w:spacing w:after="0" w:line="20" w:lineRule="exact"/>
              <w:rPr>
                <w:sz w:val="1"/>
                <w:szCs w:val="1"/>
                <w:color w:val="auto"/>
              </w:rPr>
            </w:pPr>
          </w:p>
        </w:tc>
        <w:tc>
          <w:tcPr>
            <w:tcW w:w="340" w:type="dxa"/>
            <w:vAlign w:val="bottom"/>
            <w:tcBorders>
              <w:bottom w:val="single" w:sz="8" w:color="E6E6E6"/>
            </w:tcBorders>
          </w:tcPr>
          <w:p>
            <w:pPr>
              <w:spacing w:after="0" w:line="20" w:lineRule="exact"/>
              <w:rPr>
                <w:sz w:val="1"/>
                <w:szCs w:val="1"/>
                <w:color w:val="auto"/>
              </w:rPr>
            </w:pPr>
          </w:p>
        </w:tc>
        <w:tc>
          <w:tcPr>
            <w:tcW w:w="120" w:type="dxa"/>
            <w:vAlign w:val="bottom"/>
            <w:tcBorders>
              <w:bottom w:val="single" w:sz="8" w:color="E6E6E6"/>
            </w:tcBorders>
          </w:tcPr>
          <w:p>
            <w:pPr>
              <w:spacing w:after="0" w:line="20" w:lineRule="exact"/>
              <w:rPr>
                <w:sz w:val="1"/>
                <w:szCs w:val="1"/>
                <w:color w:val="auto"/>
              </w:rPr>
            </w:pPr>
          </w:p>
        </w:tc>
        <w:tc>
          <w:tcPr>
            <w:tcW w:w="16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E6E6E6"/>
            </w:tcBorders>
          </w:tcPr>
          <w:p>
            <w:pPr>
              <w:spacing w:after="0" w:line="20" w:lineRule="exact"/>
              <w:rPr>
                <w:sz w:val="1"/>
                <w:szCs w:val="1"/>
                <w:color w:val="auto"/>
              </w:rPr>
            </w:pPr>
          </w:p>
        </w:tc>
        <w:tc>
          <w:tcPr>
            <w:tcW w:w="120" w:type="dxa"/>
            <w:vAlign w:val="bottom"/>
            <w:tcBorders>
              <w:bottom w:val="single" w:sz="8" w:color="E6E6E6"/>
            </w:tcBorders>
          </w:tcPr>
          <w:p>
            <w:pPr>
              <w:spacing w:after="0" w:line="20" w:lineRule="exact"/>
              <w:rPr>
                <w:sz w:val="1"/>
                <w:szCs w:val="1"/>
                <w:color w:val="auto"/>
              </w:rPr>
            </w:pPr>
          </w:p>
        </w:tc>
        <w:tc>
          <w:tcPr>
            <w:tcW w:w="16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E6E6E6"/>
            </w:tcBorders>
          </w:tcPr>
          <w:p>
            <w:pPr>
              <w:spacing w:after="0" w:line="20" w:lineRule="exact"/>
              <w:rPr>
                <w:sz w:val="1"/>
                <w:szCs w:val="1"/>
                <w:color w:val="auto"/>
              </w:rPr>
            </w:pPr>
          </w:p>
        </w:tc>
        <w:tc>
          <w:tcPr>
            <w:tcW w:w="120" w:type="dxa"/>
            <w:vAlign w:val="bottom"/>
            <w:tcBorders>
              <w:bottom w:val="single" w:sz="8" w:color="E6E6E6"/>
            </w:tcBorders>
          </w:tcPr>
          <w:p>
            <w:pPr>
              <w:spacing w:after="0" w:line="20" w:lineRule="exact"/>
              <w:rPr>
                <w:sz w:val="1"/>
                <w:szCs w:val="1"/>
                <w:color w:val="auto"/>
              </w:rPr>
            </w:pPr>
          </w:p>
        </w:tc>
        <w:tc>
          <w:tcPr>
            <w:tcW w:w="360" w:type="dxa"/>
            <w:vAlign w:val="bottom"/>
            <w:tcBorders>
              <w:bottom w:val="single" w:sz="8" w:color="E6E6E6"/>
            </w:tcBorders>
          </w:tcPr>
          <w:p>
            <w:pPr>
              <w:spacing w:after="0" w:line="20" w:lineRule="exact"/>
              <w:rPr>
                <w:sz w:val="1"/>
                <w:szCs w:val="1"/>
                <w:color w:val="auto"/>
              </w:rPr>
            </w:pPr>
          </w:p>
        </w:tc>
        <w:tc>
          <w:tcPr>
            <w:tcW w:w="820" w:type="dxa"/>
            <w:vAlign w:val="bottom"/>
            <w:tcBorders>
              <w:bottom w:val="single" w:sz="8" w:color="E6E6E6"/>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4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E6E6E6"/>
            </w:tcBorders>
          </w:tcPr>
          <w:p>
            <w:pPr>
              <w:spacing w:after="0"/>
              <w:rPr>
                <w:sz w:val="21"/>
                <w:szCs w:val="21"/>
                <w:color w:val="auto"/>
              </w:rPr>
            </w:pPr>
          </w:p>
        </w:tc>
        <w:tc>
          <w:tcPr>
            <w:tcW w:w="4420" w:type="dxa"/>
            <w:vAlign w:val="bottom"/>
            <w:gridSpan w:val="3"/>
            <w:shd w:val="clear" w:color="auto" w:fill="E6E6E6"/>
          </w:tcPr>
          <w:p>
            <w:pPr>
              <w:jc w:val="right"/>
              <w:ind w:right="20"/>
              <w:spacing w:after="0"/>
              <w:rPr>
                <w:sz w:val="20"/>
                <w:szCs w:val="20"/>
                <w:color w:val="auto"/>
              </w:rPr>
            </w:pPr>
            <w:r>
              <w:rPr>
                <w:rFonts w:ascii="Arial" w:cs="Arial" w:eastAsia="Arial" w:hAnsi="Arial"/>
                <w:sz w:val="20"/>
                <w:szCs w:val="20"/>
                <w:b w:val="1"/>
                <w:bCs w:val="1"/>
                <w:color w:val="B4B4B4"/>
              </w:rPr>
              <w:t>. . .</w:t>
            </w:r>
            <w:r>
              <w:rPr>
                <w:rFonts w:ascii="Arial" w:cs="Arial" w:eastAsia="Arial" w:hAnsi="Arial"/>
                <w:sz w:val="20"/>
                <w:szCs w:val="20"/>
                <w:b w:val="1"/>
                <w:bCs w:val="1"/>
                <w:color w:val="000000"/>
              </w:rPr>
              <w:t>FairvalueofcontractsasofDecember31,2023</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1"/>
              </w:rPr>
              <w:t>. . . . . . . .</w:t>
            </w:r>
          </w:p>
        </w:tc>
        <w:tc>
          <w:tcPr>
            <w:tcW w:w="620" w:type="dxa"/>
            <w:vAlign w:val="bottom"/>
            <w:gridSpan w:val="3"/>
            <w:shd w:val="clear" w:color="auto" w:fill="E6E6E6"/>
          </w:tcPr>
          <w:p>
            <w:pPr>
              <w:jc w:val="right"/>
              <w:spacing w:after="0"/>
              <w:rPr>
                <w:sz w:val="20"/>
                <w:szCs w:val="20"/>
                <w:color w:val="auto"/>
              </w:rPr>
            </w:pPr>
            <w:r>
              <w:rPr>
                <w:rFonts w:ascii="Arial" w:cs="Arial" w:eastAsia="Arial" w:hAnsi="Arial"/>
                <w:sz w:val="20"/>
                <w:szCs w:val="20"/>
                <w:b w:val="1"/>
                <w:bCs w:val="1"/>
                <w:color w:val="B4B4B4"/>
                <w:w w:val="94"/>
              </w:rPr>
              <w:t>. . . . . .</w:t>
            </w:r>
          </w:p>
        </w:tc>
        <w:tc>
          <w:tcPr>
            <w:tcW w:w="2000" w:type="dxa"/>
            <w:vAlign w:val="bottom"/>
            <w:gridSpan w:val="4"/>
            <w:shd w:val="clear" w:color="auto" w:fill="E6E6E6"/>
          </w:tcPr>
          <w:p>
            <w:pPr>
              <w:jc w:val="right"/>
              <w:spacing w:after="0"/>
              <w:rPr>
                <w:sz w:val="20"/>
                <w:szCs w:val="20"/>
                <w:color w:val="auto"/>
              </w:rPr>
            </w:pPr>
            <w:r>
              <w:rPr>
                <w:rFonts w:ascii="Arial" w:cs="Arial" w:eastAsia="Arial" w:hAnsi="Arial"/>
                <w:sz w:val="20"/>
                <w:szCs w:val="20"/>
                <w:b w:val="1"/>
                <w:bCs w:val="1"/>
                <w:color w:val="B4B4B4"/>
                <w:w w:val="90"/>
              </w:rPr>
              <w:t>. . . . . . . . . . . . . . . . . . . .</w:t>
            </w:r>
          </w:p>
        </w:tc>
        <w:tc>
          <w:tcPr>
            <w:tcW w:w="12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87"/>
              </w:rPr>
              <w:t>. . . .</w:t>
            </w: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3"/>
              </w:rPr>
              <w:t>. . . . . . . .</w:t>
            </w:r>
          </w:p>
        </w:tc>
        <w:tc>
          <w:tcPr>
            <w:tcW w:w="10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rPr>
              <w:t>.</w:t>
            </w:r>
          </w:p>
        </w:tc>
        <w:tc>
          <w:tcPr>
            <w:tcW w:w="40" w:type="dxa"/>
            <w:vAlign w:val="bottom"/>
            <w:shd w:val="clear" w:color="auto" w:fill="E6E6E6"/>
          </w:tcPr>
          <w:p>
            <w:pPr>
              <w:spacing w:after="0"/>
              <w:rPr>
                <w:sz w:val="21"/>
                <w:szCs w:val="21"/>
                <w:color w:val="auto"/>
              </w:rPr>
            </w:pP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5200" w:type="dxa"/>
            <w:vAlign w:val="bottom"/>
            <w:gridSpan w:val="4"/>
          </w:tcPr>
          <w:p>
            <w:pPr>
              <w:jc w:val="right"/>
              <w:spacing w:after="0"/>
              <w:rPr>
                <w:sz w:val="20"/>
                <w:szCs w:val="20"/>
                <w:color w:val="auto"/>
              </w:rPr>
            </w:pPr>
            <w:r>
              <w:rPr>
                <w:rFonts w:ascii="Arial" w:cs="Arial" w:eastAsia="Arial" w:hAnsi="Arial"/>
                <w:sz w:val="20"/>
                <w:szCs w:val="20"/>
                <w:color w:val="auto"/>
                <w:w w:val="95"/>
              </w:rPr>
              <w:t xml:space="preserve">Contracts realized or otherwise settled during the period </w:t>
            </w:r>
            <w:r>
              <w:rPr>
                <w:rFonts w:ascii="Arial" w:cs="Arial" w:eastAsia="Arial" w:hAnsi="Arial"/>
                <w:sz w:val="20"/>
                <w:szCs w:val="20"/>
                <w:color w:val="B4B4B4"/>
                <w:w w:val="95"/>
              </w:rPr>
              <w:t>. . . .</w:t>
            </w:r>
          </w:p>
        </w:tc>
        <w:tc>
          <w:tcPr>
            <w:tcW w:w="620" w:type="dxa"/>
            <w:vAlign w:val="bottom"/>
            <w:gridSpan w:val="3"/>
          </w:tcPr>
          <w:p>
            <w:pPr>
              <w:jc w:val="right"/>
              <w:spacing w:after="0"/>
              <w:rPr>
                <w:sz w:val="20"/>
                <w:szCs w:val="20"/>
                <w:color w:val="auto"/>
              </w:rPr>
            </w:pPr>
            <w:r>
              <w:rPr>
                <w:rFonts w:ascii="Arial" w:cs="Arial" w:eastAsia="Arial" w:hAnsi="Arial"/>
                <w:sz w:val="20"/>
                <w:szCs w:val="20"/>
                <w:color w:val="B4B4B4"/>
                <w:w w:val="91"/>
              </w:rPr>
              <w:t>. . . . . .</w:t>
            </w:r>
          </w:p>
        </w:tc>
        <w:tc>
          <w:tcPr>
            <w:tcW w:w="980" w:type="dxa"/>
            <w:vAlign w:val="bottom"/>
            <w:gridSpan w:val="2"/>
          </w:tcPr>
          <w:p>
            <w:pPr>
              <w:jc w:val="right"/>
              <w:spacing w:after="0"/>
              <w:rPr>
                <w:sz w:val="20"/>
                <w:szCs w:val="20"/>
                <w:color w:val="auto"/>
              </w:rPr>
            </w:pPr>
            <w:r>
              <w:rPr>
                <w:rFonts w:ascii="Arial" w:cs="Arial" w:eastAsia="Arial" w:hAnsi="Arial"/>
                <w:sz w:val="20"/>
                <w:szCs w:val="20"/>
                <w:color w:val="B4B4B4"/>
                <w:w w:val="88"/>
              </w:rPr>
              <w:t>. . . . . . . . . .</w:t>
            </w:r>
          </w:p>
        </w:tc>
        <w:tc>
          <w:tcPr>
            <w:tcW w:w="1020" w:type="dxa"/>
            <w:vAlign w:val="bottom"/>
            <w:gridSpan w:val="2"/>
          </w:tcPr>
          <w:p>
            <w:pPr>
              <w:jc w:val="right"/>
              <w:spacing w:after="0"/>
              <w:rPr>
                <w:sz w:val="20"/>
                <w:szCs w:val="20"/>
                <w:color w:val="auto"/>
              </w:rPr>
            </w:pPr>
            <w:r>
              <w:rPr>
                <w:rFonts w:ascii="Arial" w:cs="Arial" w:eastAsia="Arial" w:hAnsi="Arial"/>
                <w:sz w:val="20"/>
                <w:szCs w:val="20"/>
                <w:color w:val="B4B4B4"/>
                <w:w w:val="90"/>
              </w:rPr>
              <w:t>. . . . . . . . . .</w:t>
            </w:r>
          </w:p>
        </w:tc>
        <w:tc>
          <w:tcPr>
            <w:tcW w:w="12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360" w:type="dxa"/>
            <w:vAlign w:val="bottom"/>
          </w:tcPr>
          <w:p>
            <w:pPr>
              <w:jc w:val="right"/>
              <w:spacing w:after="0"/>
              <w:rPr>
                <w:sz w:val="20"/>
                <w:szCs w:val="20"/>
                <w:color w:val="auto"/>
              </w:rPr>
            </w:pPr>
            <w:r>
              <w:rPr>
                <w:rFonts w:ascii="Arial" w:cs="Arial" w:eastAsia="Arial" w:hAnsi="Arial"/>
                <w:sz w:val="20"/>
                <w:szCs w:val="20"/>
                <w:color w:val="B4B4B4"/>
                <w:w w:val="82"/>
              </w:rPr>
              <w:t>. . . .</w:t>
            </w:r>
          </w:p>
        </w:tc>
        <w:tc>
          <w:tcPr>
            <w:tcW w:w="820" w:type="dxa"/>
            <w:vAlign w:val="bottom"/>
          </w:tcPr>
          <w:p>
            <w:pPr>
              <w:jc w:val="right"/>
              <w:spacing w:after="0"/>
              <w:rPr>
                <w:sz w:val="20"/>
                <w:szCs w:val="20"/>
                <w:color w:val="auto"/>
              </w:rPr>
            </w:pPr>
            <w:r>
              <w:rPr>
                <w:rFonts w:ascii="Arial" w:cs="Arial" w:eastAsia="Arial" w:hAnsi="Arial"/>
                <w:sz w:val="20"/>
                <w:szCs w:val="20"/>
                <w:color w:val="B4B4B4"/>
                <w:w w:val="91"/>
              </w:rPr>
              <w:t>. . . . . . . .</w:t>
            </w:r>
          </w:p>
        </w:tc>
        <w:tc>
          <w:tcPr>
            <w:tcW w:w="100" w:type="dxa"/>
            <w:vAlign w:val="bottom"/>
          </w:tcPr>
          <w:p>
            <w:pPr>
              <w:jc w:val="right"/>
              <w:spacing w:after="0"/>
              <w:rPr>
                <w:sz w:val="20"/>
                <w:szCs w:val="20"/>
                <w:color w:val="auto"/>
              </w:rPr>
            </w:pPr>
            <w:r>
              <w:rPr>
                <w:rFonts w:ascii="Arial" w:cs="Arial" w:eastAsia="Arial" w:hAnsi="Arial"/>
                <w:sz w:val="20"/>
                <w:szCs w:val="20"/>
                <w:color w:val="B4B4B4"/>
                <w:w w:val="71"/>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65"/>
        </w:trPr>
        <w:tc>
          <w:tcPr>
            <w:tcW w:w="100" w:type="dxa"/>
            <w:vAlign w:val="bottom"/>
            <w:tcBorders>
              <w:right w:val="single" w:sz="8" w:color="E6E6E6"/>
            </w:tcBorders>
          </w:tcPr>
          <w:p>
            <w:pPr>
              <w:spacing w:after="0"/>
              <w:rPr>
                <w:sz w:val="23"/>
                <w:szCs w:val="23"/>
                <w:color w:val="auto"/>
              </w:rPr>
            </w:pPr>
          </w:p>
        </w:tc>
        <w:tc>
          <w:tcPr>
            <w:tcW w:w="4420" w:type="dxa"/>
            <w:vAlign w:val="bottom"/>
            <w:tcBorders>
              <w:bottom w:val="single" w:sz="8" w:color="E6E6E6"/>
            </w:tcBorders>
            <w:gridSpan w:val="3"/>
            <w:shd w:val="clear" w:color="auto" w:fill="E6E6E6"/>
          </w:tcPr>
          <w:p>
            <w:pPr>
              <w:jc w:val="right"/>
              <w:ind w:right="20"/>
              <w:spacing w:after="0"/>
              <w:rPr>
                <w:sz w:val="20"/>
                <w:szCs w:val="20"/>
                <w:color w:val="auto"/>
              </w:rPr>
            </w:pPr>
            <w:r>
              <w:rPr>
                <w:rFonts w:ascii="Arial" w:cs="Arial" w:eastAsia="Arial" w:hAnsi="Arial"/>
                <w:sz w:val="20"/>
                <w:szCs w:val="20"/>
                <w:color w:val="auto"/>
                <w:w w:val="96"/>
              </w:rPr>
              <w:t xml:space="preserve">Changes in fair value </w:t>
            </w:r>
            <w:r>
              <w:rPr>
                <w:rFonts w:ascii="Arial" w:cs="Arial" w:eastAsia="Arial" w:hAnsi="Arial"/>
                <w:sz w:val="20"/>
                <w:szCs w:val="20"/>
                <w:color w:val="B4B4B4"/>
                <w:w w:val="96"/>
              </w:rPr>
              <w:t>. . . . . . . . . . . . . . . . . . . . . . . .</w:t>
            </w: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B4B4B4"/>
                <w:w w:val="91"/>
              </w:rPr>
              <w:t>. . . . . . . .</w:t>
            </w:r>
          </w:p>
        </w:tc>
        <w:tc>
          <w:tcPr>
            <w:tcW w:w="62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20"/>
                <w:szCs w:val="20"/>
                <w:color w:val="B4B4B4"/>
                <w:w w:val="94"/>
              </w:rPr>
              <w:t>. . . . . .</w:t>
            </w:r>
          </w:p>
        </w:tc>
        <w:tc>
          <w:tcPr>
            <w:tcW w:w="2000" w:type="dxa"/>
            <w:vAlign w:val="bottom"/>
            <w:tcBorders>
              <w:bottom w:val="single" w:sz="8" w:color="E6E6E6"/>
            </w:tcBorders>
            <w:gridSpan w:val="4"/>
            <w:shd w:val="clear" w:color="auto" w:fill="E6E6E6"/>
          </w:tcPr>
          <w:p>
            <w:pPr>
              <w:jc w:val="right"/>
              <w:spacing w:after="0"/>
              <w:rPr>
                <w:sz w:val="20"/>
                <w:szCs w:val="20"/>
                <w:color w:val="auto"/>
              </w:rPr>
            </w:pPr>
            <w:r>
              <w:rPr>
                <w:rFonts w:ascii="Arial" w:cs="Arial" w:eastAsia="Arial" w:hAnsi="Arial"/>
                <w:sz w:val="20"/>
                <w:szCs w:val="20"/>
                <w:color w:val="B4B4B4"/>
                <w:w w:val="90"/>
              </w:rPr>
              <w:t>. . . . . . . . . . . . . . . . . . . .</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B4B4B4"/>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B4B4B4"/>
                <w:w w:val="87"/>
              </w:rPr>
              <w:t>. . . .</w:t>
            </w: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B4B4B4"/>
                <w:w w:val="93"/>
              </w:rPr>
              <w:t>. . . . . . . .</w:t>
            </w:r>
          </w:p>
        </w:tc>
        <w:tc>
          <w:tcPr>
            <w:tcW w:w="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B4B4B4"/>
              </w:rPr>
              <w:t>.</w:t>
            </w:r>
          </w:p>
        </w:tc>
        <w:tc>
          <w:tcPr>
            <w:tcW w:w="4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20" w:type="dxa"/>
            <w:vAlign w:val="bottom"/>
            <w:tcBorders>
              <w:bottom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4420" w:type="dxa"/>
            <w:vAlign w:val="bottom"/>
            <w:gridSpan w:val="3"/>
          </w:tcPr>
          <w:p>
            <w:pPr>
              <w:jc w:val="right"/>
              <w:ind w:right="20"/>
              <w:spacing w:after="0" w:line="195" w:lineRule="exact"/>
              <w:rPr>
                <w:sz w:val="20"/>
                <w:szCs w:val="20"/>
                <w:color w:val="auto"/>
              </w:rPr>
            </w:pPr>
            <w:r>
              <w:rPr>
                <w:rFonts w:ascii="Arial" w:cs="Arial" w:eastAsia="Arial" w:hAnsi="Arial"/>
                <w:sz w:val="20"/>
                <w:szCs w:val="20"/>
                <w:b w:val="1"/>
                <w:bCs w:val="1"/>
                <w:color w:val="B4B4B4"/>
              </w:rPr>
              <w:t>. . .</w:t>
            </w:r>
            <w:r>
              <w:rPr>
                <w:rFonts w:ascii="Arial" w:cs="Arial" w:eastAsia="Arial" w:hAnsi="Arial"/>
                <w:sz w:val="20"/>
                <w:szCs w:val="20"/>
                <w:b w:val="1"/>
                <w:bCs w:val="1"/>
                <w:color w:val="000000"/>
              </w:rPr>
              <w:t>FairvalueofcontractsasofDecember31,2024</w:t>
            </w:r>
          </w:p>
        </w:tc>
        <w:tc>
          <w:tcPr>
            <w:tcW w:w="780" w:type="dxa"/>
            <w:vAlign w:val="bottom"/>
          </w:tcPr>
          <w:p>
            <w:pPr>
              <w:jc w:val="right"/>
              <w:spacing w:after="0" w:line="195" w:lineRule="exact"/>
              <w:rPr>
                <w:sz w:val="20"/>
                <w:szCs w:val="20"/>
                <w:color w:val="auto"/>
              </w:rPr>
            </w:pPr>
            <w:r>
              <w:rPr>
                <w:rFonts w:ascii="Arial" w:cs="Arial" w:eastAsia="Arial" w:hAnsi="Arial"/>
                <w:sz w:val="20"/>
                <w:szCs w:val="20"/>
                <w:b w:val="1"/>
                <w:bCs w:val="1"/>
                <w:color w:val="B4B4B4"/>
                <w:w w:val="91"/>
              </w:rPr>
              <w:t>. . . . . . . .</w:t>
            </w:r>
          </w:p>
        </w:tc>
        <w:tc>
          <w:tcPr>
            <w:tcW w:w="620" w:type="dxa"/>
            <w:vAlign w:val="bottom"/>
            <w:gridSpan w:val="3"/>
          </w:tcPr>
          <w:p>
            <w:pPr>
              <w:jc w:val="right"/>
              <w:spacing w:after="0" w:line="195" w:lineRule="exact"/>
              <w:rPr>
                <w:sz w:val="20"/>
                <w:szCs w:val="20"/>
                <w:color w:val="auto"/>
              </w:rPr>
            </w:pPr>
            <w:r>
              <w:rPr>
                <w:rFonts w:ascii="Arial" w:cs="Arial" w:eastAsia="Arial" w:hAnsi="Arial"/>
                <w:sz w:val="20"/>
                <w:szCs w:val="20"/>
                <w:b w:val="1"/>
                <w:bCs w:val="1"/>
                <w:color w:val="B4B4B4"/>
                <w:w w:val="94"/>
              </w:rPr>
              <w:t>. . . . . .</w:t>
            </w:r>
          </w:p>
        </w:tc>
        <w:tc>
          <w:tcPr>
            <w:tcW w:w="2000" w:type="dxa"/>
            <w:vAlign w:val="bottom"/>
            <w:gridSpan w:val="4"/>
          </w:tcPr>
          <w:p>
            <w:pPr>
              <w:jc w:val="right"/>
              <w:spacing w:after="0" w:line="195" w:lineRule="exact"/>
              <w:rPr>
                <w:sz w:val="20"/>
                <w:szCs w:val="20"/>
                <w:color w:val="auto"/>
              </w:rPr>
            </w:pPr>
            <w:r>
              <w:rPr>
                <w:rFonts w:ascii="Arial" w:cs="Arial" w:eastAsia="Arial" w:hAnsi="Arial"/>
                <w:sz w:val="20"/>
                <w:szCs w:val="20"/>
                <w:b w:val="1"/>
                <w:bCs w:val="1"/>
                <w:color w:val="B4B4B4"/>
                <w:w w:val="90"/>
              </w:rPr>
              <w:t>. . . . . . . . . . . . . . . . . . . .</w:t>
            </w:r>
          </w:p>
        </w:tc>
        <w:tc>
          <w:tcPr>
            <w:tcW w:w="120" w:type="dxa"/>
            <w:vAlign w:val="bottom"/>
          </w:tcPr>
          <w:p>
            <w:pPr>
              <w:jc w:val="right"/>
              <w:spacing w:after="0" w:line="195" w:lineRule="exact"/>
              <w:rPr>
                <w:sz w:val="20"/>
                <w:szCs w:val="20"/>
                <w:color w:val="auto"/>
              </w:rPr>
            </w:pPr>
            <w:r>
              <w:rPr>
                <w:rFonts w:ascii="Arial" w:cs="Arial" w:eastAsia="Arial" w:hAnsi="Arial"/>
                <w:sz w:val="20"/>
                <w:szCs w:val="20"/>
                <w:b w:val="1"/>
                <w:bCs w:val="1"/>
                <w:color w:val="B4B4B4"/>
              </w:rPr>
              <w:t>.</w:t>
            </w:r>
          </w:p>
        </w:tc>
        <w:tc>
          <w:tcPr>
            <w:tcW w:w="360" w:type="dxa"/>
            <w:vAlign w:val="bottom"/>
          </w:tcPr>
          <w:p>
            <w:pPr>
              <w:jc w:val="right"/>
              <w:spacing w:after="0" w:line="195" w:lineRule="exact"/>
              <w:rPr>
                <w:sz w:val="20"/>
                <w:szCs w:val="20"/>
                <w:color w:val="auto"/>
              </w:rPr>
            </w:pPr>
            <w:r>
              <w:rPr>
                <w:rFonts w:ascii="Arial" w:cs="Arial" w:eastAsia="Arial" w:hAnsi="Arial"/>
                <w:sz w:val="20"/>
                <w:szCs w:val="20"/>
                <w:b w:val="1"/>
                <w:bCs w:val="1"/>
                <w:color w:val="B4B4B4"/>
                <w:w w:val="87"/>
              </w:rPr>
              <w:t>. . . .</w:t>
            </w:r>
          </w:p>
        </w:tc>
        <w:tc>
          <w:tcPr>
            <w:tcW w:w="820" w:type="dxa"/>
            <w:vAlign w:val="bottom"/>
          </w:tcPr>
          <w:p>
            <w:pPr>
              <w:jc w:val="right"/>
              <w:spacing w:after="0" w:line="195" w:lineRule="exact"/>
              <w:rPr>
                <w:sz w:val="20"/>
                <w:szCs w:val="20"/>
                <w:color w:val="auto"/>
              </w:rPr>
            </w:pPr>
            <w:r>
              <w:rPr>
                <w:rFonts w:ascii="Arial" w:cs="Arial" w:eastAsia="Arial" w:hAnsi="Arial"/>
                <w:sz w:val="20"/>
                <w:szCs w:val="20"/>
                <w:b w:val="1"/>
                <w:bCs w:val="1"/>
                <w:color w:val="B4B4B4"/>
                <w:w w:val="93"/>
              </w:rPr>
              <w:t>. . . . . . . .</w:t>
            </w:r>
          </w:p>
        </w:tc>
        <w:tc>
          <w:tcPr>
            <w:tcW w:w="100" w:type="dxa"/>
            <w:vAlign w:val="bottom"/>
          </w:tcPr>
          <w:p>
            <w:pPr>
              <w:jc w:val="right"/>
              <w:spacing w:after="0" w:line="195" w:lineRule="exact"/>
              <w:rPr>
                <w:sz w:val="20"/>
                <w:szCs w:val="20"/>
                <w:color w:val="auto"/>
              </w:rPr>
            </w:pPr>
            <w:r>
              <w:rPr>
                <w:rFonts w:ascii="Arial" w:cs="Arial" w:eastAsia="Arial" w:hAnsi="Arial"/>
                <w:sz w:val="20"/>
                <w:szCs w:val="20"/>
                <w:b w:val="1"/>
                <w:bCs w:val="1"/>
                <w:color w:val="B4B4B4"/>
              </w:rPr>
              <w:t>.</w:t>
            </w:r>
          </w:p>
        </w:tc>
        <w:tc>
          <w:tcPr>
            <w:tcW w:w="40" w:type="dxa"/>
            <w:vAlign w:val="bottom"/>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6"/>
                <w:szCs w:val="16"/>
                <w:b w:val="1"/>
                <w:bCs w:val="1"/>
                <w:color w:val="auto"/>
                <w:w w:val="97"/>
              </w:rPr>
              <w:t>Fair value of contracts as of December 31, 2024</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0"/>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Maturity</w:t>
            </w: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64"/>
              <w:spacing w:after="0"/>
              <w:rPr>
                <w:sz w:val="20"/>
                <w:szCs w:val="20"/>
                <w:color w:val="auto"/>
              </w:rPr>
            </w:pPr>
            <w:r>
              <w:rPr>
                <w:rFonts w:ascii="Arial" w:cs="Arial" w:eastAsia="Arial" w:hAnsi="Arial"/>
                <w:sz w:val="16"/>
                <w:szCs w:val="16"/>
                <w:b w:val="1"/>
                <w:bCs w:val="1"/>
                <w:color w:val="auto"/>
                <w:w w:val="94"/>
              </w:rPr>
              <w:t>Greater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50"/>
              <w:spacing w:after="0"/>
              <w:rPr>
                <w:sz w:val="20"/>
                <w:szCs w:val="20"/>
                <w:color w:val="auto"/>
              </w:rPr>
            </w:pPr>
            <w:r>
              <w:rPr>
                <w:rFonts w:ascii="Arial" w:cs="Arial" w:eastAsia="Arial" w:hAnsi="Arial"/>
                <w:sz w:val="16"/>
                <w:szCs w:val="16"/>
                <w:b w:val="1"/>
                <w:bCs w:val="1"/>
                <w:color w:val="auto"/>
              </w:rPr>
              <w:t>Greater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Than 1 Year</w:t>
            </w:r>
          </w:p>
        </w:tc>
        <w:tc>
          <w:tcPr>
            <w:tcW w:w="1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Than 3 Years</w:t>
            </w:r>
          </w:p>
        </w:tc>
        <w:tc>
          <w:tcPr>
            <w:tcW w:w="120" w:type="dxa"/>
            <w:vAlign w:val="bottom"/>
          </w:tcPr>
          <w:p>
            <w:pPr>
              <w:spacing w:after="0"/>
              <w:rPr>
                <w:sz w:val="16"/>
                <w:szCs w:val="16"/>
                <w:color w:val="auto"/>
              </w:rPr>
            </w:pPr>
          </w:p>
        </w:tc>
        <w:tc>
          <w:tcPr>
            <w:tcW w:w="1320" w:type="dxa"/>
            <w:vAlign w:val="bottom"/>
            <w:gridSpan w:val="4"/>
          </w:tcPr>
          <w:p>
            <w:pPr>
              <w:ind w:left="40"/>
              <w:spacing w:after="0"/>
              <w:rPr>
                <w:sz w:val="20"/>
                <w:szCs w:val="20"/>
                <w:color w:val="auto"/>
              </w:rPr>
            </w:pPr>
            <w:r>
              <w:rPr>
                <w:rFonts w:ascii="Arial" w:cs="Arial" w:eastAsia="Arial" w:hAnsi="Arial"/>
                <w:sz w:val="16"/>
                <w:szCs w:val="16"/>
                <w:b w:val="1"/>
                <w:bCs w:val="1"/>
                <w:color w:val="auto"/>
              </w:rPr>
              <w:t>Greater Than 5</w:t>
            </w:r>
          </w:p>
        </w:tc>
        <w:tc>
          <w:tcPr>
            <w:tcW w:w="10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4420" w:type="dxa"/>
            <w:vAlign w:val="bottom"/>
            <w:gridSpan w:val="3"/>
          </w:tcPr>
          <w:p>
            <w:pPr>
              <w:jc w:val="right"/>
              <w:ind w:right="2500"/>
              <w:spacing w:after="0" w:line="178" w:lineRule="exact"/>
              <w:rPr>
                <w:sz w:val="20"/>
                <w:szCs w:val="20"/>
                <w:color w:val="auto"/>
              </w:rPr>
            </w:pPr>
            <w:r>
              <w:rPr>
                <w:rFonts w:ascii="Arial" w:cs="Arial" w:eastAsia="Arial" w:hAnsi="Arial"/>
                <w:sz w:val="16"/>
                <w:szCs w:val="16"/>
                <w:b w:val="1"/>
                <w:bCs w:val="1"/>
                <w:color w:val="auto"/>
                <w:w w:val="88"/>
              </w:rPr>
              <w:t>Fair Value Hierarchy Losses</w:t>
            </w:r>
          </w:p>
        </w:tc>
        <w:tc>
          <w:tcPr>
            <w:tcW w:w="112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auto"/>
                <w:w w:val="95"/>
              </w:rPr>
              <w:t>1 Year or Less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4"/>
              <w:spacing w:after="0" w:line="178" w:lineRule="exact"/>
              <w:rPr>
                <w:sz w:val="20"/>
                <w:szCs w:val="20"/>
                <w:color w:val="auto"/>
              </w:rPr>
            </w:pPr>
            <w:r>
              <w:rPr>
                <w:rFonts w:ascii="Arial" w:cs="Arial" w:eastAsia="Arial" w:hAnsi="Arial"/>
                <w:sz w:val="16"/>
                <w:szCs w:val="16"/>
                <w:b w:val="1"/>
                <w:bCs w:val="1"/>
                <w:color w:val="auto"/>
                <w:w w:val="91"/>
              </w:rPr>
              <w:t>to 3 Years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70"/>
              <w:spacing w:after="0" w:line="178" w:lineRule="exact"/>
              <w:rPr>
                <w:sz w:val="20"/>
                <w:szCs w:val="20"/>
                <w:color w:val="auto"/>
              </w:rPr>
            </w:pPr>
            <w:r>
              <w:rPr>
                <w:rFonts w:ascii="Arial" w:cs="Arial" w:eastAsia="Arial" w:hAnsi="Arial"/>
                <w:sz w:val="16"/>
                <w:szCs w:val="16"/>
                <w:b w:val="1"/>
                <w:bCs w:val="1"/>
                <w:color w:val="auto"/>
                <w:w w:val="88"/>
              </w:rPr>
              <w:t>to 5 Years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20"/>
              <w:spacing w:after="0" w:line="178" w:lineRule="exact"/>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5"/>
                <w:szCs w:val="15"/>
                <w:color w:val="auto"/>
              </w:rPr>
            </w:pPr>
          </w:p>
        </w:tc>
        <w:tc>
          <w:tcPr>
            <w:tcW w:w="800" w:type="dxa"/>
            <w:vAlign w:val="bottom"/>
            <w:gridSpan w:val="2"/>
          </w:tcPr>
          <w:p>
            <w:pPr>
              <w:jc w:val="right"/>
              <w:ind w:right="340"/>
              <w:spacing w:after="0" w:line="178" w:lineRule="exact"/>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0" w:type="dxa"/>
            <w:vAlign w:val="bottom"/>
            <w:tcBorders>
              <w:right w:val="single" w:sz="8" w:color="E6E6E6"/>
            </w:tcBorders>
            <w:shd w:val="clear" w:color="auto" w:fill="E6E6E6"/>
          </w:tcPr>
          <w:p>
            <w:pPr>
              <w:spacing w:after="0"/>
              <w:rPr>
                <w:sz w:val="22"/>
                <w:szCs w:val="22"/>
                <w:color w:val="auto"/>
              </w:rPr>
            </w:pPr>
          </w:p>
        </w:tc>
        <w:tc>
          <w:tcPr>
            <w:tcW w:w="4420" w:type="dxa"/>
            <w:vAlign w:val="bottom"/>
            <w:gridSpan w:val="3"/>
            <w:shd w:val="clear" w:color="auto" w:fill="E6E6E6"/>
          </w:tcPr>
          <w:p>
            <w:pPr>
              <w:jc w:val="right"/>
              <w:ind w:right="60"/>
              <w:spacing w:after="0"/>
              <w:rPr>
                <w:sz w:val="20"/>
                <w:szCs w:val="20"/>
                <w:color w:val="auto"/>
              </w:rPr>
            </w:pPr>
            <w:r>
              <w:rPr>
                <w:rFonts w:ascii="Arial" w:cs="Arial" w:eastAsia="Arial" w:hAnsi="Arial"/>
                <w:sz w:val="20"/>
                <w:szCs w:val="20"/>
                <w:color w:val="auto"/>
                <w:w w:val="89"/>
              </w:rPr>
              <w:t xml:space="preserve">Level 2 </w:t>
            </w:r>
            <w:r>
              <w:rPr>
                <w:rFonts w:ascii="Arial" w:cs="Arial" w:eastAsia="Arial" w:hAnsi="Arial"/>
                <w:sz w:val="20"/>
                <w:szCs w:val="20"/>
                <w:color w:val="B4B4B4"/>
                <w:w w:val="89"/>
              </w:rPr>
              <w:t>. . . . . . . . . . . . . . . . . . . . . . . . . . . . . . . . . . . . . .</w:t>
            </w:r>
          </w:p>
        </w:tc>
        <w:tc>
          <w:tcPr>
            <w:tcW w:w="780" w:type="dxa"/>
            <w:vAlign w:val="bottom"/>
            <w:shd w:val="clear" w:color="auto" w:fill="E6E6E6"/>
          </w:tcPr>
          <w:p>
            <w:pPr>
              <w:jc w:val="right"/>
              <w:ind w:right="523"/>
              <w:spacing w:after="0"/>
              <w:rPr>
                <w:sz w:val="20"/>
                <w:szCs w:val="20"/>
                <w:color w:val="auto"/>
              </w:rPr>
            </w:pPr>
            <w:r>
              <w:rPr>
                <w:rFonts w:ascii="Arial" w:cs="Arial" w:eastAsia="Arial" w:hAnsi="Arial"/>
                <w:sz w:val="20"/>
                <w:szCs w:val="20"/>
                <w:color w:val="auto"/>
              </w:rPr>
              <w:t>$</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w:t>
            </w:r>
          </w:p>
        </w:tc>
        <w:tc>
          <w:tcPr>
            <w:tcW w:w="2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w:t>
            </w:r>
          </w:p>
        </w:tc>
        <w:tc>
          <w:tcPr>
            <w:tcW w:w="48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10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2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5200" w:type="dxa"/>
            <w:vAlign w:val="bottom"/>
            <w:gridSpan w:val="4"/>
          </w:tcPr>
          <w:p>
            <w:pPr>
              <w:jc w:val="right"/>
              <w:ind w:right="743"/>
              <w:spacing w:after="0"/>
              <w:rPr>
                <w:sz w:val="20"/>
                <w:szCs w:val="20"/>
                <w:color w:val="auto"/>
              </w:rPr>
            </w:pPr>
            <w:r>
              <w:rPr>
                <w:rFonts w:ascii="Arial" w:cs="Arial" w:eastAsia="Arial" w:hAnsi="Arial"/>
                <w:sz w:val="20"/>
                <w:szCs w:val="20"/>
                <w:color w:val="auto"/>
                <w:w w:val="89"/>
              </w:rPr>
              <w:t xml:space="preserve">Level 3 </w:t>
            </w:r>
            <w:r>
              <w:rPr>
                <w:rFonts w:ascii="Arial" w:cs="Arial" w:eastAsia="Arial" w:hAnsi="Arial"/>
                <w:sz w:val="20"/>
                <w:szCs w:val="20"/>
                <w:color w:val="B4B4B4"/>
                <w:w w:val="89"/>
              </w:rPr>
              <w:t>.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Borders>
              <w:top w:val="single" w:sz="8" w:color="E6E6E6"/>
              <w:bottom w:val="single" w:sz="8" w:color="E6E6E6"/>
              <w:right w:val="single" w:sz="8" w:color="E6E6E6"/>
            </w:tcBorders>
            <w:shd w:val="clear" w:color="auto" w:fill="E6E6E6"/>
          </w:tcPr>
          <w:p>
            <w:pPr>
              <w:spacing w:after="0"/>
              <w:rPr>
                <w:sz w:val="20"/>
                <w:szCs w:val="20"/>
                <w:color w:val="auto"/>
              </w:rPr>
            </w:pPr>
          </w:p>
        </w:tc>
        <w:tc>
          <w:tcPr>
            <w:tcW w:w="4420" w:type="dxa"/>
            <w:vAlign w:val="bottom"/>
            <w:tcBorders>
              <w:top w:val="single" w:sz="8" w:color="E6E6E6"/>
              <w:bottom w:val="single" w:sz="8" w:color="E6E6E6"/>
            </w:tcBorders>
            <w:gridSpan w:val="3"/>
            <w:shd w:val="clear" w:color="auto" w:fill="E6E6E6"/>
          </w:tcPr>
          <w:p>
            <w:pPr>
              <w:jc w:val="right"/>
              <w:ind w:right="3820"/>
              <w:spacing w:after="0" w:line="215" w:lineRule="exact"/>
              <w:rPr>
                <w:sz w:val="20"/>
                <w:szCs w:val="20"/>
                <w:color w:val="auto"/>
              </w:rPr>
            </w:pPr>
            <w:r>
              <w:rPr>
                <w:rFonts w:ascii="Arial" w:cs="Arial" w:eastAsia="Arial" w:hAnsi="Arial"/>
                <w:sz w:val="20"/>
                <w:szCs w:val="20"/>
                <w:color w:val="auto"/>
              </w:rPr>
              <w:t>Total</w:t>
            </w:r>
          </w:p>
        </w:tc>
        <w:tc>
          <w:tcPr>
            <w:tcW w:w="780" w:type="dxa"/>
            <w:vAlign w:val="bottom"/>
            <w:tcBorders>
              <w:top w:val="single" w:sz="8" w:color="auto"/>
              <w:bottom w:val="single" w:sz="8" w:color="auto"/>
            </w:tcBorders>
            <w:shd w:val="clear" w:color="auto" w:fill="E6E6E6"/>
          </w:tcPr>
          <w:p>
            <w:pPr>
              <w:jc w:val="right"/>
              <w:ind w:right="523"/>
              <w:spacing w:after="0" w:line="215" w:lineRule="exact"/>
              <w:rPr>
                <w:sz w:val="20"/>
                <w:szCs w:val="20"/>
                <w:color w:val="auto"/>
              </w:rPr>
            </w:pPr>
            <w:r>
              <w:rPr>
                <w:rFonts w:ascii="Arial" w:cs="Arial" w:eastAsia="Arial" w:hAnsi="Arial"/>
                <w:sz w:val="20"/>
                <w:szCs w:val="20"/>
                <w:color w:val="auto"/>
              </w:rPr>
              <w:t>$</w:t>
            </w:r>
          </w:p>
        </w:tc>
        <w:tc>
          <w:tcPr>
            <w:tcW w:w="3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w w:val="89"/>
              </w:rPr>
              <w:t>(17)</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1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(69)</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160" w:type="dxa"/>
            <w:vAlign w:val="bottom"/>
            <w:tcBorders>
              <w:top w:val="single" w:sz="8" w:color="auto"/>
              <w:bottom w:val="single" w:sz="8" w:color="auto"/>
            </w:tcBorders>
            <w:shd w:val="clear" w:color="auto" w:fill="E6E6E6"/>
          </w:tcPr>
          <w:p>
            <w:pPr>
              <w:ind w:left="40"/>
              <w:spacing w:after="0" w:line="215"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(24)</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360" w:type="dxa"/>
            <w:vAlign w:val="bottom"/>
            <w:tcBorders>
              <w:top w:val="single" w:sz="8" w:color="auto"/>
              <w:bottom w:val="single" w:sz="8" w:color="auto"/>
            </w:tcBorders>
            <w:shd w:val="clear" w:color="auto" w:fill="E6E6E6"/>
          </w:tcPr>
          <w:p>
            <w:pPr>
              <w:ind w:left="40"/>
              <w:spacing w:after="0" w:line="215"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(86)</w:t>
            </w:r>
          </w:p>
        </w:tc>
        <w:tc>
          <w:tcPr>
            <w:tcW w:w="100" w:type="dxa"/>
            <w:vAlign w:val="bottom"/>
            <w:tcBorders>
              <w:top w:val="single" w:sz="8" w:color="E6E6E6"/>
              <w:bottom w:val="single" w:sz="8" w:color="E6E6E6"/>
            </w:tcBorders>
            <w:shd w:val="clear" w:color="auto" w:fill="E6E6E6"/>
          </w:tcPr>
          <w:p>
            <w:pPr>
              <w:spacing w:after="0"/>
              <w:rPr>
                <w:sz w:val="20"/>
                <w:szCs w:val="20"/>
                <w:color w:val="auto"/>
              </w:rPr>
            </w:pPr>
          </w:p>
        </w:tc>
        <w:tc>
          <w:tcPr>
            <w:tcW w:w="40" w:type="dxa"/>
            <w:vAlign w:val="bottom"/>
            <w:tcBorders>
              <w:top w:val="single" w:sz="8" w:color="auto"/>
              <w:bottom w:val="single" w:sz="8" w:color="auto"/>
            </w:tcBorders>
            <w:shd w:val="clear" w:color="auto" w:fill="E6E6E6"/>
          </w:tcPr>
          <w:p>
            <w:pPr>
              <w:spacing w:after="0"/>
              <w:rPr>
                <w:sz w:val="20"/>
                <w:szCs w:val="20"/>
                <w:color w:val="auto"/>
              </w:rPr>
            </w:pPr>
          </w:p>
        </w:tc>
        <w:tc>
          <w:tcPr>
            <w:tcW w:w="220" w:type="dxa"/>
            <w:vAlign w:val="bottom"/>
            <w:tcBorders>
              <w:top w:val="single" w:sz="8" w:color="auto"/>
              <w:bottom w:val="single" w:sz="8" w:color="auto"/>
            </w:tcBorders>
            <w:shd w:val="clear" w:color="auto" w:fill="E6E6E6"/>
          </w:tcPr>
          <w:p>
            <w:pPr>
              <w:jc w:val="right"/>
              <w:ind w:right="7"/>
              <w:spacing w:after="0" w:line="215" w:lineRule="exact"/>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E6E6E6"/>
            </w:tcBorders>
          </w:tcPr>
          <w:p>
            <w:pPr>
              <w:spacing w:after="0" w:line="20" w:lineRule="exact"/>
              <w:rPr>
                <w:sz w:val="1"/>
                <w:szCs w:val="1"/>
                <w:color w:val="auto"/>
              </w:rPr>
            </w:pPr>
          </w:p>
        </w:tc>
        <w:tc>
          <w:tcPr>
            <w:tcW w:w="192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E6E6E6"/>
            </w:tcBorders>
          </w:tcPr>
          <w:p>
            <w:pPr>
              <w:spacing w:after="0" w:line="20" w:lineRule="exact"/>
              <w:rPr>
                <w:sz w:val="1"/>
                <w:szCs w:val="1"/>
                <w:color w:val="auto"/>
              </w:rPr>
            </w:pPr>
          </w:p>
        </w:tc>
        <w:tc>
          <w:tcPr>
            <w:tcW w:w="2100" w:type="dxa"/>
            <w:vAlign w:val="bottom"/>
            <w:tcBorders>
              <w:top w:val="single" w:sz="8" w:color="E6E6E6"/>
            </w:tcBorders>
          </w:tcPr>
          <w:p>
            <w:pPr>
              <w:spacing w:after="0" w:line="20" w:lineRule="exact"/>
              <w:rPr>
                <w:sz w:val="1"/>
                <w:szCs w:val="1"/>
                <w:color w:val="auto"/>
              </w:rPr>
            </w:pPr>
          </w:p>
        </w:tc>
        <w:tc>
          <w:tcPr>
            <w:tcW w:w="780" w:type="dxa"/>
            <w:vAlign w:val="bottom"/>
            <w:tcBorders>
              <w:top w:val="single" w:sz="8" w:color="E6E6E6"/>
              <w:bottom w:val="single" w:sz="8" w:color="auto"/>
            </w:tcBorders>
          </w:tcPr>
          <w:p>
            <w:pPr>
              <w:spacing w:after="0" w:line="20" w:lineRule="exact"/>
              <w:rPr>
                <w:sz w:val="1"/>
                <w:szCs w:val="1"/>
                <w:color w:val="auto"/>
              </w:rPr>
            </w:pPr>
          </w:p>
        </w:tc>
        <w:tc>
          <w:tcPr>
            <w:tcW w:w="340" w:type="dxa"/>
            <w:vAlign w:val="bottom"/>
            <w:tcBorders>
              <w:top w:val="single" w:sz="8" w:color="E6E6E6"/>
              <w:bottom w:val="single" w:sz="8" w:color="auto"/>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bottom w:val="single" w:sz="8" w:color="auto"/>
            </w:tcBorders>
          </w:tcPr>
          <w:p>
            <w:pPr>
              <w:spacing w:after="0" w:line="20" w:lineRule="exact"/>
              <w:rPr>
                <w:sz w:val="1"/>
                <w:szCs w:val="1"/>
                <w:color w:val="auto"/>
              </w:rPr>
            </w:pPr>
          </w:p>
        </w:tc>
        <w:tc>
          <w:tcPr>
            <w:tcW w:w="860" w:type="dxa"/>
            <w:vAlign w:val="bottom"/>
            <w:tcBorders>
              <w:top w:val="single" w:sz="8" w:color="E6E6E6"/>
              <w:bottom w:val="single" w:sz="8" w:color="auto"/>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bottom w:val="single" w:sz="8" w:color="auto"/>
            </w:tcBorders>
          </w:tcPr>
          <w:p>
            <w:pPr>
              <w:spacing w:after="0" w:line="20" w:lineRule="exact"/>
              <w:rPr>
                <w:sz w:val="1"/>
                <w:szCs w:val="1"/>
                <w:color w:val="auto"/>
              </w:rPr>
            </w:pPr>
          </w:p>
        </w:tc>
        <w:tc>
          <w:tcPr>
            <w:tcW w:w="860" w:type="dxa"/>
            <w:vAlign w:val="bottom"/>
            <w:tcBorders>
              <w:top w:val="single" w:sz="8" w:color="E6E6E6"/>
              <w:bottom w:val="single" w:sz="8" w:color="auto"/>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E6E6E6"/>
              <w:bottom w:val="single" w:sz="8" w:color="auto"/>
            </w:tcBorders>
          </w:tcPr>
          <w:p>
            <w:pPr>
              <w:spacing w:after="0" w:line="20" w:lineRule="exact"/>
              <w:rPr>
                <w:sz w:val="1"/>
                <w:szCs w:val="1"/>
                <w:color w:val="auto"/>
              </w:rPr>
            </w:pPr>
          </w:p>
        </w:tc>
        <w:tc>
          <w:tcPr>
            <w:tcW w:w="8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40" w:type="dxa"/>
            <w:vAlign w:val="bottom"/>
            <w:tcBorders>
              <w:top w:val="single" w:sz="8" w:color="E6E6E6"/>
              <w:bottom w:val="single" w:sz="8" w:color="auto"/>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780" w:type="dxa"/>
            <w:vAlign w:val="bottom"/>
            <w:tcBorders>
              <w:top w:val="single" w:sz="8" w:color="E6E6E6"/>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-1602740</wp:posOffset>
            </wp:positionV>
            <wp:extent cx="68262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682625" cy="5080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-43815</wp:posOffset>
            </wp:positionV>
            <wp:extent cx="373062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3730625" cy="50800"/>
                    </a:xfrm>
                    <a:prstGeom prst="rect">
                      <a:avLst/>
                    </a:prstGeom>
                    <a:noFill/>
                  </pic:spPr>
                </pic:pic>
              </a:graphicData>
            </a:graphic>
          </wp:anchor>
        </w:drawing>
      </w:r>
    </w:p>
    <w:p>
      <w:pPr>
        <w:spacing w:after="0" w:line="167" w:lineRule="exact"/>
        <w:rPr>
          <w:sz w:val="20"/>
          <w:szCs w:val="20"/>
          <w:color w:val="auto"/>
        </w:rPr>
      </w:pPr>
    </w:p>
    <w:p>
      <w:pPr>
        <w:jc w:val="both"/>
        <w:ind w:left="60" w:right="80" w:firstLine="450"/>
        <w:spacing w:after="0" w:line="283" w:lineRule="auto"/>
        <w:rPr>
          <w:sz w:val="20"/>
          <w:szCs w:val="20"/>
          <w:color w:val="auto"/>
        </w:rPr>
      </w:pPr>
      <w:r>
        <w:rPr>
          <w:rFonts w:ascii="Arial" w:cs="Arial" w:eastAsia="Arial" w:hAnsi="Arial"/>
          <w:sz w:val="20"/>
          <w:szCs w:val="20"/>
          <w:color w:val="auto"/>
        </w:rPr>
        <w:t>The Company has elected to disclose derivative assets and liabilities on a trade-by-trade basis and does not offset amounts at the counterparty master agreement level.</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97" w:lineRule="exact"/>
        <w:rPr>
          <w:sz w:val="20"/>
          <w:szCs w:val="20"/>
          <w:color w:val="auto"/>
        </w:rPr>
      </w:pPr>
    </w:p>
    <w:p>
      <w:pPr>
        <w:jc w:val="both"/>
        <w:ind w:left="60" w:right="60" w:firstLine="450"/>
        <w:spacing w:after="0" w:line="268" w:lineRule="auto"/>
        <w:rPr>
          <w:sz w:val="20"/>
          <w:szCs w:val="20"/>
          <w:color w:val="auto"/>
        </w:rPr>
      </w:pPr>
      <w:r>
        <w:rPr>
          <w:rFonts w:ascii="Arial" w:cs="Arial" w:eastAsia="Arial" w:hAnsi="Arial"/>
          <w:sz w:val="19"/>
          <w:szCs w:val="19"/>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6" w:lineRule="exact"/>
        <w:rPr>
          <w:sz w:val="20"/>
          <w:szCs w:val="20"/>
          <w:color w:val="auto"/>
        </w:rPr>
      </w:pPr>
    </w:p>
    <w:p>
      <w:pPr>
        <w:jc w:val="both"/>
        <w:ind w:left="60" w:right="60" w:firstLine="450"/>
        <w:spacing w:after="0" w:line="279" w:lineRule="auto"/>
        <w:rPr>
          <w:sz w:val="20"/>
          <w:szCs w:val="20"/>
          <w:color w:val="auto"/>
        </w:rPr>
      </w:pPr>
      <w:r>
        <w:rPr>
          <w:rFonts w:ascii="Arial" w:cs="Arial" w:eastAsia="Arial" w:hAnsi="Arial"/>
          <w:sz w:val="19"/>
          <w:szCs w:val="19"/>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1" w:lineRule="exact"/>
        <w:rPr>
          <w:sz w:val="20"/>
          <w:szCs w:val="20"/>
          <w:color w:val="auto"/>
        </w:rPr>
      </w:pPr>
    </w:p>
    <w:p>
      <w:pPr>
        <w:jc w:val="both"/>
        <w:ind w:left="60" w:right="80" w:firstLine="450"/>
        <w:spacing w:after="0" w:line="291"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b w:val="1"/>
          <w:bCs w:val="1"/>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Policies</w:t>
      </w:r>
      <w:r>
        <w:rPr>
          <w:rFonts w:ascii="Arial" w:cs="Arial" w:eastAsia="Arial" w:hAnsi="Arial"/>
          <w:sz w:val="18"/>
          <w:szCs w:val="18"/>
          <w:color w:val="auto"/>
        </w:rPr>
        <w:t>. The Company identifies its most critical accounting policies as those that are the most pervasive and important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determining the fair value of financial instruments.</w:t>
      </w:r>
    </w:p>
    <w:p>
      <w:pPr>
        <w:sectPr>
          <w:pgSz w:w="11880" w:h="15480" w:orient="portrait"/>
          <w:cols w:equalWidth="0" w:num="1">
            <w:col w:w="10380"/>
          </w:cols>
          <w:pgMar w:left="760" w:top="36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380"/>
          </w:cols>
          <w:pgMar w:left="760" w:top="360" w:right="740" w:bottom="0" w:gutter="0" w:footer="0" w:header="0"/>
          <w:type w:val="continuous"/>
        </w:sectPr>
      </w:pPr>
    </w:p>
    <w:bookmarkStart w:id="64" w:name="page65"/>
    <w:bookmarkEnd w:id="64"/>
    <w:p>
      <w:pPr>
        <w:ind w:left="40"/>
        <w:spacing w:after="0"/>
        <w:tabs>
          <w:tab w:leader="none" w:pos="5480" w:val="left"/>
        </w:tabs>
        <w:rPr>
          <w:sz w:val="20"/>
          <w:szCs w:val="20"/>
          <w:color w:val="auto"/>
        </w:rPr>
      </w:pPr>
      <w:r>
        <w:rPr>
          <w:rFonts w:ascii="Arial" w:cs="Arial" w:eastAsia="Arial" w:hAnsi="Arial"/>
          <w:sz w:val="16"/>
          <w:szCs w:val="16"/>
          <w:b w:val="1"/>
          <w:bCs w:val="1"/>
          <w:u w:val="single" w:color="auto"/>
          <w:color w:val="auto"/>
        </w:rPr>
        <w:t>Accounting Policy</w:t>
      </w:r>
      <w:r>
        <w:rPr>
          <w:sz w:val="20"/>
          <w:szCs w:val="20"/>
          <w:color w:val="auto"/>
        </w:rPr>
        <w:tab/>
      </w:r>
      <w:r>
        <w:rPr>
          <w:rFonts w:ascii="Arial" w:cs="Arial" w:eastAsia="Arial" w:hAnsi="Arial"/>
          <w:sz w:val="14"/>
          <w:szCs w:val="14"/>
          <w:b w:val="1"/>
          <w:bCs w:val="1"/>
          <w:color w:val="auto"/>
        </w:rPr>
        <w:t>Judgments/Uncertainties Affecting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22225</wp:posOffset>
            </wp:positionV>
            <wp:extent cx="303847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3038475" cy="12700"/>
                    </a:xfrm>
                    <a:prstGeom prst="rect">
                      <a:avLst/>
                    </a:prstGeom>
                    <a:noFill/>
                  </pic:spPr>
                </pic:pic>
              </a:graphicData>
            </a:graphic>
          </wp:anchor>
        </w:drawing>
      </w:r>
    </w:p>
    <w:p>
      <w:pPr>
        <w:spacing w:after="0" w:line="157" w:lineRule="exact"/>
        <w:rPr>
          <w:sz w:val="20"/>
          <w:szCs w:val="20"/>
          <w:color w:val="auto"/>
        </w:rPr>
      </w:pPr>
    </w:p>
    <w:p>
      <w:pPr>
        <w:ind w:left="5500" w:right="540" w:hanging="5459"/>
        <w:spacing w:after="0" w:line="241" w:lineRule="auto"/>
        <w:rPr>
          <w:sz w:val="20"/>
          <w:szCs w:val="20"/>
          <w:color w:val="auto"/>
        </w:rPr>
      </w:pPr>
      <w:r>
        <w:rPr>
          <w:rFonts w:ascii="Arial" w:cs="Arial" w:eastAsia="Arial" w:hAnsi="Arial"/>
          <w:sz w:val="20"/>
          <w:szCs w:val="20"/>
          <w:color w:val="auto"/>
        </w:rPr>
        <w:t xml:space="preserve">Income Taxes and Valuation Allowance for Deferred Tax Assets </w:t>
      </w:r>
      <w:r>
        <w:rPr>
          <w:rFonts w:ascii="Arial" w:cs="Arial" w:eastAsia="Arial" w:hAnsi="Arial"/>
          <w:sz w:val="20"/>
          <w:szCs w:val="20"/>
          <w:color w:val="B4B4B4"/>
        </w:rPr>
        <w:t>.</w:t>
      </w:r>
      <w:r>
        <w:rPr>
          <w:rFonts w:ascii="Arial" w:cs="Arial" w:eastAsia="Arial" w:hAnsi="Arial"/>
          <w:sz w:val="20"/>
          <w:szCs w:val="20"/>
          <w:color w:val="auto"/>
        </w:rPr>
        <w:t xml:space="preserve"> Ability to withstand legal challenges of tax authority decisions or appeals</w:t>
      </w:r>
    </w:p>
    <w:p>
      <w:pPr>
        <w:spacing w:after="0" w:line="3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Anticipated future decisions of tax authorities</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Application of tax statutes and regulations to transactions</w:t>
      </w:r>
    </w:p>
    <w:p>
      <w:pPr>
        <w:spacing w:after="0" w:line="60"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Ability to utilize tax benefits through carry backs to prior</w:t>
      </w:r>
    </w:p>
    <w:p>
      <w:pPr>
        <w:ind w:left="5500"/>
        <w:spacing w:after="0"/>
        <w:rPr>
          <w:sz w:val="20"/>
          <w:szCs w:val="20"/>
          <w:color w:val="auto"/>
        </w:rPr>
      </w:pPr>
      <w:r>
        <w:rPr>
          <w:rFonts w:ascii="Arial" w:cs="Arial" w:eastAsia="Arial" w:hAnsi="Arial"/>
          <w:sz w:val="20"/>
          <w:szCs w:val="20"/>
          <w:color w:val="auto"/>
        </w:rPr>
        <w:t>periods and carryforwards to future periods</w:t>
      </w:r>
    </w:p>
    <w:p>
      <w:pPr>
        <w:spacing w:after="0" w:line="65" w:lineRule="exact"/>
        <w:rPr>
          <w:sz w:val="20"/>
          <w:szCs w:val="20"/>
          <w:color w:val="auto"/>
        </w:rPr>
      </w:pPr>
    </w:p>
    <w:p>
      <w:pPr>
        <w:ind w:left="5500" w:right="800" w:hanging="5459"/>
        <w:spacing w:after="0" w:line="241" w:lineRule="auto"/>
        <w:rPr>
          <w:sz w:val="20"/>
          <w:szCs w:val="20"/>
          <w:color w:val="auto"/>
        </w:rPr>
      </w:pPr>
      <w:r>
        <w:rPr>
          <w:rFonts w:ascii="Arial" w:cs="Arial" w:eastAsia="Arial" w:hAnsi="Arial"/>
          <w:sz w:val="20"/>
          <w:szCs w:val="20"/>
          <w:color w:val="auto"/>
        </w:rPr>
        <w:t xml:space="preserve">Hypothetical Liquidation at Book Value (HLBV) </w:t>
      </w:r>
      <w:r>
        <w:rPr>
          <w:rFonts w:ascii="Arial" w:cs="Arial" w:eastAsia="Arial" w:hAnsi="Arial"/>
          <w:sz w:val="20"/>
          <w:szCs w:val="20"/>
          <w:color w:val="B4B4B4"/>
        </w:rPr>
        <w:t>. . . . . . . . . . . . . .</w:t>
      </w:r>
      <w:r>
        <w:rPr>
          <w:rFonts w:ascii="Arial" w:cs="Arial" w:eastAsia="Arial" w:hAnsi="Arial"/>
          <w:sz w:val="20"/>
          <w:szCs w:val="20"/>
          <w:color w:val="auto"/>
        </w:rPr>
        <w:t xml:space="preserve"> Estimates of taxable income (loss) and tax capital accounts</w:t>
      </w:r>
    </w:p>
    <w:p>
      <w:pPr>
        <w:spacing w:after="0" w:line="18"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Estimated calculation of specified target investor returns</w:t>
      </w:r>
    </w:p>
    <w:p>
      <w:pPr>
        <w:spacing w:after="0" w:line="3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Application of liquidation provisions of operating</w:t>
      </w:r>
    </w:p>
    <w:p>
      <w:pPr>
        <w:ind w:left="5500"/>
        <w:spacing w:after="0"/>
        <w:rPr>
          <w:sz w:val="20"/>
          <w:szCs w:val="20"/>
          <w:color w:val="auto"/>
        </w:rPr>
      </w:pPr>
      <w:r>
        <w:rPr>
          <w:rFonts w:ascii="Arial" w:cs="Arial" w:eastAsia="Arial" w:hAnsi="Arial"/>
          <w:sz w:val="20"/>
          <w:szCs w:val="20"/>
          <w:color w:val="auto"/>
        </w:rPr>
        <w:t>agreements</w:t>
      </w:r>
    </w:p>
    <w:p>
      <w:pPr>
        <w:spacing w:after="0" w:line="35" w:lineRule="exact"/>
        <w:rPr>
          <w:sz w:val="20"/>
          <w:szCs w:val="20"/>
          <w:color w:val="auto"/>
        </w:rPr>
      </w:pPr>
    </w:p>
    <w:p>
      <w:pPr>
        <w:ind w:left="5500" w:right="300" w:hanging="5459"/>
        <w:spacing w:after="0" w:line="294" w:lineRule="auto"/>
        <w:rPr>
          <w:sz w:val="20"/>
          <w:szCs w:val="20"/>
          <w:color w:val="auto"/>
        </w:rPr>
      </w:pPr>
      <w:r>
        <w:rPr>
          <w:rFonts w:ascii="Arial" w:cs="Arial" w:eastAsia="Arial" w:hAnsi="Arial"/>
          <w:sz w:val="18"/>
          <w:szCs w:val="18"/>
          <w:color w:val="auto"/>
        </w:rPr>
        <w:t xml:space="preserve">Financial Instruments </w:t>
      </w:r>
      <w:r>
        <w:rPr>
          <w:rFonts w:ascii="Arial" w:cs="Arial" w:eastAsia="Arial" w:hAnsi="Arial"/>
          <w:sz w:val="18"/>
          <w:szCs w:val="18"/>
          <w:color w:val="B4B4B4"/>
        </w:rPr>
        <w:t>. . . . . . . . . . . . . . . . . . . . . . . . . . . . . . . . . . . .</w:t>
      </w:r>
      <w:r>
        <w:rPr>
          <w:rFonts w:ascii="Arial" w:cs="Arial" w:eastAsia="Arial" w:hAnsi="Arial"/>
          <w:sz w:val="18"/>
          <w:szCs w:val="18"/>
          <w:color w:val="auto"/>
        </w:rPr>
        <w:t xml:space="preserve"> Use of unobservable market inputs such as future electricity prices, future interest rates and discount rates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Income Taxes and Valuation Allowance for Deferred Tax Assets</w:t>
      </w:r>
    </w:p>
    <w:p>
      <w:pPr>
        <w:spacing w:after="0" w:line="198" w:lineRule="exact"/>
        <w:rPr>
          <w:sz w:val="20"/>
          <w:szCs w:val="20"/>
          <w:color w:val="auto"/>
        </w:rPr>
      </w:pPr>
    </w:p>
    <w:p>
      <w:pPr>
        <w:jc w:val="both"/>
        <w:ind w:right="20" w:firstLine="450"/>
        <w:spacing w:after="0" w:line="288" w:lineRule="auto"/>
        <w:rPr>
          <w:sz w:val="20"/>
          <w:szCs w:val="20"/>
          <w:color w:val="auto"/>
        </w:rPr>
      </w:pPr>
      <w:r>
        <w:rPr>
          <w:rFonts w:ascii="Arial" w:cs="Arial" w:eastAsia="Arial" w:hAnsi="Arial"/>
          <w:sz w:val="18"/>
          <w:szCs w:val="18"/>
          <w:color w:val="auto"/>
        </w:rPr>
        <w:t>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Hypothetical Liquidation at Book Value (HLBV)</w:t>
      </w:r>
    </w:p>
    <w:p>
      <w:pPr>
        <w:spacing w:after="0" w:line="198" w:lineRule="exact"/>
        <w:rPr>
          <w:sz w:val="20"/>
          <w:szCs w:val="20"/>
          <w:color w:val="auto"/>
        </w:rPr>
      </w:pPr>
    </w:p>
    <w:p>
      <w:pPr>
        <w:jc w:val="both"/>
        <w:ind w:firstLine="450"/>
        <w:spacing w:after="0" w:line="281" w:lineRule="auto"/>
        <w:rPr>
          <w:sz w:val="20"/>
          <w:szCs w:val="20"/>
          <w:color w:val="auto"/>
        </w:rPr>
      </w:pPr>
      <w:r>
        <w:rPr>
          <w:rFonts w:ascii="Arial" w:cs="Arial" w:eastAsia="Arial" w:hAnsi="Arial"/>
          <w:sz w:val="18"/>
          <w:szCs w:val="18"/>
          <w:color w:val="auto"/>
        </w:rPr>
        <w:t>Certain portions of the Company’s noncontrolling interest represent third-party interests in the net assets under tax equity arrangements, which are consolidated by the Company, that were established to finance the cost of facilities eligible for certain tax credits and benefits. The Company has determined that the provisions in the contractual agreements of these noncontrolling interests represent substantive profit sharing arrangements. Further, the Company has determined that the appropriate methodology for calculating the noncontrolling interest that reflects the substantive profit sharing arrangements is a balance sheet approach utilizing the HLBV method. Under the HLBV method, the amounts reported as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 In certain cases, the Company must apply judgment in determining the methodology for applying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sectPr>
          <w:pgSz w:w="11880" w:h="15480" w:orient="portrait"/>
          <w:cols w:equalWidth="0" w:num="1">
            <w:col w:w="10260"/>
          </w:cols>
          <w:pgMar w:left="820" w:top="48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260"/>
          </w:cols>
          <w:pgMar w:left="820" w:top="486" w:right="800" w:bottom="0" w:gutter="0" w:footer="0" w:header="0"/>
          <w:type w:val="continuous"/>
        </w:sectPr>
      </w:pPr>
    </w:p>
    <w:bookmarkStart w:id="65" w:name="page66"/>
    <w:bookmarkEnd w:id="65"/>
    <w:p>
      <w:pPr>
        <w:ind w:left="440"/>
        <w:spacing w:after="0"/>
        <w:rPr>
          <w:sz w:val="20"/>
          <w:szCs w:val="20"/>
          <w:color w:val="auto"/>
        </w:rPr>
      </w:pPr>
      <w:r>
        <w:rPr>
          <w:rFonts w:ascii="Arial" w:cs="Arial" w:eastAsia="Arial" w:hAnsi="Arial"/>
          <w:sz w:val="20"/>
          <w:szCs w:val="20"/>
          <w:b w:val="1"/>
          <w:bCs w:val="1"/>
          <w:i w:val="1"/>
          <w:iCs w:val="1"/>
          <w:color w:val="auto"/>
        </w:rPr>
        <w:t>Financial Instruments</w:t>
      </w:r>
    </w:p>
    <w:p>
      <w:pPr>
        <w:spacing w:after="0" w:line="19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Recent Accounting Developments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See Item 15 — Note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for a discussion of recent accounting developments.</w:t>
      </w:r>
    </w:p>
    <w:p>
      <w:pPr>
        <w:sectPr>
          <w:pgSz w:w="11880" w:h="15480" w:orient="portrait"/>
          <w:cols w:equalWidth="0" w:num="1">
            <w:col w:w="10260"/>
          </w:cols>
          <w:pgMar w:left="820" w:top="36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260"/>
          </w:cols>
          <w:pgMar w:left="820" w:top="362" w:right="80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7A — Quantitative and Qualitative Disclosures About Market Risk</w:t>
      </w:r>
    </w:p>
    <w:p>
      <w:pPr>
        <w:spacing w:after="0" w:line="197"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198"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9"/>
          <w:szCs w:val="19"/>
          <w:color w:val="auto"/>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Note 7, </w:t>
      </w:r>
      <w:r>
        <w:rPr>
          <w:rFonts w:ascii="Arial" w:cs="Arial" w:eastAsia="Arial" w:hAnsi="Arial"/>
          <w:sz w:val="19"/>
          <w:szCs w:val="19"/>
          <w:b w:val="1"/>
          <w:bCs w:val="1"/>
          <w:i w:val="1"/>
          <w:iCs w:val="1"/>
          <w:color w:val="auto"/>
        </w:rPr>
        <w:t>Accounting for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Derivative Instruments and Hedging Activities</w:t>
      </w:r>
      <w:r>
        <w:rPr>
          <w:rFonts w:ascii="Arial" w:cs="Arial" w:eastAsia="Arial" w:hAnsi="Arial"/>
          <w:sz w:val="19"/>
          <w:szCs w:val="19"/>
          <w:color w:val="auto"/>
        </w:rPr>
        <w:t>, for more information.</w:t>
      </w:r>
    </w:p>
    <w:p>
      <w:pPr>
        <w:spacing w:after="0" w:line="129"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December 31, 2024.</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98"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color w:val="auto"/>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Note 7, </w:t>
      </w:r>
      <w:r>
        <w:rPr>
          <w:rFonts w:ascii="Arial" w:cs="Arial" w:eastAsia="Arial" w:hAnsi="Arial"/>
          <w:sz w:val="18"/>
          <w:szCs w:val="18"/>
          <w:b w:val="1"/>
          <w:bCs w:val="1"/>
          <w:i w:val="1"/>
          <w:iCs w:val="1"/>
          <w:color w:val="auto"/>
        </w:rPr>
        <w:t xml:space="preserve">Accounting for Derivative Instruments and Hedging Activities, </w:t>
      </w:r>
      <w:r>
        <w:rPr>
          <w:rFonts w:ascii="Arial" w:cs="Arial" w:eastAsia="Arial" w:hAnsi="Arial"/>
          <w:sz w:val="18"/>
          <w:szCs w:val="18"/>
          <w:color w:val="auto"/>
        </w:rPr>
        <w:t>for more information.</w:t>
      </w:r>
    </w:p>
    <w:p>
      <w:pPr>
        <w:spacing w:after="0" w:line="112"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 xml:space="preserve">Most of the Company’s subsidiaries enter into interest rate swaps intended to hedge the risks associated with interest rates on non-recourse facility level debt. See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more information about interest rate swaps of the Company’s subsidiaries.</w:t>
      </w:r>
    </w:p>
    <w:p>
      <w:pPr>
        <w:spacing w:after="0" w:line="135"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If all of the above swaps had been discontinued on December 31, 2024, the counterparties would have owed the Company $168 million. Based on the credit ratings of the counterparties, the Company believes its exposure to credit risk due to nonperformance by counterparties to its hedge contracts to be insignificant.</w:t>
      </w:r>
    </w:p>
    <w:p>
      <w:pPr>
        <w:spacing w:after="0" w:line="135"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Company has long-term debt instruments that subject it to the risk of loss associated with movements in market interest rates. As of December 31, 2024, a 1% change in interest rates would result in an approximately $2 million change in interest expense on a rolling twelve-month basis.</w:t>
      </w:r>
    </w:p>
    <w:p>
      <w:pPr>
        <w:spacing w:after="0" w:line="135"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As of December 31, 2024, the fair value of the Company’s debt was $6,715 million and the carrying value was $7,237 million. The Company estimates that a 1% decrease in market interest rates would have increased the fair value of its long-term debt by $294 million.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Liquidity risk arises from the general funding needs of the Company’s activities and in the management of the Company’s assets and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198" w:lineRule="exact"/>
        <w:rPr>
          <w:sz w:val="20"/>
          <w:szCs w:val="20"/>
          <w:color w:val="auto"/>
        </w:rPr>
      </w:pPr>
    </w:p>
    <w:p>
      <w:pPr>
        <w:jc w:val="both"/>
        <w:ind w:right="20" w:firstLine="450"/>
        <w:spacing w:after="0" w:line="290" w:lineRule="auto"/>
        <w:rPr>
          <w:sz w:val="20"/>
          <w:szCs w:val="20"/>
          <w:color w:val="auto"/>
        </w:rPr>
      </w:pPr>
      <w:r>
        <w:rPr>
          <w:rFonts w:ascii="Arial" w:cs="Arial" w:eastAsia="Arial" w:hAnsi="Arial"/>
          <w:sz w:val="18"/>
          <w:szCs w:val="18"/>
          <w:color w:val="auto"/>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Note 6, </w:t>
      </w: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for more information about concentration of credit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 Financial Statements and Supplementary Data</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financial statements and schedules are listed in Part IV, Item 15 of this Form 10-K.</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260"/>
          </w:cols>
          <w:pgMar w:left="820" w:top="360" w:right="80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Item 9 — Changes in and Disagreements with Accountants on Accounting and Financial Disclosure</w:t>
      </w:r>
    </w:p>
    <w:p>
      <w:pPr>
        <w:spacing w:after="0" w:line="197"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As previously reported in the Company’s Current Report on Form 8-K filed on May 10, 2024, the Audit Committee of the Board of Directors of the Company dismissed Ernst &amp; Young LLP as the Company’s independent registered public accounting firm and appointed PricewaterhouseCoopers LLP, an independent registered public accounting firm, to audit the consolidated financial statements of the Company and its subsidiaries for the fiscal year ending December 31, 2024. For more information, please refer to the Company’s Current Report on Form 8-K filed on May 10, 2024.</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 Regarding the Effectiveness of Disclosure Controls and Procedures</w:t>
      </w:r>
    </w:p>
    <w:p>
      <w:pPr>
        <w:spacing w:after="0" w:line="197" w:lineRule="exact"/>
        <w:rPr>
          <w:sz w:val="20"/>
          <w:szCs w:val="20"/>
          <w:color w:val="auto"/>
        </w:rPr>
      </w:pPr>
    </w:p>
    <w:p>
      <w:pPr>
        <w:jc w:val="both"/>
        <w:ind w:right="20" w:firstLine="450"/>
        <w:spacing w:after="0" w:line="273" w:lineRule="auto"/>
        <w:rPr>
          <w:sz w:val="20"/>
          <w:szCs w:val="20"/>
          <w:color w:val="auto"/>
        </w:rPr>
      </w:pPr>
      <w:r>
        <w:rPr>
          <w:rFonts w:ascii="Arial" w:cs="Arial" w:eastAsia="Arial" w:hAnsi="Arial"/>
          <w:sz w:val="19"/>
          <w:szCs w:val="19"/>
          <w:color w:val="auto"/>
        </w:rPr>
        <w:t>Under the supervision and with the participation of the Company’s management, including its principal executive officer, its principal financial officer and its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December 31, 2024, the end of the period covered by this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97"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There were no changes in the Company’s internal control over financial reporting (as such term is defined in Rule 13a-15(f) or 15d-15(f) under the Exchange Act) during the quarter ended December 31, 2024, that materially affected, or are reasonably likely to materially affect, the Company’s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Inherent Limitations over Internal Control over Financial Reporting</w:t>
      </w:r>
    </w:p>
    <w:p>
      <w:pPr>
        <w:spacing w:after="0" w:line="197" w:lineRule="exact"/>
        <w:rPr>
          <w:sz w:val="20"/>
          <w:szCs w:val="20"/>
          <w:color w:val="auto"/>
        </w:rPr>
      </w:pPr>
    </w:p>
    <w:p>
      <w:pPr>
        <w:jc w:val="both"/>
        <w:ind w:right="20" w:firstLine="450"/>
        <w:spacing w:after="0" w:line="309" w:lineRule="auto"/>
        <w:rPr>
          <w:sz w:val="20"/>
          <w:szCs w:val="20"/>
          <w:color w:val="auto"/>
        </w:rPr>
      </w:pPr>
      <w:r>
        <w:rPr>
          <w:rFonts w:ascii="Arial" w:cs="Arial" w:eastAsia="Arial" w:hAnsi="Arial"/>
          <w:sz w:val="18"/>
          <w:szCs w:val="18"/>
          <w:color w:val="auto"/>
        </w:rPr>
        <w:t>The Company’s internal control over financial reporting is a process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01" w:lineRule="exact"/>
        <w:rPr>
          <w:sz w:val="20"/>
          <w:szCs w:val="20"/>
          <w:color w:val="auto"/>
        </w:rPr>
      </w:pPr>
    </w:p>
    <w:p>
      <w:pPr>
        <w:ind w:firstLine="440"/>
        <w:spacing w:after="0" w:line="283" w:lineRule="auto"/>
        <w:tabs>
          <w:tab w:leader="none" w:pos="691" w:val="left"/>
        </w:tabs>
        <w:numPr>
          <w:ilvl w:val="0"/>
          <w:numId w:val="35"/>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Company’s assets;</w:t>
      </w:r>
    </w:p>
    <w:p>
      <w:pPr>
        <w:spacing w:after="0" w:line="117" w:lineRule="exact"/>
        <w:rPr>
          <w:rFonts w:ascii="Arial" w:cs="Arial" w:eastAsia="Arial" w:hAnsi="Arial"/>
          <w:sz w:val="20"/>
          <w:szCs w:val="20"/>
          <w:color w:val="auto"/>
        </w:rPr>
      </w:pPr>
    </w:p>
    <w:p>
      <w:pPr>
        <w:jc w:val="both"/>
        <w:ind w:firstLine="440"/>
        <w:spacing w:after="0" w:line="266" w:lineRule="auto"/>
        <w:tabs>
          <w:tab w:leader="none" w:pos="654"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135" w:lineRule="exact"/>
        <w:rPr>
          <w:rFonts w:ascii="Arial" w:cs="Arial" w:eastAsia="Arial" w:hAnsi="Arial"/>
          <w:sz w:val="20"/>
          <w:szCs w:val="20"/>
          <w:color w:val="auto"/>
        </w:rPr>
      </w:pPr>
    </w:p>
    <w:p>
      <w:pPr>
        <w:ind w:firstLine="440"/>
        <w:spacing w:after="0" w:line="283" w:lineRule="auto"/>
        <w:tabs>
          <w:tab w:leader="none" w:pos="651"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the Company’s assets that could have a material effect on the consolidated financial statements.</w:t>
      </w:r>
    </w:p>
    <w:p>
      <w:pPr>
        <w:spacing w:after="0" w:line="118"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97" w:lineRule="exact"/>
        <w:rPr>
          <w:sz w:val="20"/>
          <w:szCs w:val="20"/>
          <w:color w:val="auto"/>
        </w:rPr>
      </w:pPr>
    </w:p>
    <w:p>
      <w:pPr>
        <w:jc w:val="both"/>
        <w:ind w:right="20" w:firstLine="450"/>
        <w:spacing w:after="0" w:line="270" w:lineRule="auto"/>
        <w:rPr>
          <w:sz w:val="20"/>
          <w:szCs w:val="20"/>
          <w:color w:val="auto"/>
        </w:rPr>
      </w:pPr>
      <w:r>
        <w:rPr>
          <w:rFonts w:ascii="Arial" w:cs="Arial" w:eastAsia="Arial" w:hAnsi="Arial"/>
          <w:sz w:val="19"/>
          <w:szCs w:val="19"/>
          <w:color w:val="auto"/>
        </w:rPr>
        <w:t xml:space="preserve">The Company’s management is responsible for establishing and maintaining adequate internal control over financial reporting, as such term is defined in Exchange Act Rule 13a-15(f) or 15d-15(f). Under the supervision and with the participation of the Company’s management, including its principal executive officer, its principal financial officer and its principal accounting officer, the Company conducted an evaluation of the effectiveness of the Company’s internal control over financial reporting based on the framework in </w:t>
      </w:r>
      <w:r>
        <w:rPr>
          <w:rFonts w:ascii="Arial" w:cs="Arial" w:eastAsia="Arial" w:hAnsi="Arial"/>
          <w:sz w:val="19"/>
          <w:szCs w:val="19"/>
          <w:b w:val="1"/>
          <w:bCs w:val="1"/>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Based on this evaluation under the framework in </w:t>
      </w:r>
      <w:r>
        <w:rPr>
          <w:rFonts w:ascii="Arial" w:cs="Arial" w:eastAsia="Arial" w:hAnsi="Arial"/>
          <w:sz w:val="19"/>
          <w:szCs w:val="19"/>
          <w:b w:val="1"/>
          <w:bCs w:val="1"/>
          <w:i w:val="1"/>
          <w:iCs w:val="1"/>
          <w:color w:val="auto"/>
        </w:rPr>
        <w:t>Internal Control —</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Integrated Framework (2013)</w:t>
      </w:r>
      <w:r>
        <w:rPr>
          <w:rFonts w:ascii="Arial" w:cs="Arial" w:eastAsia="Arial" w:hAnsi="Arial"/>
          <w:sz w:val="19"/>
          <w:szCs w:val="19"/>
          <w:color w:val="auto"/>
        </w:rPr>
        <w:t>, the Company’s management concluded that the Company’s internal control over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reporting was effective as of December 31, 2024.</w:t>
      </w:r>
    </w:p>
    <w:p>
      <w:pPr>
        <w:spacing w:after="0" w:line="134"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effectiveness of the Company’s internal control over financial reporting as of December 31, 2024, has been audited by PricewaterhouseCoopers LLP, an independent registered public accounting firm, as stated in their report which is included in this Annual Report on Form 10-K.</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260"/>
          </w:cols>
          <w:pgMar w:left="820" w:top="360" w:right="80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Item 9B — Other Information</w:t>
      </w:r>
    </w:p>
    <w:p>
      <w:pPr>
        <w:spacing w:after="0" w:line="197"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During the three months ended December 31, 2024, no director or officer (as defined in Rule 16a-1(f) under the Exchange Act) of the Company adopted, modified or terminated a “Rule 10b5-1 trading arrangement” or “non-Rule 10b5-1 trading arrangement,” as each term is defined in Item 408(a) of Regulation S-K.</w:t>
      </w:r>
    </w:p>
    <w:p>
      <w:pPr>
        <w:sectPr>
          <w:pgSz w:w="11880" w:h="15480" w:orient="portrait"/>
          <w:cols w:equalWidth="0" w:num="1">
            <w:col w:w="10240"/>
          </w:cols>
          <w:pgMar w:left="820" w:top="3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240"/>
          </w:cols>
          <w:pgMar w:left="820" w:top="360" w:right="820" w:bottom="0" w:gutter="0" w:footer="0" w:header="0"/>
          <w:type w:val="continuous"/>
        </w:sectPr>
      </w:pPr>
    </w:p>
    <w:bookmarkStart w:id="69" w:name="page70"/>
    <w:bookmarkEnd w:id="69"/>
    <w:p>
      <w:pPr>
        <w:ind w:left="4700"/>
        <w:spacing w:after="0"/>
        <w:rPr>
          <w:sz w:val="20"/>
          <w:szCs w:val="20"/>
          <w:color w:val="auto"/>
        </w:rPr>
      </w:pPr>
      <w:r>
        <w:rPr>
          <w:rFonts w:ascii="Arial" w:cs="Arial" w:eastAsia="Arial" w:hAnsi="Arial"/>
          <w:sz w:val="20"/>
          <w:szCs w:val="20"/>
          <w:b w:val="1"/>
          <w:bCs w:val="1"/>
          <w:color w:val="auto"/>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 Information about Directors, Executive Officers and Corporate Governance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w:t>
      </w:r>
    </w:p>
    <w:p>
      <w:pPr>
        <w:spacing w:after="0" w:line="194" w:lineRule="exact"/>
        <w:rPr>
          <w:sz w:val="20"/>
          <w:szCs w:val="20"/>
          <w:color w:val="auto"/>
        </w:rPr>
      </w:pPr>
    </w:p>
    <w:p>
      <w:pPr>
        <w:jc w:val="both"/>
        <w:ind w:right="20" w:firstLine="450"/>
        <w:spacing w:after="0" w:line="289" w:lineRule="auto"/>
        <w:rPr>
          <w:sz w:val="20"/>
          <w:szCs w:val="20"/>
          <w:color w:val="auto"/>
        </w:rPr>
      </w:pPr>
      <w:r>
        <w:rPr>
          <w:rFonts w:ascii="Arial" w:cs="Arial" w:eastAsia="Arial" w:hAnsi="Arial"/>
          <w:sz w:val="18"/>
          <w:szCs w:val="18"/>
          <w:b w:val="1"/>
          <w:bCs w:val="1"/>
          <w:i w:val="1"/>
          <w:iCs w:val="1"/>
          <w:color w:val="auto"/>
        </w:rPr>
        <w:t xml:space="preserve">Nathaniel Anschuetz, 37, </w:t>
      </w:r>
      <w:r>
        <w:rPr>
          <w:rFonts w:ascii="Arial" w:cs="Arial" w:eastAsia="Arial" w:hAnsi="Arial"/>
          <w:sz w:val="18"/>
          <w:szCs w:val="18"/>
          <w:color w:val="auto"/>
        </w:rPr>
        <w:t>has served as a director since August 2018. Mr. Anschuetz is a Partner at GIP.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GIP in 2012, Mr. Anschuetz was an Analyst in the Power &amp; Utilities Coverage Group at Citigroup from June 2010 through June 2012. Mr. Anschuetz is also a member of the board of directors of Zephyr Acquisition Holdings, L.P., or Zephyr Acquisition Holdings, the indirect parent of CEG and Eolian, L.P. 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115"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b w:val="1"/>
          <w:bCs w:val="1"/>
          <w:i w:val="1"/>
          <w:iCs w:val="1"/>
          <w:color w:val="auto"/>
        </w:rPr>
        <w:t xml:space="preserve">Jonathan Bram, 59, </w:t>
      </w:r>
      <w:r>
        <w:rPr>
          <w:rFonts w:ascii="Arial" w:cs="Arial" w:eastAsia="Arial" w:hAnsi="Arial"/>
          <w:sz w:val="18"/>
          <w:szCs w:val="18"/>
          <w:color w:val="auto"/>
        </w:rPr>
        <w:t>has served as a director and Chairman of the Company’s Board of Directors since August 2018.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Bram is a Senior Managing Director and Founding Partner at GIP and serves on its Equity and Credit Investment Committees.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26" w:lineRule="exact"/>
        <w:rPr>
          <w:sz w:val="20"/>
          <w:szCs w:val="20"/>
          <w:color w:val="auto"/>
        </w:rPr>
      </w:pPr>
    </w:p>
    <w:p>
      <w:pPr>
        <w:jc w:val="both"/>
        <w:ind w:right="20" w:firstLine="450"/>
        <w:spacing w:after="0" w:line="269" w:lineRule="auto"/>
        <w:rPr>
          <w:sz w:val="20"/>
          <w:szCs w:val="20"/>
          <w:color w:val="auto"/>
        </w:rPr>
      </w:pPr>
      <w:r>
        <w:rPr>
          <w:rFonts w:ascii="Arial" w:cs="Arial" w:eastAsia="Arial" w:hAnsi="Arial"/>
          <w:sz w:val="19"/>
          <w:szCs w:val="19"/>
          <w:b w:val="1"/>
          <w:bCs w:val="1"/>
          <w:i w:val="1"/>
          <w:iCs w:val="1"/>
          <w:color w:val="auto"/>
        </w:rPr>
        <w:t xml:space="preserve">Brian R. Ford, 76, </w:t>
      </w:r>
      <w:r>
        <w:rPr>
          <w:rFonts w:ascii="Arial" w:cs="Arial" w:eastAsia="Arial" w:hAnsi="Arial"/>
          <w:sz w:val="19"/>
          <w:szCs w:val="19"/>
          <w:color w:val="auto"/>
        </w:rPr>
        <w:t>has served as a director since July 2013 and Lead Independent Director since January 2019. Mr. Ford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131"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b w:val="1"/>
          <w:bCs w:val="1"/>
          <w:i w:val="1"/>
          <w:iCs w:val="1"/>
          <w:color w:val="auto"/>
        </w:rPr>
        <w:t xml:space="preserve">Bruce MacLennan, 58, </w:t>
      </w:r>
      <w:r>
        <w:rPr>
          <w:rFonts w:ascii="Arial" w:cs="Arial" w:eastAsia="Arial" w:hAnsi="Arial"/>
          <w:sz w:val="18"/>
          <w:szCs w:val="18"/>
          <w:color w:val="auto"/>
        </w:rPr>
        <w:t>has served as a director since August 2018. Mr. MacLennan is a Partner at GIP and focuses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Company’s Board of Directors.</w:t>
      </w:r>
    </w:p>
    <w:p>
      <w:pPr>
        <w:spacing w:after="0" w:line="120"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9"/>
          <w:szCs w:val="19"/>
          <w:b w:val="1"/>
          <w:bCs w:val="1"/>
          <w:i w:val="1"/>
          <w:iCs w:val="1"/>
          <w:color w:val="auto"/>
        </w:rPr>
        <w:t xml:space="preserve">Daniel B. More, 68, </w:t>
      </w:r>
      <w:r>
        <w:rPr>
          <w:rFonts w:ascii="Arial" w:cs="Arial" w:eastAsia="Arial" w:hAnsi="Arial"/>
          <w:sz w:val="19"/>
          <w:szCs w:val="19"/>
          <w:color w:val="auto"/>
        </w:rPr>
        <w:t>has served as a director since February 2019. Mr. More has been a Senior Advisor with Guggenheim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260"/>
          </w:cols>
          <w:pgMar w:left="820" w:top="360" w:right="800" w:bottom="0" w:gutter="0" w:footer="0" w:header="0"/>
          <w:type w:val="continuous"/>
        </w:sectPr>
      </w:pPr>
    </w:p>
    <w:bookmarkStart w:id="70" w:name="page71"/>
    <w:bookmarkEnd w:id="70"/>
    <w:p>
      <w:pPr>
        <w:ind w:left="440"/>
        <w:spacing w:after="0"/>
        <w:rPr>
          <w:sz w:val="20"/>
          <w:szCs w:val="20"/>
          <w:color w:val="auto"/>
        </w:rPr>
      </w:pPr>
      <w:r>
        <w:rPr>
          <w:rFonts w:ascii="Arial" w:cs="Arial" w:eastAsia="Arial" w:hAnsi="Arial"/>
          <w:sz w:val="18"/>
          <w:szCs w:val="18"/>
          <w:b w:val="1"/>
          <w:bCs w:val="1"/>
          <w:i w:val="1"/>
          <w:iCs w:val="1"/>
          <w:color w:val="auto"/>
        </w:rPr>
        <w:t xml:space="preserve">E. Stanley O’Neal, 73, </w:t>
      </w:r>
      <w:r>
        <w:rPr>
          <w:rFonts w:ascii="Arial" w:cs="Arial" w:eastAsia="Arial" w:hAnsi="Arial"/>
          <w:sz w:val="18"/>
          <w:szCs w:val="18"/>
          <w:color w:val="auto"/>
        </w:rPr>
        <w:t>has served as a director since August 2018. Mr. O’Neal</w:t>
      </w:r>
      <w:r>
        <w:rPr>
          <w:rFonts w:ascii="Arial" w:cs="Arial" w:eastAsia="Arial" w:hAnsi="Arial"/>
          <w:sz w:val="18"/>
          <w:szCs w:val="18"/>
          <w:b w:val="1"/>
          <w:bCs w:val="1"/>
          <w:i w:val="1"/>
          <w:iCs w:val="1"/>
          <w:color w:val="auto"/>
        </w:rPr>
        <w:t xml:space="preserve"> </w:t>
      </w:r>
      <w:r>
        <w:rPr>
          <w:rFonts w:ascii="Arial" w:cs="Arial" w:eastAsia="Arial" w:hAnsi="Arial"/>
          <w:sz w:val="21"/>
          <w:szCs w:val="21"/>
          <w:color w:val="auto"/>
        </w:rPr>
        <w:t>s</w:t>
      </w:r>
      <w:r>
        <w:rPr>
          <w:rFonts w:ascii="Arial" w:cs="Arial" w:eastAsia="Arial" w:hAnsi="Arial"/>
          <w:sz w:val="18"/>
          <w:szCs w:val="18"/>
          <w:color w:val="auto"/>
        </w:rPr>
        <w:t>erved as Chairman of the Board and Chief</w:t>
      </w:r>
    </w:p>
    <w:p>
      <w:pPr>
        <w:spacing w:after="0" w:line="5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of Hut 8 Corp, a cryptocurrency mining company, which was formed in November 2023 as a merger between Hut 8 Mining Corp and U.S. Data Mining Group, Inc. Mr. O’Neal was a director of General Motors Corporation from 2001 to 2006, chairman of the board of Merrill Lynch &amp; Co., Inc. from 2003 to 2007, and a director of American Beacon Advisors, Inc. (investment advisor registered with the SEC) from 2009 to September 2012. Mr. O’Neal’s extensive executive experience, financial expertise and leadership skills enable him to provide unique guidance to the Board of Directors and the Company’s management team.</w:t>
      </w:r>
    </w:p>
    <w:p>
      <w:pPr>
        <w:spacing w:after="0" w:line="129"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8"/>
          <w:szCs w:val="18"/>
          <w:b w:val="1"/>
          <w:bCs w:val="1"/>
          <w:i w:val="1"/>
          <w:iCs w:val="1"/>
          <w:color w:val="auto"/>
        </w:rPr>
        <w:t xml:space="preserve">Jennifer Lowry, 56, </w:t>
      </w:r>
      <w:r>
        <w:rPr>
          <w:rFonts w:ascii="Arial" w:cs="Arial" w:eastAsia="Arial" w:hAnsi="Arial"/>
          <w:sz w:val="18"/>
          <w:szCs w:val="18"/>
          <w:color w:val="auto"/>
        </w:rPr>
        <w:t>has served as a director since February 2022. Ms. Lowry served as Vice President of Risk, Treasury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122"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b w:val="1"/>
          <w:bCs w:val="1"/>
          <w:i w:val="1"/>
          <w:iCs w:val="1"/>
          <w:color w:val="auto"/>
        </w:rPr>
        <w:t xml:space="preserve">Emmanuel Barrois, 42, </w:t>
      </w:r>
      <w:r>
        <w:rPr>
          <w:rFonts w:ascii="Arial" w:cs="Arial" w:eastAsia="Arial" w:hAnsi="Arial"/>
          <w:sz w:val="18"/>
          <w:szCs w:val="18"/>
          <w:color w:val="auto"/>
        </w:rPr>
        <w:t>has served as a director since October 2022. Mr. Barrois has 18 years of experience in the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Starting as a petroleum engineer in France and in Nigeria, he 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Mr. Barrois served as a director on the board of directors of SunPower Corporation from February 2024 to November 2024.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spacing w:after="0" w:line="120"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18"/>
          <w:szCs w:val="18"/>
          <w:b w:val="1"/>
          <w:bCs w:val="1"/>
          <w:i w:val="1"/>
          <w:iCs w:val="1"/>
          <w:color w:val="auto"/>
        </w:rPr>
        <w:t xml:space="preserve">Olivier Jouny, 44, </w:t>
      </w:r>
      <w:r>
        <w:rPr>
          <w:rFonts w:ascii="Arial" w:cs="Arial" w:eastAsia="Arial" w:hAnsi="Arial"/>
          <w:sz w:val="18"/>
          <w:szCs w:val="18"/>
          <w:color w:val="auto"/>
        </w:rPr>
        <w:t>has served as a director since October 2024. Mr. Jouny currently serves as Senior Vice President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Renewables division of TotalEnergies. He began his career in the Gas &amp; Power Division of TotalEnergies, serving in marketing activities on the European gas markets and then LNG downstream developments in North &amp; Central Americas.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In September 2016, he joined the Marketing &amp; Services branch where he was appointed Managing Director of Total Marine Fuels, TotalEnergies’ worldwide business unit in charge of bunkering activities, based in Singapore. Mr. Jouny then served as Managing Director of TotalEnergies E&amp;P in Angola. He was, during this period, also the country chair for TotalEnergies in Angola. From January 2023 to August 2024, he was Senior Vice President of the Integrated Power division of TotalEnergies within the Gas, Renewables and Power branch, where he developed an expertise in electricity markets and flexible power generation assets. Mr. Jouny graduated as a mechanical engineer from the Mines Paris Tech. Mr. Jouny’s engineering, energy and leadership experience provides significant value to the Company’s Board of Directors.</w:t>
      </w:r>
    </w:p>
    <w:p>
      <w:pPr>
        <w:sectPr>
          <w:pgSz w:w="11880" w:h="15480" w:orient="portrait"/>
          <w:cols w:equalWidth="0" w:num="1">
            <w:col w:w="10260"/>
          </w:cols>
          <w:pgMar w:left="820" w:top="35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260"/>
          </w:cols>
          <w:pgMar w:left="820" w:top="354" w:right="800" w:bottom="0" w:gutter="0" w:footer="0" w:header="0"/>
          <w:type w:val="continuous"/>
        </w:sectPr>
      </w:pPr>
    </w:p>
    <w:bookmarkStart w:id="71" w:name="page72"/>
    <w:bookmarkEnd w:id="71"/>
    <w:p>
      <w:pPr>
        <w:jc w:val="both"/>
        <w:ind w:firstLine="450"/>
        <w:spacing w:after="0" w:line="269" w:lineRule="auto"/>
        <w:rPr>
          <w:sz w:val="20"/>
          <w:szCs w:val="20"/>
          <w:color w:val="auto"/>
        </w:rPr>
      </w:pPr>
      <w:r>
        <w:rPr>
          <w:rFonts w:ascii="Arial" w:cs="Arial" w:eastAsia="Arial" w:hAnsi="Arial"/>
          <w:sz w:val="19"/>
          <w:szCs w:val="19"/>
          <w:b w:val="1"/>
          <w:bCs w:val="1"/>
          <w:i w:val="1"/>
          <w:iCs w:val="1"/>
          <w:color w:val="auto"/>
        </w:rPr>
        <w:t xml:space="preserve">Marc-Antoine Pignon, 40, </w:t>
      </w:r>
      <w:r>
        <w:rPr>
          <w:rFonts w:ascii="Arial" w:cs="Arial" w:eastAsia="Arial" w:hAnsi="Arial"/>
          <w:sz w:val="19"/>
          <w:szCs w:val="19"/>
          <w:color w:val="auto"/>
        </w:rPr>
        <w:t>has served as a director since December 2024. Mr. Pignon currently serves as Chief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 of TotalEnergies Renewables USA. He has been employed by 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Company’s Board of Directors.</w:t>
      </w:r>
    </w:p>
    <w:p>
      <w:pPr>
        <w:spacing w:after="0" w:line="131" w:lineRule="exact"/>
        <w:rPr>
          <w:sz w:val="20"/>
          <w:szCs w:val="20"/>
          <w:color w:val="auto"/>
        </w:rPr>
      </w:pPr>
    </w:p>
    <w:p>
      <w:pPr>
        <w:jc w:val="both"/>
        <w:ind w:right="20" w:firstLine="450"/>
        <w:spacing w:after="0" w:line="284" w:lineRule="auto"/>
        <w:rPr>
          <w:sz w:val="20"/>
          <w:szCs w:val="20"/>
          <w:color w:val="auto"/>
        </w:rPr>
      </w:pPr>
      <w:r>
        <w:rPr>
          <w:rFonts w:ascii="Arial" w:cs="Arial" w:eastAsia="Arial" w:hAnsi="Arial"/>
          <w:sz w:val="18"/>
          <w:szCs w:val="18"/>
          <w:b w:val="1"/>
          <w:bCs w:val="1"/>
          <w:i w:val="1"/>
          <w:iCs w:val="1"/>
          <w:color w:val="auto"/>
        </w:rPr>
        <w:t xml:space="preserve">Craig Cornelius, 45, </w:t>
      </w:r>
      <w:r>
        <w:rPr>
          <w:rFonts w:ascii="Arial" w:cs="Arial" w:eastAsia="Arial" w:hAnsi="Arial"/>
          <w:sz w:val="18"/>
          <w:szCs w:val="18"/>
          <w:color w:val="auto"/>
        </w:rPr>
        <w:t>has served as President and Chief Executive Officer of the Company since July 2024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the Company since July 2024. He has been CEG’s chief executive officer since its formation through a spin-out of NRG Energy, Inc.’s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As President and Chief Executive Officer of the Company, Mr. Cornelius provides the Board of Directors with management’s perspective regarding the Company’s day to day operations and overall strategic plan.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194" w:lineRule="exact"/>
        <w:rPr>
          <w:sz w:val="20"/>
          <w:szCs w:val="20"/>
          <w:color w:val="auto"/>
        </w:rPr>
      </w:pPr>
    </w:p>
    <w:p>
      <w:pPr>
        <w:jc w:val="both"/>
        <w:ind w:right="20" w:firstLine="450"/>
        <w:spacing w:after="0" w:line="286" w:lineRule="auto"/>
        <w:rPr>
          <w:sz w:val="20"/>
          <w:szCs w:val="20"/>
          <w:color w:val="auto"/>
        </w:rPr>
      </w:pPr>
      <w:r>
        <w:rPr>
          <w:rFonts w:ascii="Arial" w:cs="Arial" w:eastAsia="Arial" w:hAnsi="Arial"/>
          <w:sz w:val="20"/>
          <w:szCs w:val="20"/>
          <w:b w:val="1"/>
          <w:bCs w:val="1"/>
          <w:i w:val="1"/>
          <w:iCs w:val="1"/>
          <w:color w:val="auto"/>
        </w:rPr>
        <w:t xml:space="preserve">Craig Cornelius </w:t>
      </w:r>
      <w:r>
        <w:rPr>
          <w:rFonts w:ascii="Arial" w:cs="Arial" w:eastAsia="Arial" w:hAnsi="Arial"/>
          <w:sz w:val="20"/>
          <w:szCs w:val="20"/>
          <w:color w:val="auto"/>
        </w:rPr>
        <w:t>has served as President and Chief Executive Officer and as a director of the Company since July 2024.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additional biographical information for Mr. Cornelius, see above under “Directors.”</w:t>
      </w:r>
    </w:p>
    <w:p>
      <w:pPr>
        <w:spacing w:after="0" w:line="112" w:lineRule="exact"/>
        <w:rPr>
          <w:sz w:val="20"/>
          <w:szCs w:val="20"/>
          <w:color w:val="auto"/>
        </w:rPr>
      </w:pPr>
    </w:p>
    <w:p>
      <w:pPr>
        <w:jc w:val="both"/>
        <w:ind w:right="20" w:firstLine="450"/>
        <w:spacing w:after="0" w:line="269" w:lineRule="auto"/>
        <w:rPr>
          <w:sz w:val="20"/>
          <w:szCs w:val="20"/>
          <w:color w:val="auto"/>
        </w:rPr>
      </w:pPr>
      <w:r>
        <w:rPr>
          <w:rFonts w:ascii="Arial" w:cs="Arial" w:eastAsia="Arial" w:hAnsi="Arial"/>
          <w:sz w:val="19"/>
          <w:szCs w:val="19"/>
          <w:b w:val="1"/>
          <w:bCs w:val="1"/>
          <w:i w:val="1"/>
          <w:iCs w:val="1"/>
          <w:color w:val="auto"/>
        </w:rPr>
        <w:t xml:space="preserve">Sarah Rubenstein, 47, </w:t>
      </w:r>
      <w:r>
        <w:rPr>
          <w:rFonts w:ascii="Arial" w:cs="Arial" w:eastAsia="Arial" w:hAnsi="Arial"/>
          <w:sz w:val="19"/>
          <w:szCs w:val="19"/>
          <w:color w:val="auto"/>
        </w:rPr>
        <w:t>has served as Executive Vice President and Chief Financial Officer of the Company since April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136"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b w:val="1"/>
          <w:bCs w:val="1"/>
          <w:i w:val="1"/>
          <w:iCs w:val="1"/>
          <w:color w:val="auto"/>
        </w:rPr>
        <w:t xml:space="preserve">Kevin P. Malcarney, 58, </w:t>
      </w:r>
      <w:r>
        <w:rPr>
          <w:rFonts w:ascii="Arial" w:cs="Arial" w:eastAsia="Arial" w:hAnsi="Arial"/>
          <w:sz w:val="20"/>
          <w:szCs w:val="20"/>
          <w:color w:val="auto"/>
        </w:rPr>
        <w:t>has served as the Company’s General Counsel, Corporate Secretary and Chief Compliance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since May 2018, and was promoted from Senior Vice President to 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197"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Arial" w:cs="Arial" w:eastAsia="Arial" w:hAnsi="Arial"/>
          <w:sz w:val="19"/>
          <w:szCs w:val="19"/>
          <w:b w:val="1"/>
          <w:bCs w:val="1"/>
          <w:i w:val="1"/>
          <w:iCs w:val="1"/>
          <w:color w:val="auto"/>
        </w:rPr>
        <w:t>http://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www.clearwayenergy.com. </w:t>
      </w:r>
      <w:r>
        <w:rPr>
          <w:rFonts w:ascii="Arial" w:cs="Arial" w:eastAsia="Arial" w:hAnsi="Arial"/>
          <w:sz w:val="19"/>
          <w:szCs w:val="19"/>
          <w:color w:val="auto"/>
        </w:rPr>
        <w:t>The Company also elects to disclose the information required by Form 8-K, Item 5.05,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33"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Other information required by this Item will be incorporated by reference to the similarly named section of the Company’s Definitive Proxy Statement for its 2025 Annual Meeting of Stockholders.</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260"/>
          </w:cols>
          <w:pgMar w:left="820" w:top="364" w:right="80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Item 11 — Executive Compensation</w:t>
      </w:r>
    </w:p>
    <w:p>
      <w:pPr>
        <w:spacing w:after="0" w:line="197"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2025 Annual Meeting of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 Security Ownership of Certain Beneficial Owners and Management and Related Stockholder Matters</w:t>
      </w: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b w:val="1"/>
          <w:bCs w:val="1"/>
          <w:color w:val="auto"/>
        </w:rPr>
        <w:t>Securities Authorized for Issuance under the Clearway Energy, Inc. Amended and Restated 2013 Equity Compensation Plan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vMerge w:val="restart"/>
          </w:tcPr>
          <w:p>
            <w:pPr>
              <w:jc w:val="center"/>
              <w:ind w:right="91"/>
              <w:spacing w:after="0"/>
              <w:rPr>
                <w:sz w:val="20"/>
                <w:szCs w:val="20"/>
                <w:color w:val="auto"/>
              </w:rPr>
            </w:pPr>
            <w:r>
              <w:rPr>
                <w:rFonts w:ascii="Arial" w:cs="Arial" w:eastAsia="Arial" w:hAnsi="Arial"/>
                <w:sz w:val="16"/>
                <w:szCs w:val="16"/>
                <w:b w:val="1"/>
                <w:bCs w:val="1"/>
                <w:color w:val="auto"/>
                <w:w w:val="97"/>
              </w:rPr>
              <w:t>(b)</w:t>
            </w: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Remaining Available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for Future Issuance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Number of Securities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91"/>
              <w:spacing w:after="0" w:line="160" w:lineRule="exact"/>
              <w:rPr>
                <w:sz w:val="20"/>
                <w:szCs w:val="20"/>
                <w:color w:val="auto"/>
              </w:rPr>
            </w:pPr>
            <w:r>
              <w:rPr>
                <w:rFonts w:ascii="Arial" w:cs="Arial" w:eastAsia="Arial" w:hAnsi="Arial"/>
                <w:sz w:val="16"/>
                <w:szCs w:val="16"/>
                <w:b w:val="1"/>
                <w:bCs w:val="1"/>
                <w:color w:val="auto"/>
                <w:w w:val="91"/>
              </w:rPr>
              <w:t>Weighted-Average</w:t>
            </w: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4"/>
              </w:rPr>
              <w:t>Under Equity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7"/>
              </w:rPr>
              <w:t>to be Issued Upon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1"/>
              <w:spacing w:after="0" w:line="160" w:lineRule="exact"/>
              <w:rPr>
                <w:sz w:val="20"/>
                <w:szCs w:val="20"/>
                <w:color w:val="auto"/>
              </w:rPr>
            </w:pPr>
            <w:r>
              <w:rPr>
                <w:rFonts w:ascii="Arial" w:cs="Arial" w:eastAsia="Arial" w:hAnsi="Arial"/>
                <w:sz w:val="16"/>
                <w:szCs w:val="16"/>
                <w:b w:val="1"/>
                <w:bCs w:val="1"/>
                <w:color w:val="auto"/>
                <w:w w:val="88"/>
              </w:rPr>
              <w:t>Exercise</w:t>
            </w: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Compensation</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6"/>
              </w:rPr>
              <w:t>Exercise 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1"/>
              <w:spacing w:after="0" w:line="160" w:lineRule="exact"/>
              <w:rPr>
                <w:sz w:val="20"/>
                <w:szCs w:val="20"/>
                <w:color w:val="auto"/>
              </w:rPr>
            </w:pPr>
            <w:r>
              <w:rPr>
                <w:rFonts w:ascii="Arial" w:cs="Arial" w:eastAsia="Arial" w:hAnsi="Arial"/>
                <w:sz w:val="16"/>
                <w:szCs w:val="16"/>
                <w:b w:val="1"/>
                <w:bCs w:val="1"/>
                <w:color w:val="auto"/>
                <w:w w:val="90"/>
              </w:rPr>
              <w:t>Price of Outstanding</w:t>
            </w: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Plans (Excluding</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Outstanding Options,</w:t>
            </w:r>
          </w:p>
        </w:tc>
        <w:tc>
          <w:tcPr>
            <w:tcW w:w="60" w:type="dxa"/>
            <w:vAlign w:val="bottom"/>
          </w:tcPr>
          <w:p>
            <w:pPr>
              <w:spacing w:after="0"/>
              <w:rPr>
                <w:sz w:val="13"/>
                <w:szCs w:val="13"/>
                <w:color w:val="auto"/>
              </w:rPr>
            </w:pPr>
          </w:p>
        </w:tc>
        <w:tc>
          <w:tcPr>
            <w:tcW w:w="17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2"/>
              </w:rPr>
              <w:t>Options, Warrants and</w:t>
            </w: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7"/>
              </w:rPr>
              <w:t>Securities Reflected</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880" w:type="dxa"/>
            <w:vAlign w:val="bottom"/>
            <w:gridSpan w:val="3"/>
            <w:vMerge w:val="continue"/>
          </w:tcPr>
          <w:p>
            <w:pPr>
              <w:spacing w:after="0"/>
              <w:rPr>
                <w:sz w:val="15"/>
                <w:szCs w:val="15"/>
                <w:color w:val="auto"/>
              </w:rPr>
            </w:pPr>
          </w:p>
        </w:tc>
        <w:tc>
          <w:tcPr>
            <w:tcW w:w="174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3"/>
              </w:rPr>
              <w:t>Warrants and Rights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ind w:right="91"/>
              <w:spacing w:after="0" w:line="174" w:lineRule="exact"/>
              <w:rPr>
                <w:sz w:val="20"/>
                <w:szCs w:val="20"/>
                <w:color w:val="auto"/>
              </w:rPr>
            </w:pPr>
            <w:r>
              <w:rPr>
                <w:rFonts w:ascii="Arial" w:cs="Arial" w:eastAsia="Arial" w:hAnsi="Arial"/>
                <w:sz w:val="16"/>
                <w:szCs w:val="16"/>
                <w:b w:val="1"/>
                <w:bCs w:val="1"/>
                <w:color w:val="auto"/>
                <w:w w:val="88"/>
              </w:rPr>
              <w:t>Rights</w:t>
            </w:r>
          </w:p>
        </w:tc>
        <w:tc>
          <w:tcPr>
            <w:tcW w:w="60" w:type="dxa"/>
            <w:vAlign w:val="bottom"/>
          </w:tcPr>
          <w:p>
            <w:pPr>
              <w:spacing w:after="0"/>
              <w:rPr>
                <w:sz w:val="15"/>
                <w:szCs w:val="15"/>
                <w:color w:val="auto"/>
              </w:rPr>
            </w:pPr>
          </w:p>
        </w:tc>
        <w:tc>
          <w:tcPr>
            <w:tcW w:w="174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0"/>
              </w:rPr>
              <w:t xml:space="preserve">in Column (a)) </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E6E6E6"/>
            </w:tcBorders>
          </w:tcPr>
          <w:p>
            <w:pPr>
              <w:spacing w:after="0" w:line="20" w:lineRule="exact"/>
              <w:rPr>
                <w:sz w:val="1"/>
                <w:szCs w:val="1"/>
                <w:color w:val="auto"/>
              </w:rPr>
            </w:pPr>
          </w:p>
        </w:tc>
        <w:tc>
          <w:tcPr>
            <w:tcW w:w="980" w:type="dxa"/>
            <w:vAlign w:val="bottom"/>
            <w:tcBorders>
              <w:top w:val="single" w:sz="8" w:color="auto"/>
              <w:bottom w:val="single" w:sz="8" w:color="E6E6E6"/>
            </w:tcBorders>
          </w:tcPr>
          <w:p>
            <w:pPr>
              <w:spacing w:after="0" w:line="20" w:lineRule="exact"/>
              <w:rPr>
                <w:sz w:val="1"/>
                <w:szCs w:val="1"/>
                <w:color w:val="auto"/>
              </w:rPr>
            </w:pPr>
          </w:p>
        </w:tc>
        <w:tc>
          <w:tcPr>
            <w:tcW w:w="960" w:type="dxa"/>
            <w:vAlign w:val="bottom"/>
            <w:tcBorders>
              <w:bottom w:val="single" w:sz="8" w:color="E6E6E6"/>
            </w:tcBorders>
          </w:tcPr>
          <w:p>
            <w:pPr>
              <w:spacing w:after="0" w:line="20" w:lineRule="exact"/>
              <w:rPr>
                <w:sz w:val="1"/>
                <w:szCs w:val="1"/>
                <w:color w:val="auto"/>
              </w:rPr>
            </w:pPr>
          </w:p>
        </w:tc>
        <w:tc>
          <w:tcPr>
            <w:tcW w:w="2940" w:type="dxa"/>
            <w:vAlign w:val="bottom"/>
            <w:tcBorders>
              <w:bottom w:val="single" w:sz="8" w:color="E6E6E6"/>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6E6E6"/>
          </w:tcPr>
          <w:p>
            <w:pPr>
              <w:spacing w:after="0"/>
              <w:rPr>
                <w:sz w:val="18"/>
                <w:szCs w:val="18"/>
                <w:color w:val="auto"/>
              </w:rPr>
            </w:pPr>
          </w:p>
        </w:tc>
        <w:tc>
          <w:tcPr>
            <w:tcW w:w="4880" w:type="dxa"/>
            <w:vAlign w:val="bottom"/>
            <w:gridSpan w:val="3"/>
            <w:shd w:val="clear" w:color="auto" w:fill="E6E6E6"/>
          </w:tcPr>
          <w:p>
            <w:pPr>
              <w:spacing w:after="0" w:line="212" w:lineRule="exact"/>
              <w:rPr>
                <w:sz w:val="20"/>
                <w:szCs w:val="20"/>
                <w:color w:val="auto"/>
              </w:rPr>
            </w:pPr>
            <w:r>
              <w:rPr>
                <w:rFonts w:ascii="Arial" w:cs="Arial" w:eastAsia="Arial" w:hAnsi="Arial"/>
                <w:sz w:val="20"/>
                <w:szCs w:val="20"/>
                <w:color w:val="auto"/>
                <w:w w:val="94"/>
              </w:rPr>
              <w:t>Equity compensation plans approved by security holders -</w:t>
            </w:r>
          </w:p>
        </w:tc>
        <w:tc>
          <w:tcPr>
            <w:tcW w:w="1740" w:type="dxa"/>
            <w:vAlign w:val="bottom"/>
            <w:vMerge w:val="restart"/>
            <w:shd w:val="clear" w:color="auto" w:fill="E6E6E6"/>
          </w:tcPr>
          <w:p>
            <w:pPr>
              <w:jc w:val="right"/>
              <w:ind w:right="12"/>
              <w:spacing w:after="0"/>
              <w:rPr>
                <w:sz w:val="20"/>
                <w:szCs w:val="20"/>
                <w:color w:val="auto"/>
              </w:rPr>
            </w:pPr>
            <w:r>
              <w:rPr>
                <w:rFonts w:ascii="Arial" w:cs="Arial" w:eastAsia="Arial" w:hAnsi="Arial"/>
                <w:sz w:val="20"/>
                <w:szCs w:val="20"/>
                <w:color w:val="auto"/>
              </w:rPr>
              <w:t>8,154</w:t>
            </w:r>
          </w:p>
        </w:tc>
        <w:tc>
          <w:tcPr>
            <w:tcW w:w="22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80" w:type="dxa"/>
            <w:vAlign w:val="bottom"/>
            <w:vMerge w:val="restart"/>
            <w:shd w:val="clear" w:color="auto" w:fill="E6E6E6"/>
          </w:tcPr>
          <w:p>
            <w:pPr>
              <w:jc w:val="center"/>
              <w:ind w:left="1091"/>
              <w:spacing w:after="0"/>
              <w:rPr>
                <w:sz w:val="20"/>
                <w:szCs w:val="20"/>
                <w:color w:val="auto"/>
              </w:rPr>
            </w:pPr>
            <w:r>
              <w:rPr>
                <w:rFonts w:ascii="Arial" w:cs="Arial" w:eastAsia="Arial" w:hAnsi="Arial"/>
                <w:sz w:val="20"/>
                <w:szCs w:val="20"/>
                <w:color w:val="auto"/>
                <w:w w:val="99"/>
              </w:rPr>
              <w:t>—</w:t>
            </w:r>
          </w:p>
        </w:tc>
        <w:tc>
          <w:tcPr>
            <w:tcW w:w="60" w:type="dxa"/>
            <w:vAlign w:val="bottom"/>
            <w:shd w:val="clear" w:color="auto" w:fill="E6E6E6"/>
          </w:tcPr>
          <w:p>
            <w:pPr>
              <w:spacing w:after="0"/>
              <w:rPr>
                <w:sz w:val="18"/>
                <w:szCs w:val="18"/>
                <w:color w:val="auto"/>
              </w:rPr>
            </w:pPr>
          </w:p>
        </w:tc>
        <w:tc>
          <w:tcPr>
            <w:tcW w:w="1740" w:type="dxa"/>
            <w:vAlign w:val="bottom"/>
            <w:vMerge w:val="restart"/>
            <w:shd w:val="clear" w:color="auto" w:fill="E6E6E6"/>
          </w:tcPr>
          <w:p>
            <w:pPr>
              <w:jc w:val="right"/>
              <w:ind w:right="1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40" w:type="dxa"/>
            <w:vAlign w:val="bottom"/>
            <w:shd w:val="clear" w:color="auto" w:fill="E6E6E6"/>
          </w:tcPr>
          <w:p>
            <w:pPr>
              <w:spacing w:after="0"/>
              <w:rPr>
                <w:sz w:val="23"/>
                <w:szCs w:val="23"/>
                <w:color w:val="auto"/>
              </w:rPr>
            </w:pPr>
          </w:p>
        </w:tc>
        <w:tc>
          <w:tcPr>
            <w:tcW w:w="4880" w:type="dxa"/>
            <w:vAlign w:val="bottom"/>
            <w:gridSpan w:val="3"/>
            <w:shd w:val="clear" w:color="auto" w:fill="E6E6E6"/>
          </w:tcPr>
          <w:p>
            <w:pPr>
              <w:ind w:left="280"/>
              <w:spacing w:after="0"/>
              <w:rPr>
                <w:sz w:val="20"/>
                <w:szCs w:val="20"/>
                <w:color w:val="auto"/>
              </w:rPr>
            </w:pPr>
            <w:r>
              <w:rPr>
                <w:rFonts w:ascii="Arial" w:cs="Arial" w:eastAsia="Arial" w:hAnsi="Arial"/>
                <w:sz w:val="20"/>
                <w:szCs w:val="20"/>
                <w:color w:val="auto"/>
                <w:w w:val="90"/>
              </w:rPr>
              <w:t xml:space="preserve">Class A common stock </w:t>
            </w:r>
            <w:r>
              <w:rPr>
                <w:rFonts w:ascii="Arial" w:cs="Arial" w:eastAsia="Arial" w:hAnsi="Arial"/>
                <w:sz w:val="20"/>
                <w:szCs w:val="20"/>
                <w:color w:val="B4B4B4"/>
                <w:w w:val="90"/>
              </w:rPr>
              <w:t>. . . . . . . . . . . . . . . . . . . . . . . . . . .</w:t>
            </w:r>
          </w:p>
        </w:tc>
        <w:tc>
          <w:tcPr>
            <w:tcW w:w="174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158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7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880" w:type="dxa"/>
            <w:vAlign w:val="bottom"/>
            <w:gridSpan w:val="3"/>
          </w:tcPr>
          <w:p>
            <w:pPr>
              <w:spacing w:after="0" w:line="222" w:lineRule="exact"/>
              <w:rPr>
                <w:sz w:val="20"/>
                <w:szCs w:val="20"/>
                <w:color w:val="auto"/>
              </w:rPr>
            </w:pPr>
            <w:r>
              <w:rPr>
                <w:rFonts w:ascii="Arial" w:cs="Arial" w:eastAsia="Arial" w:hAnsi="Arial"/>
                <w:sz w:val="20"/>
                <w:szCs w:val="20"/>
                <w:color w:val="auto"/>
                <w:w w:val="94"/>
              </w:rPr>
              <w:t>Equity compensation plans approved by security holders -</w:t>
            </w:r>
          </w:p>
        </w:tc>
        <w:tc>
          <w:tcPr>
            <w:tcW w:w="1740" w:type="dxa"/>
            <w:vAlign w:val="bottom"/>
            <w:vMerge w:val="restart"/>
          </w:tcPr>
          <w:p>
            <w:pPr>
              <w:jc w:val="right"/>
              <w:ind w:right="12"/>
              <w:spacing w:after="0"/>
              <w:rPr>
                <w:sz w:val="20"/>
                <w:szCs w:val="20"/>
                <w:color w:val="auto"/>
              </w:rPr>
            </w:pPr>
            <w:r>
              <w:rPr>
                <w:rFonts w:ascii="Arial" w:cs="Arial" w:eastAsia="Arial" w:hAnsi="Arial"/>
                <w:sz w:val="20"/>
                <w:szCs w:val="20"/>
                <w:color w:val="auto"/>
              </w:rPr>
              <w:t>601,504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restart"/>
          </w:tcPr>
          <w:p>
            <w:pPr>
              <w:jc w:val="center"/>
              <w:ind w:left="1091"/>
              <w:spacing w:after="0"/>
              <w:rPr>
                <w:sz w:val="20"/>
                <w:szCs w:val="20"/>
                <w:color w:val="auto"/>
              </w:rPr>
            </w:pPr>
            <w:r>
              <w:rPr>
                <w:rFonts w:ascii="Arial" w:cs="Arial" w:eastAsia="Arial" w:hAnsi="Arial"/>
                <w:sz w:val="20"/>
                <w:szCs w:val="20"/>
                <w:color w:val="auto"/>
                <w:w w:val="99"/>
              </w:rPr>
              <w:t>—</w:t>
            </w:r>
          </w:p>
        </w:tc>
        <w:tc>
          <w:tcPr>
            <w:tcW w:w="1800" w:type="dxa"/>
            <w:vAlign w:val="bottom"/>
            <w:gridSpan w:val="2"/>
            <w:vMerge w:val="restart"/>
          </w:tcPr>
          <w:p>
            <w:pPr>
              <w:jc w:val="right"/>
              <w:ind w:right="16"/>
              <w:spacing w:after="0"/>
              <w:rPr>
                <w:sz w:val="20"/>
                <w:szCs w:val="20"/>
                <w:color w:val="auto"/>
              </w:rPr>
            </w:pPr>
            <w:r>
              <w:rPr>
                <w:rFonts w:ascii="Arial" w:cs="Arial" w:eastAsia="Arial" w:hAnsi="Arial"/>
                <w:sz w:val="20"/>
                <w:szCs w:val="20"/>
                <w:color w:val="auto"/>
              </w:rPr>
              <w:t>2,786,041</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880" w:type="dxa"/>
            <w:vAlign w:val="bottom"/>
            <w:gridSpan w:val="3"/>
          </w:tcPr>
          <w:p>
            <w:pPr>
              <w:ind w:left="280"/>
              <w:spacing w:after="0"/>
              <w:rPr>
                <w:sz w:val="20"/>
                <w:szCs w:val="20"/>
                <w:color w:val="auto"/>
              </w:rPr>
            </w:pPr>
            <w:r>
              <w:rPr>
                <w:rFonts w:ascii="Arial" w:cs="Arial" w:eastAsia="Arial" w:hAnsi="Arial"/>
                <w:sz w:val="20"/>
                <w:szCs w:val="20"/>
                <w:color w:val="auto"/>
                <w:w w:val="90"/>
              </w:rPr>
              <w:t xml:space="preserve">Class C common stock </w:t>
            </w:r>
            <w:r>
              <w:rPr>
                <w:rFonts w:ascii="Arial" w:cs="Arial" w:eastAsia="Arial" w:hAnsi="Arial"/>
                <w:sz w:val="20"/>
                <w:szCs w:val="20"/>
                <w:color w:val="B4B4B4"/>
                <w:w w:val="90"/>
              </w:rPr>
              <w:t>. . . . . . . . . . . . . . . . . . . . . . . . . . .</w:t>
            </w:r>
          </w:p>
        </w:tc>
        <w:tc>
          <w:tcPr>
            <w:tcW w:w="1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vMerge w:val="continue"/>
          </w:tcPr>
          <w:p>
            <w:pPr>
              <w:spacing w:after="0"/>
              <w:rPr>
                <w:sz w:val="23"/>
                <w:szCs w:val="23"/>
                <w:color w:val="auto"/>
              </w:rPr>
            </w:pPr>
          </w:p>
        </w:tc>
        <w:tc>
          <w:tcPr>
            <w:tcW w:w="18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E6E6E6"/>
          </w:tcPr>
          <w:p>
            <w:pPr>
              <w:spacing w:after="0"/>
              <w:rPr>
                <w:sz w:val="19"/>
                <w:szCs w:val="19"/>
                <w:color w:val="auto"/>
              </w:rPr>
            </w:pPr>
          </w:p>
        </w:tc>
        <w:tc>
          <w:tcPr>
            <w:tcW w:w="4880" w:type="dxa"/>
            <w:vAlign w:val="bottom"/>
            <w:gridSpan w:val="3"/>
            <w:shd w:val="clear" w:color="auto" w:fill="E6E6E6"/>
          </w:tcPr>
          <w:p>
            <w:pPr>
              <w:spacing w:after="0" w:line="228" w:lineRule="exact"/>
              <w:rPr>
                <w:sz w:val="20"/>
                <w:szCs w:val="20"/>
                <w:color w:val="auto"/>
              </w:rPr>
            </w:pPr>
            <w:r>
              <w:rPr>
                <w:rFonts w:ascii="Arial" w:cs="Arial" w:eastAsia="Arial" w:hAnsi="Arial"/>
                <w:sz w:val="20"/>
                <w:szCs w:val="20"/>
                <w:color w:val="auto"/>
              </w:rPr>
              <w:t>Equity compensation plans not approved by security</w:t>
            </w:r>
          </w:p>
        </w:tc>
        <w:tc>
          <w:tcPr>
            <w:tcW w:w="1740" w:type="dxa"/>
            <w:vAlign w:val="bottom"/>
            <w:vMerge w:val="restart"/>
            <w:shd w:val="clear" w:color="auto" w:fill="E6E6E6"/>
          </w:tcPr>
          <w:p>
            <w:pPr>
              <w:jc w:val="right"/>
              <w:ind w:right="12"/>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580" w:type="dxa"/>
            <w:vAlign w:val="bottom"/>
            <w:vMerge w:val="restart"/>
            <w:shd w:val="clear" w:color="auto" w:fill="E6E6E6"/>
          </w:tcPr>
          <w:p>
            <w:pPr>
              <w:jc w:val="center"/>
              <w:ind w:left="1111"/>
              <w:spacing w:after="0"/>
              <w:rPr>
                <w:sz w:val="20"/>
                <w:szCs w:val="20"/>
                <w:color w:val="auto"/>
              </w:rPr>
            </w:pPr>
            <w:r>
              <w:rPr>
                <w:rFonts w:ascii="Arial" w:cs="Arial" w:eastAsia="Arial" w:hAnsi="Arial"/>
                <w:sz w:val="20"/>
                <w:szCs w:val="20"/>
                <w:color w:val="auto"/>
              </w:rPr>
              <w:t>N/A</w:t>
            </w:r>
          </w:p>
        </w:tc>
        <w:tc>
          <w:tcPr>
            <w:tcW w:w="60" w:type="dxa"/>
            <w:vAlign w:val="bottom"/>
            <w:shd w:val="clear" w:color="auto" w:fill="E6E6E6"/>
          </w:tcPr>
          <w:p>
            <w:pPr>
              <w:spacing w:after="0"/>
              <w:rPr>
                <w:sz w:val="19"/>
                <w:szCs w:val="19"/>
                <w:color w:val="auto"/>
              </w:rPr>
            </w:pPr>
          </w:p>
        </w:tc>
        <w:tc>
          <w:tcPr>
            <w:tcW w:w="1740" w:type="dxa"/>
            <w:vAlign w:val="bottom"/>
            <w:vMerge w:val="restart"/>
            <w:shd w:val="clear" w:color="auto" w:fill="E6E6E6"/>
          </w:tcPr>
          <w:p>
            <w:pPr>
              <w:jc w:val="right"/>
              <w:ind w:right="1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40" w:type="dxa"/>
            <w:vAlign w:val="bottom"/>
            <w:tcBorders>
              <w:bottom w:val="single" w:sz="8" w:color="E6E6E6"/>
            </w:tcBorders>
            <w:shd w:val="clear" w:color="auto" w:fill="E6E6E6"/>
          </w:tcPr>
          <w:p>
            <w:pPr>
              <w:spacing w:after="0"/>
              <w:rPr>
                <w:sz w:val="22"/>
                <w:szCs w:val="22"/>
                <w:color w:val="auto"/>
              </w:rPr>
            </w:pPr>
          </w:p>
        </w:tc>
        <w:tc>
          <w:tcPr>
            <w:tcW w:w="4880" w:type="dxa"/>
            <w:vAlign w:val="bottom"/>
            <w:tcBorders>
              <w:bottom w:val="single" w:sz="8" w:color="E6E6E6"/>
            </w:tcBorders>
            <w:gridSpan w:val="3"/>
            <w:shd w:val="clear" w:color="auto" w:fill="E6E6E6"/>
          </w:tcPr>
          <w:p>
            <w:pPr>
              <w:ind w:left="280"/>
              <w:spacing w:after="0"/>
              <w:rPr>
                <w:sz w:val="20"/>
                <w:szCs w:val="20"/>
                <w:color w:val="auto"/>
              </w:rPr>
            </w:pPr>
            <w:r>
              <w:rPr>
                <w:rFonts w:ascii="Arial" w:cs="Arial" w:eastAsia="Arial" w:hAnsi="Arial"/>
                <w:sz w:val="20"/>
                <w:szCs w:val="20"/>
                <w:color w:val="auto"/>
                <w:w w:val="91"/>
              </w:rPr>
              <w:t xml:space="preserve">holders </w:t>
            </w:r>
            <w:r>
              <w:rPr>
                <w:rFonts w:ascii="Arial" w:cs="Arial" w:eastAsia="Arial" w:hAnsi="Arial"/>
                <w:sz w:val="20"/>
                <w:szCs w:val="20"/>
                <w:color w:val="B4B4B4"/>
                <w:w w:val="91"/>
              </w:rPr>
              <w:t>. . . . . . . . . . . . . . . . . . . . . . . . . . . . . . . . . . . . . . .</w:t>
            </w:r>
          </w:p>
        </w:tc>
        <w:tc>
          <w:tcPr>
            <w:tcW w:w="174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158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74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4880" w:type="dxa"/>
            <w:vAlign w:val="bottom"/>
            <w:gridSpan w:val="3"/>
          </w:tcPr>
          <w:p>
            <w:pPr>
              <w:spacing w:after="0"/>
              <w:rPr>
                <w:sz w:val="20"/>
                <w:szCs w:val="20"/>
                <w:color w:val="auto"/>
              </w:rPr>
            </w:pPr>
            <w:r>
              <w:rPr>
                <w:rFonts w:ascii="Arial" w:cs="Arial" w:eastAsia="Arial" w:hAnsi="Arial"/>
                <w:sz w:val="20"/>
                <w:szCs w:val="20"/>
                <w:color w:val="auto"/>
                <w:w w:val="91"/>
              </w:rPr>
              <w:t xml:space="preserve">Total </w:t>
            </w:r>
            <w:r>
              <w:rPr>
                <w:rFonts w:ascii="Arial" w:cs="Arial" w:eastAsia="Arial" w:hAnsi="Arial"/>
                <w:sz w:val="20"/>
                <w:szCs w:val="20"/>
                <w:color w:val="B4B4B4"/>
                <w:w w:val="91"/>
              </w:rPr>
              <w:t>. . . . . . . . . . . . . . . . . . . . . . . . . . . . . . . . . . . . . . . . . . . .</w:t>
            </w:r>
          </w:p>
        </w:tc>
        <w:tc>
          <w:tcPr>
            <w:tcW w:w="1740" w:type="dxa"/>
            <w:vAlign w:val="bottom"/>
          </w:tcPr>
          <w:p>
            <w:pPr>
              <w:jc w:val="right"/>
              <w:ind w:right="12"/>
              <w:spacing w:after="0"/>
              <w:rPr>
                <w:sz w:val="20"/>
                <w:szCs w:val="20"/>
                <w:color w:val="auto"/>
              </w:rPr>
            </w:pPr>
            <w:r>
              <w:rPr>
                <w:rFonts w:ascii="Arial" w:cs="Arial" w:eastAsia="Arial" w:hAnsi="Arial"/>
                <w:sz w:val="20"/>
                <w:szCs w:val="20"/>
                <w:color w:val="auto"/>
              </w:rPr>
              <w:t>609,658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1091"/>
              <w:spacing w:after="0"/>
              <w:rPr>
                <w:sz w:val="20"/>
                <w:szCs w:val="20"/>
                <w:color w:val="auto"/>
              </w:rPr>
            </w:pPr>
            <w:r>
              <w:rPr>
                <w:rFonts w:ascii="Arial" w:cs="Arial" w:eastAsia="Arial" w:hAnsi="Arial"/>
                <w:sz w:val="20"/>
                <w:szCs w:val="20"/>
                <w:color w:val="auto"/>
                <w:w w:val="99"/>
              </w:rPr>
              <w:t>—</w:t>
            </w:r>
          </w:p>
        </w:tc>
        <w:tc>
          <w:tcPr>
            <w:tcW w:w="1800" w:type="dxa"/>
            <w:vAlign w:val="bottom"/>
            <w:gridSpan w:val="2"/>
          </w:tcPr>
          <w:p>
            <w:pPr>
              <w:jc w:val="right"/>
              <w:ind w:right="16"/>
              <w:spacing w:after="0"/>
              <w:rPr>
                <w:sz w:val="20"/>
                <w:szCs w:val="20"/>
                <w:color w:val="auto"/>
              </w:rPr>
            </w:pPr>
            <w:r>
              <w:rPr>
                <w:rFonts w:ascii="Arial" w:cs="Arial" w:eastAsia="Arial" w:hAnsi="Arial"/>
                <w:sz w:val="20"/>
                <w:szCs w:val="20"/>
                <w:color w:val="auto"/>
              </w:rPr>
              <w:t>2,786,041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-1263015</wp:posOffset>
            </wp:positionV>
            <wp:extent cx="3406775" cy="1171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3406775" cy="1171575"/>
                    </a:xfrm>
                    <a:prstGeom prst="rect">
                      <a:avLst/>
                    </a:prstGeom>
                    <a:noFill/>
                  </pic:spPr>
                </pic:pic>
              </a:graphicData>
            </a:graphic>
          </wp:anchor>
        </w:drawing>
      </w:r>
    </w:p>
    <w:p>
      <w:pPr>
        <w:spacing w:after="0" w:line="34" w:lineRule="exact"/>
        <w:rPr>
          <w:sz w:val="20"/>
          <w:szCs w:val="20"/>
          <w:color w:val="auto"/>
        </w:rPr>
      </w:pPr>
    </w:p>
    <w:p>
      <w:pPr>
        <w:ind w:left="80"/>
        <w:spacing w:after="0" w:line="219" w:lineRule="auto"/>
        <w:tabs>
          <w:tab w:leader="none" w:pos="279"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52"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Other information required by this Item will be incorporated by reference to the similarly named section of the Company’s Definitive Proxy Statement for its 2025 Annual Meeting of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 Certain Relationships and Related Transactions, and Director Independence</w:t>
      </w:r>
    </w:p>
    <w:p>
      <w:pPr>
        <w:spacing w:after="0" w:line="197"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2025 Annual Meeting of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 Principal Accounting Fees and Services</w:t>
      </w:r>
    </w:p>
    <w:p>
      <w:pPr>
        <w:spacing w:after="0" w:line="197"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2025 Annual Meeting of Stockholders.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260"/>
          </w:cols>
          <w:pgMar w:left="820" w:top="360" w:right="800" w:bottom="0" w:gutter="0" w:footer="0" w:header="0"/>
          <w:type w:val="continuous"/>
        </w:sectPr>
      </w:pPr>
    </w:p>
    <w:bookmarkStart w:id="73" w:name="page74"/>
    <w:bookmarkEnd w:id="73"/>
    <w:p>
      <w:pPr>
        <w:jc w:val="center"/>
        <w:ind w:right="20"/>
        <w:spacing w:after="0"/>
        <w:rPr>
          <w:sz w:val="20"/>
          <w:szCs w:val="20"/>
          <w:color w:val="auto"/>
        </w:rPr>
      </w:pPr>
      <w:r>
        <w:rPr>
          <w:rFonts w:ascii="Arial" w:cs="Arial" w:eastAsia="Arial" w:hAnsi="Arial"/>
          <w:sz w:val="20"/>
          <w:szCs w:val="20"/>
          <w:b w:val="1"/>
          <w:bCs w:val="1"/>
          <w:color w:val="auto"/>
        </w:rPr>
        <w:t>PART IV</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 Exhibits, Financial Statement Schedules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(a)(1) Financial Statements</w:t>
      </w:r>
    </w:p>
    <w:p>
      <w:pPr>
        <w:spacing w:after="0" w:line="190" w:lineRule="exact"/>
        <w:rPr>
          <w:sz w:val="20"/>
          <w:szCs w:val="20"/>
          <w:color w:val="auto"/>
        </w:rPr>
      </w:pPr>
    </w:p>
    <w:p>
      <w:pPr>
        <w:jc w:val="both"/>
        <w:ind w:left="1080" w:hanging="269"/>
        <w:spacing w:after="0" w:line="261" w:lineRule="auto"/>
        <w:rPr>
          <w:sz w:val="20"/>
          <w:szCs w:val="20"/>
          <w:color w:val="auto"/>
        </w:rPr>
      </w:pPr>
      <w:r>
        <w:rPr>
          <w:rFonts w:ascii="Arial" w:cs="Arial" w:eastAsia="Arial" w:hAnsi="Arial"/>
          <w:sz w:val="20"/>
          <w:szCs w:val="20"/>
          <w:color w:val="auto"/>
        </w:rPr>
        <w:t>The following consolidated financial statements of Clearway Energy, Inc. and related notes thereto, together with the Report of Independent Registered Public Accounting Firm of PricewaterhouseCoopers LLP (PCAOB ID: 238) and Report of Independent Registered Public Accounting Firm of Ernst &amp; Young LLP (PCAOB ID: 42) thereon, are included herein:</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Income — Years ended December 31, 2024, 2023 and 2022</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Comprehensive Income — Years ended December 31, 2024, 2023 and 2022</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Balance Sheets — As of December 31, 2024 and 2023</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Cash Flows — Years ended December 31, 2024, 2023 and 2022</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Stockholders’ Equity — Years ended December 31, 2024, 2023 and 2022</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Notes to Consolidated Financial Statements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(a)(2) Financial Statement Schedules</w:t>
      </w:r>
    </w:p>
    <w:p>
      <w:pPr>
        <w:spacing w:after="0" w:line="190" w:lineRule="exact"/>
        <w:rPr>
          <w:sz w:val="20"/>
          <w:szCs w:val="20"/>
          <w:color w:val="auto"/>
        </w:rPr>
      </w:pPr>
    </w:p>
    <w:p>
      <w:pPr>
        <w:jc w:val="both"/>
        <w:ind w:left="1080" w:right="20"/>
        <w:spacing w:after="0" w:line="283" w:lineRule="auto"/>
        <w:rPr>
          <w:sz w:val="20"/>
          <w:szCs w:val="20"/>
          <w:color w:val="auto"/>
        </w:rPr>
      </w:pPr>
      <w:r>
        <w:rPr>
          <w:rFonts w:ascii="Arial" w:cs="Arial" w:eastAsia="Arial" w:hAnsi="Arial"/>
          <w:sz w:val="20"/>
          <w:szCs w:val="20"/>
          <w:color w:val="auto"/>
        </w:rPr>
        <w:t>The following schedules of Clearway Energy, Inc. are filed as part of Item 15 of this report and should be read in conjunction with the Consolidated Financial Statements:</w:t>
      </w:r>
    </w:p>
    <w:p>
      <w:pPr>
        <w:spacing w:after="0" w:line="118" w:lineRule="exact"/>
        <w:rPr>
          <w:sz w:val="20"/>
          <w:szCs w:val="20"/>
          <w:color w:val="auto"/>
        </w:rPr>
      </w:pPr>
    </w:p>
    <w:p>
      <w:pPr>
        <w:jc w:val="both"/>
        <w:ind w:left="1080" w:right="20"/>
        <w:spacing w:after="0" w:line="287" w:lineRule="auto"/>
        <w:rPr>
          <w:sz w:val="20"/>
          <w:szCs w:val="20"/>
          <w:color w:val="auto"/>
        </w:rPr>
      </w:pPr>
      <w:r>
        <w:rPr>
          <w:rFonts w:ascii="Arial" w:cs="Arial" w:eastAsia="Arial" w:hAnsi="Arial"/>
          <w:sz w:val="19"/>
          <w:szCs w:val="19"/>
          <w:color w:val="auto"/>
        </w:rPr>
        <w:t>Schedule I — Clearway Energy, Inc. (Parent) Condensed Financial Statements as of December 31, 2024 and 2023 and for the years ended December 31, 2024, 2023 and 2022, are included in Clearway Energy, Inc.’s Annual Report on Form 10-K pursuant to the requirements of Rule 5-04(c) of Regulation S-X</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Schedule II — Valuation and Qualifying Accounts for the years ended December 31, 2024, 2023 and 2022</w:t>
      </w:r>
    </w:p>
    <w:p>
      <w:pPr>
        <w:spacing w:after="0" w:line="202" w:lineRule="exact"/>
        <w:rPr>
          <w:sz w:val="20"/>
          <w:szCs w:val="20"/>
          <w:color w:val="auto"/>
        </w:rPr>
      </w:pPr>
    </w:p>
    <w:p>
      <w:pPr>
        <w:jc w:val="both"/>
        <w:ind w:left="1080" w:right="20"/>
        <w:spacing w:after="0" w:line="266" w:lineRule="auto"/>
        <w:rPr>
          <w:sz w:val="20"/>
          <w:szCs w:val="20"/>
          <w:color w:val="auto"/>
        </w:rPr>
      </w:pPr>
      <w:r>
        <w:rPr>
          <w:rFonts w:ascii="Arial" w:cs="Arial" w:eastAsia="Arial" w:hAnsi="Arial"/>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(a)(3) Exhibits: See Exhibit Index submitted as a separate section of this report</w:t>
      </w:r>
    </w:p>
    <w:p>
      <w:pPr>
        <w:spacing w:after="0" w:line="190" w:lineRule="exact"/>
        <w:rPr>
          <w:sz w:val="20"/>
          <w:szCs w:val="20"/>
          <w:color w:val="auto"/>
        </w:rPr>
      </w:pPr>
    </w:p>
    <w:p>
      <w:pPr>
        <w:ind w:left="820" w:hanging="290"/>
        <w:spacing w:after="0"/>
        <w:tabs>
          <w:tab w:leader="none" w:pos="8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Exhibits</w:t>
      </w:r>
    </w:p>
    <w:p>
      <w:pPr>
        <w:spacing w:after="0" w:line="190"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See Exhibit Index submitted as a separate section of this report</w:t>
      </w:r>
    </w:p>
    <w:p>
      <w:pPr>
        <w:spacing w:after="0" w:line="190" w:lineRule="exact"/>
        <w:rPr>
          <w:rFonts w:ascii="Arial" w:cs="Arial" w:eastAsia="Arial" w:hAnsi="Arial"/>
          <w:sz w:val="20"/>
          <w:szCs w:val="20"/>
          <w:color w:val="auto"/>
        </w:rPr>
      </w:pPr>
    </w:p>
    <w:p>
      <w:pPr>
        <w:ind w:left="800" w:hanging="270"/>
        <w:spacing w:after="0"/>
        <w:tabs>
          <w:tab w:leader="none" w:pos="8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 applicable</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260"/>
          </w:cols>
          <w:pgMar w:left="820" w:top="360" w:right="800" w:bottom="0" w:gutter="0" w:footer="0" w:header="0"/>
          <w:type w:val="continuous"/>
        </w:sectPr>
      </w:pPr>
    </w:p>
    <w:bookmarkStart w:id="74" w:name="page75"/>
    <w:bookmarkEnd w:id="74"/>
    <w:p>
      <w:pPr>
        <w:ind w:left="26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Clearway Energy, Inc.</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We have audited the accompanying consolidated balance sheet of Clearway Energy, Inc. and its subsidiaries (the “Company”) as of December 31, 2024, and the related consolidated statements of income, of comprehensive income, of stockholders’ equity and of cash flows for the year then ended, including the related notes and the schedule of Clearway Energy, Inc. (Parent) condensed financial information of registrant as of December 31, 2024 and for the year then ended and the schedule of valuation and qualifying accounts for the year ended December 31, 2024 appearing under Item 15 (collectively referred to as the “consolidated financial statements”). We also have audited the Company’s internal control over financial reporting as of December 31, 2024,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2024,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r>
        <w:rPr>
          <w:rFonts w:ascii="Arial" w:cs="Arial" w:eastAsia="Arial" w:hAnsi="Arial"/>
          <w:sz w:val="20"/>
          <w:szCs w:val="20"/>
          <w:b w:val="1"/>
          <w:bCs w:val="1"/>
          <w:color w:val="auto"/>
        </w:rPr>
        <w:t>s</w:t>
      </w:r>
    </w:p>
    <w:p>
      <w:pPr>
        <w:spacing w:after="0" w:line="198"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0"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260"/>
          </w:cols>
          <w:pgMar w:left="820" w:top="360" w:right="80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of Level 3 Long-Term Power Commodity Contrac</w:t>
      </w:r>
      <w:r>
        <w:rPr>
          <w:rFonts w:ascii="Arial" w:cs="Arial" w:eastAsia="Arial" w:hAnsi="Arial"/>
          <w:sz w:val="20"/>
          <w:szCs w:val="20"/>
          <w:color w:val="auto"/>
        </w:rPr>
        <w:t>ts</w:t>
      </w:r>
    </w:p>
    <w:p>
      <w:pPr>
        <w:spacing w:after="0" w:line="193"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As described in Notes 2 and 6 to the consolidated financial statements, the Company uses energy-related derivative financial instruments to mitigate variability in earnings due to fluctuations in power market prices or natural gas market prices. As disclosed by management, the fair value of the Company’s financial instruments is determined using discounted cash flow models. The Company’s significant positions classified as Level 3 relate to physical and financial energy-related commodity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As of December 31, 2024, the fair value of the Company’s Level 3 long-term power commodity contracts was $366 million.</w:t>
      </w:r>
    </w:p>
    <w:p>
      <w:pPr>
        <w:spacing w:after="0" w:line="134"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The principal considerations for our determination that performing procedures relating to the valuation of Level 3 long-term power commodity contracts is a critical audit matter are (i) the significant judgment by management when developing the fair value estimate of the Level 3 long-term power commodity contracts; (ii) a high degree of auditor judgment, subjectivity, and effort in performing procedures and evaluating audit evidence related to (a) management’s significant unobservable inputs related to illiquid power tenors and (b) the discounted cash flow models used in developing the fair value estimate of the Level 3 long-term power commodity contracts; and (iii) the audit effort involved the use of professionals with specialized skill and knowledge.</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Level 3 long-term power commodity contracts, including controls over the discounted cash flow models and illiquid power tenors. These procedures also included, among others (i) testing the completeness and accuracy of underlying data used by management and (ii) the involvement of professionals with specialized skill and knowledge to assist in evaluating the reasonableness of management’s estimate by (a) evaluating the reasonableness of the illiquid power tenors, (b) evaluating the appropriateness of the discounted cash flow models used in developing the fair value estimate of the Level 3 long-term power commodity contracts and (c) developing an independent estimate of the Level 3 long-term power commodity contracts using independently determined illiquid power tenors and comparing the independent estimate to management’s estimate.</w:t>
      </w:r>
    </w:p>
    <w:p>
      <w:pPr>
        <w:spacing w:after="0" w:line="13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b w:val="1"/>
          <w:bCs w:val="1"/>
          <w:i w:val="1"/>
          <w:iCs w:val="1"/>
          <w:color w:val="auto"/>
        </w:rPr>
        <w:t>Hypothetical Liquidation at Book Value (HLBV) Calculation of Net Loss Attributable to Noncontrolling Interests in Tax Equity Arrangements</w:t>
      </w:r>
    </w:p>
    <w:p>
      <w:pPr>
        <w:spacing w:after="0" w:line="115"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As described in Note 2 to the consolidated financial statements, certain portions of the Company’s noncontrolling interest represent third-party interests in the net assets under tax equity arrangements, which are consolidated by the Company, that have been entered into to finance the cost of facilities eligible for certain tax credits and benefits. Management has determined that the provisions in the contractual agreements of these noncontrolling interests represent substantive profit-sharing arrangements, for which management uses a balance sheet approach utilizing the HLBV method to calculate the noncontrolling interest. Under the HLBV method, the amounts reported as noncontrolling interest represent the amounts the investors to the tax equity arrangements would hypothetically receive at each balance sheet date under the liquidation provisions of the contractual agreements. As disclosed by management, management must apply judgment in determining the methodology for applying the HLBV method and changes in certain factors may have a significant impact on the amounts that an investor would receive upon a hypothetical liquidation. For the year ended December 31, 2024, the net loss attributable to noncontrolling interests and redeemable noncontrolling interests was $151 million, of which a majority represents third-party interests in the net assets under tax equity arrangements.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260"/>
          </w:cols>
          <w:pgMar w:left="820" w:top="359" w:right="800" w:bottom="0" w:gutter="0" w:footer="0" w:header="0"/>
          <w:type w:val="continuous"/>
        </w:sectPr>
      </w:pPr>
    </w:p>
    <w:bookmarkStart w:id="76" w:name="page77"/>
    <w:bookmarkEnd w:id="76"/>
    <w:p>
      <w:pPr>
        <w:jc w:val="both"/>
        <w:ind w:right="20"/>
        <w:spacing w:after="0" w:line="271" w:lineRule="auto"/>
        <w:rPr>
          <w:sz w:val="20"/>
          <w:szCs w:val="20"/>
          <w:color w:val="auto"/>
        </w:rPr>
      </w:pPr>
      <w:r>
        <w:rPr>
          <w:rFonts w:ascii="Arial" w:cs="Arial" w:eastAsia="Arial" w:hAnsi="Arial"/>
          <w:sz w:val="19"/>
          <w:szCs w:val="19"/>
          <w:color w:val="auto"/>
        </w:rPr>
        <w:t>The principal considerations for our determination that performing procedures relating to the HLBV calculation of net loss attributable to noncontrolling interests in tax equity arrangements is a critical audit matter are (i) the significant judgment by management in applying the HLBV method to determine the income or loss each noncontrolling interest would hypothetically receive at each balance sheet date under the liquidation provisions of the contractual agreements; (ii) a high degree of auditor judgment, subjectivity, and effort in performing procedures and evaluating audit evidence related to management’s judgments applied in using the HLBV method to calculate the noncontrolling interests in tax equity arrangements; and (iii) the audit effort involved the use of professionals with specialized skill and knowledge.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HLBV calculation of the noncontrolling interests in tax equity arrangements. These procedures also included, among others (i) testing the completeness and accuracy of the underlying data used by management and (ii) the involvement of professionals with specialized skill and knowledge to assist in (a) evaluating the appropriateness of the HLBV method based on the terms of the contractual agreements and (b) developing independent calculations of the income or loss attributable to the noncontrolling interests based on the terms of the contractual agreements and comparing the independent calculations to management's calculations.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2025</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2024.</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260"/>
          </w:cols>
          <w:pgMar w:left="820" w:top="367" w:right="800" w:bottom="0" w:gutter="0" w:footer="0" w:header="0"/>
          <w:type w:val="continuous"/>
        </w:sectPr>
      </w:pPr>
    </w:p>
    <w:bookmarkStart w:id="77" w:name="page78"/>
    <w:bookmarkEnd w:id="77"/>
    <w:p>
      <w:pPr>
        <w:ind w:left="26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Clearway Energy, Inc.</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We have audited the accompanying consolidated balance sheet of Clearway Energy, Inc. (the Company) as of December 31, 2023, the related consolidated statements of income, comprehensive income, stockholders’ equity and cash flows for each of the two years in the period ended December 31, 2023,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We served as the Company’s auditor from 2021 to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2024</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260"/>
          </w:cols>
          <w:pgMar w:left="820" w:top="360" w:right="800" w:bottom="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80"/>
        </w:trPr>
        <w:tc>
          <w:tcPr>
            <w:tcW w:w="7260" w:type="dxa"/>
            <w:vAlign w:val="bottom"/>
            <w:tcBorders>
              <w:bottom w:val="single" w:sz="8" w:color="E6E6E6"/>
            </w:tcBorders>
          </w:tcPr>
          <w:p>
            <w:pPr>
              <w:ind w:left="60"/>
              <w:spacing w:after="0"/>
              <w:rPr>
                <w:sz w:val="20"/>
                <w:szCs w:val="20"/>
                <w:color w:val="auto"/>
              </w:rPr>
            </w:pPr>
            <w:r>
              <w:rPr>
                <w:rFonts w:ascii="Arial" w:cs="Arial" w:eastAsia="Arial" w:hAnsi="Arial"/>
                <w:sz w:val="16"/>
                <w:szCs w:val="16"/>
                <w:b w:val="1"/>
                <w:bCs w:val="1"/>
                <w:color w:val="auto"/>
              </w:rPr>
              <w:t>(In millions, except per share amounts)</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5"/>
        </w:trPr>
        <w:tc>
          <w:tcPr>
            <w:tcW w:w="72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Operating Revenues</w:t>
            </w: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260" w:type="dxa"/>
            <w:vAlign w:val="bottom"/>
          </w:tcPr>
          <w:p>
            <w:pPr>
              <w:jc w:val="right"/>
              <w:spacing w:after="0"/>
              <w:rPr>
                <w:sz w:val="20"/>
                <w:szCs w:val="20"/>
                <w:color w:val="auto"/>
              </w:rPr>
            </w:pPr>
            <w:r>
              <w:rPr>
                <w:rFonts w:ascii="Arial" w:cs="Arial" w:eastAsia="Arial" w:hAnsi="Arial"/>
                <w:sz w:val="20"/>
                <w:szCs w:val="20"/>
                <w:color w:val="auto"/>
                <w:w w:val="93"/>
              </w:rPr>
              <w:t xml:space="preserve">Total operating revenues </w:t>
            </w:r>
            <w:r>
              <w:rPr>
                <w:rFonts w:ascii="Arial" w:cs="Arial" w:eastAsia="Arial" w:hAnsi="Arial"/>
                <w:sz w:val="20"/>
                <w:szCs w:val="20"/>
                <w:color w:val="B4B4B4"/>
                <w:w w:val="93"/>
              </w:rPr>
              <w:t>.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5"/>
        </w:trPr>
        <w:tc>
          <w:tcPr>
            <w:tcW w:w="726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Operating Costs and Expenses</w:t>
            </w:r>
          </w:p>
        </w:tc>
        <w:tc>
          <w:tcPr>
            <w:tcW w:w="220" w:type="dxa"/>
            <w:vAlign w:val="bottom"/>
            <w:tcBorders>
              <w:top w:val="single" w:sz="8" w:color="auto"/>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200"/>
              <w:spacing w:after="0" w:line="222" w:lineRule="exact"/>
              <w:rPr>
                <w:sz w:val="20"/>
                <w:szCs w:val="20"/>
                <w:color w:val="auto"/>
              </w:rPr>
            </w:pPr>
            <w:r>
              <w:rPr>
                <w:rFonts w:ascii="Arial" w:cs="Arial" w:eastAsia="Arial" w:hAnsi="Arial"/>
                <w:sz w:val="20"/>
                <w:szCs w:val="20"/>
                <w:color w:val="auto"/>
              </w:rPr>
              <w:t>Cost of operations, exclusive of depreciation, amortization and accretion shown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260" w:type="dxa"/>
            <w:vAlign w:val="bottom"/>
          </w:tcPr>
          <w:p>
            <w:pPr>
              <w:jc w:val="right"/>
              <w:spacing w:after="0"/>
              <w:rPr>
                <w:sz w:val="20"/>
                <w:szCs w:val="20"/>
                <w:color w:val="auto"/>
              </w:rPr>
            </w:pPr>
            <w:r>
              <w:rPr>
                <w:rFonts w:ascii="Arial" w:cs="Arial" w:eastAsia="Arial" w:hAnsi="Arial"/>
                <w:sz w:val="20"/>
                <w:szCs w:val="20"/>
                <w:color w:val="auto"/>
                <w:w w:val="95"/>
              </w:rPr>
              <w:t xml:space="preserve">separately below </w:t>
            </w:r>
            <w:r>
              <w:rPr>
                <w:rFonts w:ascii="Arial" w:cs="Arial" w:eastAsia="Arial" w:hAnsi="Arial"/>
                <w:sz w:val="20"/>
                <w:szCs w:val="20"/>
                <w:color w:val="B4B4B4"/>
                <w:w w:val="95"/>
              </w:rPr>
              <w:t>. . . . . . . . . . . . . . . . . . . . . . . . . . . . . . . . . . . . . . . . . . . . . . . . . . . . . .</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91"/>
        </w:trPr>
        <w:tc>
          <w:tcPr>
            <w:tcW w:w="72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3"/>
              </w:rPr>
              <w:t xml:space="preserve">Depreciation, amortization and accretion </w:t>
            </w:r>
            <w:r>
              <w:rPr>
                <w:rFonts w:ascii="Arial" w:cs="Arial" w:eastAsia="Arial" w:hAnsi="Arial"/>
                <w:sz w:val="20"/>
                <w:szCs w:val="20"/>
                <w:color w:val="B4B4B4"/>
                <w:w w:val="93"/>
              </w:rPr>
              <w:t>. . . . . . . . . . . . . . . . . . . . . . . . . . . . . . . . . . . .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8"/>
        </w:trPr>
        <w:tc>
          <w:tcPr>
            <w:tcW w:w="7260" w:type="dxa"/>
            <w:vAlign w:val="bottom"/>
          </w:tcPr>
          <w:p>
            <w:pPr>
              <w:jc w:val="right"/>
              <w:spacing w:after="0"/>
              <w:rPr>
                <w:sz w:val="20"/>
                <w:szCs w:val="20"/>
                <w:color w:val="auto"/>
              </w:rPr>
            </w:pPr>
            <w:r>
              <w:rPr>
                <w:rFonts w:ascii="Arial" w:cs="Arial" w:eastAsia="Arial" w:hAnsi="Arial"/>
                <w:sz w:val="20"/>
                <w:szCs w:val="20"/>
                <w:color w:val="auto"/>
                <w:w w:val="92"/>
              </w:rPr>
              <w:t xml:space="preserve">Impairment losses </w:t>
            </w:r>
            <w:r>
              <w:rPr>
                <w:rFonts w:ascii="Arial" w:cs="Arial" w:eastAsia="Arial" w:hAnsi="Arial"/>
                <w:sz w:val="20"/>
                <w:szCs w:val="20"/>
                <w:color w:val="B4B4B4"/>
                <w:w w:val="92"/>
              </w:rPr>
              <w:t>. . . . . . . . . . . . . . . . . . . . . . .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2"/>
        </w:trPr>
        <w:tc>
          <w:tcPr>
            <w:tcW w:w="72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General and administrative </w:t>
            </w:r>
            <w:r>
              <w:rPr>
                <w:rFonts w:ascii="Arial" w:cs="Arial" w:eastAsia="Arial" w:hAnsi="Arial"/>
                <w:sz w:val="20"/>
                <w:szCs w:val="20"/>
                <w:color w:val="B4B4B4"/>
                <w:w w:val="92"/>
              </w:rPr>
              <w:t>. . . . . . . . . . . . . . . . . . . . . . . . . . . . . . . . . . . . . . . . . . . . . . .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8"/>
        </w:trPr>
        <w:tc>
          <w:tcPr>
            <w:tcW w:w="7260" w:type="dxa"/>
            <w:vAlign w:val="bottom"/>
          </w:tcPr>
          <w:p>
            <w:pPr>
              <w:jc w:val="right"/>
              <w:spacing w:after="0"/>
              <w:rPr>
                <w:sz w:val="20"/>
                <w:szCs w:val="20"/>
                <w:color w:val="auto"/>
              </w:rPr>
            </w:pPr>
            <w:r>
              <w:rPr>
                <w:rFonts w:ascii="Arial" w:cs="Arial" w:eastAsia="Arial" w:hAnsi="Arial"/>
                <w:sz w:val="20"/>
                <w:szCs w:val="20"/>
                <w:color w:val="auto"/>
                <w:w w:val="92"/>
              </w:rPr>
              <w:t xml:space="preserve">Transaction and integration costs </w:t>
            </w:r>
            <w:r>
              <w:rPr>
                <w:rFonts w:ascii="Arial" w:cs="Arial" w:eastAsia="Arial" w:hAnsi="Arial"/>
                <w:sz w:val="20"/>
                <w:szCs w:val="20"/>
                <w:color w:val="B4B4B4"/>
                <w:w w:val="92"/>
              </w:rPr>
              <w:t>. . . . . . . . . . .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0"/>
        </w:trPr>
        <w:tc>
          <w:tcPr>
            <w:tcW w:w="7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Development costs </w:t>
            </w:r>
            <w:r>
              <w:rPr>
                <w:rFonts w:ascii="Arial" w:cs="Arial" w:eastAsia="Arial" w:hAnsi="Arial"/>
                <w:sz w:val="20"/>
                <w:szCs w:val="20"/>
                <w:color w:val="B4B4B4"/>
                <w:w w:val="93"/>
              </w:rPr>
              <w:t>. . . . . . . . . . . . . .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260" w:type="dxa"/>
            <w:vAlign w:val="bottom"/>
          </w:tcPr>
          <w:p>
            <w:pPr>
              <w:jc w:val="right"/>
              <w:spacing w:after="0"/>
              <w:rPr>
                <w:sz w:val="20"/>
                <w:szCs w:val="20"/>
                <w:color w:val="auto"/>
              </w:rPr>
            </w:pPr>
            <w:r>
              <w:rPr>
                <w:rFonts w:ascii="Arial" w:cs="Arial" w:eastAsia="Arial" w:hAnsi="Arial"/>
                <w:sz w:val="20"/>
                <w:szCs w:val="20"/>
                <w:color w:val="auto"/>
                <w:w w:val="93"/>
              </w:rPr>
              <w:t xml:space="preserve">Total operating costs and expenses </w:t>
            </w:r>
            <w:r>
              <w:rPr>
                <w:rFonts w:ascii="Arial" w:cs="Arial" w:eastAsia="Arial" w:hAnsi="Arial"/>
                <w:sz w:val="20"/>
                <w:szCs w:val="20"/>
                <w:color w:val="B4B4B4"/>
                <w:w w:val="93"/>
              </w:rPr>
              <w:t>. . . . . . . . . . . . . . . . . . . . . . . . . . . . . . . . . . . . . . . .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300"/>
        </w:trPr>
        <w:tc>
          <w:tcPr>
            <w:tcW w:w="7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Gain on sale of business </w:t>
            </w:r>
            <w:r>
              <w:rPr>
                <w:rFonts w:ascii="Arial" w:cs="Arial" w:eastAsia="Arial" w:hAnsi="Arial"/>
                <w:sz w:val="20"/>
                <w:szCs w:val="20"/>
                <w:color w:val="B4B4B4"/>
                <w:w w:val="93"/>
              </w:rPr>
              <w:t>. . . . . . . . .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47"/>
        </w:trPr>
        <w:tc>
          <w:tcPr>
            <w:tcW w:w="7260" w:type="dxa"/>
            <w:vAlign w:val="bottom"/>
            <w:tcBorders>
              <w:bottom w:val="single" w:sz="8" w:color="E6E6E6"/>
            </w:tcBorders>
          </w:tcPr>
          <w:p>
            <w:pPr>
              <w:ind w:left="60"/>
              <w:spacing w:after="0"/>
              <w:rPr>
                <w:sz w:val="20"/>
                <w:szCs w:val="20"/>
                <w:color w:val="auto"/>
              </w:rPr>
            </w:pPr>
            <w:r>
              <w:rPr>
                <w:rFonts w:ascii="Arial" w:cs="Arial" w:eastAsia="Arial" w:hAnsi="Arial"/>
                <w:sz w:val="20"/>
                <w:szCs w:val="20"/>
                <w:b w:val="1"/>
                <w:bCs w:val="1"/>
                <w:color w:val="auto"/>
              </w:rPr>
              <w:t>Operating Income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5"/>
        </w:trPr>
        <w:tc>
          <w:tcPr>
            <w:tcW w:w="72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Other Income (Expense)</w:t>
            </w: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260" w:type="dxa"/>
            <w:vAlign w:val="bottom"/>
          </w:tcPr>
          <w:p>
            <w:pPr>
              <w:jc w:val="right"/>
              <w:spacing w:after="0"/>
              <w:rPr>
                <w:sz w:val="20"/>
                <w:szCs w:val="20"/>
                <w:color w:val="auto"/>
              </w:rPr>
            </w:pPr>
            <w:r>
              <w:rPr>
                <w:rFonts w:ascii="Arial" w:cs="Arial" w:eastAsia="Arial" w:hAnsi="Arial"/>
                <w:sz w:val="20"/>
                <w:szCs w:val="20"/>
                <w:color w:val="auto"/>
                <w:w w:val="93"/>
              </w:rPr>
              <w:t xml:space="preserve">Equity in earnings of unconsolidated affiliates </w:t>
            </w:r>
            <w:r>
              <w:rPr>
                <w:rFonts w:ascii="Arial" w:cs="Arial" w:eastAsia="Arial" w:hAnsi="Arial"/>
                <w:sz w:val="20"/>
                <w:szCs w:val="20"/>
                <w:color w:val="B4B4B4"/>
                <w:w w:val="93"/>
              </w:rPr>
              <w:t>.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2"/>
        </w:trPr>
        <w:tc>
          <w:tcPr>
            <w:tcW w:w="72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3"/>
              </w:rPr>
              <w:t xml:space="preserve">Other income, net </w:t>
            </w:r>
            <w:r>
              <w:rPr>
                <w:rFonts w:ascii="Arial" w:cs="Arial" w:eastAsia="Arial" w:hAnsi="Arial"/>
                <w:sz w:val="20"/>
                <w:szCs w:val="20"/>
                <w:color w:val="B4B4B4"/>
                <w:w w:val="93"/>
              </w:rPr>
              <w:t>. . . . . . . . . . . . . . . . . . . . . . . . . . . . . . . . . . . . . . . . . . . . . . . . . . . . . .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8"/>
        </w:trPr>
        <w:tc>
          <w:tcPr>
            <w:tcW w:w="7260" w:type="dxa"/>
            <w:vAlign w:val="bottom"/>
          </w:tcPr>
          <w:p>
            <w:pPr>
              <w:jc w:val="right"/>
              <w:spacing w:after="0"/>
              <w:rPr>
                <w:sz w:val="20"/>
                <w:szCs w:val="20"/>
                <w:color w:val="auto"/>
              </w:rPr>
            </w:pPr>
            <w:r>
              <w:rPr>
                <w:rFonts w:ascii="Arial" w:cs="Arial" w:eastAsia="Arial" w:hAnsi="Arial"/>
                <w:sz w:val="20"/>
                <w:szCs w:val="20"/>
                <w:color w:val="auto"/>
                <w:w w:val="92"/>
              </w:rPr>
              <w:t xml:space="preserve">Loss on debt extinguishment </w:t>
            </w:r>
            <w:r>
              <w:rPr>
                <w:rFonts w:ascii="Arial" w:cs="Arial" w:eastAsia="Arial" w:hAnsi="Arial"/>
                <w:sz w:val="20"/>
                <w:szCs w:val="20"/>
                <w:color w:val="B4B4B4"/>
                <w:w w:val="92"/>
              </w:rPr>
              <w:t>. . . . . . . . . . . . . . .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0"/>
        </w:trPr>
        <w:tc>
          <w:tcPr>
            <w:tcW w:w="7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1"/>
              </w:rPr>
              <w:t xml:space="preserve">Interest expense </w:t>
            </w:r>
            <w:r>
              <w:rPr>
                <w:rFonts w:ascii="Arial" w:cs="Arial" w:eastAsia="Arial" w:hAnsi="Arial"/>
                <w:sz w:val="20"/>
                <w:szCs w:val="20"/>
                <w:color w:val="B4B4B4"/>
                <w:w w:val="91"/>
              </w:rPr>
              <w:t>. . . . . . . . . . . . . . . . .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7"/>
        </w:trPr>
        <w:tc>
          <w:tcPr>
            <w:tcW w:w="72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Total other expense, net  </w:t>
            </w:r>
            <w:r>
              <w:rPr>
                <w:rFonts w:ascii="Arial" w:cs="Arial" w:eastAsia="Arial" w:hAnsi="Arial"/>
                <w:sz w:val="20"/>
                <w:szCs w:val="20"/>
                <w:color w:val="B4B4B4"/>
                <w:w w:val="93"/>
              </w:rPr>
              <w:t>. . . . . . . . . . . . . . . . . . . . . . . . . . . . . . . . . . . . . . . . . . . . . . . . .</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5"/>
        </w:trPr>
        <w:tc>
          <w:tcPr>
            <w:tcW w:w="72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4"/>
              </w:rPr>
              <w:t>. . . . . . . . . . . . . . . . . . . . . . . . . . . . . . . . . . . . . . . .</w:t>
            </w:r>
            <w:r>
              <w:rPr>
                <w:rFonts w:ascii="Arial" w:cs="Arial" w:eastAsia="Arial" w:hAnsi="Arial"/>
                <w:sz w:val="20"/>
                <w:szCs w:val="20"/>
                <w:b w:val="1"/>
                <w:bCs w:val="1"/>
                <w:color w:val="000000"/>
                <w:w w:val="94"/>
              </w:rPr>
              <w:t>(Loss)IncomeBeforeIncomeTaxes</w:t>
            </w: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5"/>
        </w:trPr>
        <w:tc>
          <w:tcPr>
            <w:tcW w:w="72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Income tax expense (benefit) </w:t>
            </w:r>
            <w:r>
              <w:rPr>
                <w:rFonts w:ascii="Arial" w:cs="Arial" w:eastAsia="Arial" w:hAnsi="Arial"/>
                <w:sz w:val="20"/>
                <w:szCs w:val="20"/>
                <w:color w:val="B4B4B4"/>
                <w:w w:val="93"/>
              </w:rPr>
              <w:t>. . . . . . . . . . . . . . . . . . . . . . . . . . . . . . . . . . . . . . . . . . . . . .</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83"/>
        </w:trPr>
        <w:tc>
          <w:tcPr>
            <w:tcW w:w="7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B4B4B4"/>
                <w:w w:val="93"/>
              </w:rPr>
              <w:t>. . . . . . . . . . . . . . . . . . . . . . . . . . . . . . . . . . . . . . . . . . . . . . . . . . . . . . .</w:t>
            </w:r>
            <w:r>
              <w:rPr>
                <w:rFonts w:ascii="Arial" w:cs="Arial" w:eastAsia="Arial" w:hAnsi="Arial"/>
                <w:sz w:val="20"/>
                <w:szCs w:val="20"/>
                <w:b w:val="1"/>
                <w:bCs w:val="1"/>
                <w:color w:val="000000"/>
                <w:w w:val="93"/>
              </w:rPr>
              <w:t>Net(Loss)Income</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193"/>
        </w:trPr>
        <w:tc>
          <w:tcPr>
            <w:tcW w:w="7260" w:type="dxa"/>
            <w:vAlign w:val="bottom"/>
          </w:tcPr>
          <w:p>
            <w:pPr>
              <w:ind w:left="200"/>
              <w:spacing w:after="0" w:line="193" w:lineRule="exact"/>
              <w:rPr>
                <w:sz w:val="20"/>
                <w:szCs w:val="20"/>
                <w:color w:val="auto"/>
              </w:rPr>
            </w:pPr>
            <w:r>
              <w:rPr>
                <w:rFonts w:ascii="Arial" w:cs="Arial" w:eastAsia="Arial" w:hAnsi="Arial"/>
                <w:sz w:val="20"/>
                <w:szCs w:val="20"/>
                <w:color w:val="auto"/>
              </w:rPr>
              <w:t>Less: Net (loss) income attributable to noncontrolling interests and redeemable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2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5"/>
              </w:rPr>
              <w:t xml:space="preserve">noncontrolling interests </w:t>
            </w:r>
            <w:r>
              <w:rPr>
                <w:rFonts w:ascii="Arial" w:cs="Arial" w:eastAsia="Arial" w:hAnsi="Arial"/>
                <w:sz w:val="20"/>
                <w:szCs w:val="20"/>
                <w:color w:val="B4B4B4"/>
                <w:w w:val="95"/>
              </w:rPr>
              <w:t>. . . . . . . . . . . . . . . . . . . . . . . . . . . . . . . . . . . . . . . . . . . . . . . . .</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65"/>
        </w:trPr>
        <w:tc>
          <w:tcPr>
            <w:tcW w:w="72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6"/>
              </w:rPr>
              <w:t xml:space="preserve">. </w:t>
            </w:r>
            <w:r>
              <w:rPr>
                <w:rFonts w:ascii="Arial" w:cs="Arial" w:eastAsia="Arial" w:hAnsi="Arial"/>
                <w:sz w:val="20"/>
                <w:szCs w:val="20"/>
                <w:b w:val="1"/>
                <w:bCs w:val="1"/>
                <w:color w:val="B4B4B4"/>
                <w:w w:val="96"/>
              </w:rPr>
              <w:t>. . . . . . . . . . . . . . . . . . . . . . . . . . . .</w:t>
            </w:r>
            <w:r>
              <w:rPr>
                <w:rFonts w:ascii="Arial" w:cs="Arial" w:eastAsia="Arial" w:hAnsi="Arial"/>
                <w:sz w:val="20"/>
                <w:szCs w:val="20"/>
                <w:b w:val="1"/>
                <w:bCs w:val="1"/>
                <w:color w:val="auto"/>
                <w:w w:val="96"/>
              </w:rPr>
              <w:t>NetIncomeAttributabletoClearwayEnergy,Inc</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7260" w:type="dxa"/>
            <w:vAlign w:val="bottom"/>
            <w:tcBorders>
              <w:top w:val="single" w:sz="8" w:color="E6E6E6"/>
              <w:bottom w:val="single" w:sz="8" w:color="E6E6E6"/>
            </w:tcBorders>
            <w:vMerge w:val="restart"/>
          </w:tcPr>
          <w:p>
            <w:pPr>
              <w:ind w:left="60"/>
              <w:spacing w:after="0" w:line="197" w:lineRule="exact"/>
              <w:rPr>
                <w:sz w:val="20"/>
                <w:szCs w:val="20"/>
                <w:color w:val="auto"/>
              </w:rPr>
            </w:pPr>
            <w:r>
              <w:rPr>
                <w:rFonts w:ascii="Arial" w:cs="Arial" w:eastAsia="Arial" w:hAnsi="Arial"/>
                <w:sz w:val="20"/>
                <w:szCs w:val="20"/>
                <w:b w:val="1"/>
                <w:bCs w:val="1"/>
                <w:color w:val="auto"/>
                <w:w w:val="97"/>
              </w:rPr>
              <w:t>Earnings Per Share Attributable to Clearway Energy, Inc. Class A and Class 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7260" w:type="dxa"/>
            <w:vAlign w:val="bottom"/>
          </w:tcPr>
          <w:p>
            <w:pPr>
              <w:jc w:val="right"/>
              <w:ind w:right="4981"/>
              <w:spacing w:after="0"/>
              <w:rPr>
                <w:sz w:val="20"/>
                <w:szCs w:val="20"/>
                <w:color w:val="auto"/>
              </w:rPr>
            </w:pPr>
            <w:r>
              <w:rPr>
                <w:rFonts w:ascii="Arial" w:cs="Arial" w:eastAsia="Arial" w:hAnsi="Arial"/>
                <w:sz w:val="20"/>
                <w:szCs w:val="20"/>
                <w:b w:val="1"/>
                <w:bCs w:val="1"/>
                <w:color w:val="auto"/>
                <w:w w:val="98"/>
              </w:rPr>
              <w:t>Common Stockholders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2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Weighted average number of Class A common shares outstanding - basic and diluted </w:t>
            </w:r>
            <w:r>
              <w:rPr>
                <w:rFonts w:ascii="Arial" w:cs="Arial" w:eastAsia="Arial" w:hAnsi="Arial"/>
                <w:sz w:val="20"/>
                <w:szCs w:val="20"/>
                <w:color w:val="B4B4B4"/>
                <w:w w:val="92"/>
              </w:rPr>
              <w:t>.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8"/>
        </w:trPr>
        <w:tc>
          <w:tcPr>
            <w:tcW w:w="7260" w:type="dxa"/>
            <w:vAlign w:val="bottom"/>
          </w:tcPr>
          <w:p>
            <w:pPr>
              <w:jc w:val="right"/>
              <w:spacing w:after="0"/>
              <w:rPr>
                <w:sz w:val="20"/>
                <w:szCs w:val="20"/>
                <w:color w:val="auto"/>
              </w:rPr>
            </w:pPr>
            <w:r>
              <w:rPr>
                <w:rFonts w:ascii="Arial" w:cs="Arial" w:eastAsia="Arial" w:hAnsi="Arial"/>
                <w:sz w:val="20"/>
                <w:szCs w:val="20"/>
                <w:color w:val="auto"/>
                <w:w w:val="92"/>
              </w:rPr>
              <w:t xml:space="preserve">Weighted average number of Class C common shares outstanding - basic and diluted </w:t>
            </w:r>
            <w:r>
              <w:rPr>
                <w:rFonts w:ascii="Arial" w:cs="Arial" w:eastAsia="Arial" w:hAnsi="Arial"/>
                <w:sz w:val="20"/>
                <w:szCs w:val="20"/>
                <w:color w:val="B4B4B4"/>
                <w:w w:val="92"/>
              </w:rPr>
              <w:t>.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3"/>
        </w:trPr>
        <w:tc>
          <w:tcPr>
            <w:tcW w:w="7260" w:type="dxa"/>
            <w:vAlign w:val="bottom"/>
            <w:shd w:val="clear" w:color="auto" w:fill="E6E6E6"/>
          </w:tcPr>
          <w:p>
            <w:pPr>
              <w:ind w:left="60"/>
              <w:spacing w:after="0" w:line="213" w:lineRule="exact"/>
              <w:rPr>
                <w:sz w:val="20"/>
                <w:szCs w:val="20"/>
                <w:color w:val="auto"/>
              </w:rPr>
            </w:pPr>
            <w:r>
              <w:rPr>
                <w:rFonts w:ascii="Arial" w:cs="Arial" w:eastAsia="Arial" w:hAnsi="Arial"/>
                <w:sz w:val="20"/>
                <w:szCs w:val="20"/>
                <w:b w:val="1"/>
                <w:bCs w:val="1"/>
                <w:color w:val="auto"/>
                <w:w w:val="93"/>
              </w:rPr>
              <w:t>Earnings per Weighted Average Class A and Class C Common Share - Basic and</w:t>
            </w:r>
          </w:p>
        </w:tc>
        <w:tc>
          <w:tcPr>
            <w:tcW w:w="22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93"/>
              </w:rPr>
              <w:t xml:space="preserve">Diluted </w:t>
            </w:r>
            <w:r>
              <w:rPr>
                <w:rFonts w:ascii="Arial" w:cs="Arial" w:eastAsia="Arial" w:hAnsi="Arial"/>
                <w:sz w:val="20"/>
                <w:szCs w:val="20"/>
                <w:b w:val="1"/>
                <w:bCs w:val="1"/>
                <w:color w:val="B4B4B4"/>
                <w:w w:val="93"/>
              </w:rPr>
              <w:t>. . . . . . . . . . . . . . . . . . . . . . . . . . . . . . . . . . . . . . . . . . . . . . . . . . . . . . . . . . . . . . .</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0.75</w:t>
            </w:r>
          </w:p>
        </w:tc>
        <w:tc>
          <w:tcPr>
            <w:tcW w:w="8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0.67</w:t>
            </w:r>
          </w:p>
        </w:tc>
        <w:tc>
          <w:tcPr>
            <w:tcW w:w="8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Dividends Per Class A Common Share</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260" w:type="dxa"/>
            <w:vAlign w:val="bottom"/>
            <w:vMerge w:val="continue"/>
          </w:tcPr>
          <w:p>
            <w:pPr>
              <w:jc w:val="right"/>
              <w:spacing w:after="0" w:line="165" w:lineRule="exact"/>
              <w:rPr>
                <w:sz w:val="20"/>
                <w:szCs w:val="20"/>
                <w:color w:val="auto"/>
              </w:rPr>
            </w:pPr>
            <w:r>
              <w:rPr>
                <w:rFonts w:ascii="Arial" w:cs="Arial" w:eastAsia="Arial" w:hAnsi="Arial"/>
                <w:sz w:val="19"/>
                <w:szCs w:val="19"/>
                <w:b w:val="1"/>
                <w:bCs w:val="1"/>
                <w:color w:val="B4B4B4"/>
              </w:rPr>
              <w:t>. . . . . . . . . . . . . . . . . . . . . . . . . . . . . . . . . . . . .</w:t>
            </w:r>
          </w:p>
        </w:tc>
        <w:tc>
          <w:tcPr>
            <w:tcW w:w="2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rPr>
              <w:t>1.65</w:t>
            </w:r>
          </w:p>
        </w:tc>
        <w:tc>
          <w:tcPr>
            <w:tcW w:w="3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rPr>
              <w:t>1.54</w:t>
            </w:r>
          </w:p>
        </w:tc>
        <w:tc>
          <w:tcPr>
            <w:tcW w:w="3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7260" w:type="dxa"/>
            <w:vAlign w:val="bottom"/>
            <w:tcBorders>
              <w:bottom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260" w:type="dxa"/>
            <w:vAlign w:val="bottom"/>
            <w:shd w:val="clear" w:color="auto" w:fill="E6E6E6"/>
          </w:tcPr>
          <w:p>
            <w:pPr>
              <w:jc w:val="right"/>
              <w:spacing w:after="0" w:line="225" w:lineRule="exact"/>
              <w:rPr>
                <w:sz w:val="20"/>
                <w:szCs w:val="20"/>
                <w:color w:val="auto"/>
              </w:rPr>
            </w:pPr>
            <w:r>
              <w:rPr>
                <w:rFonts w:ascii="Arial" w:cs="Arial" w:eastAsia="Arial" w:hAnsi="Arial"/>
                <w:sz w:val="20"/>
                <w:szCs w:val="20"/>
                <w:b w:val="1"/>
                <w:bCs w:val="1"/>
                <w:color w:val="B4B4B4"/>
                <w:w w:val="96"/>
              </w:rPr>
              <w:t>. . . . . . . . . . . . . . . . . . . . . . . . . . . . . . . . . . . . .</w:t>
            </w:r>
            <w:r>
              <w:rPr>
                <w:rFonts w:ascii="Arial" w:cs="Arial" w:eastAsia="Arial" w:hAnsi="Arial"/>
                <w:sz w:val="20"/>
                <w:szCs w:val="20"/>
                <w:b w:val="1"/>
                <w:bCs w:val="1"/>
                <w:color w:val="000000"/>
                <w:w w:val="96"/>
              </w:rPr>
              <w:t>DividendsPerClassCCommonShare</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1.54</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726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-1386840</wp:posOffset>
            </wp:positionV>
            <wp:extent cx="192087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1920875" cy="508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-405765</wp:posOffset>
            </wp:positionV>
            <wp:extent cx="192087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1920875" cy="508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-224790</wp:posOffset>
            </wp:positionV>
            <wp:extent cx="192087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1920875" cy="508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-43815</wp:posOffset>
            </wp:positionV>
            <wp:extent cx="192087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1920875" cy="5080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r>
        <w:rPr>
          <w:rFonts w:ascii="Arial" w:cs="Arial" w:eastAsia="Arial" w:hAnsi="Arial"/>
          <w:sz w:val="16"/>
          <w:szCs w:val="16"/>
          <w:color w:val="auto"/>
        </w:rPr>
        <w:t>.</w:t>
      </w:r>
    </w:p>
    <w:p>
      <w:pPr>
        <w:sectPr>
          <w:pgSz w:w="11880" w:h="15480" w:orient="portrait"/>
          <w:cols w:equalWidth="0" w:num="1">
            <w:col w:w="10240"/>
          </w:cols>
          <w:pgMar w:left="820" w:top="3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240"/>
          </w:cols>
          <w:pgMar w:left="820" w:top="360" w:right="820" w:bottom="0" w:gutter="0" w:footer="0" w:header="0"/>
          <w:type w:val="continuous"/>
        </w:sectPr>
      </w:pPr>
    </w:p>
    <w:bookmarkStart w:id="79" w:name="page80"/>
    <w:bookmarkEnd w:id="79"/>
    <w:p>
      <w:pPr>
        <w:jc w:val="center"/>
        <w:ind w:right="20"/>
        <w:spacing w:after="0"/>
        <w:rPr>
          <w:sz w:val="20"/>
          <w:szCs w:val="20"/>
          <w:color w:val="auto"/>
        </w:rPr>
      </w:pPr>
      <w:r>
        <w:rPr>
          <w:rFonts w:ascii="Arial" w:cs="Arial" w:eastAsia="Arial" w:hAnsi="Arial"/>
          <w:sz w:val="20"/>
          <w:szCs w:val="20"/>
          <w:b w:val="1"/>
          <w:bCs w:val="1"/>
          <w:color w:val="auto"/>
        </w:rPr>
        <w:t>CLEARWAY ENERGY, INC.</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7"/>
          </w:tcPr>
          <w:p>
            <w:pPr>
              <w:jc w:val="right"/>
              <w:ind w:right="51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7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73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0"/>
              </w:rPr>
              <w:t xml:space="preserve">Net (Loss) Income </w:t>
            </w:r>
            <w:r>
              <w:rPr>
                <w:rFonts w:ascii="Arial" w:cs="Arial" w:eastAsia="Arial" w:hAnsi="Arial"/>
                <w:sz w:val="18"/>
                <w:szCs w:val="18"/>
                <w:b w:val="1"/>
                <w:bCs w:val="1"/>
                <w:color w:val="B4B4B4"/>
                <w:w w:val="90"/>
              </w:rPr>
              <w:t>. . . . . . . . . . . . . . . . . . . . . . . . . . . . . . . . . . . . . . . . . . . . . . . . . . . . . . . . . . . . . . . .</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8"/>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4"/>
              </w:rPr>
              <w:t>Unrealized (loss) gain on derivatives and changes in accumulated OCI/OCL, net of income tax</w:t>
            </w:r>
          </w:p>
        </w:tc>
        <w:tc>
          <w:tcPr>
            <w:tcW w:w="220" w:type="dxa"/>
            <w:vAlign w:val="bottom"/>
            <w:shd w:val="clear" w:color="auto" w:fill="E6E6E6"/>
          </w:tcPr>
          <w:p>
            <w:pPr>
              <w:spacing w:after="0"/>
              <w:rPr>
                <w:sz w:val="19"/>
                <w:szCs w:val="19"/>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9"/>
        </w:trPr>
        <w:tc>
          <w:tcPr>
            <w:tcW w:w="7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5"/>
              </w:rPr>
              <w:t xml:space="preserve">(benefit) expense of $(1), $(1) and $5 </w:t>
            </w:r>
            <w:r>
              <w:rPr>
                <w:rFonts w:ascii="Arial" w:cs="Arial" w:eastAsia="Arial" w:hAnsi="Arial"/>
                <w:sz w:val="18"/>
                <w:szCs w:val="18"/>
                <w:color w:val="B4B4B4"/>
                <w:w w:val="95"/>
              </w:rPr>
              <w:t>. . . . . . . . . . . . . . . . . . . . . . . . . . . . . . . . . . . . . . . . . . . . . .</w:t>
            </w:r>
          </w:p>
        </w:tc>
        <w:tc>
          <w:tcPr>
            <w:tcW w:w="220" w:type="dxa"/>
            <w:vAlign w:val="bottom"/>
            <w:tcBorders>
              <w:bottom w:val="single" w:sz="8" w:color="auto"/>
            </w:tcBorders>
            <w:shd w:val="clear" w:color="auto" w:fill="E6E6E6"/>
          </w:tcPr>
          <w:p>
            <w:pPr>
              <w:spacing w:after="0"/>
              <w:rPr>
                <w:sz w:val="22"/>
                <w:szCs w:val="22"/>
                <w:color w:val="auto"/>
              </w:rPr>
            </w:pPr>
          </w:p>
        </w:tc>
        <w:tc>
          <w:tcPr>
            <w:tcW w:w="70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70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72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32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Other comprehensive (loss) income  </w:t>
            </w:r>
            <w:r>
              <w:rPr>
                <w:rFonts w:ascii="Arial" w:cs="Arial" w:eastAsia="Arial" w:hAnsi="Arial"/>
                <w:sz w:val="18"/>
                <w:szCs w:val="18"/>
                <w:color w:val="B4B4B4"/>
                <w:w w:val="92"/>
              </w:rPr>
              <w:t>. . . . . . . . . . . . . . . . . . . . . . . . . . . . . . . . . . . . . . . . . . . . . . . . .</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0"/>
        </w:trPr>
        <w:tc>
          <w:tcPr>
            <w:tcW w:w="73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0"/>
              </w:rPr>
              <w:t xml:space="preserve">Comprehensive (Loss) Income </w:t>
            </w:r>
            <w:r>
              <w:rPr>
                <w:rFonts w:ascii="Arial" w:cs="Arial" w:eastAsia="Arial" w:hAnsi="Arial"/>
                <w:sz w:val="18"/>
                <w:szCs w:val="18"/>
                <w:b w:val="1"/>
                <w:bCs w:val="1"/>
                <w:color w:val="B4B4B4"/>
                <w:w w:val="90"/>
              </w:rPr>
              <w:t>. . . . . . . . . . . . . . . . . . . . . . . . . . . . . . . . . . . . . . . . . . . . . . . . . . . . . .</w:t>
            </w: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4"/>
        </w:trPr>
        <w:tc>
          <w:tcPr>
            <w:tcW w:w="7320" w:type="dxa"/>
            <w:vAlign w:val="bottom"/>
          </w:tcPr>
          <w:p>
            <w:pPr>
              <w:ind w:left="180"/>
              <w:spacing w:after="0"/>
              <w:rPr>
                <w:sz w:val="20"/>
                <w:szCs w:val="20"/>
                <w:color w:val="auto"/>
              </w:rPr>
            </w:pPr>
            <w:r>
              <w:rPr>
                <w:rFonts w:ascii="Arial" w:cs="Arial" w:eastAsia="Arial" w:hAnsi="Arial"/>
                <w:sz w:val="18"/>
                <w:szCs w:val="18"/>
                <w:color w:val="auto"/>
                <w:w w:val="98"/>
              </w:rPr>
              <w:t>Less: Comprehensive (loss) income attributable to noncontrolling interests and redeemable</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5"/>
              </w:rPr>
              <w:t xml:space="preserve">noncontrolling interests  </w:t>
            </w:r>
            <w:r>
              <w:rPr>
                <w:rFonts w:ascii="Arial" w:cs="Arial" w:eastAsia="Arial" w:hAnsi="Arial"/>
                <w:sz w:val="18"/>
                <w:szCs w:val="18"/>
                <w:color w:val="B4B4B4"/>
                <w:w w:val="95"/>
              </w:rPr>
              <w:t>.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1"/>
              </w:rPr>
              <w:t xml:space="preserve">Comprehensive Income Attributable to Clearway Energy, Inc.  </w:t>
            </w:r>
            <w:r>
              <w:rPr>
                <w:rFonts w:ascii="Arial" w:cs="Arial" w:eastAsia="Arial" w:hAnsi="Arial"/>
                <w:sz w:val="18"/>
                <w:szCs w:val="18"/>
                <w:b w:val="1"/>
                <w:bCs w:val="1"/>
                <w:color w:val="B4B4B4"/>
                <w:w w:val="91"/>
              </w:rPr>
              <w:t>. . . . . . . . . . . . . . . . . . . . . . . . . .</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73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-43815</wp:posOffset>
            </wp:positionV>
            <wp:extent cx="18923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1892300" cy="5080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260"/>
          </w:cols>
          <w:pgMar w:left="820" w:top="360" w:right="800" w:bottom="0" w:gutter="0" w:footer="0" w:header="0"/>
          <w:type w:val="continuous"/>
        </w:sectPr>
      </w:pPr>
    </w:p>
    <w:bookmarkStart w:id="80" w:name="page81"/>
    <w:bookmarkEnd w:id="80"/>
    <w:p>
      <w:pPr>
        <w:jc w:val="center"/>
        <w:ind w:right="60"/>
        <w:spacing w:after="0"/>
        <w:rPr>
          <w:sz w:val="20"/>
          <w:szCs w:val="20"/>
          <w:color w:val="auto"/>
        </w:rPr>
      </w:pPr>
      <w:r>
        <w:rPr>
          <w:rFonts w:ascii="Arial" w:cs="Arial" w:eastAsia="Arial" w:hAnsi="Arial"/>
          <w:sz w:val="20"/>
          <w:szCs w:val="20"/>
          <w:b w:val="1"/>
          <w:bCs w:val="1"/>
          <w:color w:val="auto"/>
        </w:rPr>
        <w:t>CLEARWAY ENERGY, INC.</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286" w:lineRule="exact"/>
        <w:rPr>
          <w:sz w:val="20"/>
          <w:szCs w:val="20"/>
          <w:color w:val="auto"/>
        </w:rPr>
      </w:pPr>
    </w:p>
    <w:p>
      <w:pPr>
        <w:spacing w:after="0"/>
        <w:tabs>
          <w:tab w:leader="none" w:pos="7040" w:val="left"/>
          <w:tab w:leader="none" w:pos="8700" w:val="left"/>
        </w:tabs>
        <w:rPr>
          <w:sz w:val="20"/>
          <w:szCs w:val="20"/>
          <w:color w:val="auto"/>
        </w:rPr>
      </w:pPr>
      <w:r>
        <w:rPr>
          <w:rFonts w:ascii="Arial" w:cs="Arial" w:eastAsia="Arial" w:hAnsi="Arial"/>
          <w:sz w:val="16"/>
          <w:szCs w:val="16"/>
          <w:b w:val="1"/>
          <w:bCs w:val="1"/>
          <w:color w:val="auto"/>
        </w:rPr>
        <w:t>(In millions, except shares)</w:t>
      </w:r>
      <w:r>
        <w:rPr>
          <w:sz w:val="20"/>
          <w:szCs w:val="20"/>
          <w:color w:val="auto"/>
        </w:rPr>
        <w:tab/>
      </w:r>
      <w:r>
        <w:rPr>
          <w:rFonts w:ascii="Arial" w:cs="Arial" w:eastAsia="Arial" w:hAnsi="Arial"/>
          <w:sz w:val="16"/>
          <w:szCs w:val="16"/>
          <w:b w:val="1"/>
          <w:bCs w:val="1"/>
          <w:color w:val="auto"/>
        </w:rPr>
        <w:t>December 31, 2024</w:t>
      </w:r>
      <w:r>
        <w:rPr>
          <w:sz w:val="20"/>
          <w:szCs w:val="20"/>
          <w:color w:val="auto"/>
        </w:rPr>
        <w:tab/>
      </w:r>
      <w:r>
        <w:rPr>
          <w:rFonts w:ascii="Arial" w:cs="Arial" w:eastAsia="Arial" w:hAnsi="Arial"/>
          <w:sz w:val="14"/>
          <w:szCs w:val="14"/>
          <w:b w:val="1"/>
          <w:bCs w:val="1"/>
          <w:color w:val="auto"/>
        </w:rPr>
        <w:t>December 31, 2023</w:t>
      </w:r>
    </w:p>
    <w:p>
      <w:pPr>
        <w:spacing w:after="0" w:line="6"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-127635</wp:posOffset>
            </wp:positionV>
            <wp:extent cx="2076450"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2076450" cy="12700"/>
                    </a:xfrm>
                    <a:prstGeom prst="rect">
                      <a:avLst/>
                    </a:prstGeom>
                    <a:noFill/>
                  </pic:spPr>
                </pic:pic>
              </a:graphicData>
            </a:graphic>
          </wp:anchor>
        </w:drawing>
      </w:r>
    </w:p>
    <w:p>
      <w:pPr>
        <w:sectPr>
          <w:pgSz w:w="11880" w:h="15480" w:orient="portrait"/>
          <w:cols w:equalWidth="0" w:num="1">
            <w:col w:w="10180"/>
          </w:cols>
          <w:pgMar w:left="880" w:top="355" w:right="820"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-122555</wp:posOffset>
                </wp:positionV>
                <wp:extent cx="6495415" cy="1517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47" o:spid="_x0000_s1072" style="position:absolute;margin-left:-2.6999pt;margin-top:-9.64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140" w:right="160"/>
        <w:spacing w:after="0" w:line="313" w:lineRule="auto"/>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16"/>
          <w:szCs w:val="16"/>
          <w:color w:val="B4B4B4"/>
        </w:rPr>
        <w:t>. . . . . . . . . . . . . . . . . . . . . . . . . . . . . . . . . . . . . . . . . . . . . . . . . . . . .</w:t>
      </w:r>
      <w:r>
        <w:rPr>
          <w:rFonts w:ascii="Arial" w:cs="Arial" w:eastAsia="Arial" w:hAnsi="Arial"/>
          <w:sz w:val="16"/>
          <w:szCs w:val="16"/>
          <w:color w:val="auto"/>
        </w:rPr>
        <w:t xml:space="preserve"> $ Restricted cash </w:t>
      </w:r>
      <w:r>
        <w:rPr>
          <w:rFonts w:ascii="Arial" w:cs="Arial" w:eastAsia="Arial" w:hAnsi="Arial"/>
          <w:sz w:val="16"/>
          <w:szCs w:val="16"/>
          <w:color w:val="B4B4B4"/>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-144780</wp:posOffset>
                </wp:positionV>
                <wp:extent cx="6495415" cy="15176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48" o:spid="_x0000_s1073" style="position:absolute;margin-left:-2.6999pt;margin-top:-11.3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140"/>
        <w:spacing w:after="0"/>
        <w:rPr>
          <w:sz w:val="20"/>
          <w:szCs w:val="20"/>
          <w:color w:val="auto"/>
        </w:rPr>
      </w:pPr>
      <w:r>
        <w:rPr>
          <w:rFonts w:ascii="Arial" w:cs="Arial" w:eastAsia="Arial" w:hAnsi="Arial"/>
          <w:sz w:val="16"/>
          <w:szCs w:val="16"/>
          <w:color w:val="auto"/>
        </w:rPr>
        <w:t xml:space="preserve">Accounts receivable — trade </w:t>
      </w:r>
      <w:r>
        <w:rPr>
          <w:rFonts w:ascii="Arial" w:cs="Arial" w:eastAsia="Arial" w:hAnsi="Arial"/>
          <w:sz w:val="16"/>
          <w:szCs w:val="16"/>
          <w:color w:val="B4B4B4"/>
        </w:rPr>
        <w:t>. . . . . . . . . . . . . . . . . . . . . . . . . . . . . . . . . . . . . . . . . . . . . . . . . . .</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Inventory  </w:t>
      </w:r>
      <w:r>
        <w:rPr>
          <w:rFonts w:ascii="Arial" w:cs="Arial" w:eastAsia="Arial" w:hAnsi="Arial"/>
          <w:sz w:val="16"/>
          <w:szCs w:val="16"/>
          <w:color w:val="B4B4B4"/>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-109220</wp:posOffset>
                </wp:positionV>
                <wp:extent cx="6495415" cy="15176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49" o:spid="_x0000_s1074" style="position:absolute;margin-left:-2.6999pt;margin-top:-8.5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16"/>
          <w:szCs w:val="16"/>
          <w:color w:val="B4B4B4"/>
        </w:rPr>
        <w:t>. . . . . . . . . . . . . . . . . . . . . . . . . . . . . . . . . . . . . . . . . . . . . . . . . . . . . . . .</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Note receivable — affiliate  </w:t>
      </w:r>
      <w:r>
        <w:rPr>
          <w:rFonts w:ascii="Arial" w:cs="Arial" w:eastAsia="Arial" w:hAnsi="Arial"/>
          <w:sz w:val="16"/>
          <w:szCs w:val="16"/>
          <w:color w:val="B4B4B4"/>
        </w:rPr>
        <w:t>.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-109220</wp:posOffset>
                </wp:positionV>
                <wp:extent cx="6495415" cy="15176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50" o:spid="_x0000_s1075" style="position:absolute;margin-left:-2.6999pt;margin-top:-8.5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Prepayments and other current assets </w:t>
      </w:r>
      <w:r>
        <w:rPr>
          <w:rFonts w:ascii="Arial" w:cs="Arial" w:eastAsia="Arial" w:hAnsi="Arial"/>
          <w:sz w:val="16"/>
          <w:szCs w:val="16"/>
          <w:color w:val="B4B4B4"/>
        </w:rPr>
        <w:t>. . . . . . . . . . . . . . . . . . . . . . . . . . . . . . . . . . . . . . . . . . . . .</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current assets </w:t>
      </w:r>
      <w:r>
        <w:rPr>
          <w:rFonts w:ascii="Arial" w:cs="Arial" w:eastAsia="Arial" w:hAnsi="Arial"/>
          <w:sz w:val="16"/>
          <w:szCs w:val="16"/>
          <w:color w:val="B4B4B4"/>
        </w:rPr>
        <w:t>.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-115570</wp:posOffset>
            </wp:positionV>
            <wp:extent cx="6496050" cy="165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6496050" cy="1651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plant and equipment, net </w:t>
      </w:r>
      <w:r>
        <w:rPr>
          <w:rFonts w:ascii="Arial" w:cs="Arial" w:eastAsia="Arial" w:hAnsi="Arial"/>
          <w:sz w:val="16"/>
          <w:szCs w:val="16"/>
          <w:b w:val="1"/>
          <w:bCs w:val="1"/>
          <w:color w:val="B4B4B4"/>
        </w:rPr>
        <w:t>. . . . . . . . . . . . . . . . . . . . . . . . . . . . . . . . . . . . . . . . . . . . . .</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-128270</wp:posOffset>
            </wp:positionV>
            <wp:extent cx="649605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6496050" cy="158750"/>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Equity investments in affiliates </w:t>
      </w:r>
      <w:r>
        <w:rPr>
          <w:rFonts w:ascii="Arial" w:cs="Arial" w:eastAsia="Arial" w:hAnsi="Arial"/>
          <w:sz w:val="16"/>
          <w:szCs w:val="16"/>
          <w:color w:val="B4B4B4"/>
        </w:rPr>
        <w:t>. . . . . . . . . . . . . . . . . . . . . . . . . . . . . . . . . . . . . . . . . . . . . . . . .</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Intangible assets for power purchase agreements, net </w:t>
      </w:r>
      <w:r>
        <w:rPr>
          <w:rFonts w:ascii="Arial" w:cs="Arial" w:eastAsia="Arial" w:hAnsi="Arial"/>
          <w:sz w:val="16"/>
          <w:szCs w:val="16"/>
          <w:color w:val="B4B4B4"/>
        </w:rPr>
        <w:t>.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-109855</wp:posOffset>
                </wp:positionV>
                <wp:extent cx="6495415" cy="15176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53" o:spid="_x0000_s1078" style="position:absolute;margin-left:-2.6999pt;margin-top:-8.64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intangible assets, net </w:t>
      </w:r>
      <w:r>
        <w:rPr>
          <w:rFonts w:ascii="Arial" w:cs="Arial" w:eastAsia="Arial" w:hAnsi="Arial"/>
          <w:sz w:val="16"/>
          <w:szCs w:val="16"/>
          <w:color w:val="B4B4B4"/>
        </w:rPr>
        <w:t>. . . . . . .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16"/>
          <w:szCs w:val="16"/>
          <w:color w:val="B4B4B4"/>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-109855</wp:posOffset>
                </wp:positionV>
                <wp:extent cx="6495415" cy="1517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54" o:spid="_x0000_s1079" style="position:absolute;margin-left:-2.6999pt;margin-top:-8.64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Right-of-use assets, net  </w:t>
      </w:r>
      <w:r>
        <w:rPr>
          <w:rFonts w:ascii="Arial" w:cs="Arial" w:eastAsia="Arial" w:hAnsi="Arial"/>
          <w:sz w:val="16"/>
          <w:szCs w:val="16"/>
          <w:color w:val="B4B4B4"/>
        </w:rPr>
        <w:t>. . . . . . . . .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non-current assets </w:t>
      </w:r>
      <w:r>
        <w:rPr>
          <w:rFonts w:ascii="Arial" w:cs="Arial" w:eastAsia="Arial" w:hAnsi="Arial"/>
          <w:sz w:val="16"/>
          <w:szCs w:val="16"/>
          <w:color w:val="B4B4B4"/>
        </w:rPr>
        <w:t>.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-109855</wp:posOffset>
            </wp:positionV>
            <wp:extent cx="6496050" cy="158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extLst>
                    </a:blip>
                    <a:srcRect/>
                    <a:stretch>
                      <a:fillRect/>
                    </a:stretch>
                  </pic:blipFill>
                  <pic:spPr bwMode="auto">
                    <a:xfrm>
                      <a:off x="0" y="0"/>
                      <a:ext cx="6496050" cy="158750"/>
                    </a:xfrm>
                    <a:prstGeom prst="rect">
                      <a:avLst/>
                    </a:prstGeom>
                    <a:noFill/>
                  </pic:spPr>
                </pic:pic>
              </a:graphicData>
            </a:graphic>
          </wp:anchor>
        </w:drawing>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other assets </w:t>
      </w:r>
      <w:r>
        <w:rPr>
          <w:rFonts w:ascii="Arial" w:cs="Arial" w:eastAsia="Arial" w:hAnsi="Arial"/>
          <w:sz w:val="16"/>
          <w:szCs w:val="16"/>
          <w:color w:val="B4B4B4"/>
        </w:rPr>
        <w:t>. . . . . . . . . . . . . . . . . . . . . . . . . . . . . . . . . . . . . . . . . . . . . . . . . . . . . . . . . .</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16"/>
          <w:szCs w:val="16"/>
          <w:b w:val="1"/>
          <w:bCs w:val="1"/>
          <w:color w:val="B4B4B4"/>
        </w:rPr>
        <w:t>. . . . . . . . . . . . . . . . . . . . . . . . . . . . . . . . . . . . . . . . . . . . . . . . . . . . . . . . . . . . . . . . .</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-113665</wp:posOffset>
            </wp:positionV>
            <wp:extent cx="6508750" cy="1841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a:extLst>
                        <a:ext uri="{28A0092B-C50C-407E-A947-70E740481C1C}"/>
                      </a:extLst>
                    </a:blip>
                    <a:srcRect/>
                    <a:stretch>
                      <a:fillRect/>
                    </a:stretch>
                  </pic:blipFill>
                  <pic:spPr bwMode="auto">
                    <a:xfrm>
                      <a:off x="0" y="0"/>
                      <a:ext cx="6508750" cy="184150"/>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LIABILITIES AND STOCKHOLDERS’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-122555</wp:posOffset>
                </wp:positionV>
                <wp:extent cx="6495415" cy="15176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57" o:spid="_x0000_s1082" style="position:absolute;margin-left:-2.6999pt;margin-top:-9.64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140" w:right="160"/>
        <w:spacing w:after="0" w:line="313" w:lineRule="auto"/>
        <w:rPr>
          <w:sz w:val="20"/>
          <w:szCs w:val="20"/>
          <w:color w:val="auto"/>
        </w:rPr>
      </w:pPr>
      <w:r>
        <w:rPr>
          <w:rFonts w:ascii="Arial" w:cs="Arial" w:eastAsia="Arial" w:hAnsi="Arial"/>
          <w:sz w:val="16"/>
          <w:szCs w:val="16"/>
          <w:color w:val="auto"/>
        </w:rPr>
        <w:t xml:space="preserve">Current portion of long-term debt </w:t>
      </w:r>
      <w:r>
        <w:rPr>
          <w:rFonts w:ascii="Arial" w:cs="Arial" w:eastAsia="Arial" w:hAnsi="Arial"/>
          <w:sz w:val="16"/>
          <w:szCs w:val="16"/>
          <w:color w:val="B4B4B4"/>
        </w:rPr>
        <w:t>. . . . . . . . . . . . . . . . . . . . . . . . . . . . . . . . . . . . . . . . . . . . . . .</w:t>
      </w:r>
      <w:r>
        <w:rPr>
          <w:rFonts w:ascii="Arial" w:cs="Arial" w:eastAsia="Arial" w:hAnsi="Arial"/>
          <w:sz w:val="16"/>
          <w:szCs w:val="16"/>
          <w:color w:val="auto"/>
        </w:rPr>
        <w:t xml:space="preserve"> $ Accounts payable — trade </w:t>
      </w:r>
      <w:r>
        <w:rPr>
          <w:rFonts w:ascii="Arial" w:cs="Arial" w:eastAsia="Arial" w:hAnsi="Arial"/>
          <w:sz w:val="16"/>
          <w:szCs w:val="16"/>
          <w:color w:val="B4B4B4"/>
        </w:rPr>
        <w:t>.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-144780</wp:posOffset>
                </wp:positionV>
                <wp:extent cx="6495415" cy="1517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58" o:spid="_x0000_s1083" style="position:absolute;margin-left:-2.6999pt;margin-top:-11.3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140"/>
        <w:spacing w:after="0"/>
        <w:rPr>
          <w:sz w:val="20"/>
          <w:szCs w:val="20"/>
          <w:color w:val="auto"/>
        </w:rPr>
      </w:pPr>
      <w:r>
        <w:rPr>
          <w:rFonts w:ascii="Arial" w:cs="Arial" w:eastAsia="Arial" w:hAnsi="Arial"/>
          <w:sz w:val="16"/>
          <w:szCs w:val="16"/>
          <w:color w:val="auto"/>
        </w:rPr>
        <w:t xml:space="preserve">Accounts payable — affiliates </w:t>
      </w:r>
      <w:r>
        <w:rPr>
          <w:rFonts w:ascii="Arial" w:cs="Arial" w:eastAsia="Arial" w:hAnsi="Arial"/>
          <w:sz w:val="16"/>
          <w:szCs w:val="16"/>
          <w:color w:val="B4B4B4"/>
        </w:rPr>
        <w:t>. . . . . . . . . . . . . . . . . . . . . . . . . . . . . . . . . . . . . . . . . . . . . . . . . .</w:t>
      </w:r>
    </w:p>
    <w:p>
      <w:pPr>
        <w:spacing w:after="0" w:line="55"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6"/>
          <w:szCs w:val="16"/>
          <w:color w:val="B4B4B4"/>
        </w:rPr>
        <w:t>.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-123825</wp:posOffset>
                </wp:positionV>
                <wp:extent cx="6495415" cy="15176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59" o:spid="_x0000_s1084" style="position:absolute;margin-left:-2.6999pt;margin-top:-9.74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Accrued interest expense </w:t>
      </w:r>
      <w:r>
        <w:rPr>
          <w:rFonts w:ascii="Arial" w:cs="Arial" w:eastAsia="Arial" w:hAnsi="Arial"/>
          <w:sz w:val="16"/>
          <w:szCs w:val="16"/>
          <w:color w:val="B4B4B4"/>
        </w:rPr>
        <w:t>. . . . . . . . . . . . . . . . . . . . . . . . . . . . . . . . . . . . . . . . . . . . . . . . . . . . . .</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Accrued expenses and other current liabilities </w:t>
      </w:r>
      <w:r>
        <w:rPr>
          <w:rFonts w:ascii="Arial" w:cs="Arial" w:eastAsia="Arial" w:hAnsi="Arial"/>
          <w:sz w:val="16"/>
          <w:szCs w:val="16"/>
          <w:color w:val="B4B4B4"/>
        </w:rPr>
        <w:t>.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-109855</wp:posOffset>
            </wp:positionV>
            <wp:extent cx="6496050" cy="158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5">
                      <a:extLst>
                        <a:ext uri="{28A0092B-C50C-407E-A947-70E740481C1C}"/>
                      </a:extLst>
                    </a:blip>
                    <a:srcRect/>
                    <a:stretch>
                      <a:fillRect/>
                    </a:stretch>
                  </pic:blipFill>
                  <pic:spPr bwMode="auto">
                    <a:xfrm>
                      <a:off x="0" y="0"/>
                      <a:ext cx="6496050" cy="158750"/>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current liabilities  </w:t>
      </w:r>
      <w:r>
        <w:rPr>
          <w:rFonts w:ascii="Arial" w:cs="Arial" w:eastAsia="Arial" w:hAnsi="Arial"/>
          <w:sz w:val="16"/>
          <w:szCs w:val="16"/>
          <w:color w:val="B4B4B4"/>
        </w:rPr>
        <w:t>. . . . . . . . . . . . . . . . . . . . . . . . . . . . . . . . . . . . . . . . . . . . . . . . . . . . .</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-128905</wp:posOffset>
            </wp:positionV>
            <wp:extent cx="6496050" cy="158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
                      <a:extLst>
                        <a:ext uri="{28A0092B-C50C-407E-A947-70E740481C1C}"/>
                      </a:extLst>
                    </a:blip>
                    <a:srcRect/>
                    <a:stretch>
                      <a:fillRect/>
                    </a:stretch>
                  </pic:blipFill>
                  <pic:spPr bwMode="auto">
                    <a:xfrm>
                      <a:off x="0" y="0"/>
                      <a:ext cx="6496050" cy="15875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16"/>
          <w:szCs w:val="16"/>
          <w:color w:val="B4B4B4"/>
        </w:rPr>
        <w:t>. . . . . . . . . . . . . . . . . . . . . . . . . . . . . . . . . . . . . . . . . . . . . . . . . . . . . . . . . . . . . .</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Deferred income taxes </w:t>
      </w:r>
      <w:r>
        <w:rPr>
          <w:rFonts w:ascii="Arial" w:cs="Arial" w:eastAsia="Arial" w:hAnsi="Arial"/>
          <w:sz w:val="16"/>
          <w:szCs w:val="16"/>
          <w:color w:val="B4B4B4"/>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-109220</wp:posOffset>
                </wp:positionV>
                <wp:extent cx="6495415" cy="15176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62" o:spid="_x0000_s1087" style="position:absolute;margin-left:-2.6999pt;margin-top:-8.5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16"/>
          <w:szCs w:val="16"/>
          <w:color w:val="B4B4B4"/>
        </w:rPr>
        <w:t>. . . . . . . . . . . . . . . . . . . . . . . . . . . . . . . . . . . . . . . . . . . . . . . . . . . . . . . .</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Long-term lease liabilities </w:t>
      </w:r>
      <w:r>
        <w:rPr>
          <w:rFonts w:ascii="Arial" w:cs="Arial" w:eastAsia="Arial" w:hAnsi="Arial"/>
          <w:sz w:val="16"/>
          <w:szCs w:val="16"/>
          <w:color w:val="B4B4B4"/>
        </w:rPr>
        <w:t>.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-109220</wp:posOffset>
                </wp:positionV>
                <wp:extent cx="6495415" cy="1517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63" o:spid="_x0000_s1088" style="position:absolute;margin-left:-2.6999pt;margin-top:-8.5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16"/>
          <w:szCs w:val="16"/>
          <w:color w:val="B4B4B4"/>
        </w:rPr>
        <w:t>. . . . . . . . . . . . . . . . . . . . . . . . . . . . . . . . . . . . . . . . . . . . . . . . . . . .</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other liabilities </w:t>
      </w:r>
      <w:r>
        <w:rPr>
          <w:rFonts w:ascii="Arial" w:cs="Arial" w:eastAsia="Arial" w:hAnsi="Arial"/>
          <w:sz w:val="16"/>
          <w:szCs w:val="16"/>
          <w:color w:val="B4B4B4"/>
        </w:rPr>
        <w:t>.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-116205</wp:posOffset>
            </wp:positionV>
            <wp:extent cx="6496050" cy="165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6496050" cy="16510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Liabilities </w:t>
      </w:r>
      <w:r>
        <w:rPr>
          <w:rFonts w:ascii="Arial" w:cs="Arial" w:eastAsia="Arial" w:hAnsi="Arial"/>
          <w:sz w:val="16"/>
          <w:szCs w:val="16"/>
          <w:b w:val="1"/>
          <w:bCs w:val="1"/>
          <w:color w:val="B4B4B4"/>
        </w:rPr>
        <w:t>. . . . . . . . . . . . . . . . . . . . . . . . . . . . . . . . . . . . . . . . . . . . . . . . . . . . . . . . . . . . . .</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Redeemable noncontrolling interest in subsidiaries </w:t>
      </w:r>
      <w:r>
        <w:rPr>
          <w:rFonts w:ascii="Arial" w:cs="Arial" w:eastAsia="Arial" w:hAnsi="Arial"/>
          <w:sz w:val="16"/>
          <w:szCs w:val="16"/>
          <w:b w:val="1"/>
          <w:bCs w:val="1"/>
          <w:color w:val="B4B4B4"/>
        </w:rPr>
        <w:t>.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-113665</wp:posOffset>
            </wp:positionV>
            <wp:extent cx="6496050" cy="165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6496050" cy="16510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-121920</wp:posOffset>
                </wp:positionV>
                <wp:extent cx="6495415" cy="15176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51765"/>
                        </a:xfrm>
                        <a:prstGeom prst="rect">
                          <a:avLst/>
                        </a:prstGeom>
                        <a:solidFill>
                          <a:srgbClr val="E6E6E6"/>
                        </a:solidFill>
                      </wps:spPr>
                      <wps:bodyPr/>
                    </wps:wsp>
                  </a:graphicData>
                </a:graphic>
              </wp:anchor>
            </w:drawing>
          </mc:Choice>
          <mc:Fallback>
            <w:pict>
              <v:rect id="Shape 66" o:spid="_x0000_s1091" style="position:absolute;margin-left:-2.6999pt;margin-top:-9.5999pt;width:511.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color w:val="auto"/>
        </w:rPr>
        <w:t>Preferred stock, $0.01 par value; 10,000,000 shares authorized; none issued</w:t>
      </w:r>
      <w:r>
        <w:rPr>
          <w:sz w:val="20"/>
          <w:szCs w:val="20"/>
          <w:color w:val="auto"/>
        </w:rPr>
        <w:tab/>
      </w:r>
      <w:r>
        <w:rPr>
          <w:rFonts w:ascii="Arial" w:cs="Arial" w:eastAsia="Arial" w:hAnsi="Arial"/>
          <w:sz w:val="16"/>
          <w:szCs w:val="16"/>
          <w:color w:val="B4B4B4"/>
        </w:rPr>
        <w:t>.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27940</wp:posOffset>
                </wp:positionV>
                <wp:extent cx="6495415" cy="75247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752475"/>
                        </a:xfrm>
                        <a:prstGeom prst="rect">
                          <a:avLst/>
                        </a:prstGeom>
                        <a:solidFill>
                          <a:srgbClr val="E6E6E6"/>
                        </a:solidFill>
                      </wps:spPr>
                      <wps:bodyPr/>
                    </wps:wsp>
                  </a:graphicData>
                </a:graphic>
              </wp:anchor>
            </w:drawing>
          </mc:Choice>
          <mc:Fallback>
            <w:pict>
              <v:rect id="Shape 67" o:spid="_x0000_s1092" style="position:absolute;margin-left:-2.6999pt;margin-top:2.2pt;width:511.45pt;height:5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9" w:lineRule="exact"/>
        <w:rPr>
          <w:sz w:val="20"/>
          <w:szCs w:val="20"/>
          <w:color w:val="auto"/>
        </w:rPr>
      </w:pPr>
    </w:p>
    <w:p>
      <w:pPr>
        <w:ind w:left="140" w:right="380"/>
        <w:spacing w:after="0" w:line="234"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 202,147,579 shares issued and outstanding (Class A 34,613,853, Class B 42,738,750, Class C 82,833,226, Class D 41,961,750) at December 31, 2024 and</w:t>
      </w:r>
    </w:p>
    <w:p>
      <w:pPr>
        <w:spacing w:after="0" w:line="2" w:lineRule="exact"/>
        <w:rPr>
          <w:sz w:val="20"/>
          <w:szCs w:val="20"/>
          <w:color w:val="auto"/>
        </w:rPr>
      </w:pPr>
    </w:p>
    <w:p>
      <w:pPr>
        <w:ind w:left="140" w:right="340"/>
        <w:spacing w:after="0" w:line="273" w:lineRule="auto"/>
        <w:rPr>
          <w:sz w:val="20"/>
          <w:szCs w:val="20"/>
          <w:color w:val="auto"/>
        </w:rPr>
      </w:pPr>
      <w:r>
        <w:rPr>
          <w:rFonts w:ascii="Arial" w:cs="Arial" w:eastAsia="Arial" w:hAnsi="Arial"/>
          <w:sz w:val="16"/>
          <w:szCs w:val="16"/>
          <w:color w:val="auto"/>
        </w:rPr>
        <w:t xml:space="preserve">202,080,794 shares issued and outstanding (Class A 34,613,853, Class B 42,738,750, Class C 82,391,441, Class D 42,336,750) at December 31, 2023 </w:t>
      </w:r>
      <w:r>
        <w:rPr>
          <w:rFonts w:ascii="Arial" w:cs="Arial" w:eastAsia="Arial" w:hAnsi="Arial"/>
          <w:sz w:val="16"/>
          <w:szCs w:val="16"/>
          <w:color w:val="B4B4B4"/>
        </w:rPr>
        <w:t>. . . . . . . . . . . . . . . . . . . . . . . . . . . .</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Additional paid-in capital </w:t>
      </w:r>
      <w:r>
        <w:rPr>
          <w:rFonts w:ascii="Arial" w:cs="Arial" w:eastAsia="Arial" w:hAnsi="Arial"/>
          <w:sz w:val="16"/>
          <w:szCs w:val="16"/>
          <w:color w:val="B4B4B4"/>
        </w:rPr>
        <w:t>. . . . . . . .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Retained earnings </w:t>
      </w:r>
      <w:r>
        <w:rPr>
          <w:rFonts w:ascii="Arial" w:cs="Arial" w:eastAsia="Arial" w:hAnsi="Arial"/>
          <w:sz w:val="16"/>
          <w:szCs w:val="16"/>
          <w:color w:val="B4B4B4"/>
        </w:rPr>
        <w:t>.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-109855</wp:posOffset>
                </wp:positionV>
                <wp:extent cx="6496050" cy="15176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E6E6E6"/>
                        </a:solidFill>
                      </wps:spPr>
                      <wps:bodyPr/>
                    </wps:wsp>
                  </a:graphicData>
                </a:graphic>
              </wp:anchor>
            </w:drawing>
          </mc:Choice>
          <mc:Fallback>
            <w:pict>
              <v:rect id="Shape 68" o:spid="_x0000_s1093" style="position:absolute;margin-left:-2.7499pt;margin-top:-8.64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Accumulated other comprehensive income </w:t>
      </w:r>
      <w:r>
        <w:rPr>
          <w:rFonts w:ascii="Arial" w:cs="Arial" w:eastAsia="Arial" w:hAnsi="Arial"/>
          <w:sz w:val="16"/>
          <w:szCs w:val="16"/>
          <w:color w:val="B4B4B4"/>
        </w:rPr>
        <w:t>.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16"/>
          <w:szCs w:val="16"/>
          <w:color w:val="B4B4B4"/>
        </w:rPr>
        <w:t>.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-109855</wp:posOffset>
            </wp:positionV>
            <wp:extent cx="6496050" cy="158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9">
                      <a:extLst>
                        <a:ext uri="{28A0092B-C50C-407E-A947-70E740481C1C}"/>
                      </a:extLst>
                    </a:blip>
                    <a:srcRect/>
                    <a:stretch>
                      <a:fillRect/>
                    </a:stretch>
                  </pic:blipFill>
                  <pic:spPr bwMode="auto">
                    <a:xfrm>
                      <a:off x="0" y="0"/>
                      <a:ext cx="6496050" cy="15875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Stockholders’ Equity </w:t>
      </w:r>
      <w:r>
        <w:rPr>
          <w:rFonts w:ascii="Arial" w:cs="Arial" w:eastAsia="Arial" w:hAnsi="Arial"/>
          <w:sz w:val="16"/>
          <w:szCs w:val="16"/>
          <w:b w:val="1"/>
          <w:bCs w:val="1"/>
          <w:color w:val="B4B4B4"/>
        </w:rPr>
        <w:t>. . . . . . . . . . . . . . . . . . . . . . . . . . . . . . . . . . . . . . . . . . . . . . . . . . . . .</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Liabilities and Stockholders’ Equity </w:t>
      </w:r>
      <w:r>
        <w:rPr>
          <w:rFonts w:ascii="Arial" w:cs="Arial" w:eastAsia="Arial" w:hAnsi="Arial"/>
          <w:sz w:val="16"/>
          <w:szCs w:val="16"/>
          <w:b w:val="1"/>
          <w:bCs w:val="1"/>
          <w:color w:val="B4B4B4"/>
        </w:rPr>
        <w:t>. . . . . . . . . . . . . . . . . . . . . . . . . . . . . . . . . . . . . . . .</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-113665</wp:posOffset>
            </wp:positionV>
            <wp:extent cx="6508750" cy="184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0">
                      <a:extLst>
                        <a:ext uri="{28A0092B-C50C-407E-A947-70E740481C1C}"/>
                      </a:extLst>
                    </a:blip>
                    <a:srcRect/>
                    <a:stretch>
                      <a:fillRect/>
                    </a:stretch>
                  </pic:blipFill>
                  <pic:spPr bwMode="auto">
                    <a:xfrm>
                      <a:off x="0" y="0"/>
                      <a:ext cx="6508750" cy="184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332</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401</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1,067</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9,944</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w:t>
            </w:r>
          </w:p>
        </w:tc>
      </w:tr>
      <w:tr>
        <w:trPr>
          <w:trHeight w:val="484"/>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309</w:t>
            </w: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2,125</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3,318</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r>
      <w:tr>
        <w:trPr>
          <w:trHeight w:val="200"/>
        </w:trPr>
        <w:tc>
          <w:tcPr>
            <w:tcW w:w="660" w:type="dxa"/>
            <w:vAlign w:val="bottom"/>
          </w:tcPr>
          <w:p>
            <w:pPr>
              <w:jc w:val="right"/>
              <w:ind w:right="70"/>
              <w:spacing w:after="0" w:line="200" w:lineRule="exact"/>
              <w:rPr>
                <w:sz w:val="20"/>
                <w:szCs w:val="20"/>
                <w:color w:val="auto"/>
              </w:rPr>
            </w:pPr>
            <w:r>
              <w:rPr>
                <w:rFonts w:ascii="Arial" w:cs="Arial" w:eastAsia="Arial" w:hAnsi="Arial"/>
                <w:sz w:val="18"/>
                <w:szCs w:val="18"/>
                <w:color w:val="auto"/>
                <w:w w:val="87"/>
              </w:rPr>
              <w:t>14,329</w:t>
            </w:r>
          </w:p>
        </w:tc>
        <w:tc>
          <w:tcPr>
            <w:tcW w:w="580" w:type="dxa"/>
            <w:vAlign w:val="bottom"/>
            <w:tcBorders>
              <w:bottom w:val="single" w:sz="8" w:color="auto"/>
            </w:tcBorders>
          </w:tcPr>
          <w:p>
            <w:pPr>
              <w:jc w:val="right"/>
              <w:ind w:right="35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14,701</w:t>
            </w:r>
          </w:p>
        </w:tc>
      </w:tr>
      <w:tr>
        <w:trPr>
          <w:trHeight w:val="20"/>
        </w:trPr>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04"/>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430</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718</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484"/>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6,750</w:t>
            </w: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7,479</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315</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569</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16"/>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324</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8,047</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8,765</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724"/>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1,805</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254</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4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3,501</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r>
      <w:tr>
        <w:trPr>
          <w:trHeight w:val="22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5,564</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r>
      <w:tr>
        <w:trPr>
          <w:trHeight w:val="200"/>
        </w:trPr>
        <w:tc>
          <w:tcPr>
            <w:tcW w:w="660" w:type="dxa"/>
            <w:vAlign w:val="bottom"/>
          </w:tcPr>
          <w:p>
            <w:pPr>
              <w:jc w:val="right"/>
              <w:ind w:right="70"/>
              <w:spacing w:after="0" w:line="200" w:lineRule="exact"/>
              <w:rPr>
                <w:sz w:val="20"/>
                <w:szCs w:val="20"/>
                <w:color w:val="auto"/>
              </w:rPr>
            </w:pPr>
            <w:r>
              <w:rPr>
                <w:rFonts w:ascii="Arial" w:cs="Arial" w:eastAsia="Arial" w:hAnsi="Arial"/>
                <w:sz w:val="18"/>
                <w:szCs w:val="18"/>
                <w:color w:val="auto"/>
                <w:w w:val="87"/>
              </w:rPr>
              <w:t>14,329</w:t>
            </w:r>
          </w:p>
        </w:tc>
        <w:tc>
          <w:tcPr>
            <w:tcW w:w="580" w:type="dxa"/>
            <w:vAlign w:val="bottom"/>
            <w:tcBorders>
              <w:bottom w:val="single" w:sz="8" w:color="auto"/>
            </w:tcBorders>
          </w:tcPr>
          <w:p>
            <w:pPr>
              <w:jc w:val="right"/>
              <w:ind w:right="35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14,701</w:t>
            </w:r>
          </w:p>
        </w:tc>
      </w:tr>
      <w:tr>
        <w:trPr>
          <w:trHeight w:val="20"/>
        </w:trPr>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ectPr>
          <w:pgSz w:w="11880" w:h="15480" w:orient="portrait"/>
          <w:cols w:equalWidth="0" w:num="2">
            <w:col w:w="7200" w:space="720"/>
            <w:col w:w="2260"/>
          </w:cols>
          <w:pgMar w:left="880" w:top="355" w:right="820" w:bottom="0" w:gutter="0" w:footer="0" w:header="0"/>
          <w:type w:val="continuous"/>
        </w:sectPr>
      </w:pPr>
    </w:p>
    <w:p>
      <w:pPr>
        <w:jc w:val="center"/>
        <w:ind w:right="60"/>
        <w:spacing w:after="0"/>
        <w:rPr>
          <w:sz w:val="20"/>
          <w:szCs w:val="20"/>
          <w:color w:val="auto"/>
        </w:rPr>
      </w:pPr>
      <w:r>
        <w:rPr>
          <w:rFonts w:ascii="Arial" w:cs="Arial" w:eastAsia="Arial" w:hAnsi="Arial"/>
          <w:sz w:val="17"/>
          <w:szCs w:val="17"/>
          <w:color w:val="auto"/>
        </w:rPr>
        <w:t>See accompanying notes to consolidated financial statements.</w:t>
      </w:r>
    </w:p>
    <w:p>
      <w:pPr>
        <w:sectPr>
          <w:pgSz w:w="11880" w:h="15480" w:orient="portrait"/>
          <w:cols w:equalWidth="0" w:num="1">
            <w:col w:w="10180"/>
          </w:cols>
          <w:pgMar w:left="880" w:top="355" w:right="820" w:bottom="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180"/>
          </w:cols>
          <w:pgMar w:left="880" w:top="355" w:right="82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6"/>
                <w:szCs w:val="16"/>
                <w:b w:val="1"/>
                <w:bCs w:val="1"/>
                <w:color w:val="auto"/>
              </w:rPr>
              <w:t>Year ended December 31,</w:t>
            </w:r>
          </w:p>
        </w:tc>
      </w:tr>
      <w:tr>
        <w:trPr>
          <w:trHeight w:val="220"/>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2022</w:t>
            </w:r>
          </w:p>
        </w:tc>
      </w:tr>
      <w:tr>
        <w:trPr>
          <w:trHeight w:val="223"/>
        </w:trPr>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(In millions)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7"/>
        </w:trPr>
        <w:tc>
          <w:tcPr>
            <w:tcW w:w="7780" w:type="dxa"/>
            <w:vAlign w:val="bottom"/>
            <w:shd w:val="clear" w:color="auto" w:fill="E6E6E6"/>
          </w:tcPr>
          <w:p>
            <w:pPr>
              <w:ind w:left="60"/>
              <w:spacing w:after="0"/>
              <w:rPr>
                <w:sz w:val="20"/>
                <w:szCs w:val="20"/>
                <w:color w:val="auto"/>
              </w:rPr>
            </w:pPr>
            <w:r>
              <w:rPr>
                <w:rFonts w:ascii="Arial" w:cs="Arial" w:eastAsia="Arial" w:hAnsi="Arial"/>
                <w:sz w:val="18"/>
                <w:szCs w:val="18"/>
                <w:color w:val="auto"/>
                <w:w w:val="90"/>
              </w:rPr>
              <w:t xml:space="preserve">Net (loss) income </w:t>
            </w:r>
            <w:r>
              <w:rPr>
                <w:rFonts w:ascii="Arial" w:cs="Arial" w:eastAsia="Arial" w:hAnsi="Arial"/>
                <w:sz w:val="18"/>
                <w:szCs w:val="18"/>
                <w:color w:val="B4B4B4"/>
                <w:w w:val="90"/>
              </w:rPr>
              <w:t>. . . . . . . . . . . . . . . . . . . . . . . . . . . . . . . . . . . . . . . . . . . . . . . . . . . . . . . . . . . . . . . . . . . . . . .</w:t>
            </w:r>
          </w:p>
        </w:tc>
        <w:tc>
          <w:tcPr>
            <w:tcW w:w="2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32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1,060</w:t>
            </w:r>
          </w:p>
        </w:tc>
      </w:tr>
      <w:tr>
        <w:trPr>
          <w:trHeight w:val="238"/>
        </w:trPr>
        <w:tc>
          <w:tcPr>
            <w:tcW w:w="7780" w:type="dxa"/>
            <w:vAlign w:val="bottom"/>
          </w:tcPr>
          <w:p>
            <w:pPr>
              <w:jc w:val="right"/>
              <w:ind w:right="1230"/>
              <w:spacing w:after="0"/>
              <w:rPr>
                <w:sz w:val="20"/>
                <w:szCs w:val="20"/>
                <w:color w:val="auto"/>
              </w:rPr>
            </w:pPr>
            <w:r>
              <w:rPr>
                <w:rFonts w:ascii="Arial" w:cs="Arial" w:eastAsia="Arial" w:hAnsi="Arial"/>
                <w:sz w:val="18"/>
                <w:szCs w:val="18"/>
                <w:color w:val="auto"/>
                <w:w w:val="93"/>
              </w:rPr>
              <w:t>Adjustments to reconcile net (loss) income to net cash provided by operating activities: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Equity in earnings of unconsolidated affiliates  </w:t>
            </w:r>
            <w:r>
              <w:rPr>
                <w:rFonts w:ascii="Arial" w:cs="Arial" w:eastAsia="Arial" w:hAnsi="Arial"/>
                <w:sz w:val="18"/>
                <w:szCs w:val="18"/>
                <w:color w:val="B4B4B4"/>
                <w:w w:val="96"/>
              </w:rPr>
              <w:t>.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6"/>
              </w:rPr>
              <w:t xml:space="preserve">Distributions from unconsolidated affiliates </w:t>
            </w:r>
            <w:r>
              <w:rPr>
                <w:rFonts w:ascii="Arial" w:cs="Arial" w:eastAsia="Arial" w:hAnsi="Arial"/>
                <w:sz w:val="18"/>
                <w:szCs w:val="18"/>
                <w:color w:val="B4B4B4"/>
                <w:w w:val="96"/>
              </w:rPr>
              <w:t>.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Depreciation, amortization and accretion </w:t>
            </w:r>
            <w:r>
              <w:rPr>
                <w:rFonts w:ascii="Arial" w:cs="Arial" w:eastAsia="Arial" w:hAnsi="Arial"/>
                <w:sz w:val="18"/>
                <w:szCs w:val="18"/>
                <w:color w:val="B4B4B4"/>
                <w:w w:val="95"/>
              </w:rPr>
              <w:t>.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512</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6"/>
              </w:rPr>
              <w:t xml:space="preserve">Amortization of financing costs and debt discounts </w:t>
            </w:r>
            <w:r>
              <w:rPr>
                <w:rFonts w:ascii="Arial" w:cs="Arial" w:eastAsia="Arial" w:hAnsi="Arial"/>
                <w:sz w:val="18"/>
                <w:szCs w:val="18"/>
                <w:color w:val="B4B4B4"/>
                <w:w w:val="96"/>
              </w:rPr>
              <w:t>.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Amortization of intangibles </w:t>
            </w:r>
            <w:r>
              <w:rPr>
                <w:rFonts w:ascii="Arial" w:cs="Arial" w:eastAsia="Arial" w:hAnsi="Arial"/>
                <w:sz w:val="18"/>
                <w:szCs w:val="18"/>
                <w:color w:val="B4B4B4"/>
                <w:w w:val="96"/>
              </w:rPr>
              <w:t>. . . . . . . . . . . .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172</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5"/>
              </w:rPr>
              <w:t xml:space="preserve">Loss on debt extinguishment  </w:t>
            </w:r>
            <w:r>
              <w:rPr>
                <w:rFonts w:ascii="Arial" w:cs="Arial" w:eastAsia="Arial" w:hAnsi="Arial"/>
                <w:sz w:val="18"/>
                <w:szCs w:val="18"/>
                <w:color w:val="B4B4B4"/>
                <w:w w:val="95"/>
              </w:rPr>
              <w:t>. . . . . . . . .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Reduction in carrying amount of right-of-use assets </w:t>
            </w:r>
            <w:r>
              <w:rPr>
                <w:rFonts w:ascii="Arial" w:cs="Arial" w:eastAsia="Arial" w:hAnsi="Arial"/>
                <w:sz w:val="18"/>
                <w:szCs w:val="18"/>
                <w:color w:val="B4B4B4"/>
                <w:w w:val="95"/>
              </w:rPr>
              <w:t>.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4"/>
              </w:rPr>
              <w:t xml:space="preserve">Gain on sale of business  </w:t>
            </w:r>
            <w:r>
              <w:rPr>
                <w:rFonts w:ascii="Arial" w:cs="Arial" w:eastAsia="Arial" w:hAnsi="Arial"/>
                <w:sz w:val="18"/>
                <w:szCs w:val="18"/>
                <w:color w:val="B4B4B4"/>
                <w:w w:val="94"/>
              </w:rPr>
              <w:t>. . . . . . . . . . . . .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Impairment losses </w:t>
            </w:r>
            <w:r>
              <w:rPr>
                <w:rFonts w:ascii="Arial" w:cs="Arial" w:eastAsia="Arial" w:hAnsi="Arial"/>
                <w:sz w:val="18"/>
                <w:szCs w:val="18"/>
                <w:color w:val="B4B4B4"/>
                <w:w w:val="95"/>
              </w:rPr>
              <w:t>. . . . . . . . . . . . . . . . . . .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4"/>
              </w:rPr>
              <w:t xml:space="preserve">Change in deferred income taxes </w:t>
            </w:r>
            <w:r>
              <w:rPr>
                <w:rFonts w:ascii="Arial" w:cs="Arial" w:eastAsia="Arial" w:hAnsi="Arial"/>
                <w:sz w:val="18"/>
                <w:szCs w:val="18"/>
                <w:color w:val="B4B4B4"/>
                <w:w w:val="94"/>
              </w:rPr>
              <w:t>. . . . . . .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Changes in derivative instruments and amortization of accumulated OCI/OCL </w:t>
            </w:r>
            <w:r>
              <w:rPr>
                <w:rFonts w:ascii="Arial" w:cs="Arial" w:eastAsia="Arial" w:hAnsi="Arial"/>
                <w:sz w:val="18"/>
                <w:szCs w:val="18"/>
                <w:color w:val="B4B4B4"/>
                <w:w w:val="96"/>
              </w:rPr>
              <w:t>.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7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6"/>
              </w:rPr>
              <w:t xml:space="preserve">Changes in other working capital </w:t>
            </w:r>
            <w:r>
              <w:rPr>
                <w:rFonts w:ascii="Arial" w:cs="Arial" w:eastAsia="Arial" w:hAnsi="Arial"/>
                <w:sz w:val="18"/>
                <w:szCs w:val="18"/>
                <w:color w:val="B4B4B4"/>
                <w:w w:val="96"/>
              </w:rPr>
              <w:t>. . . . . . . . . . . . . . . . . . . . . . . . . . . . . . . . . . . . . . . . . . . . . . . . . . . . . .</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0"/>
        </w:trPr>
        <w:tc>
          <w:tcPr>
            <w:tcW w:w="7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4B4B4"/>
                <w:w w:val="94"/>
              </w:rPr>
              <w:t>. . . . . . . . . . . . . . . . . . . . . . . . . . . . . . . . . . . . . . . . . . . . . . . .</w:t>
            </w:r>
            <w:r>
              <w:rPr>
                <w:rFonts w:ascii="Arial" w:cs="Arial" w:eastAsia="Arial" w:hAnsi="Arial"/>
                <w:sz w:val="18"/>
                <w:szCs w:val="18"/>
                <w:b w:val="1"/>
                <w:bCs w:val="1"/>
                <w:color w:val="000000"/>
                <w:w w:val="94"/>
              </w:rPr>
              <w:t>NetCashProvidedbyOperatingActivities</w:t>
            </w: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787</w:t>
            </w:r>
          </w:p>
        </w:tc>
      </w:tr>
      <w:tr>
        <w:trPr>
          <w:trHeight w:val="209"/>
        </w:trPr>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1"/>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Acquisition of Drop Down Assets, net of cash acquired  </w:t>
            </w:r>
            <w:r>
              <w:rPr>
                <w:rFonts w:ascii="Arial" w:cs="Arial" w:eastAsia="Arial" w:hAnsi="Arial"/>
                <w:sz w:val="18"/>
                <w:szCs w:val="18"/>
                <w:color w:val="B4B4B4"/>
                <w:w w:val="96"/>
              </w:rPr>
              <w:t>. . . . . . . . . . . . . . . . . . . . . . . . . . . . . . . . . . . .</w:t>
            </w: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6"/>
              </w:rPr>
              <w:t xml:space="preserve">Acquisition of Capistrano Wind Portfolio, net of cash acquired </w:t>
            </w:r>
            <w:r>
              <w:rPr>
                <w:rFonts w:ascii="Arial" w:cs="Arial" w:eastAsia="Arial" w:hAnsi="Arial"/>
                <w:sz w:val="18"/>
                <w:szCs w:val="18"/>
                <w:color w:val="B4B4B4"/>
                <w:w w:val="96"/>
              </w:rPr>
              <w:t>.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Capital expenditures  </w:t>
            </w:r>
            <w:r>
              <w:rPr>
                <w:rFonts w:ascii="Arial" w:cs="Arial" w:eastAsia="Arial" w:hAnsi="Arial"/>
                <w:sz w:val="18"/>
                <w:szCs w:val="18"/>
                <w:color w:val="B4B4B4"/>
                <w:w w:val="95"/>
              </w:rPr>
              <w:t>. . . . . . . . . . . . . . . . .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5"/>
              </w:rPr>
              <w:t xml:space="preserve">Payment for equipment deposit </w:t>
            </w:r>
            <w:r>
              <w:rPr>
                <w:rFonts w:ascii="Arial" w:cs="Arial" w:eastAsia="Arial" w:hAnsi="Arial"/>
                <w:sz w:val="18"/>
                <w:szCs w:val="18"/>
                <w:color w:val="B4B4B4"/>
                <w:w w:val="95"/>
              </w:rPr>
              <w:t>. . . . . . . .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Payment for equipment deposit and asset purchase from affiliate </w:t>
            </w:r>
            <w:r>
              <w:rPr>
                <w:rFonts w:ascii="Arial" w:cs="Arial" w:eastAsia="Arial" w:hAnsi="Arial"/>
                <w:sz w:val="18"/>
                <w:szCs w:val="18"/>
                <w:color w:val="B4B4B4"/>
                <w:w w:val="95"/>
              </w:rPr>
              <w:t>.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6"/>
              </w:rPr>
              <w:t xml:space="preserve">Return of investments from unconsolidated affiliates </w:t>
            </w:r>
            <w:r>
              <w:rPr>
                <w:rFonts w:ascii="Arial" w:cs="Arial" w:eastAsia="Arial" w:hAnsi="Arial"/>
                <w:sz w:val="18"/>
                <w:szCs w:val="18"/>
                <w:color w:val="B4B4B4"/>
                <w:w w:val="96"/>
              </w:rPr>
              <w:t>.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Decrease (increase) in note receivable — affiliate </w:t>
            </w:r>
            <w:r>
              <w:rPr>
                <w:rFonts w:ascii="Arial" w:cs="Arial" w:eastAsia="Arial" w:hAnsi="Arial"/>
                <w:sz w:val="18"/>
                <w:szCs w:val="18"/>
                <w:color w:val="B4B4B4"/>
                <w:w w:val="95"/>
              </w:rPr>
              <w:t>.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6"/>
              </w:rPr>
              <w:t xml:space="preserve">Investments in unconsolidated affiliates </w:t>
            </w:r>
            <w:r>
              <w:rPr>
                <w:rFonts w:ascii="Arial" w:cs="Arial" w:eastAsia="Arial" w:hAnsi="Arial"/>
                <w:sz w:val="18"/>
                <w:szCs w:val="18"/>
                <w:color w:val="B4B4B4"/>
                <w:w w:val="96"/>
              </w:rPr>
              <w:t>.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Proceeds from sale of business </w:t>
            </w:r>
            <w:r>
              <w:rPr>
                <w:rFonts w:ascii="Arial" w:cs="Arial" w:eastAsia="Arial" w:hAnsi="Arial"/>
                <w:sz w:val="18"/>
                <w:szCs w:val="18"/>
                <w:color w:val="B4B4B4"/>
                <w:w w:val="94"/>
              </w:rPr>
              <w:t>. . . . . . . . .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77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5"/>
              </w:rPr>
              <w:t xml:space="preserve">Other </w:t>
            </w:r>
            <w:r>
              <w:rPr>
                <w:rFonts w:ascii="Arial" w:cs="Arial" w:eastAsia="Arial" w:hAnsi="Arial"/>
                <w:sz w:val="18"/>
                <w:szCs w:val="18"/>
                <w:color w:val="B4B4B4"/>
                <w:w w:val="95"/>
              </w:rPr>
              <w:t>. . . . . . . . . . . . . . . . . . . . . . . . . . . . . . . . . . . . . . . . . . . . . . . . . . . . . . . . . . . . . . . . . . . . . . . . . . . .</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0"/>
        </w:trPr>
        <w:tc>
          <w:tcPr>
            <w:tcW w:w="7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4B4B4"/>
                <w:w w:val="95"/>
              </w:rPr>
              <w:t>. . . . . . . . . . . . . . . . . . . . . . . . . . . . . . . . . . . . . . . . .</w:t>
            </w:r>
            <w:r>
              <w:rPr>
                <w:rFonts w:ascii="Arial" w:cs="Arial" w:eastAsia="Arial" w:hAnsi="Arial"/>
                <w:sz w:val="18"/>
                <w:szCs w:val="18"/>
                <w:b w:val="1"/>
                <w:bCs w:val="1"/>
                <w:color w:val="000000"/>
                <w:w w:val="95"/>
              </w:rPr>
              <w:t>NetCash(Usedin)ProvidedbyInvestingActivities</w:t>
            </w: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(523)</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1,065</w:t>
            </w:r>
          </w:p>
        </w:tc>
      </w:tr>
      <w:tr>
        <w:trPr>
          <w:trHeight w:val="209"/>
        </w:trPr>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1"/>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 xml:space="preserve">Contributions from noncontrolling interests, net of distributions </w:t>
            </w:r>
            <w:r>
              <w:rPr>
                <w:rFonts w:ascii="Arial" w:cs="Arial" w:eastAsia="Arial" w:hAnsi="Arial"/>
                <w:sz w:val="18"/>
                <w:szCs w:val="18"/>
                <w:color w:val="B4B4B4"/>
                <w:w w:val="97"/>
              </w:rPr>
              <w:t>. . . . . . . . . . . . . . . . . . . . . . . . . . . . . .</w:t>
            </w: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5"/>
              </w:rPr>
              <w:t xml:space="preserve">Payments of dividends and distributions  </w:t>
            </w:r>
            <w:r>
              <w:rPr>
                <w:rFonts w:ascii="Arial" w:cs="Arial" w:eastAsia="Arial" w:hAnsi="Arial"/>
                <w:sz w:val="18"/>
                <w:szCs w:val="18"/>
                <w:color w:val="B4B4B4"/>
                <w:w w:val="95"/>
              </w:rPr>
              <w:t>.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Distributions to CEG of escrowed amounts </w:t>
            </w:r>
            <w:r>
              <w:rPr>
                <w:rFonts w:ascii="Arial" w:cs="Arial" w:eastAsia="Arial" w:hAnsi="Arial"/>
                <w:sz w:val="18"/>
                <w:szCs w:val="18"/>
                <w:color w:val="B4B4B4"/>
                <w:w w:val="96"/>
              </w:rPr>
              <w:t>.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5"/>
              </w:rPr>
              <w:t xml:space="preserve">Tax-related distributions </w:t>
            </w:r>
            <w:r>
              <w:rPr>
                <w:rFonts w:ascii="Arial" w:cs="Arial" w:eastAsia="Arial" w:hAnsi="Arial"/>
                <w:sz w:val="18"/>
                <w:szCs w:val="18"/>
                <w:color w:val="B4B4B4"/>
                <w:w w:val="95"/>
              </w:rPr>
              <w:t>. . . . . . . . . . . . .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Buyouts of noncontrolling interest and redeemable noncontrolling interest </w:t>
            </w:r>
            <w:r>
              <w:rPr>
                <w:rFonts w:ascii="Arial" w:cs="Arial" w:eastAsia="Arial" w:hAnsi="Arial"/>
                <w:sz w:val="18"/>
                <w:szCs w:val="18"/>
                <w:color w:val="B4B4B4"/>
                <w:w w:val="96"/>
              </w:rPr>
              <w:t>.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6"/>
              </w:rPr>
              <w:t xml:space="preserve">Proceeds from the revolving credit facility </w:t>
            </w:r>
            <w:r>
              <w:rPr>
                <w:rFonts w:ascii="Arial" w:cs="Arial" w:eastAsia="Arial" w:hAnsi="Arial"/>
                <w:sz w:val="18"/>
                <w:szCs w:val="18"/>
                <w:color w:val="B4B4B4"/>
                <w:w w:val="96"/>
              </w:rPr>
              <w:t>.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Payments for the revolving credit facility </w:t>
            </w:r>
            <w:r>
              <w:rPr>
                <w:rFonts w:ascii="Arial" w:cs="Arial" w:eastAsia="Arial" w:hAnsi="Arial"/>
                <w:sz w:val="18"/>
                <w:szCs w:val="18"/>
                <w:color w:val="B4B4B4"/>
                <w:w w:val="96"/>
              </w:rPr>
              <w:t>.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(325)</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5"/>
              </w:rPr>
              <w:t xml:space="preserve">Proceeds from issuance of long-term debt  </w:t>
            </w:r>
            <w:r>
              <w:rPr>
                <w:rFonts w:ascii="Arial" w:cs="Arial" w:eastAsia="Arial" w:hAnsi="Arial"/>
                <w:sz w:val="18"/>
                <w:szCs w:val="18"/>
                <w:color w:val="B4B4B4"/>
                <w:w w:val="95"/>
              </w:rPr>
              <w:t>.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Payments of debt issuance costs </w:t>
            </w:r>
            <w:r>
              <w:rPr>
                <w:rFonts w:ascii="Arial" w:cs="Arial" w:eastAsia="Arial" w:hAnsi="Arial"/>
                <w:sz w:val="18"/>
                <w:szCs w:val="18"/>
                <w:color w:val="B4B4B4"/>
                <w:w w:val="94"/>
              </w:rPr>
              <w:t>. . . . . . . .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5"/>
              </w:rPr>
              <w:t xml:space="preserve">Payments for long-term debt  </w:t>
            </w:r>
            <w:r>
              <w:rPr>
                <w:rFonts w:ascii="Arial" w:cs="Arial" w:eastAsia="Arial" w:hAnsi="Arial"/>
                <w:sz w:val="18"/>
                <w:szCs w:val="18"/>
                <w:color w:val="B4B4B4"/>
                <w:w w:val="95"/>
              </w:rPr>
              <w:t>. . . . . . . . . . . . . . . . . . . . . . . . . . . . . . . . . . . . . . . . . . . . . . . . . . . . . . . .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52"/>
        </w:trPr>
        <w:tc>
          <w:tcPr>
            <w:tcW w:w="7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5"/>
              </w:rPr>
              <w:t xml:space="preserve">Other </w:t>
            </w:r>
            <w:r>
              <w:rPr>
                <w:rFonts w:ascii="Arial" w:cs="Arial" w:eastAsia="Arial" w:hAnsi="Arial"/>
                <w:sz w:val="18"/>
                <w:szCs w:val="18"/>
                <w:color w:val="B4B4B4"/>
                <w:w w:val="95"/>
              </w:rPr>
              <w:t>. . . . . . . . . . . . . . . . . . . . . . . . . . . . . . . . . . . . . . . . . . . . . . . . . . . . . . . . . . . . . . . . . . . . . . . . . . . .</w:t>
            </w:r>
          </w:p>
        </w:tc>
        <w:tc>
          <w:tcPr>
            <w:tcW w:w="240" w:type="dxa"/>
            <w:vAlign w:val="bottom"/>
            <w:tcBorders>
              <w:bottom w:val="single" w:sz="8" w:color="auto"/>
            </w:tcBorders>
            <w:shd w:val="clear" w:color="auto" w:fill="E6E6E6"/>
          </w:tcPr>
          <w:p>
            <w:pPr>
              <w:spacing w:after="0"/>
              <w:rPr>
                <w:sz w:val="21"/>
                <w:szCs w:val="21"/>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spacing w:after="0"/>
              <w:rPr>
                <w:sz w:val="21"/>
                <w:szCs w:val="21"/>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00"/>
        </w:trPr>
        <w:tc>
          <w:tcPr>
            <w:tcW w:w="7780" w:type="dxa"/>
            <w:vAlign w:val="bottom"/>
            <w:tcBorders>
              <w:bottom w:val="single" w:sz="8" w:color="E6E6E6"/>
            </w:tcBorders>
          </w:tcPr>
          <w:p>
            <w:pPr>
              <w:jc w:val="right"/>
              <w:spacing w:after="0" w:line="200" w:lineRule="exact"/>
              <w:rPr>
                <w:sz w:val="20"/>
                <w:szCs w:val="20"/>
                <w:color w:val="auto"/>
              </w:rPr>
            </w:pPr>
            <w:r>
              <w:rPr>
                <w:rFonts w:ascii="Arial" w:cs="Arial" w:eastAsia="Arial" w:hAnsi="Arial"/>
                <w:sz w:val="18"/>
                <w:szCs w:val="18"/>
                <w:b w:val="1"/>
                <w:bCs w:val="1"/>
                <w:color w:val="B4B4B4"/>
                <w:w w:val="93"/>
              </w:rPr>
              <w:t>. . . . . . . . . . . . . . . . . . . . . . . . . . . . . . . . . . . . . . . . . . . . . . . . . . . . .</w:t>
            </w:r>
            <w:r>
              <w:rPr>
                <w:rFonts w:ascii="Arial" w:cs="Arial" w:eastAsia="Arial" w:hAnsi="Arial"/>
                <w:sz w:val="18"/>
                <w:szCs w:val="18"/>
                <w:b w:val="1"/>
                <w:bCs w:val="1"/>
                <w:color w:val="000000"/>
                <w:w w:val="93"/>
              </w:rPr>
              <w:t>NetCashUsedinFinancingActivities</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(363)</w:t>
            </w:r>
          </w:p>
        </w:tc>
        <w:tc>
          <w:tcPr>
            <w:tcW w:w="8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(124)</w:t>
            </w:r>
          </w:p>
        </w:tc>
        <w:tc>
          <w:tcPr>
            <w:tcW w:w="8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(1,510)</w:t>
            </w:r>
          </w:p>
        </w:tc>
      </w:tr>
      <w:tr>
        <w:trPr>
          <w:trHeight w:val="240"/>
        </w:trPr>
        <w:tc>
          <w:tcPr>
            <w:tcW w:w="7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4B4B4"/>
                <w:w w:val="95"/>
              </w:rPr>
              <w:t>. . . . . . . . . . . . . . . . . . . . . . . .</w:t>
            </w:r>
            <w:r>
              <w:rPr>
                <w:rFonts w:ascii="Arial" w:cs="Arial" w:eastAsia="Arial" w:hAnsi="Arial"/>
                <w:sz w:val="18"/>
                <w:szCs w:val="18"/>
                <w:b w:val="1"/>
                <w:bCs w:val="1"/>
                <w:color w:val="000000"/>
                <w:w w:val="95"/>
              </w:rPr>
              <w:t>Net(Decrease)IncreaseinCash,CashEquivalentsandRestrictedCash</w:t>
            </w: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342</w:t>
            </w:r>
          </w:p>
        </w:tc>
      </w:tr>
      <w:tr>
        <w:trPr>
          <w:trHeight w:val="200"/>
        </w:trPr>
        <w:tc>
          <w:tcPr>
            <w:tcW w:w="7780" w:type="dxa"/>
            <w:vAlign w:val="bottom"/>
            <w:tcBorders>
              <w:bottom w:val="single" w:sz="8" w:color="E6E6E6"/>
            </w:tcBorders>
          </w:tcPr>
          <w:p>
            <w:pPr>
              <w:jc w:val="right"/>
              <w:spacing w:after="0" w:line="200" w:lineRule="exact"/>
              <w:rPr>
                <w:sz w:val="20"/>
                <w:szCs w:val="20"/>
                <w:color w:val="auto"/>
              </w:rPr>
            </w:pPr>
            <w:r>
              <w:rPr>
                <w:rFonts w:ascii="Arial" w:cs="Arial" w:eastAsia="Arial" w:hAnsi="Arial"/>
                <w:sz w:val="18"/>
                <w:szCs w:val="18"/>
                <w:b w:val="1"/>
                <w:bCs w:val="1"/>
                <w:color w:val="B4B4B4"/>
                <w:w w:val="96"/>
              </w:rPr>
              <w:t>. . . . . . . . . . . . . . . . . . . . . . . . . . .</w:t>
            </w:r>
            <w:r>
              <w:rPr>
                <w:rFonts w:ascii="Arial" w:cs="Arial" w:eastAsia="Arial" w:hAnsi="Arial"/>
                <w:sz w:val="18"/>
                <w:szCs w:val="18"/>
                <w:b w:val="1"/>
                <w:bCs w:val="1"/>
                <w:color w:val="000000"/>
                <w:w w:val="96"/>
              </w:rPr>
              <w:t>Cash,CashEquivalentsandRestrictedCashatBeginningofPeriod</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1,051</w:t>
            </w:r>
          </w:p>
        </w:tc>
        <w:tc>
          <w:tcPr>
            <w:tcW w:w="8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996</w:t>
            </w:r>
          </w:p>
        </w:tc>
        <w:tc>
          <w:tcPr>
            <w:tcW w:w="8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654</w:t>
            </w:r>
          </w:p>
        </w:tc>
      </w:tr>
      <w:tr>
        <w:trPr>
          <w:trHeight w:val="240"/>
        </w:trPr>
        <w:tc>
          <w:tcPr>
            <w:tcW w:w="7780" w:type="dxa"/>
            <w:vAlign w:val="bottom"/>
            <w:tcBorders>
              <w:bottom w:val="single" w:sz="8" w:color="E6E6E6"/>
            </w:tcBorders>
            <w:shd w:val="clear" w:color="auto" w:fill="E6E6E6"/>
          </w:tcPr>
          <w:p>
            <w:pPr>
              <w:jc w:val="right"/>
              <w:spacing w:after="0" w:line="200" w:lineRule="exact"/>
              <w:rPr>
                <w:sz w:val="20"/>
                <w:szCs w:val="20"/>
                <w:color w:val="auto"/>
              </w:rPr>
            </w:pPr>
            <w:r>
              <w:rPr>
                <w:rFonts w:ascii="Arial" w:cs="Arial" w:eastAsia="Arial" w:hAnsi="Arial"/>
                <w:sz w:val="18"/>
                <w:szCs w:val="18"/>
                <w:b w:val="1"/>
                <w:bCs w:val="1"/>
                <w:color w:val="B4B4B4"/>
                <w:w w:val="96"/>
              </w:rPr>
              <w:t>. . . . . . . . . . . . . . . . . . . . . . . . . . . . . . . .</w:t>
            </w:r>
            <w:r>
              <w:rPr>
                <w:rFonts w:ascii="Arial" w:cs="Arial" w:eastAsia="Arial" w:hAnsi="Arial"/>
                <w:sz w:val="18"/>
                <w:szCs w:val="18"/>
                <w:b w:val="1"/>
                <w:bCs w:val="1"/>
                <w:color w:val="000000"/>
                <w:w w:val="96"/>
              </w:rPr>
              <w:t>Cash,CashEquivalentsandRestrictedCashatEndofPeriod</w:t>
            </w:r>
          </w:p>
        </w:tc>
        <w:tc>
          <w:tcPr>
            <w:tcW w:w="240" w:type="dxa"/>
            <w:vAlign w:val="bottom"/>
            <w:tcBorders>
              <w:bottom w:val="single" w:sz="8" w:color="auto"/>
            </w:tcBorders>
            <w:shd w:val="clear" w:color="auto" w:fill="E6E6E6"/>
          </w:tcPr>
          <w:p>
            <w:pPr>
              <w:jc w:val="right"/>
              <w:ind w:right="10"/>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line="200" w:lineRule="exact"/>
              <w:rPr>
                <w:sz w:val="20"/>
                <w:szCs w:val="20"/>
                <w:color w:val="auto"/>
              </w:rPr>
            </w:pPr>
            <w:r>
              <w:rPr>
                <w:rFonts w:ascii="Arial" w:cs="Arial" w:eastAsia="Arial" w:hAnsi="Arial"/>
                <w:sz w:val="18"/>
                <w:szCs w:val="18"/>
                <w:color w:val="auto"/>
              </w:rPr>
              <w:t>733</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ind w:left="60"/>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line="200" w:lineRule="exact"/>
              <w:rPr>
                <w:sz w:val="20"/>
                <w:szCs w:val="20"/>
                <w:color w:val="auto"/>
              </w:rPr>
            </w:pPr>
            <w:r>
              <w:rPr>
                <w:rFonts w:ascii="Arial" w:cs="Arial" w:eastAsia="Arial" w:hAnsi="Arial"/>
                <w:sz w:val="18"/>
                <w:szCs w:val="18"/>
                <w:color w:val="auto"/>
              </w:rPr>
              <w:t>1,051</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line="200" w:lineRule="exact"/>
              <w:rPr>
                <w:sz w:val="20"/>
                <w:szCs w:val="20"/>
                <w:color w:val="auto"/>
              </w:rPr>
            </w:pPr>
            <w:r>
              <w:rPr>
                <w:rFonts w:ascii="Arial" w:cs="Arial" w:eastAsia="Arial" w:hAnsi="Arial"/>
                <w:sz w:val="18"/>
                <w:szCs w:val="18"/>
                <w:color w:val="auto"/>
              </w:rPr>
              <w:t>996</w:t>
            </w:r>
          </w:p>
        </w:tc>
      </w:tr>
      <w:tr>
        <w:trPr>
          <w:trHeight w:val="105"/>
        </w:trPr>
        <w:tc>
          <w:tcPr>
            <w:tcW w:w="7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240"/>
        </w:trPr>
        <w:tc>
          <w:tcPr>
            <w:tcW w:w="778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Supplemental Disclosures:</w:t>
            </w: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r>
      <w:tr>
        <w:trPr>
          <w:trHeight w:val="238"/>
        </w:trPr>
        <w:tc>
          <w:tcPr>
            <w:tcW w:w="7780" w:type="dxa"/>
            <w:vAlign w:val="bottom"/>
          </w:tcPr>
          <w:p>
            <w:pPr>
              <w:jc w:val="right"/>
              <w:spacing w:after="0"/>
              <w:rPr>
                <w:sz w:val="20"/>
                <w:szCs w:val="20"/>
                <w:color w:val="auto"/>
              </w:rPr>
            </w:pPr>
            <w:r>
              <w:rPr>
                <w:rFonts w:ascii="Arial" w:cs="Arial" w:eastAsia="Arial" w:hAnsi="Arial"/>
                <w:sz w:val="18"/>
                <w:szCs w:val="18"/>
                <w:color w:val="auto"/>
                <w:w w:val="93"/>
              </w:rPr>
              <w:t xml:space="preserve">Interest paid, net of amount capitalized </w:t>
            </w:r>
            <w:r>
              <w:rPr>
                <w:rFonts w:ascii="Arial" w:cs="Arial" w:eastAsia="Arial" w:hAnsi="Arial"/>
                <w:sz w:val="18"/>
                <w:szCs w:val="18"/>
                <w:color w:val="B4B4B4"/>
                <w:w w:val="93"/>
              </w:rPr>
              <w:t>. . . . . . . . . . . . . . . . . . . . . . . . . . . . . . . . . . . . . . . . . . . . . . . . . .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42"/>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Income taxes paid, net of refunds received  </w:t>
            </w:r>
            <w:r>
              <w:rPr>
                <w:rFonts w:ascii="Arial" w:cs="Arial" w:eastAsia="Arial" w:hAnsi="Arial"/>
                <w:sz w:val="18"/>
                <w:szCs w:val="18"/>
                <w:color w:val="B4B4B4"/>
                <w:w w:val="93"/>
              </w:rPr>
              <w:t>. . . . . . . . . . . . . . . . . . . . . . . . . . . . . . . . . . . . . . . . . . . . . . . .</w:t>
            </w: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r>
      <w:tr>
        <w:trPr>
          <w:trHeight w:val="239"/>
        </w:trPr>
        <w:tc>
          <w:tcPr>
            <w:tcW w:w="7780" w:type="dxa"/>
            <w:vAlign w:val="bottom"/>
          </w:tcPr>
          <w:p>
            <w:pPr>
              <w:ind w:left="60"/>
              <w:spacing w:after="0"/>
              <w:rPr>
                <w:sz w:val="20"/>
                <w:szCs w:val="20"/>
                <w:color w:val="auto"/>
              </w:rPr>
            </w:pPr>
            <w:r>
              <w:rPr>
                <w:rFonts w:ascii="Arial" w:cs="Arial" w:eastAsia="Arial" w:hAnsi="Arial"/>
                <w:sz w:val="18"/>
                <w:szCs w:val="18"/>
                <w:b w:val="1"/>
                <w:bCs w:val="1"/>
                <w:color w:val="auto"/>
              </w:rPr>
              <w:t>Non-cash financing activity:</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1"/>
        </w:trPr>
        <w:tc>
          <w:tcPr>
            <w:tcW w:w="7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Non-cash adjustment for change in tax basis </w:t>
            </w:r>
            <w:r>
              <w:rPr>
                <w:rFonts w:ascii="Arial" w:cs="Arial" w:eastAsia="Arial" w:hAnsi="Arial"/>
                <w:sz w:val="18"/>
                <w:szCs w:val="18"/>
                <w:color w:val="B4B4B4"/>
                <w:w w:val="93"/>
              </w:rPr>
              <w:t>. . . . . . . . . . . . . . . . . . . . . . . . . . . . . . . . . . . . . . . . . . . . . . .</w:t>
            </w: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-872490</wp:posOffset>
            </wp:positionV>
            <wp:extent cx="193992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1">
                      <a:extLst>
                        <a:ext uri="{28A0092B-C50C-407E-A947-70E740481C1C}"/>
                      </a:extLst>
                    </a:blip>
                    <a:srcRect/>
                    <a:stretch>
                      <a:fillRect/>
                    </a:stretch>
                  </pic:blipFill>
                  <pic:spPr bwMode="auto">
                    <a:xfrm>
                      <a:off x="0" y="0"/>
                      <a:ext cx="1939925" cy="5080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800"/>
          </w:cols>
          <w:pgMar w:left="540" w:top="3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800"/>
          </w:cols>
          <w:pgMar w:left="540" w:top="354" w:right="540" w:bottom="0" w:gutter="0" w:footer="0" w:header="0"/>
          <w:type w:val="continuous"/>
        </w:sectPr>
      </w:pPr>
    </w:p>
    <w:bookmarkStart w:id="82" w:name="page83"/>
    <w:bookmarkEnd w:id="82"/>
    <w:p>
      <w:pPr>
        <w:jc w:val="center"/>
        <w:ind w:right="20"/>
        <w:spacing w:after="0"/>
        <w:rPr>
          <w:sz w:val="20"/>
          <w:szCs w:val="20"/>
          <w:color w:val="auto"/>
        </w:rPr>
      </w:pPr>
      <w:r>
        <w:rPr>
          <w:rFonts w:ascii="Arial" w:cs="Arial" w:eastAsia="Arial" w:hAnsi="Arial"/>
          <w:sz w:val="20"/>
          <w:szCs w:val="20"/>
          <w:b w:val="1"/>
          <w:bCs w:val="1"/>
          <w:color w:val="auto"/>
        </w:rPr>
        <w:t>CLEARWAY ENERGY, INC.</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410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Preferred</w:t>
            </w:r>
          </w:p>
        </w:tc>
        <w:tc>
          <w:tcPr>
            <w:tcW w:w="6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01"/>
              <w:spacing w:after="0" w:line="140"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0"/>
              <w:spacing w:after="0" w:line="140"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20"/>
              <w:spacing w:after="0" w:line="140"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81"/>
              <w:spacing w:after="0" w:line="140" w:lineRule="exact"/>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10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78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w w:val="96"/>
              </w:rPr>
              <w:t>controlling</w:t>
            </w:r>
          </w:p>
        </w:tc>
        <w:tc>
          <w:tcPr>
            <w:tcW w:w="80" w:type="dxa"/>
            <w:vAlign w:val="bottom"/>
          </w:tcPr>
          <w:p>
            <w:pPr>
              <w:spacing w:after="0"/>
              <w:rPr>
                <w:sz w:val="12"/>
                <w:szCs w:val="12"/>
                <w:color w:val="auto"/>
              </w:rPr>
            </w:pPr>
          </w:p>
        </w:tc>
        <w:tc>
          <w:tcPr>
            <w:tcW w:w="9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(Loss) Income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2021</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1,466</w:t>
            </w:r>
          </w:p>
        </w:tc>
        <w:tc>
          <w:tcPr>
            <w:tcW w:w="28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w w:val="91"/>
              </w:rPr>
              <w:t xml:space="preserve">Net income </w:t>
            </w:r>
            <w:r>
              <w:rPr>
                <w:rFonts w:ascii="Arial" w:cs="Arial" w:eastAsia="Arial" w:hAnsi="Arial"/>
                <w:sz w:val="16"/>
                <w:szCs w:val="16"/>
                <w:color w:val="B4B4B4"/>
                <w:w w:val="91"/>
              </w:rPr>
              <w:t>. . . . . . . . . . . . . . . . . .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582</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183"/>
        </w:trPr>
        <w:tc>
          <w:tcPr>
            <w:tcW w:w="4100" w:type="dxa"/>
            <w:vAlign w:val="bottom"/>
          </w:tcPr>
          <w:p>
            <w:pPr>
              <w:ind w:left="160"/>
              <w:spacing w:after="0"/>
              <w:rPr>
                <w:sz w:val="20"/>
                <w:szCs w:val="20"/>
                <w:color w:val="auto"/>
              </w:rPr>
            </w:pPr>
            <w:r>
              <w:rPr>
                <w:rFonts w:ascii="Arial" w:cs="Arial" w:eastAsia="Arial" w:hAnsi="Arial"/>
                <w:sz w:val="16"/>
                <w:szCs w:val="16"/>
                <w:color w:val="auto"/>
                <w:w w:val="92"/>
              </w:rPr>
              <w:t>Unrealized gain on derivatives and changes in accumulated</w:t>
            </w:r>
          </w:p>
        </w:tc>
        <w:tc>
          <w:tcPr>
            <w:tcW w:w="16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4100" w:type="dxa"/>
            <w:vAlign w:val="bottom"/>
          </w:tcPr>
          <w:p>
            <w:pPr>
              <w:ind w:left="160"/>
              <w:spacing w:after="0"/>
              <w:rPr>
                <w:sz w:val="20"/>
                <w:szCs w:val="20"/>
                <w:color w:val="auto"/>
              </w:rPr>
            </w:pPr>
            <w:r>
              <w:rPr>
                <w:rFonts w:ascii="Arial" w:cs="Arial" w:eastAsia="Arial" w:hAnsi="Arial"/>
                <w:sz w:val="16"/>
                <w:szCs w:val="16"/>
                <w:color w:val="auto"/>
                <w:w w:val="91"/>
              </w:rPr>
              <w:t xml:space="preserve">OCL, net of tax </w:t>
            </w:r>
            <w:r>
              <w:rPr>
                <w:rFonts w:ascii="Arial" w:cs="Arial" w:eastAsia="Arial" w:hAnsi="Arial"/>
                <w:sz w:val="16"/>
                <w:szCs w:val="16"/>
                <w:color w:val="B4B4B4"/>
                <w:w w:val="91"/>
              </w:rPr>
              <w:t>. . . . . . . . . . . . . . . . . . . . . . . . . . . . . . . . . . . .</w:t>
            </w: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w w:val="93"/>
              </w:rPr>
              <w:t xml:space="preserve">Distributions to CEG, net of contributions, non-cash </w:t>
            </w:r>
            <w:r>
              <w:rPr>
                <w:rFonts w:ascii="Arial" w:cs="Arial" w:eastAsia="Arial" w:hAnsi="Arial"/>
                <w:sz w:val="16"/>
                <w:szCs w:val="16"/>
                <w:color w:val="B4B4B4"/>
                <w:w w:val="93"/>
              </w:rPr>
              <w:t>.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7"/>
        </w:trPr>
        <w:tc>
          <w:tcPr>
            <w:tcW w:w="4100" w:type="dxa"/>
            <w:vAlign w:val="bottom"/>
          </w:tcPr>
          <w:p>
            <w:pPr>
              <w:ind w:left="160"/>
              <w:spacing w:after="0"/>
              <w:rPr>
                <w:sz w:val="20"/>
                <w:szCs w:val="20"/>
                <w:color w:val="auto"/>
              </w:rPr>
            </w:pPr>
            <w:r>
              <w:rPr>
                <w:rFonts w:ascii="Arial" w:cs="Arial" w:eastAsia="Arial" w:hAnsi="Arial"/>
                <w:sz w:val="16"/>
                <w:szCs w:val="16"/>
                <w:color w:val="auto"/>
                <w:w w:val="92"/>
              </w:rPr>
              <w:t xml:space="preserve">Contributions from CEG, net of distributions, cash </w:t>
            </w:r>
            <w:r>
              <w:rPr>
                <w:rFonts w:ascii="Arial" w:cs="Arial" w:eastAsia="Arial" w:hAnsi="Arial"/>
                <w:sz w:val="16"/>
                <w:szCs w:val="16"/>
                <w:color w:val="B4B4B4"/>
                <w:w w:val="92"/>
              </w:rPr>
              <w:t>.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1"/>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rPr>
              <w:t>Contributions from noncontrolling interests, net of</w:t>
            </w: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2"/>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4B4B4"/>
                <w:w w:val="91"/>
              </w:rPr>
              <w:t>. . . . . . . . . . . . . . . . . . . . . . . . . . . . . . . . . .</w:t>
            </w:r>
          </w:p>
        </w:tc>
        <w:tc>
          <w:tcPr>
            <w:tcW w:w="16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6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8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4B4B4"/>
                <w:w w:val="90"/>
              </w:rPr>
              <w:t>.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4"/>
              </w:rPr>
              <w:t xml:space="preserve">Capistrano Wind Portfolio Acquisition  </w:t>
            </w:r>
            <w:r>
              <w:rPr>
                <w:rFonts w:ascii="Arial" w:cs="Arial" w:eastAsia="Arial" w:hAnsi="Arial"/>
                <w:sz w:val="16"/>
                <w:szCs w:val="16"/>
                <w:color w:val="B4B4B4"/>
                <w:w w:val="94"/>
              </w:rPr>
              <w:t>.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1"/>
              </w:rPr>
              <w:t xml:space="preserve">Kawailoa Sale to Clearway Renew </w:t>
            </w:r>
            <w:r>
              <w:rPr>
                <w:rFonts w:ascii="Arial" w:cs="Arial" w:eastAsia="Arial" w:hAnsi="Arial"/>
                <w:sz w:val="16"/>
                <w:szCs w:val="16"/>
                <w:color w:val="B4B4B4"/>
                <w:w w:val="91"/>
              </w:rPr>
              <w:t>. . . . . .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4B4B4"/>
                <w:w w:val="91"/>
              </w:rPr>
              <w:t>. . . . . . . .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7"/>
        </w:trPr>
        <w:tc>
          <w:tcPr>
            <w:tcW w:w="4100" w:type="dxa"/>
            <w:vAlign w:val="bottom"/>
          </w:tcPr>
          <w:p>
            <w:pPr>
              <w:ind w:left="160"/>
              <w:spacing w:after="0"/>
              <w:rPr>
                <w:sz w:val="20"/>
                <w:szCs w:val="20"/>
                <w:color w:val="auto"/>
              </w:rPr>
            </w:pPr>
            <w:r>
              <w:rPr>
                <w:rFonts w:ascii="Arial" w:cs="Arial" w:eastAsia="Arial" w:hAnsi="Arial"/>
                <w:sz w:val="16"/>
                <w:szCs w:val="16"/>
                <w:color w:val="auto"/>
                <w:w w:val="90"/>
              </w:rPr>
              <w:t xml:space="preserve">Non-cash adjustment for change in tax basis </w:t>
            </w:r>
            <w:r>
              <w:rPr>
                <w:rFonts w:ascii="Arial" w:cs="Arial" w:eastAsia="Arial" w:hAnsi="Arial"/>
                <w:sz w:val="16"/>
                <w:szCs w:val="16"/>
                <w:color w:val="B4B4B4"/>
                <w:w w:val="90"/>
              </w:rPr>
              <w:t>.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4B4B4"/>
                <w:w w:val="90"/>
              </w:rPr>
              <w:t>. . . . . .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4100" w:type="dxa"/>
            <w:vAlign w:val="bottom"/>
            <w:tcBorders>
              <w:bottom w:val="single" w:sz="8" w:color="E6E6E6"/>
            </w:tcBorders>
          </w:tcPr>
          <w:p>
            <w:pPr>
              <w:ind w:left="140"/>
              <w:spacing w:after="0"/>
              <w:rPr>
                <w:sz w:val="20"/>
                <w:szCs w:val="20"/>
                <w:color w:val="auto"/>
              </w:rPr>
            </w:pPr>
            <w:r>
              <w:rPr>
                <w:rFonts w:ascii="Arial" w:cs="Arial" w:eastAsia="Arial" w:hAnsi="Arial"/>
                <w:sz w:val="16"/>
                <w:szCs w:val="16"/>
                <w:color w:val="auto"/>
                <w:w w:val="92"/>
              </w:rPr>
              <w:t xml:space="preserve">Common stock dividends and distributions to CEG </w:t>
            </w:r>
            <w:r>
              <w:rPr>
                <w:rFonts w:ascii="Arial" w:cs="Arial" w:eastAsia="Arial" w:hAnsi="Arial"/>
                <w:sz w:val="16"/>
                <w:szCs w:val="16"/>
                <w:color w:val="B4B4B4"/>
                <w:w w:val="92"/>
              </w:rPr>
              <w:t>. . . . . . . .</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60" w:type="dxa"/>
            <w:vAlign w:val="bottom"/>
            <w:tcBorders>
              <w:bottom w:val="single" w:sz="8" w:color="E6E6E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45"/>
        </w:trPr>
        <w:tc>
          <w:tcPr>
            <w:tcW w:w="4100" w:type="dxa"/>
            <w:vAlign w:val="bottom"/>
            <w:shd w:val="clear" w:color="auto" w:fill="E6E6E6"/>
          </w:tcPr>
          <w:p>
            <w:pPr>
              <w:ind w:left="40"/>
              <w:spacing w:after="0"/>
              <w:rPr>
                <w:sz w:val="20"/>
                <w:szCs w:val="20"/>
                <w:color w:val="auto"/>
              </w:rPr>
            </w:pPr>
            <w:r>
              <w:rPr>
                <w:rFonts w:ascii="Arial" w:cs="Arial" w:eastAsia="Arial" w:hAnsi="Arial"/>
                <w:sz w:val="16"/>
                <w:szCs w:val="16"/>
                <w:b w:val="1"/>
                <w:bCs w:val="1"/>
                <w:color w:val="auto"/>
                <w:w w:val="91"/>
              </w:rPr>
              <w:t xml:space="preserve">Balances at December 31, 2022 </w:t>
            </w:r>
            <w:r>
              <w:rPr>
                <w:rFonts w:ascii="Arial" w:cs="Arial" w:eastAsia="Arial" w:hAnsi="Arial"/>
                <w:sz w:val="16"/>
                <w:szCs w:val="16"/>
                <w:b w:val="1"/>
                <w:bCs w:val="1"/>
                <w:color w:val="B4B4B4"/>
                <w:w w:val="91"/>
              </w:rPr>
              <w:t>. . . . . . . . . . . . . . . . . . . . . . .</w:t>
            </w:r>
          </w:p>
        </w:tc>
        <w:tc>
          <w:tcPr>
            <w:tcW w:w="160" w:type="dxa"/>
            <w:vAlign w:val="bottom"/>
            <w:shd w:val="clear" w:color="auto" w:fill="E6E6E6"/>
          </w:tcPr>
          <w:p>
            <w:pPr>
              <w:spacing w:after="0"/>
              <w:rPr>
                <w:sz w:val="21"/>
                <w:szCs w:val="21"/>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1,761</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463</w:t>
            </w:r>
          </w:p>
        </w:tc>
        <w:tc>
          <w:tcPr>
            <w:tcW w:w="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47"/>
        </w:trPr>
        <w:tc>
          <w:tcPr>
            <w:tcW w:w="4100" w:type="dxa"/>
            <w:vAlign w:val="bottom"/>
          </w:tcPr>
          <w:p>
            <w:pPr>
              <w:ind w:left="160"/>
              <w:spacing w:after="0"/>
              <w:rPr>
                <w:sz w:val="20"/>
                <w:szCs w:val="20"/>
                <w:color w:val="auto"/>
              </w:rPr>
            </w:pPr>
            <w:r>
              <w:rPr>
                <w:rFonts w:ascii="Arial" w:cs="Arial" w:eastAsia="Arial" w:hAnsi="Arial"/>
                <w:sz w:val="16"/>
                <w:szCs w:val="16"/>
                <w:color w:val="auto"/>
                <w:w w:val="91"/>
              </w:rPr>
              <w:t xml:space="preserve">Net income (loss) </w:t>
            </w:r>
            <w:r>
              <w:rPr>
                <w:rFonts w:ascii="Arial" w:cs="Arial" w:eastAsia="Arial" w:hAnsi="Arial"/>
                <w:sz w:val="16"/>
                <w:szCs w:val="16"/>
                <w:color w:val="B4B4B4"/>
                <w:w w:val="91"/>
              </w:rPr>
              <w:t>. . . . . . . . . . . . . . . . . . .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1"/>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w w:val="93"/>
              </w:rPr>
              <w:t>Unrealized loss on derivatives and changes in accumulated</w:t>
            </w: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2"/>
        </w:trPr>
        <w:tc>
          <w:tcPr>
            <w:tcW w:w="4100" w:type="dxa"/>
            <w:vAlign w:val="bottom"/>
            <w:shd w:val="clear" w:color="auto" w:fill="E6E6E6"/>
          </w:tcPr>
          <w:p>
            <w:pPr>
              <w:ind w:left="160"/>
              <w:spacing w:after="0"/>
              <w:rPr>
                <w:sz w:val="20"/>
                <w:szCs w:val="20"/>
                <w:color w:val="auto"/>
              </w:rPr>
            </w:pPr>
            <w:r>
              <w:rPr>
                <w:rFonts w:ascii="Arial" w:cs="Arial" w:eastAsia="Arial" w:hAnsi="Arial"/>
                <w:sz w:val="16"/>
                <w:szCs w:val="16"/>
                <w:color w:val="auto"/>
                <w:w w:val="91"/>
              </w:rPr>
              <w:t xml:space="preserve">OCL, net of tax </w:t>
            </w:r>
            <w:r>
              <w:rPr>
                <w:rFonts w:ascii="Arial" w:cs="Arial" w:eastAsia="Arial" w:hAnsi="Arial"/>
                <w:sz w:val="16"/>
                <w:szCs w:val="16"/>
                <w:color w:val="B4B4B4"/>
                <w:w w:val="91"/>
              </w:rPr>
              <w:t>. . . . . . . . . . . . . . . . . . . . . . . . . . . . . . . . . . . .</w:t>
            </w:r>
          </w:p>
        </w:tc>
        <w:tc>
          <w:tcPr>
            <w:tcW w:w="16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6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8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100" w:type="dxa"/>
            <w:vAlign w:val="bottom"/>
          </w:tcPr>
          <w:p>
            <w:pPr>
              <w:ind w:left="140"/>
              <w:spacing w:after="0"/>
              <w:rPr>
                <w:sz w:val="20"/>
                <w:szCs w:val="20"/>
                <w:color w:val="auto"/>
              </w:rPr>
            </w:pPr>
            <w:r>
              <w:rPr>
                <w:rFonts w:ascii="Arial" w:cs="Arial" w:eastAsia="Arial" w:hAnsi="Arial"/>
                <w:sz w:val="16"/>
                <w:szCs w:val="16"/>
                <w:color w:val="auto"/>
                <w:w w:val="93"/>
              </w:rPr>
              <w:t xml:space="preserve">Distributions to CEG, net of contributions, cash </w:t>
            </w:r>
            <w:r>
              <w:rPr>
                <w:rFonts w:ascii="Arial" w:cs="Arial" w:eastAsia="Arial" w:hAnsi="Arial"/>
                <w:sz w:val="16"/>
                <w:szCs w:val="16"/>
                <w:color w:val="B4B4B4"/>
                <w:w w:val="93"/>
              </w:rPr>
              <w:t>.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7"/>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rPr>
              <w:t>Contributions from noncontrolling interests, net of</w:t>
            </w:r>
          </w:p>
        </w:tc>
        <w:tc>
          <w:tcPr>
            <w:tcW w:w="160" w:type="dxa"/>
            <w:vAlign w:val="bottom"/>
            <w:shd w:val="clear" w:color="auto" w:fill="E6E6E6"/>
          </w:tcPr>
          <w:p>
            <w:pPr>
              <w:spacing w:after="0"/>
              <w:rPr>
                <w:sz w:val="17"/>
                <w:szCs w:val="17"/>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1,123</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29"/>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4B4B4"/>
                <w:w w:val="91"/>
              </w:rPr>
              <w:t>. . . . . . . . . . . . . . . . . . . . . . . . . . . . . . . . . .</w:t>
            </w:r>
          </w:p>
        </w:tc>
        <w:tc>
          <w:tcPr>
            <w:tcW w:w="16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6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8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100" w:type="dxa"/>
            <w:vAlign w:val="bottom"/>
          </w:tcPr>
          <w:p>
            <w:pPr>
              <w:ind w:left="140"/>
              <w:spacing w:after="0"/>
              <w:rPr>
                <w:sz w:val="20"/>
                <w:szCs w:val="20"/>
                <w:color w:val="auto"/>
              </w:rPr>
            </w:pPr>
            <w:r>
              <w:rPr>
                <w:rFonts w:ascii="Arial" w:cs="Arial" w:eastAsia="Arial" w:hAnsi="Arial"/>
                <w:sz w:val="16"/>
                <w:szCs w:val="16"/>
                <w:color w:val="auto"/>
                <w:w w:val="93"/>
              </w:rPr>
              <w:t xml:space="preserve">Distributions to noncontrolling interests, non-cash </w:t>
            </w:r>
            <w:r>
              <w:rPr>
                <w:rFonts w:ascii="Arial" w:cs="Arial" w:eastAsia="Arial" w:hAnsi="Arial"/>
                <w:sz w:val="16"/>
                <w:szCs w:val="16"/>
                <w:color w:val="B4B4B4"/>
                <w:w w:val="93"/>
              </w:rPr>
              <w:t>. . . . . . . .</w:t>
            </w:r>
          </w:p>
        </w:tc>
        <w:tc>
          <w:tcPr>
            <w:tcW w:w="16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4B4B4"/>
                <w:w w:val="91"/>
              </w:rPr>
              <w:t>. . . . . . . .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4B4B4"/>
                <w:w w:val="90"/>
              </w:rPr>
              <w:t>.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2"/>
              </w:rPr>
              <w:t xml:space="preserve">Buyout of noncontrolling interest </w:t>
            </w:r>
            <w:r>
              <w:rPr>
                <w:rFonts w:ascii="Arial" w:cs="Arial" w:eastAsia="Arial" w:hAnsi="Arial"/>
                <w:sz w:val="16"/>
                <w:szCs w:val="16"/>
                <w:color w:val="B4B4B4"/>
                <w:w w:val="92"/>
              </w:rPr>
              <w:t>.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2"/>
              </w:rPr>
              <w:t xml:space="preserve">Buyout of redeemable noncontrolling interest </w:t>
            </w:r>
            <w:r>
              <w:rPr>
                <w:rFonts w:ascii="Arial" w:cs="Arial" w:eastAsia="Arial" w:hAnsi="Arial"/>
                <w:sz w:val="16"/>
                <w:szCs w:val="16"/>
                <w:color w:val="B4B4B4"/>
                <w:w w:val="92"/>
              </w:rPr>
              <w:t>.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1"/>
              </w:rPr>
              <w:t xml:space="preserve">Non-cash adjustments for change in tax basis </w:t>
            </w:r>
            <w:r>
              <w:rPr>
                <w:rFonts w:ascii="Arial" w:cs="Arial" w:eastAsia="Arial" w:hAnsi="Arial"/>
                <w:sz w:val="16"/>
                <w:szCs w:val="16"/>
                <w:color w:val="B4B4B4"/>
                <w:w w:val="91"/>
              </w:rPr>
              <w:t>.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4B4B4"/>
                <w:w w:val="90"/>
              </w:rPr>
              <w:t>. . . . . . . . . . . .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rPr>
              <w:t>Common stock dividends and distributions to CEG unit</w:t>
            </w: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E6E6E6"/>
            </w:tcBorders>
            <w:shd w:val="clear" w:color="auto" w:fill="E6E6E6"/>
          </w:tcPr>
          <w:p>
            <w:pPr>
              <w:ind w:left="140"/>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4B4B4"/>
                <w:w w:val="90"/>
              </w:rPr>
              <w:t>. . . . . . . . . . . . . . . . . . . . . . . . . . . . . . . . . . . . . . . . . . .</w:t>
            </w:r>
          </w:p>
        </w:tc>
        <w:tc>
          <w:tcPr>
            <w:tcW w:w="160" w:type="dxa"/>
            <w:vAlign w:val="bottom"/>
            <w:tcBorders>
              <w:bottom w:val="single" w:sz="8" w:color="auto"/>
            </w:tcBorders>
            <w:shd w:val="clear" w:color="auto" w:fill="E6E6E6"/>
          </w:tcPr>
          <w:p>
            <w:pPr>
              <w:spacing w:after="0"/>
              <w:rPr>
                <w:sz w:val="20"/>
                <w:szCs w:val="20"/>
                <w:color w:val="auto"/>
              </w:rPr>
            </w:pPr>
          </w:p>
        </w:tc>
        <w:tc>
          <w:tcPr>
            <w:tcW w:w="540" w:type="dxa"/>
            <w:vAlign w:val="bottom"/>
            <w:tcBorders>
              <w:bottom w:val="single" w:sz="8" w:color="auto"/>
            </w:tcBorders>
            <w:vMerge w:val="continue"/>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560" w:type="dxa"/>
            <w:vAlign w:val="bottom"/>
            <w:tcBorders>
              <w:bottom w:val="single" w:sz="8" w:color="auto"/>
            </w:tcBorders>
            <w:vMerge w:val="continue"/>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680" w:type="dxa"/>
            <w:vAlign w:val="bottom"/>
            <w:tcBorders>
              <w:bottom w:val="single" w:sz="8" w:color="auto"/>
            </w:tcBorders>
            <w:vMerge w:val="continue"/>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78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64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spacing w:after="0"/>
              <w:rPr>
                <w:sz w:val="20"/>
                <w:szCs w:val="20"/>
                <w:color w:val="auto"/>
              </w:rPr>
            </w:pPr>
          </w:p>
        </w:tc>
        <w:tc>
          <w:tcPr>
            <w:tcW w:w="780" w:type="dxa"/>
            <w:vAlign w:val="bottom"/>
            <w:tcBorders>
              <w:bottom w:val="single" w:sz="8" w:color="auto"/>
            </w:tcBorders>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w w:val="91"/>
              </w:rPr>
              <w:t xml:space="preserve">Balances at December 31, 2023 </w:t>
            </w:r>
            <w:r>
              <w:rPr>
                <w:rFonts w:ascii="Arial" w:cs="Arial" w:eastAsia="Arial" w:hAnsi="Arial"/>
                <w:sz w:val="16"/>
                <w:szCs w:val="16"/>
                <w:b w:val="1"/>
                <w:bCs w:val="1"/>
                <w:color w:val="B4B4B4"/>
                <w:w w:val="91"/>
              </w:rPr>
              <w:t>. . . . . . . . . . . . . . . . . . . . . . .</w:t>
            </w:r>
          </w:p>
        </w:tc>
        <w:tc>
          <w:tcPr>
            <w:tcW w:w="16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2"/>
              </w:rPr>
              <w:t xml:space="preserve">Net income (loss) </w:t>
            </w:r>
            <w:r>
              <w:rPr>
                <w:rFonts w:ascii="Arial" w:cs="Arial" w:eastAsia="Arial" w:hAnsi="Arial"/>
                <w:sz w:val="16"/>
                <w:szCs w:val="16"/>
                <w:color w:val="B4B4B4"/>
                <w:w w:val="92"/>
              </w:rPr>
              <w:t>. . . . . . . . . . . . .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8"/>
        </w:trPr>
        <w:tc>
          <w:tcPr>
            <w:tcW w:w="4100" w:type="dxa"/>
            <w:vAlign w:val="bottom"/>
          </w:tcPr>
          <w:p>
            <w:pPr>
              <w:ind w:left="140"/>
              <w:spacing w:after="0"/>
              <w:rPr>
                <w:sz w:val="20"/>
                <w:szCs w:val="20"/>
                <w:color w:val="auto"/>
              </w:rPr>
            </w:pPr>
            <w:r>
              <w:rPr>
                <w:rFonts w:ascii="Arial" w:cs="Arial" w:eastAsia="Arial" w:hAnsi="Arial"/>
                <w:sz w:val="16"/>
                <w:szCs w:val="16"/>
                <w:color w:val="auto"/>
                <w:w w:val="93"/>
              </w:rPr>
              <w:t>Unrealized loss on derivatives and changes in accumulated</w:t>
            </w:r>
          </w:p>
        </w:tc>
        <w:tc>
          <w:tcPr>
            <w:tcW w:w="160" w:type="dxa"/>
            <w:vAlign w:val="bottom"/>
          </w:tcPr>
          <w:p>
            <w:pPr>
              <w:spacing w:after="0"/>
              <w:rPr>
                <w:sz w:val="16"/>
                <w:szCs w:val="16"/>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w w:val="92"/>
              </w:rPr>
              <w:t xml:space="preserve">OCI, net of tax  </w:t>
            </w:r>
            <w:r>
              <w:rPr>
                <w:rFonts w:ascii="Arial" w:cs="Arial" w:eastAsia="Arial" w:hAnsi="Arial"/>
                <w:sz w:val="16"/>
                <w:szCs w:val="16"/>
                <w:color w:val="B4B4B4"/>
                <w:w w:val="92"/>
              </w:rPr>
              <w:t>. . . . . . . . . . . . . . . . . . . . . . . . . . . . . . . . . . . .</w:t>
            </w: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3"/>
              </w:rPr>
              <w:t xml:space="preserve">Contributions from CEG, net of distributions, cash </w:t>
            </w:r>
            <w:r>
              <w:rPr>
                <w:rFonts w:ascii="Arial" w:cs="Arial" w:eastAsia="Arial" w:hAnsi="Arial"/>
                <w:sz w:val="16"/>
                <w:szCs w:val="16"/>
                <w:color w:val="B4B4B4"/>
                <w:w w:val="93"/>
              </w:rPr>
              <w:t>.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3"/>
        </w:trPr>
        <w:tc>
          <w:tcPr>
            <w:tcW w:w="4100" w:type="dxa"/>
            <w:vAlign w:val="bottom"/>
          </w:tcPr>
          <w:p>
            <w:pPr>
              <w:ind w:left="140"/>
              <w:spacing w:after="0"/>
              <w:rPr>
                <w:sz w:val="20"/>
                <w:szCs w:val="20"/>
                <w:color w:val="auto"/>
              </w:rPr>
            </w:pPr>
            <w:r>
              <w:rPr>
                <w:rFonts w:ascii="Arial" w:cs="Arial" w:eastAsia="Arial" w:hAnsi="Arial"/>
                <w:sz w:val="16"/>
                <w:szCs w:val="16"/>
                <w:color w:val="auto"/>
              </w:rPr>
              <w:t>Contributions from noncontrolling interests, net of</w:t>
            </w:r>
          </w:p>
        </w:tc>
        <w:tc>
          <w:tcPr>
            <w:tcW w:w="16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1,321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16"/>
        </w:trPr>
        <w:tc>
          <w:tcPr>
            <w:tcW w:w="4100" w:type="dxa"/>
            <w:vAlign w:val="bottom"/>
          </w:tcPr>
          <w:p>
            <w:pPr>
              <w:ind w:left="140"/>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4B4B4"/>
                <w:w w:val="91"/>
              </w:rPr>
              <w:t>. . . . . . . . . . . . . . . . . . . . . . . . . . . . . . . . . .</w:t>
            </w: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3"/>
              </w:rPr>
              <w:t xml:space="preserve">Distributions to noncontrolling interests, non-cash </w:t>
            </w:r>
            <w:r>
              <w:rPr>
                <w:rFonts w:ascii="Arial" w:cs="Arial" w:eastAsia="Arial" w:hAnsi="Arial"/>
                <w:sz w:val="16"/>
                <w:szCs w:val="16"/>
                <w:color w:val="B4B4B4"/>
                <w:w w:val="93"/>
              </w:rPr>
              <w:t>.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4B4B4"/>
                <w:w w:val="91"/>
              </w:rPr>
              <w:t>. . . . . . . . . . . . . .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4B4B4"/>
                <w:w w:val="90"/>
              </w:rPr>
              <w:t>.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47"/>
        </w:trPr>
        <w:tc>
          <w:tcPr>
            <w:tcW w:w="4100" w:type="dxa"/>
            <w:vAlign w:val="bottom"/>
          </w:tcPr>
          <w:p>
            <w:pPr>
              <w:ind w:left="140"/>
              <w:spacing w:after="0"/>
              <w:rPr>
                <w:sz w:val="20"/>
                <w:szCs w:val="20"/>
                <w:color w:val="auto"/>
              </w:rPr>
            </w:pPr>
            <w:r>
              <w:rPr>
                <w:rFonts w:ascii="Arial" w:cs="Arial" w:eastAsia="Arial" w:hAnsi="Arial"/>
                <w:sz w:val="16"/>
                <w:szCs w:val="16"/>
                <w:color w:val="auto"/>
                <w:w w:val="92"/>
              </w:rPr>
              <w:t xml:space="preserve">Buyout of noncontrolling interest </w:t>
            </w:r>
            <w:r>
              <w:rPr>
                <w:rFonts w:ascii="Arial" w:cs="Arial" w:eastAsia="Arial" w:hAnsi="Arial"/>
                <w:sz w:val="16"/>
                <w:szCs w:val="16"/>
                <w:color w:val="B4B4B4"/>
                <w:w w:val="92"/>
              </w:rPr>
              <w:t>. . . . . . . . . . .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3"/>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2"/>
              </w:rPr>
              <w:t xml:space="preserve">Buyout of redeemable noncontrolling interest </w:t>
            </w:r>
            <w:r>
              <w:rPr>
                <w:rFonts w:ascii="Arial" w:cs="Arial" w:eastAsia="Arial" w:hAnsi="Arial"/>
                <w:sz w:val="16"/>
                <w:szCs w:val="16"/>
                <w:color w:val="B4B4B4"/>
                <w:w w:val="92"/>
              </w:rPr>
              <w:t>.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9"/>
        </w:trPr>
        <w:tc>
          <w:tcPr>
            <w:tcW w:w="4100" w:type="dxa"/>
            <w:vAlign w:val="bottom"/>
          </w:tcPr>
          <w:p>
            <w:pPr>
              <w:ind w:left="140"/>
              <w:spacing w:after="0"/>
              <w:rPr>
                <w:sz w:val="20"/>
                <w:szCs w:val="20"/>
                <w:color w:val="auto"/>
              </w:rPr>
            </w:pPr>
            <w:r>
              <w:rPr>
                <w:rFonts w:ascii="Arial" w:cs="Arial" w:eastAsia="Arial" w:hAnsi="Arial"/>
                <w:sz w:val="16"/>
                <w:szCs w:val="16"/>
                <w:color w:val="auto"/>
                <w:w w:val="91"/>
              </w:rPr>
              <w:t xml:space="preserve">Non-cash adjustments for change in tax basis </w:t>
            </w:r>
            <w:r>
              <w:rPr>
                <w:rFonts w:ascii="Arial" w:cs="Arial" w:eastAsia="Arial" w:hAnsi="Arial"/>
                <w:sz w:val="16"/>
                <w:szCs w:val="16"/>
                <w:color w:val="B4B4B4"/>
                <w:w w:val="91"/>
              </w:rPr>
              <w:t>. . . . . . . . . . . .</w:t>
            </w:r>
          </w:p>
        </w:tc>
        <w:tc>
          <w:tcPr>
            <w:tcW w:w="16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61"/>
        </w:trPr>
        <w:tc>
          <w:tcPr>
            <w:tcW w:w="4100" w:type="dxa"/>
            <w:vAlign w:val="bottom"/>
            <w:shd w:val="clear" w:color="auto" w:fill="E6E6E6"/>
          </w:tcPr>
          <w:p>
            <w:pPr>
              <w:ind w:left="140"/>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4B4B4"/>
                <w:w w:val="90"/>
              </w:rPr>
              <w:t>. . . . . . . . . . . . . . . . . . . . . . . . . . .</w:t>
            </w: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100" w:type="dxa"/>
            <w:vAlign w:val="bottom"/>
          </w:tcPr>
          <w:p>
            <w:pPr>
              <w:ind w:left="140"/>
              <w:spacing w:after="0"/>
              <w:rPr>
                <w:sz w:val="20"/>
                <w:szCs w:val="20"/>
                <w:color w:val="auto"/>
              </w:rPr>
            </w:pPr>
            <w:r>
              <w:rPr>
                <w:rFonts w:ascii="Arial" w:cs="Arial" w:eastAsia="Arial" w:hAnsi="Arial"/>
                <w:sz w:val="16"/>
                <w:szCs w:val="16"/>
                <w:color w:val="auto"/>
              </w:rPr>
              <w:t>Common stock dividends and distributions to CEG unit</w:t>
            </w:r>
          </w:p>
        </w:tc>
        <w:tc>
          <w:tcPr>
            <w:tcW w:w="16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6"/>
        </w:trPr>
        <w:tc>
          <w:tcPr>
            <w:tcW w:w="4100" w:type="dxa"/>
            <w:vAlign w:val="bottom"/>
          </w:tcPr>
          <w:p>
            <w:pPr>
              <w:ind w:left="140"/>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4B4B4"/>
                <w:w w:val="90"/>
              </w:rPr>
              <w:t>. . . . . . . . . . . . . . . . . . . . . . . . . . . . . . . . . . . . . . . . . . .</w:t>
            </w: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100" w:type="dxa"/>
            <w:vAlign w:val="bottom"/>
            <w:tcBorders>
              <w:bottom w:val="single" w:sz="8" w:color="E6E6E6"/>
            </w:tcBorders>
            <w:shd w:val="clear" w:color="auto" w:fill="E6E6E6"/>
          </w:tcPr>
          <w:p>
            <w:pPr>
              <w:ind w:left="140"/>
              <w:spacing w:after="0"/>
              <w:rPr>
                <w:sz w:val="20"/>
                <w:szCs w:val="20"/>
                <w:color w:val="auto"/>
              </w:rPr>
            </w:pPr>
            <w:r>
              <w:rPr>
                <w:rFonts w:ascii="Arial" w:cs="Arial" w:eastAsia="Arial" w:hAnsi="Arial"/>
                <w:sz w:val="16"/>
                <w:szCs w:val="16"/>
                <w:color w:val="auto"/>
                <w:w w:val="91"/>
              </w:rPr>
              <w:t xml:space="preserve">Other </w:t>
            </w:r>
            <w:r>
              <w:rPr>
                <w:rFonts w:ascii="Arial" w:cs="Arial" w:eastAsia="Arial" w:hAnsi="Arial"/>
                <w:sz w:val="16"/>
                <w:szCs w:val="16"/>
                <w:color w:val="B4B4B4"/>
                <w:w w:val="91"/>
              </w:rPr>
              <w:t>. . . . . . . . . . . . . . . . . . . . . . . . . . . . . . . . . . . . . . . . . . . .</w:t>
            </w:r>
          </w:p>
        </w:tc>
        <w:tc>
          <w:tcPr>
            <w:tcW w:w="160" w:type="dxa"/>
            <w:vAlign w:val="bottom"/>
            <w:tcBorders>
              <w:bottom w:val="single" w:sz="8" w:color="auto"/>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8"/>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w w:val="91"/>
              </w:rPr>
              <w:t xml:space="preserve">Balances at December 31, 2024 </w:t>
            </w:r>
            <w:r>
              <w:rPr>
                <w:rFonts w:ascii="Arial" w:cs="Arial" w:eastAsia="Arial" w:hAnsi="Arial"/>
                <w:sz w:val="16"/>
                <w:szCs w:val="16"/>
                <w:b w:val="1"/>
                <w:bCs w:val="1"/>
                <w:color w:val="B4B4B4"/>
                <w:w w:val="91"/>
              </w:rPr>
              <w:t>. . . . . . . . . . . . . . . . . . . . . . .</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1,805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3,501</w:t>
            </w:r>
          </w:p>
        </w:tc>
        <w:tc>
          <w:tcPr>
            <w:tcW w:w="28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-43815</wp:posOffset>
            </wp:positionV>
            <wp:extent cx="412115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2">
                      <a:extLst>
                        <a:ext uri="{28A0092B-C50C-407E-A947-70E740481C1C}"/>
                      </a:extLst>
                    </a:blip>
                    <a:srcRect/>
                    <a:stretch>
                      <a:fillRect/>
                    </a:stretch>
                  </pic:blipFill>
                  <pic:spPr bwMode="auto">
                    <a:xfrm>
                      <a:off x="0" y="0"/>
                      <a:ext cx="4121150" cy="5080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560"/>
          </w:cols>
          <w:pgMar w:left="580" w:top="35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560"/>
          </w:cols>
          <w:pgMar w:left="580" w:top="354" w:right="740"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w:t>
      </w:r>
    </w:p>
    <w:p>
      <w:pPr>
        <w:spacing w:after="0" w:line="197"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144"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8"/>
          <w:szCs w:val="18"/>
          <w:color w:val="auto"/>
        </w:rPr>
        <w:t>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w:t>
      </w:r>
    </w:p>
    <w:p>
      <w:pPr>
        <w:spacing w:after="0" w:line="121"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44" w:lineRule="exact"/>
        <w:rPr>
          <w:sz w:val="20"/>
          <w:szCs w:val="20"/>
          <w:color w:val="auto"/>
        </w:rPr>
      </w:pPr>
    </w:p>
    <w:p>
      <w:pPr>
        <w:jc w:val="both"/>
        <w:ind w:right="20" w:firstLine="450"/>
        <w:spacing w:after="0" w:line="341" w:lineRule="auto"/>
        <w:rPr>
          <w:sz w:val="20"/>
          <w:szCs w:val="20"/>
          <w:color w:val="auto"/>
        </w:rPr>
      </w:pPr>
      <w:r>
        <w:rPr>
          <w:rFonts w:ascii="Arial" w:cs="Arial" w:eastAsia="Arial" w:hAnsi="Arial"/>
          <w:sz w:val="18"/>
          <w:szCs w:val="18"/>
          <w:color w:val="auto"/>
        </w:rPr>
        <w:t xml:space="preserve">As of December 31, 2024, the Company owned 58.10% of the economic interests of Clearway Energy LLC, with CEG owning 41.90% of the economic interests of Clearway Energy LLC. For further discussion, see Note 12, </w:t>
      </w:r>
      <w:r>
        <w:rPr>
          <w:rFonts w:ascii="Arial" w:cs="Arial" w:eastAsia="Arial" w:hAnsi="Arial"/>
          <w:sz w:val="18"/>
          <w:szCs w:val="18"/>
          <w:b w:val="1"/>
          <w:bCs w:val="1"/>
          <w:i w:val="1"/>
          <w:iCs w:val="1"/>
          <w:color w:val="auto"/>
        </w:rPr>
        <w:t>Stockholders’ Equity.</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260"/>
          </w:cols>
          <w:pgMar w:left="820" w:top="360" w:right="800" w:bottom="0" w:gutter="0" w:footer="0" w:header="0"/>
          <w:type w:val="continuous"/>
        </w:sectPr>
      </w:pPr>
    </w:p>
    <w:bookmarkStart w:id="84" w:name="page85"/>
    <w:bookmarkEnd w:id="84"/>
    <w:p>
      <w:pPr>
        <w:ind w:left="440"/>
        <w:spacing w:after="0"/>
        <w:rPr>
          <w:sz w:val="20"/>
          <w:szCs w:val="20"/>
          <w:color w:val="auto"/>
        </w:rPr>
      </w:pPr>
      <w:r>
        <w:rPr>
          <w:rFonts w:ascii="Arial" w:cs="Arial" w:eastAsia="Arial" w:hAnsi="Arial"/>
          <w:sz w:val="20"/>
          <w:szCs w:val="20"/>
          <w:color w:val="auto"/>
        </w:rPr>
        <w:t>The diagram below represents a summarized structure of the Company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6515100" cy="4864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3">
                      <a:extLst>
                        <a:ext uri="{28A0092B-C50C-407E-A947-70E740481C1C}"/>
                      </a:extLst>
                    </a:blip>
                    <a:srcRect/>
                    <a:stretch>
                      <a:fillRect/>
                    </a:stretch>
                  </pic:blipFill>
                  <pic:spPr bwMode="auto">
                    <a:xfrm>
                      <a:off x="0" y="0"/>
                      <a:ext cx="6515100" cy="486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 and Principles of Consolidation</w:t>
      </w:r>
    </w:p>
    <w:p>
      <w:pPr>
        <w:spacing w:after="0" w:line="198"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9"/>
          <w:szCs w:val="19"/>
          <w:color w:val="auto"/>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16"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20"/>
          <w:szCs w:val="20"/>
          <w:b w:val="1"/>
          <w:bCs w:val="1"/>
          <w:i w:val="1"/>
          <w:iCs w:val="1"/>
          <w:color w:val="auto"/>
        </w:rPr>
        <w:t>Consolidations</w:t>
      </w:r>
      <w:r>
        <w:rPr>
          <w:rFonts w:ascii="Arial" w:cs="Arial" w:eastAsia="Arial" w:hAnsi="Arial"/>
          <w:sz w:val="20"/>
          <w:szCs w:val="20"/>
          <w:color w:val="auto"/>
        </w:rPr>
        <w:t>, to determine when an entity that is insufficiently capitalized or not controlled through its voting interests, referred to as a variable interest entity, or VIE, should be consolidated.</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260"/>
          </w:cols>
          <w:pgMar w:left="820" w:top="367" w:right="80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i w:val="1"/>
          <w:iCs w:val="1"/>
          <w:color w:val="auto"/>
        </w:rPr>
        <w:t>Cash, Cash Equivalents and Restricted Cash</w:t>
      </w:r>
    </w:p>
    <w:p>
      <w:pPr>
        <w:spacing w:after="0" w:line="198" w:lineRule="exact"/>
        <w:rPr>
          <w:sz w:val="20"/>
          <w:szCs w:val="20"/>
          <w:color w:val="auto"/>
        </w:rPr>
      </w:pPr>
    </w:p>
    <w:p>
      <w:pPr>
        <w:jc w:val="both"/>
        <w:ind w:right="80" w:firstLine="450"/>
        <w:spacing w:after="0" w:line="266" w:lineRule="auto"/>
        <w:rPr>
          <w:sz w:val="20"/>
          <w:szCs w:val="20"/>
          <w:color w:val="auto"/>
        </w:rPr>
      </w:pPr>
      <w:r>
        <w:rPr>
          <w:rFonts w:ascii="Arial" w:cs="Arial" w:eastAsia="Arial" w:hAnsi="Arial"/>
          <w:sz w:val="20"/>
          <w:szCs w:val="20"/>
          <w:color w:val="auto"/>
        </w:rPr>
        <w:t>Cash and cash equivalents include highly liquid investments with an original maturity of three months or less at the time of purchase. Cash and cash equivalents held at subsidiary facilities was $194 million and $125 million as of December 31, 2024 and 2023, respectively.</w:t>
      </w:r>
    </w:p>
    <w:p>
      <w:pPr>
        <w:spacing w:after="0" w:line="135" w:lineRule="exact"/>
        <w:rPr>
          <w:sz w:val="20"/>
          <w:szCs w:val="20"/>
          <w:color w:val="auto"/>
        </w:rPr>
      </w:pPr>
    </w:p>
    <w:p>
      <w:pPr>
        <w:jc w:val="both"/>
        <w:ind w:right="80" w:firstLine="450"/>
        <w:spacing w:after="0" w:line="34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Borders>
              <w:bottom w:val="single" w:sz="8" w:color="auto"/>
            </w:tcBorders>
            <w:gridSpan w:val="5"/>
          </w:tcPr>
          <w:p>
            <w:pPr>
              <w:jc w:val="right"/>
              <w:ind w:right="625"/>
              <w:spacing w:after="0"/>
              <w:rPr>
                <w:sz w:val="20"/>
                <w:szCs w:val="20"/>
                <w:color w:val="auto"/>
              </w:rPr>
            </w:pPr>
            <w:r>
              <w:rPr>
                <w:rFonts w:ascii="Arial" w:cs="Arial" w:eastAsia="Arial" w:hAnsi="Arial"/>
                <w:sz w:val="16"/>
                <w:szCs w:val="16"/>
                <w:b w:val="1"/>
                <w:bCs w:val="1"/>
                <w:color w:val="auto"/>
              </w:rPr>
              <w:t>December 31,</w:t>
            </w:r>
          </w:p>
        </w:tc>
      </w:tr>
      <w:tr>
        <w:trPr>
          <w:trHeight w:val="235"/>
        </w:trPr>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w w:val="89"/>
              </w:rPr>
              <w:t>2023</w:t>
            </w:r>
          </w:p>
        </w:tc>
      </w:tr>
      <w:tr>
        <w:trPr>
          <w:trHeight w:val="237"/>
        </w:trPr>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(In millions)</w:t>
            </w:r>
          </w:p>
        </w:tc>
        <w:tc>
          <w:tcPr>
            <w:tcW w:w="760" w:type="dxa"/>
            <w:vAlign w:val="bottom"/>
          </w:tcPr>
          <w:p>
            <w:pPr>
              <w:spacing w:after="0"/>
              <w:rPr>
                <w:sz w:val="20"/>
                <w:szCs w:val="20"/>
                <w:color w:val="auto"/>
              </w:rPr>
            </w:pPr>
          </w:p>
        </w:tc>
      </w:tr>
      <w:tr>
        <w:trPr>
          <w:trHeight w:val="308"/>
        </w:trPr>
        <w:tc>
          <w:tcPr>
            <w:tcW w:w="7760" w:type="dxa"/>
            <w:vAlign w:val="bottom"/>
            <w:shd w:val="clear" w:color="auto" w:fill="E6E6E6"/>
          </w:tcPr>
          <w:p>
            <w:pPr>
              <w:ind w:left="60"/>
              <w:spacing w:after="0"/>
              <w:rPr>
                <w:sz w:val="20"/>
                <w:szCs w:val="20"/>
                <w:color w:val="auto"/>
              </w:rPr>
            </w:pPr>
            <w:r>
              <w:rPr>
                <w:rFonts w:ascii="Arial" w:cs="Arial" w:eastAsia="Arial" w:hAnsi="Arial"/>
                <w:sz w:val="20"/>
                <w:szCs w:val="20"/>
                <w:color w:val="auto"/>
                <w:w w:val="89"/>
              </w:rPr>
              <w:t xml:space="preserve">Cash and cash equivalents  </w:t>
            </w:r>
            <w:r>
              <w:rPr>
                <w:rFonts w:ascii="Arial" w:cs="Arial" w:eastAsia="Arial" w:hAnsi="Arial"/>
                <w:sz w:val="20"/>
                <w:szCs w:val="20"/>
                <w:color w:val="B4B4B4"/>
                <w:w w:val="89"/>
              </w:rPr>
              <w:t>. . . . . . . . . . . . . . . . . . . . . . . . . . . . . . . . . . . . . . . . . . . . . . . . . . . . . . .</w:t>
            </w:r>
          </w:p>
        </w:tc>
        <w:tc>
          <w:tcPr>
            <w:tcW w:w="88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400" w:type="dxa"/>
            <w:vAlign w:val="bottom"/>
            <w:shd w:val="clear" w:color="auto" w:fill="E6E6E6"/>
          </w:tcPr>
          <w:p>
            <w:pPr>
              <w:ind w:left="20"/>
              <w:spacing w:after="0"/>
              <w:rPr>
                <w:sz w:val="20"/>
                <w:szCs w:val="20"/>
                <w:color w:val="auto"/>
              </w:rPr>
            </w:pPr>
            <w:r>
              <w:rPr>
                <w:rFonts w:ascii="Arial" w:cs="Arial" w:eastAsia="Arial" w:hAnsi="Arial"/>
                <w:sz w:val="20"/>
                <w:szCs w:val="20"/>
                <w:color w:val="auto"/>
              </w:rPr>
              <w:t>332</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ind w:right="5"/>
              <w:spacing w:after="0"/>
              <w:rPr>
                <w:sz w:val="20"/>
                <w:szCs w:val="20"/>
                <w:color w:val="auto"/>
              </w:rPr>
            </w:pPr>
            <w:r>
              <w:rPr>
                <w:rFonts w:ascii="Arial" w:cs="Arial" w:eastAsia="Arial" w:hAnsi="Arial"/>
                <w:sz w:val="20"/>
                <w:szCs w:val="20"/>
                <w:color w:val="auto"/>
              </w:rPr>
              <w:t>535</w:t>
            </w:r>
          </w:p>
        </w:tc>
      </w:tr>
      <w:tr>
        <w:trPr>
          <w:trHeight w:val="290"/>
        </w:trPr>
        <w:tc>
          <w:tcPr>
            <w:tcW w:w="77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w w:val="90"/>
              </w:rPr>
              <w:t xml:space="preserve">Restricted cash </w:t>
            </w:r>
            <w:r>
              <w:rPr>
                <w:rFonts w:ascii="Arial" w:cs="Arial" w:eastAsia="Arial" w:hAnsi="Arial"/>
                <w:sz w:val="20"/>
                <w:szCs w:val="20"/>
                <w:color w:val="B4B4B4"/>
                <w:w w:val="90"/>
              </w:rPr>
              <w:t>. . . . . . . . . . . . . . . . . . . . . . . . . . . . . . . . . . . . . . . . . . . . . . . . . . . . . . . . . . . . . . . .</w:t>
            </w:r>
          </w:p>
        </w:tc>
        <w:tc>
          <w:tcPr>
            <w:tcW w:w="140" w:type="dxa"/>
            <w:vAlign w:val="bottom"/>
            <w:tcBorders>
              <w:bottom w:val="single" w:sz="8" w:color="E6E6E6"/>
            </w:tcBorders>
          </w:tcPr>
          <w:p>
            <w:pPr>
              <w:ind w:left="20"/>
              <w:spacing w:after="0"/>
              <w:rPr>
                <w:sz w:val="20"/>
                <w:szCs w:val="20"/>
                <w:color w:val="auto"/>
              </w:rPr>
            </w:pPr>
            <w:r>
              <w:rPr>
                <w:rFonts w:ascii="Arial" w:cs="Arial" w:eastAsia="Arial" w:hAnsi="Arial"/>
                <w:sz w:val="20"/>
                <w:szCs w:val="20"/>
                <w:color w:val="B4B4B4"/>
              </w:rPr>
              <w:t>.</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401</w:t>
            </w:r>
          </w:p>
        </w:tc>
        <w:tc>
          <w:tcPr>
            <w:tcW w:w="8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516</w:t>
            </w:r>
          </w:p>
        </w:tc>
      </w:tr>
      <w:tr>
        <w:trPr>
          <w:trHeight w:val="295"/>
        </w:trPr>
        <w:tc>
          <w:tcPr>
            <w:tcW w:w="7760" w:type="dxa"/>
            <w:vAlign w:val="bottom"/>
            <w:shd w:val="clear" w:color="auto" w:fill="E6E6E6"/>
          </w:tcPr>
          <w:p>
            <w:pPr>
              <w:ind w:left="180"/>
              <w:spacing w:after="0"/>
              <w:rPr>
                <w:sz w:val="20"/>
                <w:szCs w:val="20"/>
                <w:color w:val="auto"/>
              </w:rPr>
            </w:pPr>
            <w:r>
              <w:rPr>
                <w:rFonts w:ascii="Arial" w:cs="Arial" w:eastAsia="Arial" w:hAnsi="Arial"/>
                <w:sz w:val="20"/>
                <w:szCs w:val="20"/>
                <w:color w:val="auto"/>
                <w:w w:val="89"/>
              </w:rPr>
              <w:t>Cash, cash equivalents and restricted cash shown in the consolidated statements of cash flows</w:t>
            </w:r>
          </w:p>
        </w:tc>
        <w:tc>
          <w:tcPr>
            <w:tcW w:w="88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400" w:type="dxa"/>
            <w:vAlign w:val="bottom"/>
            <w:shd w:val="clear" w:color="auto" w:fill="E6E6E6"/>
          </w:tcPr>
          <w:p>
            <w:pPr>
              <w:ind w:left="20"/>
              <w:spacing w:after="0"/>
              <w:rPr>
                <w:sz w:val="20"/>
                <w:szCs w:val="20"/>
                <w:color w:val="auto"/>
              </w:rPr>
            </w:pPr>
            <w:r>
              <w:rPr>
                <w:rFonts w:ascii="Arial" w:cs="Arial" w:eastAsia="Arial" w:hAnsi="Arial"/>
                <w:sz w:val="20"/>
                <w:szCs w:val="20"/>
                <w:color w:val="auto"/>
              </w:rPr>
              <w:t>733</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ind w:right="5"/>
              <w:spacing w:after="0"/>
              <w:rPr>
                <w:sz w:val="20"/>
                <w:szCs w:val="20"/>
                <w:color w:val="auto"/>
              </w:rPr>
            </w:pPr>
            <w:r>
              <w:rPr>
                <w:rFonts w:ascii="Arial" w:cs="Arial" w:eastAsia="Arial" w:hAnsi="Arial"/>
                <w:sz w:val="20"/>
                <w:szCs w:val="20"/>
                <w:color w:val="auto"/>
              </w:rPr>
              <w:t>1,051</w:t>
            </w:r>
          </w:p>
        </w:tc>
      </w:tr>
      <w:tr>
        <w:trPr>
          <w:trHeight w:val="20"/>
        </w:trPr>
        <w:tc>
          <w:tcPr>
            <w:tcW w:w="776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-43815</wp:posOffset>
            </wp:positionV>
            <wp:extent cx="152082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4">
                      <a:extLst>
                        <a:ext uri="{28A0092B-C50C-407E-A947-70E740481C1C}"/>
                      </a:extLst>
                    </a:blip>
                    <a:srcRect/>
                    <a:stretch>
                      <a:fillRect/>
                    </a:stretch>
                  </pic:blipFill>
                  <pic:spPr bwMode="auto">
                    <a:xfrm>
                      <a:off x="0" y="0"/>
                      <a:ext cx="1520825" cy="50800"/>
                    </a:xfrm>
                    <a:prstGeom prst="rect">
                      <a:avLst/>
                    </a:prstGeom>
                    <a:noFill/>
                  </pic:spPr>
                </pic:pic>
              </a:graphicData>
            </a:graphic>
          </wp:anchor>
        </w:drawing>
      </w:r>
    </w:p>
    <w:p>
      <w:pPr>
        <w:spacing w:after="0" w:line="167" w:lineRule="exact"/>
        <w:rPr>
          <w:sz w:val="20"/>
          <w:szCs w:val="20"/>
          <w:color w:val="auto"/>
        </w:rPr>
      </w:pPr>
    </w:p>
    <w:p>
      <w:pPr>
        <w:jc w:val="both"/>
        <w:ind w:right="80" w:firstLine="450"/>
        <w:spacing w:after="0" w:line="283" w:lineRule="auto"/>
        <w:rPr>
          <w:sz w:val="20"/>
          <w:szCs w:val="20"/>
          <w:color w:val="auto"/>
        </w:rPr>
      </w:pPr>
      <w:r>
        <w:rPr>
          <w:rFonts w:ascii="Arial" w:cs="Arial" w:eastAsia="Arial" w:hAnsi="Arial"/>
          <w:sz w:val="20"/>
          <w:szCs w:val="20"/>
          <w:color w:val="auto"/>
        </w:rPr>
        <w:t>Restricted cash consists primarily of funds held to satisfy the requirements of certain debt agreements and funds held within the Company’s facilities that are restricted in their use.</w:t>
      </w:r>
    </w:p>
    <w:p>
      <w:pPr>
        <w:spacing w:after="0" w:line="118" w:lineRule="exact"/>
        <w:rPr>
          <w:sz w:val="20"/>
          <w:szCs w:val="20"/>
          <w:color w:val="auto"/>
        </w:rPr>
      </w:pPr>
    </w:p>
    <w:p>
      <w:pPr>
        <w:jc w:val="both"/>
        <w:ind w:right="80" w:firstLine="450"/>
        <w:spacing w:after="0" w:line="261" w:lineRule="auto"/>
        <w:rPr>
          <w:sz w:val="20"/>
          <w:szCs w:val="20"/>
          <w:color w:val="auto"/>
        </w:rPr>
      </w:pPr>
      <w:r>
        <w:rPr>
          <w:rFonts w:ascii="Arial" w:cs="Arial" w:eastAsia="Arial" w:hAnsi="Arial"/>
          <w:sz w:val="20"/>
          <w:szCs w:val="20"/>
          <w:color w:val="auto"/>
        </w:rPr>
        <w:t>As of December 31, 2024, these restricted funds were comprised of $184 million designated to fund operating expenses, $37 million designated for current debt service payments and $102 million restricted for reserves, including debt service, performance obligations and other reserves as well as capital expenditures. The remaining $78 million is held in distribution reserve accounts.</w:t>
      </w:r>
    </w:p>
    <w:p>
      <w:pPr>
        <w:spacing w:after="0" w:line="140" w:lineRule="exact"/>
        <w:rPr>
          <w:sz w:val="20"/>
          <w:szCs w:val="20"/>
          <w:color w:val="auto"/>
        </w:rPr>
      </w:pPr>
    </w:p>
    <w:p>
      <w:pPr>
        <w:jc w:val="both"/>
        <w:ind w:right="80" w:firstLine="450"/>
        <w:spacing w:after="0" w:line="261" w:lineRule="auto"/>
        <w:rPr>
          <w:sz w:val="20"/>
          <w:szCs w:val="20"/>
          <w:color w:val="auto"/>
        </w:rPr>
      </w:pPr>
      <w:r>
        <w:rPr>
          <w:rFonts w:ascii="Arial" w:cs="Arial" w:eastAsia="Arial" w:hAnsi="Arial"/>
          <w:sz w:val="20"/>
          <w:szCs w:val="20"/>
          <w:color w:val="auto"/>
        </w:rPr>
        <w:t>As of December 31, 2023, these restricted funds were comprised of $176 million designated to fund operating expenses, $178 million designated for current debt service payments and $85 million restricted for reserves, including debt service, performance obligations and other reserves as well as capital expenditures. The remaining $77 million was held in distribution reserve accounts.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Cash Flow Information</w:t>
      </w:r>
    </w:p>
    <w:p>
      <w:pPr>
        <w:spacing w:after="0" w:line="198" w:lineRule="exact"/>
        <w:rPr>
          <w:sz w:val="20"/>
          <w:szCs w:val="20"/>
          <w:color w:val="auto"/>
        </w:rPr>
      </w:pPr>
    </w:p>
    <w:p>
      <w:pPr>
        <w:jc w:val="both"/>
        <w:ind w:right="80" w:firstLine="450"/>
        <w:spacing w:after="0" w:line="283" w:lineRule="auto"/>
        <w:rPr>
          <w:sz w:val="20"/>
          <w:szCs w:val="20"/>
          <w:color w:val="auto"/>
        </w:rPr>
      </w:pPr>
      <w:r>
        <w:rPr>
          <w:rFonts w:ascii="Arial" w:cs="Arial" w:eastAsia="Arial" w:hAnsi="Arial"/>
          <w:sz w:val="20"/>
          <w:szCs w:val="20"/>
          <w:color w:val="auto"/>
        </w:rPr>
        <w:t>The following table provides a disaggregation of the amounts classified as Acquisition of Drop Down Assets, net of cash acquired, shown in the consolidated statements of cash flows: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center"/>
              <w:ind w:left="45"/>
              <w:spacing w:after="0"/>
              <w:rPr>
                <w:sz w:val="20"/>
                <w:szCs w:val="20"/>
                <w:color w:val="auto"/>
              </w:rPr>
            </w:pPr>
            <w:r>
              <w:rPr>
                <w:rFonts w:ascii="Arial" w:cs="Arial" w:eastAsia="Arial" w:hAnsi="Arial"/>
                <w:sz w:val="16"/>
                <w:szCs w:val="16"/>
                <w:b w:val="1"/>
                <w:bCs w:val="1"/>
                <w:color w:val="auto"/>
                <w:w w:val="89"/>
              </w:rPr>
              <w:t>Year ended December 31,</w:t>
            </w:r>
          </w:p>
        </w:tc>
        <w:tc>
          <w:tcPr>
            <w:tcW w:w="1060" w:type="dxa"/>
            <w:vAlign w:val="bottom"/>
            <w:tcBorders>
              <w:bottom w:val="single" w:sz="8" w:color="auto"/>
            </w:tcBorders>
          </w:tcPr>
          <w:p>
            <w:pPr>
              <w:spacing w:after="0"/>
              <w:rPr>
                <w:sz w:val="19"/>
                <w:szCs w:val="19"/>
                <w:color w:val="auto"/>
              </w:rPr>
            </w:pPr>
          </w:p>
        </w:tc>
      </w:tr>
      <w:tr>
        <w:trPr>
          <w:trHeight w:val="235"/>
        </w:trPr>
        <w:tc>
          <w:tcPr>
            <w:tcW w:w="60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2022</w:t>
            </w:r>
          </w:p>
        </w:tc>
      </w:tr>
      <w:tr>
        <w:trPr>
          <w:trHeight w:val="237"/>
        </w:trPr>
        <w:tc>
          <w:tcPr>
            <w:tcW w:w="6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28"/>
              <w:spacing w:after="0"/>
              <w:rPr>
                <w:sz w:val="20"/>
                <w:szCs w:val="20"/>
                <w:color w:val="auto"/>
              </w:rPr>
            </w:pPr>
            <w:r>
              <w:rPr>
                <w:rFonts w:ascii="Arial" w:cs="Arial" w:eastAsia="Arial" w:hAnsi="Arial"/>
                <w:sz w:val="16"/>
                <w:szCs w:val="16"/>
                <w:b w:val="1"/>
                <w:bCs w:val="1"/>
                <w:color w:val="auto"/>
                <w:w w:val="93"/>
              </w:rPr>
              <w:t>(In millions)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3"/>
        </w:trPr>
        <w:tc>
          <w:tcPr>
            <w:tcW w:w="6000" w:type="dxa"/>
            <w:vAlign w:val="bottom"/>
            <w:shd w:val="clear" w:color="auto" w:fill="E6E6E6"/>
          </w:tcPr>
          <w:p>
            <w:pPr>
              <w:jc w:val="right"/>
              <w:ind w:right="20"/>
              <w:spacing w:after="0"/>
              <w:rPr>
                <w:sz w:val="20"/>
                <w:szCs w:val="20"/>
                <w:color w:val="auto"/>
              </w:rPr>
            </w:pPr>
            <w:r>
              <w:rPr>
                <w:rFonts w:ascii="Arial" w:cs="Arial" w:eastAsia="Arial" w:hAnsi="Arial"/>
                <w:sz w:val="20"/>
                <w:szCs w:val="20"/>
                <w:color w:val="auto"/>
                <w:w w:val="91"/>
              </w:rPr>
              <w:t xml:space="preserve">Cash paid to acquire Drop Down Assets </w:t>
            </w:r>
            <w:r>
              <w:rPr>
                <w:rFonts w:ascii="Arial" w:cs="Arial" w:eastAsia="Arial" w:hAnsi="Arial"/>
                <w:sz w:val="20"/>
                <w:szCs w:val="20"/>
                <w:color w:val="B4B4B4"/>
                <w:w w:val="91"/>
              </w:rPr>
              <w:t>. . . . . . . . . . . . . . . . . . . . . . . . . .</w:t>
            </w:r>
          </w:p>
        </w:tc>
        <w:tc>
          <w:tcPr>
            <w:tcW w:w="900" w:type="dxa"/>
            <w:vAlign w:val="bottom"/>
            <w:shd w:val="clear" w:color="auto" w:fill="E6E6E6"/>
          </w:tcPr>
          <w:p>
            <w:pPr>
              <w:jc w:val="right"/>
              <w:ind w:right="667"/>
              <w:spacing w:after="0"/>
              <w:rPr>
                <w:sz w:val="20"/>
                <w:szCs w:val="20"/>
                <w:color w:val="auto"/>
              </w:rPr>
            </w:pPr>
            <w:r>
              <w:rPr>
                <w:rFonts w:ascii="Arial" w:cs="Arial" w:eastAsia="Arial" w:hAnsi="Arial"/>
                <w:sz w:val="20"/>
                <w:szCs w:val="20"/>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(680)</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w:t>
            </w:r>
          </w:p>
        </w:tc>
        <w:tc>
          <w:tcPr>
            <w:tcW w:w="40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w:t>
            </w:r>
          </w:p>
        </w:tc>
      </w:tr>
      <w:tr>
        <w:trPr>
          <w:trHeight w:val="275"/>
        </w:trPr>
        <w:tc>
          <w:tcPr>
            <w:tcW w:w="6000" w:type="dxa"/>
            <w:vAlign w:val="bottom"/>
            <w:tcBorders>
              <w:bottom w:val="single" w:sz="8" w:color="E6E6E6"/>
            </w:tcBorders>
          </w:tcPr>
          <w:p>
            <w:pPr>
              <w:jc w:val="right"/>
              <w:ind w:right="20"/>
              <w:spacing w:after="0"/>
              <w:rPr>
                <w:sz w:val="20"/>
                <w:szCs w:val="20"/>
                <w:color w:val="auto"/>
              </w:rPr>
            </w:pPr>
            <w:r>
              <w:rPr>
                <w:rFonts w:ascii="Arial" w:cs="Arial" w:eastAsia="Arial" w:hAnsi="Arial"/>
                <w:sz w:val="20"/>
                <w:szCs w:val="20"/>
                <w:color w:val="auto"/>
                <w:w w:val="92"/>
              </w:rPr>
              <w:t xml:space="preserve">Cash acquired from the acquisition of Drop Down Assets </w:t>
            </w:r>
            <w:r>
              <w:rPr>
                <w:rFonts w:ascii="Arial" w:cs="Arial" w:eastAsia="Arial" w:hAnsi="Arial"/>
                <w:sz w:val="20"/>
                <w:szCs w:val="20"/>
                <w:color w:val="B4B4B4"/>
                <w:w w:val="92"/>
              </w:rPr>
              <w:t>. . . . . . . . . . . .</w:t>
            </w: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c>
          <w:tcPr>
            <w:tcW w:w="6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r>
      <w:tr>
        <w:trPr>
          <w:trHeight w:val="265"/>
        </w:trPr>
        <w:tc>
          <w:tcPr>
            <w:tcW w:w="6000" w:type="dxa"/>
            <w:vAlign w:val="bottom"/>
            <w:shd w:val="clear" w:color="auto" w:fill="E6E6E6"/>
          </w:tcPr>
          <w:p>
            <w:pPr>
              <w:jc w:val="right"/>
              <w:ind w:right="40"/>
              <w:spacing w:after="0"/>
              <w:rPr>
                <w:sz w:val="20"/>
                <w:szCs w:val="20"/>
                <w:color w:val="auto"/>
              </w:rPr>
            </w:pPr>
            <w:r>
              <w:rPr>
                <w:rFonts w:ascii="Arial" w:cs="Arial" w:eastAsia="Arial" w:hAnsi="Arial"/>
                <w:sz w:val="20"/>
                <w:szCs w:val="20"/>
                <w:color w:val="auto"/>
                <w:w w:val="94"/>
              </w:rPr>
              <w:t xml:space="preserve">Acquisition of Drop Down Assets, net of cash acquired  </w:t>
            </w:r>
            <w:r>
              <w:rPr>
                <w:rFonts w:ascii="Arial" w:cs="Arial" w:eastAsia="Arial" w:hAnsi="Arial"/>
                <w:sz w:val="20"/>
                <w:szCs w:val="20"/>
                <w:color w:val="B4B4B4"/>
                <w:w w:val="94"/>
              </w:rPr>
              <w:t>. . . . . . . . . . . .</w:t>
            </w:r>
          </w:p>
        </w:tc>
        <w:tc>
          <w:tcPr>
            <w:tcW w:w="900" w:type="dxa"/>
            <w:vAlign w:val="bottom"/>
            <w:shd w:val="clear" w:color="auto" w:fill="E6E6E6"/>
          </w:tcPr>
          <w:p>
            <w:pPr>
              <w:jc w:val="right"/>
              <w:ind w:right="667"/>
              <w:spacing w:after="0"/>
              <w:rPr>
                <w:sz w:val="20"/>
                <w:szCs w:val="20"/>
                <w:color w:val="auto"/>
              </w:rPr>
            </w:pPr>
            <w:r>
              <w:rPr>
                <w:rFonts w:ascii="Arial" w:cs="Arial" w:eastAsia="Arial" w:hAnsi="Arial"/>
                <w:sz w:val="20"/>
                <w:szCs w:val="20"/>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(678)</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w:t>
            </w:r>
          </w:p>
        </w:tc>
        <w:tc>
          <w:tcPr>
            <w:tcW w:w="40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w:t>
            </w:r>
          </w:p>
        </w:tc>
      </w:tr>
      <w:tr>
        <w:trPr>
          <w:trHeight w:val="20"/>
        </w:trPr>
        <w:tc>
          <w:tcPr>
            <w:tcW w:w="600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-43815</wp:posOffset>
            </wp:positionV>
            <wp:extent cx="276860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5">
                      <a:extLst>
                        <a:ext uri="{28A0092B-C50C-407E-A947-70E740481C1C}"/>
                      </a:extLst>
                    </a:blip>
                    <a:srcRect/>
                    <a:stretch>
                      <a:fillRect/>
                    </a:stretch>
                  </pic:blipFill>
                  <pic:spPr bwMode="auto">
                    <a:xfrm>
                      <a:off x="0" y="0"/>
                      <a:ext cx="2768600"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 — Trade and Allowance for Credit Losses</w:t>
      </w:r>
    </w:p>
    <w:p>
      <w:pPr>
        <w:spacing w:after="0" w:line="198"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9"/>
          <w:szCs w:val="19"/>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2024 and 2023.</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Inventory</w:t>
      </w:r>
    </w:p>
    <w:p>
      <w:pPr>
        <w:spacing w:after="0" w:line="198" w:lineRule="exact"/>
        <w:rPr>
          <w:sz w:val="20"/>
          <w:szCs w:val="20"/>
          <w:color w:val="auto"/>
        </w:rPr>
      </w:pPr>
    </w:p>
    <w:p>
      <w:pPr>
        <w:jc w:val="both"/>
        <w:ind w:right="80" w:firstLine="450"/>
        <w:spacing w:after="0" w:line="266" w:lineRule="auto"/>
        <w:rPr>
          <w:sz w:val="20"/>
          <w:szCs w:val="20"/>
          <w:color w:val="auto"/>
        </w:rPr>
      </w:pPr>
      <w:r>
        <w:rPr>
          <w:rFonts w:ascii="Arial" w:cs="Arial" w:eastAsia="Arial" w:hAnsi="Arial"/>
          <w:sz w:val="20"/>
          <w:szCs w:val="20"/>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ectPr>
          <w:pgSz w:w="11880" w:h="15480" w:orient="portrait"/>
          <w:cols w:equalWidth="0" w:num="1">
            <w:col w:w="10320"/>
          </w:cols>
          <w:pgMar w:left="820" w:top="359"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320"/>
          </w:cols>
          <w:pgMar w:left="820" w:top="359" w:right="74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198"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8"/>
          <w:szCs w:val="18"/>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w:t>
      </w:r>
    </w:p>
    <w:p>
      <w:pPr>
        <w:spacing w:after="0" w:line="121"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Interest incurred on funds borrowed to finance capital projects is capitalized until the project under construction is ready for its intended use. The amount of interest capitalized for the years ended December 31, 2024, 2023 and 2022 was $28 million, $36 million and $2 million, respectively.</w:t>
      </w:r>
    </w:p>
    <w:p>
      <w:pPr>
        <w:spacing w:after="0" w:line="135"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Impairments</w:t>
      </w:r>
    </w:p>
    <w:p>
      <w:pPr>
        <w:spacing w:after="0" w:line="198"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8"/>
          <w:szCs w:val="18"/>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Plant and Equipment</w:t>
      </w:r>
      <w:r>
        <w:rPr>
          <w:rFonts w:ascii="Arial" w:cs="Arial" w:eastAsia="Arial" w:hAnsi="Arial"/>
          <w:sz w:val="18"/>
          <w:szCs w:val="18"/>
          <w:color w:val="auto"/>
        </w:rPr>
        <w:t>. An impairment loss is indicated if the total future estimated undiscounted cash flows expected from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8"/>
          <w:szCs w:val="18"/>
          <w:b w:val="1"/>
          <w:bCs w:val="1"/>
          <w:i w:val="1"/>
          <w:iCs w:val="1"/>
          <w:color w:val="auto"/>
        </w:rPr>
        <w:t>Asset Impairments</w:t>
      </w:r>
      <w:r>
        <w:rPr>
          <w:rFonts w:ascii="Arial" w:cs="Arial" w:eastAsia="Arial" w:hAnsi="Arial"/>
          <w:sz w:val="18"/>
          <w:szCs w:val="18"/>
          <w:color w:val="auto"/>
        </w:rPr>
        <w:t>.</w:t>
      </w:r>
    </w:p>
    <w:p>
      <w:pPr>
        <w:spacing w:after="0" w:line="118" w:lineRule="exact"/>
        <w:rPr>
          <w:sz w:val="20"/>
          <w:szCs w:val="20"/>
          <w:color w:val="auto"/>
        </w:rPr>
      </w:pPr>
    </w:p>
    <w:p>
      <w:pPr>
        <w:jc w:val="both"/>
        <w:ind w:firstLine="450"/>
        <w:spacing w:after="0" w:line="262" w:lineRule="auto"/>
        <w:rPr>
          <w:sz w:val="20"/>
          <w:szCs w:val="20"/>
          <w:color w:val="auto"/>
        </w:rPr>
      </w:pPr>
      <w:r>
        <w:rPr>
          <w:rFonts w:ascii="Arial" w:cs="Arial" w:eastAsia="Arial" w:hAnsi="Arial"/>
          <w:sz w:val="20"/>
          <w:szCs w:val="20"/>
          <w:color w:val="auto"/>
        </w:rPr>
        <w:t xml:space="preserve">Investments accounted for by the equity method are reviewed for impairment in accordance with ASC 323, </w:t>
      </w:r>
      <w:r>
        <w:rPr>
          <w:rFonts w:ascii="Arial" w:cs="Arial" w:eastAsia="Arial" w:hAnsi="Arial"/>
          <w:sz w:val="20"/>
          <w:szCs w:val="20"/>
          <w:b w:val="1"/>
          <w:bCs w:val="1"/>
          <w:i w:val="1"/>
          <w:iCs w:val="1"/>
          <w:color w:val="auto"/>
        </w:rPr>
        <w:t>Investments-Equity Method and Joint Ventures</w:t>
      </w:r>
      <w:r>
        <w:rPr>
          <w:rFonts w:ascii="Arial" w:cs="Arial" w:eastAsia="Arial" w:hAnsi="Arial"/>
          <w:sz w:val="20"/>
          <w:szCs w:val="20"/>
          <w:color w:val="auto"/>
        </w:rPr>
        <w:t>, which requires that a loss in value of an investment that is an other-than-temporary decline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should be recognized. The Company identifies and measures losses in the value of equity method investments based upon a comparison of fair value to carrying value.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Issuance Costs</w:t>
      </w:r>
    </w:p>
    <w:p>
      <w:pPr>
        <w:spacing w:after="0" w:line="198" w:lineRule="exact"/>
        <w:rPr>
          <w:sz w:val="20"/>
          <w:szCs w:val="20"/>
          <w:color w:val="auto"/>
        </w:rPr>
      </w:pPr>
    </w:p>
    <w:p>
      <w:pPr>
        <w:jc w:val="both"/>
        <w:ind w:firstLine="450"/>
        <w:spacing w:after="0" w:line="258" w:lineRule="auto"/>
        <w:rPr>
          <w:sz w:val="20"/>
          <w:szCs w:val="20"/>
          <w:color w:val="auto"/>
        </w:rPr>
      </w:pPr>
      <w:r>
        <w:rPr>
          <w:rFonts w:ascii="Arial" w:cs="Arial" w:eastAsia="Arial" w:hAnsi="Arial"/>
          <w:sz w:val="20"/>
          <w:szCs w:val="20"/>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98"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20"/>
          <w:szCs w:val="20"/>
          <w:color w:val="auto"/>
        </w:rPr>
        <w:t xml:space="preserve">Intangible assets represent contractual rights held by the Company. The Company recognizes specifically identifiable intangible assets, including PPAs,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20"/>
          <w:szCs w:val="20"/>
          <w:b w:val="1"/>
          <w:bCs w:val="1"/>
          <w:i w:val="1"/>
          <w:iCs w:val="1"/>
          <w:color w:val="auto"/>
        </w:rPr>
        <w:t>Intangible Assets</w:t>
      </w:r>
      <w:r>
        <w:rPr>
          <w:rFonts w:ascii="Arial" w:cs="Arial" w:eastAsia="Arial" w:hAnsi="Arial"/>
          <w:sz w:val="20"/>
          <w:szCs w:val="20"/>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Revenue from Contracts with Customers</w:t>
      </w:r>
    </w:p>
    <w:p>
      <w:pPr>
        <w:spacing w:after="0" w:line="19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20"/>
          <w:szCs w:val="20"/>
          <w:color w:val="auto"/>
        </w:rPr>
        <w:t xml:space="preserve">The Company applies the guidance in ASC 606, </w:t>
      </w:r>
      <w:r>
        <w:rPr>
          <w:rFonts w:ascii="Arial" w:cs="Arial" w:eastAsia="Arial" w:hAnsi="Arial"/>
          <w:sz w:val="20"/>
          <w:szCs w:val="20"/>
          <w:b w:val="1"/>
          <w:bCs w:val="1"/>
          <w:i w:val="1"/>
          <w:iCs w:val="1"/>
          <w:color w:val="auto"/>
        </w:rPr>
        <w:t>Revenue from Contracts with Customers,</w:t>
      </w:r>
      <w:r>
        <w:rPr>
          <w:rFonts w:ascii="Arial" w:cs="Arial" w:eastAsia="Arial" w:hAnsi="Arial"/>
          <w:sz w:val="20"/>
          <w:szCs w:val="20"/>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ectPr>
          <w:pgSz w:w="11880" w:h="15480" w:orient="portrait"/>
          <w:cols w:equalWidth="0" w:num="1">
            <w:col w:w="10240"/>
          </w:cols>
          <w:pgMar w:left="820" w:top="35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240"/>
          </w:cols>
          <w:pgMar w:left="820" w:top="359" w:right="820" w:bottom="0" w:gutter="0" w:footer="0" w:header="0"/>
          <w:type w:val="continuous"/>
        </w:sectPr>
      </w:pPr>
    </w:p>
    <w:bookmarkStart w:id="87" w:name="page88"/>
    <w:bookmarkEnd w:id="87"/>
    <w:p>
      <w:pPr>
        <w:ind w:left="440"/>
        <w:spacing w:after="0"/>
        <w:rPr>
          <w:sz w:val="20"/>
          <w:szCs w:val="20"/>
          <w:color w:val="auto"/>
        </w:rPr>
      </w:pPr>
      <w:r>
        <w:rPr>
          <w:rFonts w:ascii="Arial" w:cs="Arial" w:eastAsia="Arial" w:hAnsi="Arial"/>
          <w:sz w:val="20"/>
          <w:szCs w:val="20"/>
          <w:b w:val="1"/>
          <w:bCs w:val="1"/>
          <w:i w:val="1"/>
          <w:iCs w:val="1"/>
          <w:color w:val="auto"/>
        </w:rPr>
        <w:t>Flexible Generation Segment Revenues</w:t>
      </w:r>
    </w:p>
    <w:p>
      <w:pPr>
        <w:spacing w:after="0" w:line="193"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majority of the facilities in the Flexible Generation segment commenced merchant operations during 2023 following the expiration of the PPAs. These facilities generate revenues from selling electricity and/or RA to the CAISO and to public utility and load serving entities, as the power is delivered at the interconnection point.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Power Purchase Agreements, or PPAs</w:t>
      </w:r>
    </w:p>
    <w:p>
      <w:pPr>
        <w:spacing w:after="0" w:line="193"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19"/>
          <w:szCs w:val="19"/>
          <w:color w:val="auto"/>
        </w:rPr>
        <w:t xml:space="preserve">The majority of the Company’s revenues are obtained through PPAs or similar contractual agreements. Energy, capacity and, where applicable, renewable attributes, from the majority of the Company’s renewable energy assets and certain facilities in the Flexible Generation segment are sold through long-term PPAs and tolling agreements to a single counterparty, which is often a utility or commercial customer. Certain revenue agreements also provide for the sale of BESS capacity. As discussed above, the majority of the facilities in the Flexible Generation segment commenced merchant operations during 2023 following the expiration of the PPAs. The majority of these PPAs are accounted for as operating leases as the Company retained its historical lease assessments and classification upon adoption of ASC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37"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2024, 2023 and 2022 was $831 million, $780 million and $850 million, respectively. See Note 17,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xml:space="preserve"> for additional information related to the Company’s PPAs accounted for as leases.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Renewable Energy Credits, or RECs</w:t>
      </w:r>
    </w:p>
    <w:p>
      <w:pPr>
        <w:spacing w:after="0" w:line="193"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9"/>
          <w:szCs w:val="19"/>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16"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9"/>
          <w:szCs w:val="19"/>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unnecessary to allocate transaction price to multiple performance obligations.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Thermal Revenues</w:t>
      </w:r>
    </w:p>
    <w:p>
      <w:pPr>
        <w:spacing w:after="0" w:line="193"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On May 1, 2022, the Company completed the sale of 100% of its interests in the Thermal Business to KKR. Prior to the sale, steam and chilled water revenue was recognized as the Company transferred the product to the customer, based on customer usage as determined by meter readings taken at month-end. Some locations read customer meters throughout the month and recognized estimated revenue for the period between meter read date and month-end. For thermal contracts, the Company’s performance obligation to deliver steam and chilled water was satisfied over time and revenue was recognized based on the invoiced amount. The Thermal Business subsidiaries collected and remitted state and local taxes associated with sales to their customers, as required by governmental authorities. These taxes were presented on a net basis in the consolidated statements of income.</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260"/>
          </w:cols>
          <w:pgMar w:left="820" w:top="364" w:right="800" w:bottom="0" w:gutter="0" w:footer="0" w:header="0"/>
          <w:type w:val="continuous"/>
        </w:sectPr>
      </w:pPr>
    </w:p>
    <w:bookmarkStart w:id="88" w:name="page89"/>
    <w:bookmarkEnd w:id="88"/>
    <w:p>
      <w:pPr>
        <w:ind w:left="440"/>
        <w:spacing w:after="0"/>
        <w:rPr>
          <w:sz w:val="20"/>
          <w:szCs w:val="20"/>
          <w:color w:val="auto"/>
        </w:rPr>
      </w:pPr>
      <w:r>
        <w:rPr>
          <w:rFonts w:ascii="Arial" w:cs="Arial" w:eastAsia="Arial" w:hAnsi="Arial"/>
          <w:sz w:val="20"/>
          <w:szCs w:val="20"/>
          <w:b w:val="1"/>
          <w:bCs w:val="1"/>
          <w:i w:val="1"/>
          <w:iCs w:val="1"/>
          <w:color w:val="auto"/>
        </w:rPr>
        <w:t>Disaggregated Revenues</w:t>
      </w:r>
    </w:p>
    <w:p>
      <w:pPr>
        <w:spacing w:after="0" w:line="193"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The following tables represent the Company’s disaggregation of revenue from contracts with customers, along with the reportable segment for each category: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 2024</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vMerge w:val="restart"/>
          </w:tcPr>
          <w:p>
            <w:pPr>
              <w:jc w:val="right"/>
              <w:ind w:right="4911"/>
              <w:spacing w:after="0"/>
              <w:rPr>
                <w:sz w:val="20"/>
                <w:szCs w:val="20"/>
                <w:color w:val="auto"/>
              </w:rPr>
            </w:pPr>
            <w:r>
              <w:rPr>
                <w:rFonts w:ascii="Arial" w:cs="Arial" w:eastAsia="Arial" w:hAnsi="Arial"/>
                <w:sz w:val="16"/>
                <w:szCs w:val="16"/>
                <w:b w:val="1"/>
                <w:bCs w:val="1"/>
                <w:color w:val="auto"/>
                <w:w w:val="95"/>
              </w:rPr>
              <w:t>(In millions)</w:t>
            </w:r>
          </w:p>
        </w:tc>
        <w:tc>
          <w:tcPr>
            <w:tcW w:w="240" w:type="dxa"/>
            <w:vAlign w:val="bottom"/>
          </w:tcPr>
          <w:p>
            <w:pPr>
              <w:spacing w:after="0"/>
              <w:rPr>
                <w:sz w:val="16"/>
                <w:szCs w:val="16"/>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w w:val="92"/>
              </w:rPr>
              <w:t>Renewables</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80" w:type="dxa"/>
            <w:vAlign w:val="bottom"/>
            <w:tcBorders>
              <w:bottom w:val="single" w:sz="8" w:color="E6E6E6"/>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80" w:type="dxa"/>
            <w:vAlign w:val="bottom"/>
            <w:shd w:val="clear" w:color="auto" w:fill="E6E6E6"/>
          </w:tcPr>
          <w:p>
            <w:pPr>
              <w:jc w:val="right"/>
              <w:spacing w:after="0" w:line="245" w:lineRule="exact"/>
              <w:rPr>
                <w:sz w:val="20"/>
                <w:szCs w:val="20"/>
                <w:color w:val="auto"/>
              </w:rPr>
            </w:pPr>
            <w:r>
              <w:rPr>
                <w:rFonts w:ascii="Arial" w:cs="Arial" w:eastAsia="Arial" w:hAnsi="Arial"/>
                <w:sz w:val="18"/>
                <w:szCs w:val="18"/>
                <w:color w:val="B4B4B4"/>
                <w:w w:val="92"/>
              </w:rPr>
              <w:t>. . . . . . . . . . . . . . . . . . . . . . . . . . . . . . . . . . . . . . . . . . . . . . . . .</w:t>
            </w:r>
            <w:r>
              <w:rPr>
                <w:rFonts w:ascii="Arial" w:cs="Arial" w:eastAsia="Arial" w:hAnsi="Arial"/>
                <w:sz w:val="18"/>
                <w:szCs w:val="18"/>
                <w:color w:val="000000"/>
                <w:w w:val="92"/>
              </w:rPr>
              <w:t>Energyrevenue</w:t>
            </w:r>
            <w:r>
              <w:rPr>
                <w:rFonts w:ascii="Arial" w:cs="Arial" w:eastAsia="Arial" w:hAnsi="Arial"/>
                <w:sz w:val="23"/>
                <w:szCs w:val="23"/>
                <w:color w:val="000000"/>
                <w:w w:val="92"/>
                <w:vertAlign w:val="superscript"/>
              </w:rPr>
              <w:t>(a)</w:t>
            </w:r>
          </w:p>
        </w:tc>
        <w:tc>
          <w:tcPr>
            <w:tcW w:w="2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1,089</w:t>
            </w:r>
          </w:p>
        </w:tc>
        <w:tc>
          <w:tcPr>
            <w:tcW w:w="60" w:type="dxa"/>
            <w:vAlign w:val="bottom"/>
            <w:shd w:val="clear" w:color="auto" w:fill="E6E6E6"/>
          </w:tcPr>
          <w:p>
            <w:pPr>
              <w:spacing w:after="0"/>
              <w:rPr>
                <w:sz w:val="21"/>
                <w:szCs w:val="21"/>
                <w:color w:val="auto"/>
              </w:rPr>
            </w:pPr>
          </w:p>
        </w:tc>
        <w:tc>
          <w:tcPr>
            <w:tcW w:w="420" w:type="dxa"/>
            <w:vAlign w:val="bottom"/>
            <w:shd w:val="clear" w:color="auto" w:fill="E6E6E6"/>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55"/>
        </w:trPr>
        <w:tc>
          <w:tcPr>
            <w:tcW w:w="5880" w:type="dxa"/>
            <w:vAlign w:val="bottom"/>
          </w:tcPr>
          <w:p>
            <w:pPr>
              <w:jc w:val="right"/>
              <w:spacing w:after="0" w:line="255" w:lineRule="exact"/>
              <w:rPr>
                <w:sz w:val="20"/>
                <w:szCs w:val="20"/>
                <w:color w:val="auto"/>
              </w:rPr>
            </w:pPr>
            <w:r>
              <w:rPr>
                <w:rFonts w:ascii="Arial" w:cs="Arial" w:eastAsia="Arial" w:hAnsi="Arial"/>
                <w:sz w:val="18"/>
                <w:szCs w:val="18"/>
                <w:color w:val="auto"/>
                <w:w w:val="89"/>
              </w:rPr>
              <w:t xml:space="preserve">Capacity revenue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 . . . . . . . . . .</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5"/>
        </w:trPr>
        <w:tc>
          <w:tcPr>
            <w:tcW w:w="58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Other revenues </w:t>
            </w:r>
            <w:r>
              <w:rPr>
                <w:rFonts w:ascii="Arial" w:cs="Arial" w:eastAsia="Arial" w:hAnsi="Arial"/>
                <w:sz w:val="18"/>
                <w:szCs w:val="18"/>
                <w:color w:val="B4B4B4"/>
                <w:w w:val="90"/>
              </w:rPr>
              <w:t>. . . . . . . . . . .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4"/>
        </w:trPr>
        <w:tc>
          <w:tcPr>
            <w:tcW w:w="5880" w:type="dxa"/>
            <w:vAlign w:val="bottom"/>
          </w:tcPr>
          <w:p>
            <w:pPr>
              <w:jc w:val="right"/>
              <w:spacing w:after="0"/>
              <w:rPr>
                <w:sz w:val="20"/>
                <w:szCs w:val="20"/>
                <w:color w:val="auto"/>
              </w:rPr>
            </w:pPr>
            <w:r>
              <w:rPr>
                <w:rFonts w:ascii="Arial" w:cs="Arial" w:eastAsia="Arial" w:hAnsi="Arial"/>
                <w:sz w:val="18"/>
                <w:szCs w:val="18"/>
                <w:color w:val="auto"/>
                <w:w w:val="91"/>
              </w:rPr>
              <w:t xml:space="preserve">Contract amortization  </w:t>
            </w:r>
            <w:r>
              <w:rPr>
                <w:rFonts w:ascii="Arial" w:cs="Arial" w:eastAsia="Arial" w:hAnsi="Arial"/>
                <w:sz w:val="18"/>
                <w:szCs w:val="18"/>
                <w:color w:val="B4B4B4"/>
                <w:w w:val="91"/>
              </w:rPr>
              <w:t>. . . . . . . . . . . . . . . . . . . . . . . . . . . . . . . . . . . . . . . . . . . . . .</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66"/>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Mark-to-market for economic hedges  </w:t>
            </w:r>
            <w:r>
              <w:rPr>
                <w:rFonts w:ascii="Arial" w:cs="Arial" w:eastAsia="Arial" w:hAnsi="Arial"/>
                <w:sz w:val="18"/>
                <w:szCs w:val="18"/>
                <w:color w:val="B4B4B4"/>
                <w:w w:val="92"/>
              </w:rPr>
              <w:t>.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0"/>
        </w:trPr>
        <w:tc>
          <w:tcPr>
            <w:tcW w:w="5880" w:type="dxa"/>
            <w:vAlign w:val="bottom"/>
          </w:tcPr>
          <w:p>
            <w:pPr>
              <w:jc w:val="right"/>
              <w:spacing w:after="0"/>
              <w:rPr>
                <w:sz w:val="20"/>
                <w:szCs w:val="20"/>
                <w:color w:val="auto"/>
              </w:rPr>
            </w:pPr>
            <w:r>
              <w:rPr>
                <w:rFonts w:ascii="Arial" w:cs="Arial" w:eastAsia="Arial" w:hAnsi="Arial"/>
                <w:sz w:val="18"/>
                <w:szCs w:val="18"/>
                <w:color w:val="B4B4B4"/>
                <w:w w:val="94"/>
              </w:rPr>
              <w:t>. . . . . . . . . . . . . . . . . . . . . . . . . . . . . . . . . . . . . . . . . . .</w:t>
            </w:r>
            <w:r>
              <w:rPr>
                <w:rFonts w:ascii="Arial" w:cs="Arial" w:eastAsia="Arial" w:hAnsi="Arial"/>
                <w:sz w:val="18"/>
                <w:szCs w:val="18"/>
                <w:color w:val="000000"/>
                <w:w w:val="94"/>
              </w:rPr>
              <w:t>Totaloperatingrevenues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60"/>
        </w:trPr>
        <w:tc>
          <w:tcPr>
            <w:tcW w:w="58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Less: Contract amortization </w:t>
            </w:r>
            <w:r>
              <w:rPr>
                <w:rFonts w:ascii="Arial" w:cs="Arial" w:eastAsia="Arial" w:hAnsi="Arial"/>
                <w:sz w:val="18"/>
                <w:szCs w:val="18"/>
                <w:color w:val="B4B4B4"/>
                <w:w w:val="91"/>
              </w:rPr>
              <w:t>.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5880" w:type="dxa"/>
            <w:vAlign w:val="bottom"/>
          </w:tcPr>
          <w:p>
            <w:pPr>
              <w:jc w:val="right"/>
              <w:spacing w:after="0"/>
              <w:rPr>
                <w:sz w:val="20"/>
                <w:szCs w:val="20"/>
                <w:color w:val="auto"/>
              </w:rPr>
            </w:pPr>
            <w:r>
              <w:rPr>
                <w:rFonts w:ascii="Arial" w:cs="Arial" w:eastAsia="Arial" w:hAnsi="Arial"/>
                <w:sz w:val="18"/>
                <w:szCs w:val="18"/>
                <w:color w:val="auto"/>
                <w:w w:val="91"/>
              </w:rPr>
              <w:t xml:space="preserve">Less: Mark-to-market for economic hedges </w:t>
            </w:r>
            <w:r>
              <w:rPr>
                <w:rFonts w:ascii="Arial" w:cs="Arial" w:eastAsia="Arial" w:hAnsi="Arial"/>
                <w:sz w:val="18"/>
                <w:szCs w:val="18"/>
                <w:color w:val="B4B4B4"/>
                <w:w w:val="91"/>
              </w:rPr>
              <w:t>. . . . . . . . . . . . . . . . . . . . . . . . . . . . .</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9"/>
              </w:rPr>
              <w:t xml:space="preserve">Less: Lease revenue </w:t>
            </w:r>
            <w:r>
              <w:rPr>
                <w:rFonts w:ascii="Arial" w:cs="Arial" w:eastAsia="Arial" w:hAnsi="Arial"/>
                <w:sz w:val="18"/>
                <w:szCs w:val="18"/>
                <w:color w:val="B4B4B4"/>
                <w:w w:val="89"/>
              </w:rPr>
              <w:t>. . . .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(860)</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7"/>
        </w:trPr>
        <w:tc>
          <w:tcPr>
            <w:tcW w:w="5880" w:type="dxa"/>
            <w:vAlign w:val="bottom"/>
          </w:tcPr>
          <w:p>
            <w:pPr>
              <w:jc w:val="right"/>
              <w:spacing w:after="0"/>
              <w:rPr>
                <w:sz w:val="20"/>
                <w:szCs w:val="20"/>
                <w:color w:val="auto"/>
              </w:rPr>
            </w:pPr>
            <w:r>
              <w:rPr>
                <w:rFonts w:ascii="Arial" w:cs="Arial" w:eastAsia="Arial" w:hAnsi="Arial"/>
                <w:sz w:val="18"/>
                <w:szCs w:val="18"/>
                <w:color w:val="auto"/>
                <w:w w:val="92"/>
              </w:rPr>
              <w:t xml:space="preserve">Total revenue from contracts with customers </w:t>
            </w:r>
            <w:r>
              <w:rPr>
                <w:rFonts w:ascii="Arial" w:cs="Arial" w:eastAsia="Arial" w:hAnsi="Arial"/>
                <w:sz w:val="18"/>
                <w:szCs w:val="18"/>
                <w:color w:val="B4B4B4"/>
                <w:w w:val="92"/>
              </w:rPr>
              <w:t>. . . . . . . . . . . . . . . . . . . . . . . . . .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-43815</wp:posOffset>
            </wp:positionV>
            <wp:extent cx="279717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6">
                      <a:extLst>
                        <a:ext uri="{28A0092B-C50C-407E-A947-70E740481C1C}"/>
                      </a:extLst>
                    </a:blip>
                    <a:srcRect/>
                    <a:stretch>
                      <a:fillRect/>
                    </a:stretch>
                  </pic:blipFill>
                  <pic:spPr bwMode="auto">
                    <a:xfrm>
                      <a:off x="0" y="0"/>
                      <a:ext cx="27971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7">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59" w:lineRule="exact"/>
        <w:rPr>
          <w:sz w:val="20"/>
          <w:szCs w:val="20"/>
          <w:color w:val="auto"/>
        </w:rPr>
      </w:pPr>
    </w:p>
    <w:p>
      <w:pPr>
        <w:ind w:left="280" w:hanging="200"/>
        <w:spacing w:after="0"/>
        <w:tabs>
          <w:tab w:leader="none" w:pos="28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6"/>
          <w:szCs w:val="16"/>
          <w:color w:val="auto"/>
        </w:rPr>
        <w:t>Note 17,</w:t>
      </w:r>
      <w:r>
        <w:rPr>
          <w:rFonts w:ascii="Arial" w:cs="Arial" w:eastAsia="Arial" w:hAnsi="Arial"/>
          <w:sz w:val="18"/>
          <w:szCs w:val="18"/>
          <w:color w:val="auto"/>
        </w:rPr>
        <w:t xml:space="preserve"> </w:t>
      </w:r>
      <w:r>
        <w:rPr>
          <w:rFonts w:ascii="Arial" w:cs="Arial" w:eastAsia="Arial" w:hAnsi="Arial"/>
          <w:sz w:val="16"/>
          <w:szCs w:val="16"/>
          <w:b w:val="1"/>
          <w:bCs w:val="1"/>
          <w:i w:val="1"/>
          <w:iCs w:val="1"/>
          <w:color w:val="auto"/>
        </w:rPr>
        <w:t>Leases,</w:t>
      </w:r>
      <w:r>
        <w:rPr>
          <w:rFonts w:ascii="Arial" w:cs="Arial" w:eastAsia="Arial" w:hAnsi="Arial"/>
          <w:sz w:val="18"/>
          <w:szCs w:val="18"/>
          <w:color w:val="auto"/>
        </w:rPr>
        <w:t xml:space="preserve"> for the </w:t>
      </w:r>
      <w:r>
        <w:rPr>
          <w:rFonts w:ascii="Arial" w:cs="Arial" w:eastAsia="Arial" w:hAnsi="Arial"/>
          <w:sz w:val="16"/>
          <w:szCs w:val="16"/>
          <w:color w:val="auto"/>
        </w:rPr>
        <w:t>amounts of energy and capacity revenues that relate to leases and are accounted for under ASC 842.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 2023</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vMerge w:val="restart"/>
          </w:tcPr>
          <w:p>
            <w:pPr>
              <w:jc w:val="right"/>
              <w:ind w:right="4911"/>
              <w:spacing w:after="0"/>
              <w:rPr>
                <w:sz w:val="20"/>
                <w:szCs w:val="20"/>
                <w:color w:val="auto"/>
              </w:rPr>
            </w:pPr>
            <w:r>
              <w:rPr>
                <w:rFonts w:ascii="Arial" w:cs="Arial" w:eastAsia="Arial" w:hAnsi="Arial"/>
                <w:sz w:val="16"/>
                <w:szCs w:val="16"/>
                <w:b w:val="1"/>
                <w:bCs w:val="1"/>
                <w:color w:val="auto"/>
                <w:w w:val="95"/>
              </w:rPr>
              <w:t>(In millions)</w:t>
            </w:r>
          </w:p>
        </w:tc>
        <w:tc>
          <w:tcPr>
            <w:tcW w:w="240" w:type="dxa"/>
            <w:vAlign w:val="bottom"/>
          </w:tcPr>
          <w:p>
            <w:pPr>
              <w:spacing w:after="0"/>
              <w:rPr>
                <w:sz w:val="16"/>
                <w:szCs w:val="16"/>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w w:val="92"/>
              </w:rPr>
              <w:t>Renewables</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80" w:type="dxa"/>
            <w:vAlign w:val="bottom"/>
            <w:tcBorders>
              <w:bottom w:val="single" w:sz="8" w:color="E6E6E6"/>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80" w:type="dxa"/>
            <w:vAlign w:val="bottom"/>
            <w:shd w:val="clear" w:color="auto" w:fill="E6E6E6"/>
          </w:tcPr>
          <w:p>
            <w:pPr>
              <w:jc w:val="right"/>
              <w:spacing w:after="0" w:line="245" w:lineRule="exact"/>
              <w:rPr>
                <w:sz w:val="20"/>
                <w:szCs w:val="20"/>
                <w:color w:val="auto"/>
              </w:rPr>
            </w:pPr>
            <w:r>
              <w:rPr>
                <w:rFonts w:ascii="Arial" w:cs="Arial" w:eastAsia="Arial" w:hAnsi="Arial"/>
                <w:sz w:val="18"/>
                <w:szCs w:val="18"/>
                <w:color w:val="B4B4B4"/>
                <w:w w:val="92"/>
              </w:rPr>
              <w:t>. . . . . . . . . . . . . . . . . . . . . . . . . . . . . . . . . . . . . . . . . . . . . . . . .</w:t>
            </w:r>
            <w:r>
              <w:rPr>
                <w:rFonts w:ascii="Arial" w:cs="Arial" w:eastAsia="Arial" w:hAnsi="Arial"/>
                <w:sz w:val="18"/>
                <w:szCs w:val="18"/>
                <w:color w:val="000000"/>
                <w:w w:val="92"/>
              </w:rPr>
              <w:t>Energyrevenue</w:t>
            </w:r>
            <w:r>
              <w:rPr>
                <w:rFonts w:ascii="Arial" w:cs="Arial" w:eastAsia="Arial" w:hAnsi="Arial"/>
                <w:sz w:val="23"/>
                <w:szCs w:val="23"/>
                <w:color w:val="000000"/>
                <w:w w:val="92"/>
                <w:vertAlign w:val="superscript"/>
              </w:rPr>
              <w:t>(a)</w:t>
            </w:r>
          </w:p>
        </w:tc>
        <w:tc>
          <w:tcPr>
            <w:tcW w:w="2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E6E6E6"/>
          </w:tcPr>
          <w:p>
            <w:pPr>
              <w:spacing w:after="0"/>
              <w:rPr>
                <w:sz w:val="21"/>
                <w:szCs w:val="21"/>
                <w:color w:val="auto"/>
              </w:rPr>
            </w:pPr>
          </w:p>
        </w:tc>
        <w:tc>
          <w:tcPr>
            <w:tcW w:w="420" w:type="dxa"/>
            <w:vAlign w:val="bottom"/>
            <w:shd w:val="clear" w:color="auto" w:fill="E6E6E6"/>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55"/>
        </w:trPr>
        <w:tc>
          <w:tcPr>
            <w:tcW w:w="5880" w:type="dxa"/>
            <w:vAlign w:val="bottom"/>
          </w:tcPr>
          <w:p>
            <w:pPr>
              <w:jc w:val="right"/>
              <w:spacing w:after="0" w:line="255" w:lineRule="exact"/>
              <w:rPr>
                <w:sz w:val="20"/>
                <w:szCs w:val="20"/>
                <w:color w:val="auto"/>
              </w:rPr>
            </w:pPr>
            <w:r>
              <w:rPr>
                <w:rFonts w:ascii="Arial" w:cs="Arial" w:eastAsia="Arial" w:hAnsi="Arial"/>
                <w:sz w:val="18"/>
                <w:szCs w:val="18"/>
                <w:color w:val="auto"/>
                <w:w w:val="89"/>
              </w:rPr>
              <w:t xml:space="preserve">Capacity revenue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 . . . . . . . . . .</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5"/>
        </w:trPr>
        <w:tc>
          <w:tcPr>
            <w:tcW w:w="5880" w:type="dxa"/>
            <w:vAlign w:val="bottom"/>
            <w:shd w:val="clear" w:color="auto" w:fill="E6E6E6"/>
          </w:tcPr>
          <w:p>
            <w:pPr>
              <w:jc w:val="right"/>
              <w:spacing w:after="0" w:line="255" w:lineRule="exact"/>
              <w:rPr>
                <w:sz w:val="20"/>
                <w:szCs w:val="20"/>
                <w:color w:val="auto"/>
              </w:rPr>
            </w:pPr>
            <w:r>
              <w:rPr>
                <w:rFonts w:ascii="Arial" w:cs="Arial" w:eastAsia="Arial" w:hAnsi="Arial"/>
                <w:sz w:val="18"/>
                <w:szCs w:val="18"/>
                <w:color w:val="auto"/>
                <w:w w:val="89"/>
              </w:rPr>
              <w:t xml:space="preserve">Other revenues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5880" w:type="dxa"/>
            <w:vAlign w:val="bottom"/>
          </w:tcPr>
          <w:p>
            <w:pPr>
              <w:jc w:val="right"/>
              <w:spacing w:after="0"/>
              <w:rPr>
                <w:sz w:val="20"/>
                <w:szCs w:val="20"/>
                <w:color w:val="auto"/>
              </w:rPr>
            </w:pPr>
            <w:r>
              <w:rPr>
                <w:rFonts w:ascii="Arial" w:cs="Arial" w:eastAsia="Arial" w:hAnsi="Arial"/>
                <w:sz w:val="18"/>
                <w:szCs w:val="18"/>
                <w:color w:val="auto"/>
                <w:w w:val="91"/>
              </w:rPr>
              <w:t xml:space="preserve">Contract amortization  </w:t>
            </w:r>
            <w:r>
              <w:rPr>
                <w:rFonts w:ascii="Arial" w:cs="Arial" w:eastAsia="Arial" w:hAnsi="Arial"/>
                <w:sz w:val="18"/>
                <w:szCs w:val="18"/>
                <w:color w:val="B4B4B4"/>
                <w:w w:val="91"/>
              </w:rPr>
              <w:t>. . . . . . . . . . . . . . . . . . . . . . . . . . . . . . . . . . . . . . . . . . . . . .</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Mark-to-market for economic hedges </w:t>
            </w:r>
            <w:r>
              <w:rPr>
                <w:rFonts w:ascii="Arial" w:cs="Arial" w:eastAsia="Arial" w:hAnsi="Arial"/>
                <w:sz w:val="18"/>
                <w:szCs w:val="18"/>
                <w:color w:val="B4B4B4"/>
                <w:w w:val="91"/>
              </w:rPr>
              <w:t>.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5880" w:type="dxa"/>
            <w:vAlign w:val="bottom"/>
          </w:tcPr>
          <w:p>
            <w:pPr>
              <w:jc w:val="right"/>
              <w:spacing w:after="0"/>
              <w:rPr>
                <w:sz w:val="20"/>
                <w:szCs w:val="20"/>
                <w:color w:val="auto"/>
              </w:rPr>
            </w:pPr>
            <w:r>
              <w:rPr>
                <w:rFonts w:ascii="Arial" w:cs="Arial" w:eastAsia="Arial" w:hAnsi="Arial"/>
                <w:sz w:val="18"/>
                <w:szCs w:val="18"/>
                <w:color w:val="B4B4B4"/>
                <w:w w:val="94"/>
              </w:rPr>
              <w:t>. . . . . . . . . . . . . . . . . . . . . . . . . . . . . . . . . . . . . . . . . . .</w:t>
            </w:r>
            <w:r>
              <w:rPr>
                <w:rFonts w:ascii="Arial" w:cs="Arial" w:eastAsia="Arial" w:hAnsi="Arial"/>
                <w:sz w:val="18"/>
                <w:szCs w:val="18"/>
                <w:color w:val="000000"/>
                <w:w w:val="94"/>
              </w:rPr>
              <w:t>Totaloperatingrevenues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60"/>
        </w:trPr>
        <w:tc>
          <w:tcPr>
            <w:tcW w:w="58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Less: Contract amortization </w:t>
            </w:r>
            <w:r>
              <w:rPr>
                <w:rFonts w:ascii="Arial" w:cs="Arial" w:eastAsia="Arial" w:hAnsi="Arial"/>
                <w:sz w:val="18"/>
                <w:szCs w:val="18"/>
                <w:color w:val="B4B4B4"/>
                <w:w w:val="91"/>
              </w:rPr>
              <w:t>.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8"/>
        </w:trPr>
        <w:tc>
          <w:tcPr>
            <w:tcW w:w="5880" w:type="dxa"/>
            <w:vAlign w:val="bottom"/>
          </w:tcPr>
          <w:p>
            <w:pPr>
              <w:jc w:val="right"/>
              <w:spacing w:after="0"/>
              <w:rPr>
                <w:sz w:val="20"/>
                <w:szCs w:val="20"/>
                <w:color w:val="auto"/>
              </w:rPr>
            </w:pPr>
            <w:r>
              <w:rPr>
                <w:rFonts w:ascii="Arial" w:cs="Arial" w:eastAsia="Arial" w:hAnsi="Arial"/>
                <w:sz w:val="18"/>
                <w:szCs w:val="18"/>
                <w:color w:val="auto"/>
                <w:w w:val="91"/>
              </w:rPr>
              <w:t xml:space="preserve">Less: Mark-to-market for economic hedges </w:t>
            </w:r>
            <w:r>
              <w:rPr>
                <w:rFonts w:ascii="Arial" w:cs="Arial" w:eastAsia="Arial" w:hAnsi="Arial"/>
                <w:sz w:val="18"/>
                <w:szCs w:val="18"/>
                <w:color w:val="B4B4B4"/>
                <w:w w:val="91"/>
              </w:rPr>
              <w:t>. . . . . . . . . . . . . . . . . . . . . . . . . . . . .</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9"/>
              </w:rPr>
              <w:t xml:space="preserve">Less: Lease revenue </w:t>
            </w:r>
            <w:r>
              <w:rPr>
                <w:rFonts w:ascii="Arial" w:cs="Arial" w:eastAsia="Arial" w:hAnsi="Arial"/>
                <w:sz w:val="18"/>
                <w:szCs w:val="18"/>
                <w:color w:val="B4B4B4"/>
                <w:w w:val="89"/>
              </w:rPr>
              <w:t>. . . .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(780)</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7"/>
        </w:trPr>
        <w:tc>
          <w:tcPr>
            <w:tcW w:w="5880" w:type="dxa"/>
            <w:vAlign w:val="bottom"/>
          </w:tcPr>
          <w:p>
            <w:pPr>
              <w:jc w:val="right"/>
              <w:spacing w:after="0"/>
              <w:rPr>
                <w:sz w:val="20"/>
                <w:szCs w:val="20"/>
                <w:color w:val="auto"/>
              </w:rPr>
            </w:pPr>
            <w:r>
              <w:rPr>
                <w:rFonts w:ascii="Arial" w:cs="Arial" w:eastAsia="Arial" w:hAnsi="Arial"/>
                <w:sz w:val="18"/>
                <w:szCs w:val="18"/>
                <w:color w:val="auto"/>
                <w:w w:val="92"/>
              </w:rPr>
              <w:t xml:space="preserve">Total revenue from contracts with customers </w:t>
            </w:r>
            <w:r>
              <w:rPr>
                <w:rFonts w:ascii="Arial" w:cs="Arial" w:eastAsia="Arial" w:hAnsi="Arial"/>
                <w:sz w:val="18"/>
                <w:szCs w:val="18"/>
                <w:color w:val="B4B4B4"/>
                <w:w w:val="92"/>
              </w:rPr>
              <w:t>. . . . . . . . . . . . . . . . . . . . . . . . . .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-43815</wp:posOffset>
            </wp:positionV>
            <wp:extent cx="279717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8">
                      <a:extLst>
                        <a:ext uri="{28A0092B-C50C-407E-A947-70E740481C1C}"/>
                      </a:extLst>
                    </a:blip>
                    <a:srcRect/>
                    <a:stretch>
                      <a:fillRect/>
                    </a:stretch>
                  </pic:blipFill>
                  <pic:spPr bwMode="auto">
                    <a:xfrm>
                      <a:off x="0" y="0"/>
                      <a:ext cx="27971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9">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53" w:lineRule="exact"/>
        <w:rPr>
          <w:sz w:val="20"/>
          <w:szCs w:val="20"/>
          <w:color w:val="auto"/>
        </w:rPr>
      </w:pPr>
    </w:p>
    <w:p>
      <w:pPr>
        <w:ind w:left="280" w:hanging="200"/>
        <w:spacing w:after="0"/>
        <w:tabs>
          <w:tab w:leader="none" w:pos="280" w:val="left"/>
        </w:tabs>
        <w:numPr>
          <w:ilvl w:val="0"/>
          <w:numId w:val="39"/>
        </w:numPr>
        <w:rPr>
          <w:rFonts w:ascii="Arial" w:cs="Arial" w:eastAsia="Arial" w:hAnsi="Arial"/>
          <w:sz w:val="23"/>
          <w:szCs w:val="23"/>
          <w:color w:val="auto"/>
          <w:vertAlign w:val="superscript"/>
        </w:rPr>
      </w:pPr>
      <w:r>
        <w:rPr>
          <w:rFonts w:ascii="Arial" w:cs="Arial" w:eastAsia="Arial" w:hAnsi="Arial"/>
          <w:sz w:val="16"/>
          <w:szCs w:val="16"/>
          <w:color w:val="auto"/>
        </w:rPr>
        <w:t xml:space="preserve">See Note 17, </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for the amounts of energy, capacity and other revenues that relate to leases and are accounted for under ASC 842.</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6"/>
                <w:szCs w:val="16"/>
                <w:b w:val="1"/>
                <w:bCs w:val="1"/>
                <w:color w:val="auto"/>
              </w:rPr>
              <w:t>Year ended December 31, 2022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00" w:type="dxa"/>
            <w:vAlign w:val="bottom"/>
            <w:vMerge w:val="restart"/>
          </w:tcPr>
          <w:p>
            <w:pPr>
              <w:jc w:val="right"/>
              <w:ind w:right="4831"/>
              <w:spacing w:after="0"/>
              <w:rPr>
                <w:sz w:val="20"/>
                <w:szCs w:val="20"/>
                <w:color w:val="auto"/>
              </w:rPr>
            </w:pPr>
            <w:r>
              <w:rPr>
                <w:rFonts w:ascii="Arial" w:cs="Arial" w:eastAsia="Arial" w:hAnsi="Arial"/>
                <w:sz w:val="16"/>
                <w:szCs w:val="16"/>
                <w:b w:val="1"/>
                <w:bCs w:val="1"/>
                <w:color w:val="auto"/>
                <w:w w:val="95"/>
              </w:rPr>
              <w:t>(In millions)</w:t>
            </w:r>
          </w:p>
        </w:tc>
        <w:tc>
          <w:tcPr>
            <w:tcW w:w="180" w:type="dxa"/>
            <w:vAlign w:val="bottom"/>
          </w:tcPr>
          <w:p>
            <w:pPr>
              <w:spacing w:after="0"/>
              <w:rPr>
                <w:sz w:val="16"/>
                <w:szCs w:val="16"/>
                <w:color w:val="auto"/>
              </w:rPr>
            </w:pP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Flexible</w:t>
            </w:r>
          </w:p>
        </w:tc>
        <w:tc>
          <w:tcPr>
            <w:tcW w:w="60" w:type="dxa"/>
            <w:vAlign w:val="bottom"/>
          </w:tcPr>
          <w:p>
            <w:pPr>
              <w:spacing w:after="0"/>
              <w:rPr>
                <w:sz w:val="16"/>
                <w:szCs w:val="16"/>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7"/>
              </w:rPr>
              <w:t>Renewables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6"/>
              </w:rPr>
              <w:t>Thermal</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00" w:type="dxa"/>
            <w:vAlign w:val="bottom"/>
            <w:tcBorders>
              <w:bottom w:val="single" w:sz="8" w:color="E6E6E6"/>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2"/>
              </w:rPr>
              <w:t>Generation</w:t>
            </w:r>
          </w:p>
        </w:tc>
        <w:tc>
          <w:tcPr>
            <w:tcW w:w="6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0" w:type="dxa"/>
            <w:vAlign w:val="bottom"/>
            <w:shd w:val="clear" w:color="auto" w:fill="E6E6E6"/>
          </w:tcPr>
          <w:p>
            <w:pPr>
              <w:jc w:val="right"/>
              <w:spacing w:after="0" w:line="245" w:lineRule="exact"/>
              <w:rPr>
                <w:sz w:val="20"/>
                <w:szCs w:val="20"/>
                <w:color w:val="auto"/>
              </w:rPr>
            </w:pPr>
            <w:r>
              <w:rPr>
                <w:rFonts w:ascii="Arial" w:cs="Arial" w:eastAsia="Arial" w:hAnsi="Arial"/>
                <w:sz w:val="18"/>
                <w:szCs w:val="18"/>
                <w:color w:val="B4B4B4"/>
                <w:w w:val="92"/>
              </w:rPr>
              <w:t>. . . . . . . . . . . . . . . . . . . . . . . . . . . . . . . . . . . . . . . . . . . . . . . .</w:t>
            </w:r>
            <w:r>
              <w:rPr>
                <w:rFonts w:ascii="Arial" w:cs="Arial" w:eastAsia="Arial" w:hAnsi="Arial"/>
                <w:sz w:val="18"/>
                <w:szCs w:val="18"/>
                <w:color w:val="000000"/>
                <w:w w:val="92"/>
              </w:rPr>
              <w:t>Energyrevenue</w:t>
            </w:r>
            <w:r>
              <w:rPr>
                <w:rFonts w:ascii="Arial" w:cs="Arial" w:eastAsia="Arial" w:hAnsi="Arial"/>
                <w:sz w:val="23"/>
                <w:szCs w:val="23"/>
                <w:color w:val="000000"/>
                <w:w w:val="92"/>
                <w:vertAlign w:val="superscript"/>
              </w:rPr>
              <w:t>(a)</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E6E6E6"/>
          </w:tcPr>
          <w:p>
            <w:pPr>
              <w:spacing w:after="0"/>
              <w:rPr>
                <w:sz w:val="21"/>
                <w:szCs w:val="21"/>
                <w:color w:val="auto"/>
              </w:rPr>
            </w:pPr>
          </w:p>
        </w:tc>
        <w:tc>
          <w:tcPr>
            <w:tcW w:w="380" w:type="dxa"/>
            <w:vAlign w:val="bottom"/>
            <w:shd w:val="clear" w:color="auto" w:fill="E6E6E6"/>
          </w:tcPr>
          <w:p>
            <w:pPr>
              <w:jc w:val="right"/>
              <w:ind w:right="155"/>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956</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55"/>
        </w:trPr>
        <w:tc>
          <w:tcPr>
            <w:tcW w:w="5800" w:type="dxa"/>
            <w:vAlign w:val="bottom"/>
          </w:tcPr>
          <w:p>
            <w:pPr>
              <w:jc w:val="right"/>
              <w:spacing w:after="0" w:line="255" w:lineRule="exact"/>
              <w:rPr>
                <w:sz w:val="20"/>
                <w:szCs w:val="20"/>
                <w:color w:val="auto"/>
              </w:rPr>
            </w:pPr>
            <w:r>
              <w:rPr>
                <w:rFonts w:ascii="Arial" w:cs="Arial" w:eastAsia="Arial" w:hAnsi="Arial"/>
                <w:sz w:val="18"/>
                <w:szCs w:val="18"/>
                <w:color w:val="auto"/>
                <w:w w:val="89"/>
              </w:rPr>
              <w:t xml:space="preserve">Capacity revenue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55"/>
        </w:trPr>
        <w:tc>
          <w:tcPr>
            <w:tcW w:w="58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Other revenues  </w:t>
            </w:r>
            <w:r>
              <w:rPr>
                <w:rFonts w:ascii="Arial" w:cs="Arial" w:eastAsia="Arial" w:hAnsi="Arial"/>
                <w:sz w:val="18"/>
                <w:szCs w:val="18"/>
                <w:color w:val="B4B4B4"/>
                <w:w w:val="90"/>
              </w:rPr>
              <w:t>. . . . . . . . . . . . . . . . . . . . . . . . . . . . . . . . . . . . . . . . . . . . . . . . . .</w:t>
            </w:r>
          </w:p>
        </w:tc>
        <w:tc>
          <w:tcPr>
            <w:tcW w:w="18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5800" w:type="dxa"/>
            <w:vAlign w:val="bottom"/>
          </w:tcPr>
          <w:p>
            <w:pPr>
              <w:jc w:val="right"/>
              <w:spacing w:after="0"/>
              <w:rPr>
                <w:sz w:val="20"/>
                <w:szCs w:val="20"/>
                <w:color w:val="auto"/>
              </w:rPr>
            </w:pPr>
            <w:r>
              <w:rPr>
                <w:rFonts w:ascii="Arial" w:cs="Arial" w:eastAsia="Arial" w:hAnsi="Arial"/>
                <w:sz w:val="18"/>
                <w:szCs w:val="18"/>
                <w:color w:val="auto"/>
                <w:w w:val="91"/>
              </w:rPr>
              <w:t xml:space="preserve">Contract amortization  </w:t>
            </w:r>
            <w:r>
              <w:rPr>
                <w:rFonts w:ascii="Arial" w:cs="Arial" w:eastAsia="Arial" w:hAnsi="Arial"/>
                <w:sz w:val="18"/>
                <w:szCs w:val="18"/>
                <w:color w:val="B4B4B4"/>
                <w:w w:val="91"/>
              </w:rPr>
              <w:t>. . . . . . . . . . . . . . . . . . . . . . . . . . . . . . . . . . . . . . . . . . . . .</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5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Mark-to-market for economic hedges </w:t>
            </w:r>
            <w:r>
              <w:rPr>
                <w:rFonts w:ascii="Arial" w:cs="Arial" w:eastAsia="Arial" w:hAnsi="Arial"/>
                <w:sz w:val="18"/>
                <w:szCs w:val="18"/>
                <w:color w:val="B4B4B4"/>
                <w:w w:val="91"/>
              </w:rPr>
              <w:t>. . . . . . . . . . . . . . . . . . . . . . . . . . . . . . . . .</w:t>
            </w:r>
          </w:p>
        </w:tc>
        <w:tc>
          <w:tcPr>
            <w:tcW w:w="18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2"/>
        </w:trPr>
        <w:tc>
          <w:tcPr>
            <w:tcW w:w="5800" w:type="dxa"/>
            <w:vAlign w:val="bottom"/>
          </w:tcPr>
          <w:p>
            <w:pPr>
              <w:jc w:val="right"/>
              <w:spacing w:after="0"/>
              <w:rPr>
                <w:sz w:val="20"/>
                <w:szCs w:val="20"/>
                <w:color w:val="auto"/>
              </w:rPr>
            </w:pPr>
            <w:r>
              <w:rPr>
                <w:rFonts w:ascii="Arial" w:cs="Arial" w:eastAsia="Arial" w:hAnsi="Arial"/>
                <w:sz w:val="18"/>
                <w:szCs w:val="18"/>
                <w:color w:val="B4B4B4"/>
                <w:w w:val="94"/>
              </w:rPr>
              <w:t>. . . . . . . . . . . . . . . . . . . . . . . . . . . . . . . . . . . . . . . . . .</w:t>
            </w:r>
            <w:r>
              <w:rPr>
                <w:rFonts w:ascii="Arial" w:cs="Arial" w:eastAsia="Arial" w:hAnsi="Arial"/>
                <w:sz w:val="18"/>
                <w:szCs w:val="18"/>
                <w:color w:val="000000"/>
                <w:w w:val="94"/>
              </w:rPr>
              <w:t>Totaloperatingrevenues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60"/>
        </w:trPr>
        <w:tc>
          <w:tcPr>
            <w:tcW w:w="58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Less: Contract amortization </w:t>
            </w:r>
            <w:r>
              <w:rPr>
                <w:rFonts w:ascii="Arial" w:cs="Arial" w:eastAsia="Arial" w:hAnsi="Arial"/>
                <w:sz w:val="18"/>
                <w:szCs w:val="18"/>
                <w:color w:val="B4B4B4"/>
                <w:w w:val="90"/>
              </w:rPr>
              <w:t>. . . . . . . . . . . . . . . . . . . . . . . . . . . . . . . . . . . . . . . . .</w:t>
            </w:r>
          </w:p>
        </w:tc>
        <w:tc>
          <w:tcPr>
            <w:tcW w:w="18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5800" w:type="dxa"/>
            <w:vAlign w:val="bottom"/>
          </w:tcPr>
          <w:p>
            <w:pPr>
              <w:jc w:val="right"/>
              <w:spacing w:after="0"/>
              <w:rPr>
                <w:sz w:val="20"/>
                <w:szCs w:val="20"/>
                <w:color w:val="auto"/>
              </w:rPr>
            </w:pPr>
            <w:r>
              <w:rPr>
                <w:rFonts w:ascii="Arial" w:cs="Arial" w:eastAsia="Arial" w:hAnsi="Arial"/>
                <w:sz w:val="18"/>
                <w:szCs w:val="18"/>
                <w:color w:val="auto"/>
                <w:w w:val="91"/>
              </w:rPr>
              <w:t xml:space="preserve">Less: Mark-to-market for economic hedges </w:t>
            </w:r>
            <w:r>
              <w:rPr>
                <w:rFonts w:ascii="Arial" w:cs="Arial" w:eastAsia="Arial" w:hAnsi="Arial"/>
                <w:sz w:val="18"/>
                <w:szCs w:val="18"/>
                <w:color w:val="B4B4B4"/>
                <w:w w:val="91"/>
              </w:rPr>
              <w:t>. . . . . . . . . . . . . . . . . . . . . . . . . . . .</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5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9"/>
              </w:rPr>
              <w:t xml:space="preserve">Less: Lease revenue </w:t>
            </w:r>
            <w:r>
              <w:rPr>
                <w:rFonts w:ascii="Arial" w:cs="Arial" w:eastAsia="Arial" w:hAnsi="Arial"/>
                <w:sz w:val="18"/>
                <w:szCs w:val="18"/>
                <w:color w:val="B4B4B4"/>
                <w:w w:val="89"/>
              </w:rPr>
              <w:t>. . . . . . . . . . . . . . . . . . . . . . . . . . . . . . . . . . . . . . . . . . . . . . .</w:t>
            </w:r>
          </w:p>
        </w:tc>
        <w:tc>
          <w:tcPr>
            <w:tcW w:w="18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(441)</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(809)</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7"/>
        </w:trPr>
        <w:tc>
          <w:tcPr>
            <w:tcW w:w="5800" w:type="dxa"/>
            <w:vAlign w:val="bottom"/>
          </w:tcPr>
          <w:p>
            <w:pPr>
              <w:jc w:val="right"/>
              <w:spacing w:after="0"/>
              <w:rPr>
                <w:sz w:val="20"/>
                <w:szCs w:val="20"/>
                <w:color w:val="auto"/>
              </w:rPr>
            </w:pPr>
            <w:r>
              <w:rPr>
                <w:rFonts w:ascii="Arial" w:cs="Arial" w:eastAsia="Arial" w:hAnsi="Arial"/>
                <w:sz w:val="18"/>
                <w:szCs w:val="18"/>
                <w:color w:val="auto"/>
                <w:w w:val="93"/>
              </w:rPr>
              <w:t xml:space="preserve">Total revenue from contracts with customers </w:t>
            </w:r>
            <w:r>
              <w:rPr>
                <w:rFonts w:ascii="Arial" w:cs="Arial" w:eastAsia="Arial" w:hAnsi="Arial"/>
                <w:sz w:val="18"/>
                <w:szCs w:val="18"/>
                <w:color w:val="B4B4B4"/>
                <w:w w:val="93"/>
              </w:rPr>
              <w:t>. . . . . . . . . . . . . . . . . . . . . . . .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-43815</wp:posOffset>
            </wp:positionV>
            <wp:extent cx="285432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0">
                      <a:extLst>
                        <a:ext uri="{28A0092B-C50C-407E-A947-70E740481C1C}"/>
                      </a:extLst>
                    </a:blip>
                    <a:srcRect/>
                    <a:stretch>
                      <a:fillRect/>
                    </a:stretch>
                  </pic:blipFill>
                  <pic:spPr bwMode="auto">
                    <a:xfrm>
                      <a:off x="0" y="0"/>
                      <a:ext cx="28543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1">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42" w:lineRule="exact"/>
        <w:rPr>
          <w:sz w:val="20"/>
          <w:szCs w:val="20"/>
          <w:color w:val="auto"/>
        </w:rPr>
      </w:pPr>
    </w:p>
    <w:p>
      <w:pPr>
        <w:ind w:left="280" w:hanging="200"/>
        <w:spacing w:after="0"/>
        <w:tabs>
          <w:tab w:leader="none" w:pos="28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 xml:space="preserve">See Note 17, </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for the amounts of energy and capacity revenues that relate to leases and are accounted for under ASC 842.</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260"/>
          </w:cols>
          <w:pgMar w:left="820" w:top="364" w:right="800" w:bottom="0" w:gutter="0" w:footer="0" w:header="0"/>
          <w:type w:val="continuous"/>
        </w:sectPr>
      </w:pPr>
    </w:p>
    <w:bookmarkStart w:id="89" w:name="page90"/>
    <w:bookmarkEnd w:id="89"/>
    <w:p>
      <w:pPr>
        <w:ind w:left="440"/>
        <w:spacing w:after="0"/>
        <w:rPr>
          <w:sz w:val="20"/>
          <w:szCs w:val="20"/>
          <w:color w:val="auto"/>
        </w:rPr>
      </w:pPr>
      <w:r>
        <w:rPr>
          <w:rFonts w:ascii="Arial" w:cs="Arial" w:eastAsia="Arial" w:hAnsi="Arial"/>
          <w:sz w:val="20"/>
          <w:szCs w:val="20"/>
          <w:b w:val="1"/>
          <w:bCs w:val="1"/>
          <w:i w:val="1"/>
          <w:iCs w:val="1"/>
          <w:color w:val="auto"/>
        </w:rPr>
        <w:t>Contract Amortization</w:t>
      </w:r>
    </w:p>
    <w:p>
      <w:pPr>
        <w:spacing w:after="0" w:line="193"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reflects the contract assets included on the Company’s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40" w:type="dxa"/>
            <w:vAlign w:val="bottom"/>
            <w:tcBorders>
              <w:bottom w:val="single" w:sz="8" w:color="E6E6E6"/>
            </w:tcBorders>
          </w:tcPr>
          <w:p>
            <w:pPr>
              <w:jc w:val="right"/>
              <w:ind w:right="5873"/>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8"/>
              </w:rPr>
              <w:t>December 31, 2024</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8"/>
              </w:rPr>
              <w:t>December 31, 2023</w:t>
            </w:r>
          </w:p>
        </w:tc>
      </w:tr>
      <w:tr>
        <w:trPr>
          <w:trHeight w:val="245"/>
        </w:trPr>
        <w:tc>
          <w:tcPr>
            <w:tcW w:w="6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B4B4B4"/>
                <w:w w:val="95"/>
              </w:rPr>
              <w:t>. . . . . . . . . . . . . . . . . . . . . . . . . . . . . . . .</w:t>
            </w:r>
            <w:r>
              <w:rPr>
                <w:rFonts w:ascii="Arial" w:cs="Arial" w:eastAsia="Arial" w:hAnsi="Arial"/>
                <w:sz w:val="18"/>
                <w:szCs w:val="18"/>
                <w:color w:val="000000"/>
                <w:w w:val="95"/>
              </w:rPr>
              <w:t>Accountsreceivable,net-Contractswithcustomers</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w:t>
            </w:r>
          </w:p>
        </w:tc>
      </w:tr>
      <w:tr>
        <w:trPr>
          <w:trHeight w:val="245"/>
        </w:trPr>
        <w:tc>
          <w:tcPr>
            <w:tcW w:w="6840" w:type="dxa"/>
            <w:vAlign w:val="bottom"/>
            <w:tcBorders>
              <w:bottom w:val="single" w:sz="8" w:color="E6E6E6"/>
            </w:tcBorders>
          </w:tcPr>
          <w:p>
            <w:pPr>
              <w:jc w:val="right"/>
              <w:ind w:right="33"/>
              <w:spacing w:after="0"/>
              <w:rPr>
                <w:sz w:val="20"/>
                <w:szCs w:val="20"/>
                <w:color w:val="auto"/>
              </w:rPr>
            </w:pPr>
            <w:r>
              <w:rPr>
                <w:rFonts w:ascii="Arial" w:cs="Arial" w:eastAsia="Arial" w:hAnsi="Arial"/>
                <w:sz w:val="18"/>
                <w:szCs w:val="18"/>
                <w:color w:val="auto"/>
                <w:w w:val="90"/>
              </w:rPr>
              <w:t xml:space="preserve">Accounts receivable, net - Leases </w:t>
            </w:r>
            <w:r>
              <w:rPr>
                <w:rFonts w:ascii="Arial" w:cs="Arial" w:eastAsia="Arial" w:hAnsi="Arial"/>
                <w:sz w:val="18"/>
                <w:szCs w:val="18"/>
                <w:color w:val="B4B4B4"/>
                <w:w w:val="90"/>
              </w:rPr>
              <w:t>. . . . . . . . . . . . . . . . . . . . . . . . . . . . . . . . . . . . . . . . . . . . . . .</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0"/>
        </w:trPr>
        <w:tc>
          <w:tcPr>
            <w:tcW w:w="6840" w:type="dxa"/>
            <w:vAlign w:val="bottom"/>
            <w:tcBorders>
              <w:bottom w:val="single" w:sz="8" w:color="E6E6E6"/>
            </w:tcBorders>
            <w:shd w:val="clear" w:color="auto" w:fill="E6E6E6"/>
          </w:tcPr>
          <w:p>
            <w:pPr>
              <w:jc w:val="right"/>
              <w:ind w:right="53"/>
              <w:spacing w:after="0"/>
              <w:rPr>
                <w:sz w:val="20"/>
                <w:szCs w:val="20"/>
                <w:color w:val="auto"/>
              </w:rPr>
            </w:pPr>
            <w:r>
              <w:rPr>
                <w:rFonts w:ascii="Arial" w:cs="Arial" w:eastAsia="Arial" w:hAnsi="Arial"/>
                <w:sz w:val="18"/>
                <w:szCs w:val="18"/>
                <w:color w:val="B4B4B4"/>
                <w:w w:val="95"/>
              </w:rPr>
              <w:t>. . . . . . . . . . . . . . . . . . . . . . . . . . . . . . . . . . . . . . . . . . . . . . . .</w:t>
            </w:r>
            <w:r>
              <w:rPr>
                <w:rFonts w:ascii="Arial" w:cs="Arial" w:eastAsia="Arial" w:hAnsi="Arial"/>
                <w:sz w:val="18"/>
                <w:szCs w:val="18"/>
                <w:color w:val="000000"/>
                <w:w w:val="95"/>
              </w:rPr>
              <w:t>Totalaccountsreceivable,net</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684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bottom w:val="single" w:sz="8" w:color="auto"/>
            </w:tcBorders>
          </w:tcPr>
          <w:p>
            <w:pPr>
              <w:spacing w:after="0" w:line="20" w:lineRule="exact"/>
              <w:rPr>
                <w:sz w:val="1"/>
                <w:szCs w:val="1"/>
                <w:color w:val="auto"/>
              </w:rPr>
            </w:pPr>
          </w:p>
        </w:tc>
        <w:tc>
          <w:tcPr>
            <w:tcW w:w="146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bottom w:val="single" w:sz="8" w:color="auto"/>
            </w:tcBorders>
          </w:tcPr>
          <w:p>
            <w:pPr>
              <w:spacing w:after="0" w:line="20" w:lineRule="exact"/>
              <w:rPr>
                <w:sz w:val="1"/>
                <w:szCs w:val="1"/>
                <w:color w:val="auto"/>
              </w:rPr>
            </w:pPr>
          </w:p>
        </w:tc>
        <w:tc>
          <w:tcPr>
            <w:tcW w:w="146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-43815</wp:posOffset>
            </wp:positionV>
            <wp:extent cx="21113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extLst>
                    </a:blip>
                    <a:srcRect/>
                    <a:stretch>
                      <a:fillRect/>
                    </a:stretch>
                  </pic:blipFill>
                  <pic:spPr bwMode="auto">
                    <a:xfrm>
                      <a:off x="0" y="0"/>
                      <a:ext cx="2111375"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195" w:lineRule="exact"/>
        <w:rPr>
          <w:sz w:val="20"/>
          <w:szCs w:val="20"/>
          <w:color w:val="auto"/>
        </w:rPr>
      </w:pPr>
    </w:p>
    <w:p>
      <w:pPr>
        <w:jc w:val="both"/>
        <w:ind w:right="20" w:firstLine="450"/>
        <w:spacing w:after="0" w:line="276" w:lineRule="auto"/>
        <w:rPr>
          <w:sz w:val="20"/>
          <w:szCs w:val="20"/>
          <w:color w:val="auto"/>
        </w:rPr>
      </w:pPr>
      <w:r>
        <w:rPr>
          <w:rFonts w:ascii="Arial" w:cs="Arial" w:eastAsia="Arial" w:hAnsi="Arial"/>
          <w:sz w:val="19"/>
          <w:szCs w:val="19"/>
          <w:color w:val="auto"/>
        </w:rPr>
        <w:t xml:space="preserve">The Company accounts for derivative financial instruments under ASC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 until the hedged transactions occur and are recognized in earnings.</w:t>
      </w:r>
    </w:p>
    <w:p>
      <w:pPr>
        <w:spacing w:after="0" w:line="127"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financial instrument is terminated, the effective portion of this derivative deferred in accumulated OCI will be frozen until the underlying hedged item is delivered.</w:t>
      </w:r>
    </w:p>
    <w:p>
      <w:pPr>
        <w:spacing w:after="0" w:line="121"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44" w:lineRule="exact"/>
        <w:rPr>
          <w:sz w:val="20"/>
          <w:szCs w:val="20"/>
          <w:color w:val="auto"/>
        </w:rPr>
      </w:pPr>
    </w:p>
    <w:p>
      <w:pPr>
        <w:jc w:val="both"/>
        <w:ind w:right="20" w:firstLine="450"/>
        <w:spacing w:after="0" w:line="341" w:lineRule="auto"/>
        <w:rPr>
          <w:sz w:val="20"/>
          <w:szCs w:val="20"/>
          <w:color w:val="auto"/>
        </w:rPr>
      </w:pPr>
      <w:r>
        <w:rPr>
          <w:rFonts w:ascii="Arial" w:cs="Arial" w:eastAsia="Arial" w:hAnsi="Arial"/>
          <w:sz w:val="18"/>
          <w:szCs w:val="18"/>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w:t>
      </w:r>
    </w:p>
    <w:p>
      <w:pPr>
        <w:spacing w:after="0" w:line="198" w:lineRule="exact"/>
        <w:rPr>
          <w:sz w:val="20"/>
          <w:szCs w:val="20"/>
          <w:color w:val="auto"/>
        </w:rPr>
      </w:pPr>
    </w:p>
    <w:p>
      <w:pPr>
        <w:jc w:val="both"/>
        <w:ind w:right="20" w:firstLine="450"/>
        <w:spacing w:after="0" w:line="290"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facilities have only one customer</w:t>
      </w:r>
      <w:r>
        <w:rPr>
          <w:rFonts w:ascii="Arial" w:cs="Arial" w:eastAsia="Arial" w:hAnsi="Arial"/>
          <w:sz w:val="18"/>
          <w:szCs w:val="18"/>
          <w:color w:val="202020"/>
        </w:rPr>
        <w:t>.</w:t>
      </w:r>
      <w:r>
        <w:rPr>
          <w:rFonts w:ascii="Arial" w:cs="Arial" w:eastAsia="Arial" w:hAnsi="Arial"/>
          <w:sz w:val="18"/>
          <w:szCs w:val="18"/>
          <w:color w:val="auto"/>
        </w:rPr>
        <w:t xml:space="preserve"> See Note 6, </w:t>
      </w: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xml:space="preserve"> for a further discussion of derivative concentrations and Note 13, </w:t>
      </w: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 for concentration of counterparties.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98"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 xml:space="preserve">The carrying amount of cash and cash equivalents, restricted cash, accounts receivable — trade, accounts payable — trade, account payable — affiliates and accrued expenses and other current liabilities approximate fair value because of the short-term maturity of these instruments. See Note 6,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a further discussion of fair value of financial instruments.</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260"/>
          </w:cols>
          <w:pgMar w:left="820" w:top="364" w:right="80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i w:val="1"/>
          <w:iCs w:val="1"/>
          <w:color w:val="auto"/>
        </w:rPr>
        <w:t>Asset Retirement Obligations</w:t>
      </w:r>
    </w:p>
    <w:p>
      <w:pPr>
        <w:spacing w:after="0" w:line="195"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 xml:space="preserve">Asset retirement obligations, or AROs, are accounted for in accordance with ASC 410-20, </w:t>
      </w:r>
      <w:r>
        <w:rPr>
          <w:rFonts w:ascii="Arial" w:cs="Arial" w:eastAsia="Arial" w:hAnsi="Arial"/>
          <w:sz w:val="20"/>
          <w:szCs w:val="20"/>
          <w:b w:val="1"/>
          <w:bCs w:val="1"/>
          <w:i w:val="1"/>
          <w:iCs w:val="1"/>
          <w:color w:val="auto"/>
        </w:rPr>
        <w:t>Asset Retirement Obligations,</w:t>
      </w:r>
      <w:r>
        <w:rPr>
          <w:rFonts w:ascii="Arial" w:cs="Arial" w:eastAsia="Arial" w:hAnsi="Arial"/>
          <w:sz w:val="20"/>
          <w:szCs w:val="20"/>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45" w:lineRule="exact"/>
        <w:rPr>
          <w:sz w:val="20"/>
          <w:szCs w:val="20"/>
          <w:color w:val="auto"/>
        </w:rPr>
      </w:pPr>
    </w:p>
    <w:p>
      <w:pPr>
        <w:jc w:val="both"/>
        <w:ind w:right="20" w:firstLine="450"/>
        <w:spacing w:after="0" w:line="273" w:lineRule="auto"/>
        <w:rPr>
          <w:sz w:val="20"/>
          <w:szCs w:val="20"/>
          <w:color w:val="auto"/>
        </w:rPr>
      </w:pPr>
      <w:r>
        <w:rPr>
          <w:rFonts w:ascii="Arial" w:cs="Arial" w:eastAsia="Arial" w:hAnsi="Arial"/>
          <w:sz w:val="19"/>
          <w:szCs w:val="19"/>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represents the balance of AROs, along with the related activity:</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7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0"/>
              </w:rPr>
              <w:t xml:space="preserve">Balance as of December 31, 2022 </w:t>
            </w:r>
            <w:r>
              <w:rPr>
                <w:rFonts w:ascii="Arial" w:cs="Arial" w:eastAsia="Arial" w:hAnsi="Arial"/>
                <w:sz w:val="20"/>
                <w:szCs w:val="20"/>
                <w:b w:val="1"/>
                <w:bCs w:val="1"/>
                <w:color w:val="B4B4B4"/>
                <w:w w:val="90"/>
              </w:rPr>
              <w:t>. . . . . . . . . . . . . . . . . . . . . . . . . . . . . . . . . . . . . . . . . . . . . . . . . . . . . . . . . .</w:t>
            </w:r>
          </w:p>
        </w:tc>
        <w:tc>
          <w:tcPr>
            <w:tcW w:w="620" w:type="dxa"/>
            <w:vAlign w:val="bottom"/>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157</w:t>
            </w:r>
          </w:p>
        </w:tc>
      </w:tr>
      <w:tr>
        <w:trPr>
          <w:trHeight w:val="278"/>
        </w:trPr>
        <w:tc>
          <w:tcPr>
            <w:tcW w:w="8760" w:type="dxa"/>
            <w:vAlign w:val="bottom"/>
          </w:tcPr>
          <w:p>
            <w:pPr>
              <w:jc w:val="right"/>
              <w:spacing w:after="0"/>
              <w:rPr>
                <w:sz w:val="20"/>
                <w:szCs w:val="20"/>
                <w:color w:val="auto"/>
              </w:rPr>
            </w:pPr>
            <w:r>
              <w:rPr>
                <w:rFonts w:ascii="Arial" w:cs="Arial" w:eastAsia="Arial" w:hAnsi="Arial"/>
                <w:sz w:val="20"/>
                <w:szCs w:val="20"/>
                <w:color w:val="auto"/>
                <w:w w:val="91"/>
              </w:rPr>
              <w:t xml:space="preserve">Revisions in estimated cash flows </w:t>
            </w:r>
            <w:r>
              <w:rPr>
                <w:rFonts w:ascii="Arial" w:cs="Arial" w:eastAsia="Arial" w:hAnsi="Arial"/>
                <w:sz w:val="20"/>
                <w:szCs w:val="20"/>
                <w:color w:val="B4B4B4"/>
                <w:w w:val="91"/>
              </w:rPr>
              <w:t>. . . . . . . . . . . . . . . . . . . . . . . . . . . . . . . . . . . . . . . . . . . . . . . . . . . . . . . . . .</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2"/>
        </w:trPr>
        <w:tc>
          <w:tcPr>
            <w:tcW w:w="87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Liabilities incurred  </w:t>
            </w:r>
            <w:r>
              <w:rPr>
                <w:rFonts w:ascii="Arial" w:cs="Arial" w:eastAsia="Arial" w:hAnsi="Arial"/>
                <w:sz w:val="20"/>
                <w:szCs w:val="20"/>
                <w:color w:val="B4B4B4"/>
                <w:w w:val="92"/>
              </w:rPr>
              <w:t>. . . . . . . . . . . . . . . . . . . . . . . . . . . . . . . . . . . . . . . . . . . . . . . . . . . . . . . . . . . . . . . . . . . . .</w:t>
            </w:r>
          </w:p>
        </w:tc>
        <w:tc>
          <w:tcPr>
            <w:tcW w:w="62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w:t>
            </w:r>
          </w:p>
        </w:tc>
      </w:tr>
      <w:tr>
        <w:trPr>
          <w:trHeight w:val="275"/>
        </w:trPr>
        <w:tc>
          <w:tcPr>
            <w:tcW w:w="87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2"/>
              </w:rPr>
              <w:t xml:space="preserve">Accretion expense </w:t>
            </w:r>
            <w:r>
              <w:rPr>
                <w:rFonts w:ascii="Arial" w:cs="Arial" w:eastAsia="Arial" w:hAnsi="Arial"/>
                <w:sz w:val="20"/>
                <w:szCs w:val="20"/>
                <w:color w:val="B4B4B4"/>
                <w:w w:val="92"/>
              </w:rPr>
              <w:t>. . . . . . . . . . . . . . . . . . . . . . . . . . . . . . . . . . . . . . . . . . . . . . . . . . . . . . . . . . . . . . . . . . . . . .</w:t>
            </w:r>
          </w:p>
        </w:tc>
        <w:tc>
          <w:tcPr>
            <w:tcW w:w="6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r>
      <w:tr>
        <w:trPr>
          <w:trHeight w:val="275"/>
        </w:trPr>
        <w:tc>
          <w:tcPr>
            <w:tcW w:w="876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3"/>
              </w:rPr>
              <w:t>. . . . . . . . . . . . . . . . . . . . . . . . . . . . . . . . . . . . . . . . . . . . . . . . . . . . . . . . . .</w:t>
            </w:r>
            <w:r>
              <w:rPr>
                <w:rFonts w:ascii="Arial" w:cs="Arial" w:eastAsia="Arial" w:hAnsi="Arial"/>
                <w:sz w:val="20"/>
                <w:szCs w:val="20"/>
                <w:b w:val="1"/>
                <w:bCs w:val="1"/>
                <w:color w:val="000000"/>
                <w:w w:val="93"/>
              </w:rPr>
              <w:t>BalanceasofDecember31,2023</w:t>
            </w:r>
          </w:p>
        </w:tc>
        <w:tc>
          <w:tcPr>
            <w:tcW w:w="62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w:t>
            </w:r>
          </w:p>
        </w:tc>
      </w:tr>
      <w:tr>
        <w:trPr>
          <w:trHeight w:val="293"/>
        </w:trPr>
        <w:tc>
          <w:tcPr>
            <w:tcW w:w="8760" w:type="dxa"/>
            <w:vAlign w:val="bottom"/>
          </w:tcPr>
          <w:p>
            <w:pPr>
              <w:jc w:val="right"/>
              <w:spacing w:after="0"/>
              <w:rPr>
                <w:sz w:val="20"/>
                <w:szCs w:val="20"/>
                <w:color w:val="auto"/>
              </w:rPr>
            </w:pPr>
            <w:r>
              <w:rPr>
                <w:rFonts w:ascii="Arial" w:cs="Arial" w:eastAsia="Arial" w:hAnsi="Arial"/>
                <w:sz w:val="20"/>
                <w:szCs w:val="20"/>
                <w:color w:val="auto"/>
                <w:w w:val="91"/>
              </w:rPr>
              <w:t xml:space="preserve">Revisions in estimated cash flows </w:t>
            </w:r>
            <w:r>
              <w:rPr>
                <w:rFonts w:ascii="Arial" w:cs="Arial" w:eastAsia="Arial" w:hAnsi="Arial"/>
                <w:sz w:val="20"/>
                <w:szCs w:val="20"/>
                <w:color w:val="B4B4B4"/>
                <w:w w:val="91"/>
              </w:rPr>
              <w:t>. . . . . . . . . . . . . . . . . . . . . . . . . . . . . . . . . . . . . . . . . . . . . . . . . . . . . . . . . .</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07"/>
        </w:trPr>
        <w:tc>
          <w:tcPr>
            <w:tcW w:w="87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Liabilities incurred  </w:t>
            </w:r>
            <w:r>
              <w:rPr>
                <w:rFonts w:ascii="Arial" w:cs="Arial" w:eastAsia="Arial" w:hAnsi="Arial"/>
                <w:sz w:val="20"/>
                <w:szCs w:val="20"/>
                <w:color w:val="B4B4B4"/>
                <w:w w:val="92"/>
              </w:rPr>
              <w:t>. . . . . . . . . . . . . . . . . . . . . . . . . . . . . . . . . . . . . . . . . . . . . . . . . . . . . . . . . . . . . . . . . . . . .</w:t>
            </w:r>
          </w:p>
        </w:tc>
        <w:tc>
          <w:tcPr>
            <w:tcW w:w="62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w:t>
            </w:r>
          </w:p>
        </w:tc>
      </w:tr>
      <w:tr>
        <w:trPr>
          <w:trHeight w:val="293"/>
        </w:trPr>
        <w:tc>
          <w:tcPr>
            <w:tcW w:w="8760" w:type="dxa"/>
            <w:vAlign w:val="bottom"/>
          </w:tcPr>
          <w:p>
            <w:pPr>
              <w:jc w:val="right"/>
              <w:spacing w:after="0"/>
              <w:rPr>
                <w:sz w:val="20"/>
                <w:szCs w:val="20"/>
                <w:color w:val="auto"/>
              </w:rPr>
            </w:pPr>
            <w:r>
              <w:rPr>
                <w:rFonts w:ascii="Arial" w:cs="Arial" w:eastAsia="Arial" w:hAnsi="Arial"/>
                <w:sz w:val="20"/>
                <w:szCs w:val="20"/>
                <w:color w:val="auto"/>
                <w:w w:val="92"/>
              </w:rPr>
              <w:t xml:space="preserve">Liabilities settled </w:t>
            </w:r>
            <w:r>
              <w:rPr>
                <w:rFonts w:ascii="Arial" w:cs="Arial" w:eastAsia="Arial" w:hAnsi="Arial"/>
                <w:sz w:val="20"/>
                <w:szCs w:val="20"/>
                <w:color w:val="B4B4B4"/>
                <w:w w:val="92"/>
              </w:rPr>
              <w:t>. . . . . . . . . . . . . . . . . . . . . . . . . . . . . . . . . . . . . . . . . . . . . . . . . . . . . . . . . . . . . . . . . . . . . . .</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15"/>
        </w:trPr>
        <w:tc>
          <w:tcPr>
            <w:tcW w:w="8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Accretion expense </w:t>
            </w:r>
            <w:r>
              <w:rPr>
                <w:rFonts w:ascii="Arial" w:cs="Arial" w:eastAsia="Arial" w:hAnsi="Arial"/>
                <w:sz w:val="20"/>
                <w:szCs w:val="20"/>
                <w:color w:val="B4B4B4"/>
                <w:w w:val="92"/>
              </w:rPr>
              <w:t>. . . . . . . . . . . . . . . . . . . . . . . . . . . . . . . . . . . . . . . . . . . . . . . . . . . . . . . . . . . . . . . . . . . . . .</w:t>
            </w:r>
          </w:p>
        </w:tc>
        <w:tc>
          <w:tcPr>
            <w:tcW w:w="62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w:t>
            </w:r>
          </w:p>
        </w:tc>
      </w:tr>
      <w:tr>
        <w:trPr>
          <w:trHeight w:val="242"/>
        </w:trPr>
        <w:tc>
          <w:tcPr>
            <w:tcW w:w="876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Balance as of December 31, 2024 </w:t>
            </w:r>
            <w:r>
              <w:rPr>
                <w:rFonts w:ascii="Arial" w:cs="Arial" w:eastAsia="Arial" w:hAnsi="Arial"/>
                <w:sz w:val="20"/>
                <w:szCs w:val="20"/>
                <w:b w:val="1"/>
                <w:bCs w:val="1"/>
                <w:color w:val="B4B4B4"/>
                <w:w w:val="90"/>
              </w:rPr>
              <w:t>. . . . . . . . . . . . . . . . . . . . . . . . . . . . . . . . . . . . . . . . . . . . . . . . . . . . . . . . . .</w:t>
            </w:r>
          </w:p>
        </w:tc>
        <w:tc>
          <w:tcPr>
            <w:tcW w:w="620" w:type="dxa"/>
            <w:vAlign w:val="bottom"/>
            <w:tcBorders>
              <w:bottom w:val="single" w:sz="8" w:color="auto"/>
            </w:tcBorders>
          </w:tcPr>
          <w:p>
            <w:pPr>
              <w:jc w:val="right"/>
              <w:ind w:right="38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r>
      <w:tr>
        <w:trPr>
          <w:trHeight w:val="20"/>
        </w:trPr>
        <w:tc>
          <w:tcPr>
            <w:tcW w:w="8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-43815</wp:posOffset>
            </wp:positionV>
            <wp:extent cx="97790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3">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198" w:lineRule="exact"/>
        <w:rPr>
          <w:sz w:val="20"/>
          <w:szCs w:val="20"/>
          <w:color w:val="auto"/>
        </w:rPr>
      </w:pPr>
    </w:p>
    <w:p>
      <w:pPr>
        <w:jc w:val="both"/>
        <w:ind w:firstLine="450"/>
        <w:spacing w:after="0" w:line="304"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Accounted for by the Equity Method</w:t>
      </w:r>
    </w:p>
    <w:p>
      <w:pPr>
        <w:spacing w:after="0" w:line="198"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 xml:space="preserve">The Company has investments in various energy facilities accounted for by the equity method, several of which are VIEs, where the Company is not a primary beneficiary, as described in Note 5, </w:t>
      </w:r>
      <w:r>
        <w:rPr>
          <w:rFonts w:ascii="Arial" w:cs="Arial" w:eastAsia="Arial" w:hAnsi="Arial"/>
          <w:sz w:val="18"/>
          <w:szCs w:val="18"/>
          <w:b w:val="1"/>
          <w:bCs w:val="1"/>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 The equity method of accounting is applied to these investments in affiliates because the ownership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prevents the Company from exercising a controlling influence over the operating and financial policies of the facilities.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260"/>
          </w:cols>
          <w:pgMar w:left="820" w:top="359" w:right="80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i w:val="1"/>
          <w:iCs w:val="1"/>
          <w:color w:val="auto"/>
        </w:rPr>
        <w:t>Sale-Leaseback Arrangements</w:t>
      </w:r>
    </w:p>
    <w:p>
      <w:pPr>
        <w:spacing w:after="0" w:line="198"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color w:val="auto"/>
        </w:rPr>
        <w:t xml:space="preserve">The Company is party to sale-leaseback arrangements that provide for the sale of certain assets to a third-party and simultaneous leaseback to the Company. In accordance with ASC 842-40, </w:t>
      </w:r>
      <w:r>
        <w:rPr>
          <w:rFonts w:ascii="Arial" w:cs="Arial" w:eastAsia="Arial" w:hAnsi="Arial"/>
          <w:sz w:val="20"/>
          <w:szCs w:val="20"/>
          <w:b w:val="1"/>
          <w:bCs w:val="1"/>
          <w:i w:val="1"/>
          <w:iCs w:val="1"/>
          <w:color w:val="auto"/>
        </w:rPr>
        <w:t>Sale-Leaseback Transactions</w:t>
      </w:r>
      <w:r>
        <w:rPr>
          <w:rFonts w:ascii="Arial" w:cs="Arial" w:eastAsia="Arial" w:hAnsi="Arial"/>
          <w:sz w:val="20"/>
          <w:szCs w:val="20"/>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50"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95" w:lineRule="exact"/>
        <w:rPr>
          <w:sz w:val="20"/>
          <w:szCs w:val="20"/>
          <w:color w:val="auto"/>
        </w:rPr>
      </w:pPr>
    </w:p>
    <w:p>
      <w:pPr>
        <w:jc w:val="both"/>
        <w:ind w:right="20" w:firstLine="450"/>
        <w:spacing w:after="0" w:line="268" w:lineRule="auto"/>
        <w:rPr>
          <w:sz w:val="20"/>
          <w:szCs w:val="20"/>
          <w:color w:val="auto"/>
        </w:rPr>
      </w:pPr>
      <w:r>
        <w:rPr>
          <w:rFonts w:ascii="Arial" w:cs="Arial" w:eastAsia="Arial" w:hAnsi="Arial"/>
          <w:sz w:val="20"/>
          <w:szCs w:val="20"/>
          <w:color w:val="auto"/>
        </w:rPr>
        <w:t xml:space="preserve">The Company accounts for income taxes using the liability method in accordance with ASC 740,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or ASC 740, which requires that the Company use the asset and liability method of accounting for deferred income taxes and provide deferred income taxes for all significant temporary differences.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two categories of income tax expense or benefit — current and deferred, as follows:</w:t>
      </w:r>
    </w:p>
    <w:p>
      <w:pPr>
        <w:spacing w:after="0" w:line="70" w:lineRule="exact"/>
        <w:rPr>
          <w:sz w:val="20"/>
          <w:szCs w:val="20"/>
          <w:color w:val="auto"/>
        </w:rPr>
      </w:pPr>
    </w:p>
    <w:p>
      <w:pPr>
        <w:ind w:left="720" w:hanging="370"/>
        <w:spacing w:after="0"/>
        <w:tabs>
          <w:tab w:leader="none" w:pos="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Current income tax expense or benefit consists solely of current taxes payable less applicable tax credits, and</w:t>
      </w:r>
    </w:p>
    <w:p>
      <w:pPr>
        <w:spacing w:after="0" w:line="81" w:lineRule="exact"/>
        <w:rPr>
          <w:rFonts w:ascii="Arial" w:cs="Arial" w:eastAsia="Arial" w:hAnsi="Arial"/>
          <w:sz w:val="19"/>
          <w:szCs w:val="19"/>
          <w:color w:val="auto"/>
        </w:rPr>
      </w:pPr>
    </w:p>
    <w:p>
      <w:pPr>
        <w:ind w:left="720" w:right="20" w:hanging="370"/>
        <w:spacing w:after="0" w:line="283"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Deferred income tax expense or benefit is the change in the net deferred income tax asset or liability, excluding amounts charged or credited to accumulated other comprehensive income (loss).</w:t>
      </w:r>
    </w:p>
    <w:p>
      <w:pPr>
        <w:spacing w:after="0" w:line="118"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9"/>
          <w:szCs w:val="19"/>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40"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121" w:lineRule="exact"/>
        <w:rPr>
          <w:sz w:val="20"/>
          <w:szCs w:val="20"/>
          <w:color w:val="auto"/>
        </w:rPr>
      </w:pPr>
    </w:p>
    <w:p>
      <w:pPr>
        <w:jc w:val="both"/>
        <w:ind w:right="20" w:firstLine="450"/>
        <w:spacing w:after="0" w:line="314" w:lineRule="auto"/>
        <w:rPr>
          <w:sz w:val="20"/>
          <w:szCs w:val="20"/>
          <w:color w:val="auto"/>
        </w:rPr>
      </w:pPr>
      <w:r>
        <w:rPr>
          <w:rFonts w:ascii="Arial" w:cs="Arial" w:eastAsia="Arial" w:hAnsi="Arial"/>
          <w:sz w:val="19"/>
          <w:szCs w:val="19"/>
          <w:color w:val="auto"/>
        </w:rPr>
        <w:t xml:space="preserve">In accordance with ASC 740 and as discussed further in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changes to existing net deferred tax assets, valuation allowances, or changes to uncertain tax benefits, are recorded to income tax expense.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Acquisitions</w:t>
      </w:r>
    </w:p>
    <w:p>
      <w:pPr>
        <w:spacing w:after="0" w:line="195"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8"/>
          <w:szCs w:val="18"/>
          <w:color w:val="auto"/>
        </w:rPr>
        <w:t xml:space="preserve">The Company accounts for its acquisitions in accordance with ASC 805, </w:t>
      </w: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260"/>
          </w:cols>
          <w:pgMar w:left="820" w:top="359" w:right="80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i w:val="1"/>
          <w:iCs w:val="1"/>
          <w:color w:val="auto"/>
        </w:rPr>
        <w:t>Tax Equity Arrangements</w:t>
      </w:r>
    </w:p>
    <w:p>
      <w:pPr>
        <w:spacing w:after="0" w:line="19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8"/>
          <w:szCs w:val="18"/>
          <w:color w:val="auto"/>
        </w:rPr>
        <w:t>Certain portions of the Company’s noncontrolling interest represent third-party interests in the net assets under tax equity arrangements, which are consolidated by the Company, that have been entered into to finance the cost of facilities eligible for certain tax credits and benefits. The Company has determined that the provisions in the contractual agreements of these noncontrolling interests represent substantive profit sharing arrangements. Further, the Company has determined that the appropriate methodology for calculating the noncontrolling interest that reflects the substantive profit sharing arrangements is a balance sheet approach utilizing the hypothetical liquidation at book value, or HLBV, method. Under the HLBV method, the amounts reported as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Redeemable Noncontrolling Interest</w:t>
      </w:r>
    </w:p>
    <w:p>
      <w:pPr>
        <w:spacing w:after="0" w:line="198"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During the fourth quarter of 2024, the Company repurchased the remaining partner’s equity interest, as further described in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The following table reflects the changes in the Company’s redeemable noncontrolling interest balance: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(In millions)</w:t>
            </w:r>
          </w:p>
        </w:tc>
      </w:tr>
      <w:tr>
        <w:trPr>
          <w:trHeight w:val="290"/>
        </w:trPr>
        <w:tc>
          <w:tcPr>
            <w:tcW w:w="8400" w:type="dxa"/>
            <w:vAlign w:val="bottom"/>
            <w:shd w:val="clear" w:color="auto" w:fill="E6E6E6"/>
          </w:tcPr>
          <w:p>
            <w:pPr>
              <w:jc w:val="right"/>
              <w:ind w:right="20"/>
              <w:spacing w:after="0"/>
              <w:rPr>
                <w:sz w:val="20"/>
                <w:szCs w:val="20"/>
                <w:color w:val="auto"/>
              </w:rPr>
            </w:pPr>
            <w:r>
              <w:rPr>
                <w:rFonts w:ascii="Arial" w:cs="Arial" w:eastAsia="Arial" w:hAnsi="Arial"/>
                <w:sz w:val="20"/>
                <w:szCs w:val="20"/>
                <w:b w:val="1"/>
                <w:bCs w:val="1"/>
                <w:color w:val="auto"/>
                <w:w w:val="90"/>
              </w:rPr>
              <w:t xml:space="preserve">Balance at December 31, 2022  </w:t>
            </w:r>
            <w:r>
              <w:rPr>
                <w:rFonts w:ascii="Arial" w:cs="Arial" w:eastAsia="Arial" w:hAnsi="Arial"/>
                <w:sz w:val="20"/>
                <w:szCs w:val="20"/>
                <w:b w:val="1"/>
                <w:bCs w:val="1"/>
                <w:color w:val="B4B4B4"/>
                <w:w w:val="90"/>
              </w:rPr>
              <w:t>. . . . . . . . . . . . . . . . . . . . . . . . . . . . . . . . . . . . . . . . . . . . . . . . . . . . . . . .</w:t>
            </w:r>
          </w:p>
        </w:tc>
        <w:tc>
          <w:tcPr>
            <w:tcW w:w="320" w:type="dxa"/>
            <w:vAlign w:val="bottom"/>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5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7</w:t>
            </w:r>
          </w:p>
        </w:tc>
      </w:tr>
      <w:tr>
        <w:trPr>
          <w:trHeight w:val="293"/>
        </w:trPr>
        <w:tc>
          <w:tcPr>
            <w:tcW w:w="8400" w:type="dxa"/>
            <w:vAlign w:val="bottom"/>
          </w:tcPr>
          <w:p>
            <w:pPr>
              <w:jc w:val="right"/>
              <w:ind w:right="20"/>
              <w:spacing w:after="0"/>
              <w:rPr>
                <w:sz w:val="20"/>
                <w:szCs w:val="20"/>
                <w:color w:val="auto"/>
              </w:rPr>
            </w:pPr>
            <w:r>
              <w:rPr>
                <w:rFonts w:ascii="Arial" w:cs="Arial" w:eastAsia="Arial" w:hAnsi="Arial"/>
                <w:sz w:val="20"/>
                <w:szCs w:val="20"/>
                <w:color w:val="auto"/>
                <w:w w:val="92"/>
              </w:rPr>
              <w:t xml:space="preserve">Cash distributions to redeemable noncontrolling interests </w:t>
            </w:r>
            <w:r>
              <w:rPr>
                <w:rFonts w:ascii="Arial" w:cs="Arial" w:eastAsia="Arial" w:hAnsi="Arial"/>
                <w:sz w:val="20"/>
                <w:szCs w:val="20"/>
                <w:color w:val="B4B4B4"/>
                <w:w w:val="92"/>
              </w:rPr>
              <w:t>. . . . . . . . . . . . . . . . . . . . . . . . . . . . . . . . . . .</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07"/>
        </w:trPr>
        <w:tc>
          <w:tcPr>
            <w:tcW w:w="8400" w:type="dxa"/>
            <w:vAlign w:val="bottom"/>
            <w:shd w:val="clear" w:color="auto" w:fill="E6E6E6"/>
          </w:tcPr>
          <w:p>
            <w:pPr>
              <w:jc w:val="right"/>
              <w:ind w:right="20"/>
              <w:spacing w:after="0"/>
              <w:rPr>
                <w:sz w:val="20"/>
                <w:szCs w:val="20"/>
                <w:color w:val="auto"/>
              </w:rPr>
            </w:pPr>
            <w:r>
              <w:rPr>
                <w:rFonts w:ascii="Arial" w:cs="Arial" w:eastAsia="Arial" w:hAnsi="Arial"/>
                <w:sz w:val="20"/>
                <w:szCs w:val="20"/>
                <w:color w:val="auto"/>
                <w:w w:val="92"/>
              </w:rPr>
              <w:t xml:space="preserve">Comprehensive income attributable to redeemable noncontrolling interests </w:t>
            </w:r>
            <w:r>
              <w:rPr>
                <w:rFonts w:ascii="Arial" w:cs="Arial" w:eastAsia="Arial" w:hAnsi="Arial"/>
                <w:sz w:val="20"/>
                <w:szCs w:val="20"/>
                <w:color w:val="B4B4B4"/>
                <w:w w:val="92"/>
              </w:rPr>
              <w:t>. . . . . . . . . . . . . . . . . . . . .</w:t>
            </w:r>
          </w:p>
        </w:tc>
        <w:tc>
          <w:tcPr>
            <w:tcW w:w="320" w:type="dxa"/>
            <w:vAlign w:val="bottom"/>
            <w:shd w:val="clear" w:color="auto" w:fill="E6E6E6"/>
          </w:tcPr>
          <w:p>
            <w:pPr>
              <w:spacing w:after="0"/>
              <w:rPr>
                <w:sz w:val="24"/>
                <w:szCs w:val="24"/>
                <w:color w:val="auto"/>
              </w:rPr>
            </w:pPr>
          </w:p>
        </w:tc>
        <w:tc>
          <w:tcPr>
            <w:tcW w:w="15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17</w:t>
            </w:r>
          </w:p>
        </w:tc>
      </w:tr>
      <w:tr>
        <w:trPr>
          <w:trHeight w:val="290"/>
        </w:trPr>
        <w:tc>
          <w:tcPr>
            <w:tcW w:w="8400" w:type="dxa"/>
            <w:vAlign w:val="bottom"/>
            <w:tcBorders>
              <w:bottom w:val="single" w:sz="8" w:color="E6E6E6"/>
            </w:tcBorders>
          </w:tcPr>
          <w:p>
            <w:pPr>
              <w:jc w:val="right"/>
              <w:ind w:right="20"/>
              <w:spacing w:after="0"/>
              <w:rPr>
                <w:sz w:val="20"/>
                <w:szCs w:val="20"/>
                <w:color w:val="auto"/>
              </w:rPr>
            </w:pPr>
            <w:r>
              <w:rPr>
                <w:rFonts w:ascii="Arial" w:cs="Arial" w:eastAsia="Arial" w:hAnsi="Arial"/>
                <w:sz w:val="20"/>
                <w:szCs w:val="20"/>
                <w:color w:val="auto"/>
                <w:w w:val="91"/>
              </w:rPr>
              <w:t xml:space="preserve">Repurchase of redeemable noncontrolling interest </w:t>
            </w:r>
            <w:r>
              <w:rPr>
                <w:rFonts w:ascii="Arial" w:cs="Arial" w:eastAsia="Arial" w:hAnsi="Arial"/>
                <w:sz w:val="20"/>
                <w:szCs w:val="20"/>
                <w:color w:val="B4B4B4"/>
                <w:w w:val="91"/>
              </w:rPr>
              <w:t>. . . . . . . . . . . . . . . . . . . . . . . . . . . . . . . . . . . . . . . . .</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r>
      <w:tr>
        <w:trPr>
          <w:trHeight w:val="290"/>
        </w:trPr>
        <w:tc>
          <w:tcPr>
            <w:tcW w:w="8400" w:type="dxa"/>
            <w:vAlign w:val="bottom"/>
            <w:shd w:val="clear" w:color="auto" w:fill="E6E6E6"/>
          </w:tcPr>
          <w:p>
            <w:pPr>
              <w:jc w:val="right"/>
              <w:ind w:right="20"/>
              <w:spacing w:after="0"/>
              <w:rPr>
                <w:sz w:val="20"/>
                <w:szCs w:val="20"/>
                <w:color w:val="auto"/>
              </w:rPr>
            </w:pPr>
            <w:r>
              <w:rPr>
                <w:rFonts w:ascii="Arial" w:cs="Arial" w:eastAsia="Arial" w:hAnsi="Arial"/>
                <w:sz w:val="20"/>
                <w:szCs w:val="20"/>
                <w:b w:val="1"/>
                <w:bCs w:val="1"/>
                <w:color w:val="auto"/>
                <w:w w:val="90"/>
              </w:rPr>
              <w:t xml:space="preserve">Balance at December 31, 2023  </w:t>
            </w:r>
            <w:r>
              <w:rPr>
                <w:rFonts w:ascii="Arial" w:cs="Arial" w:eastAsia="Arial" w:hAnsi="Arial"/>
                <w:sz w:val="20"/>
                <w:szCs w:val="20"/>
                <w:b w:val="1"/>
                <w:bCs w:val="1"/>
                <w:color w:val="B4B4B4"/>
                <w:w w:val="90"/>
              </w:rPr>
              <w:t>. . . . . . . . . . . . . . . . . . . . . . . . . . . . . . . . . . . . . . . . . . . . . . . . . . . . . . . .</w:t>
            </w:r>
          </w:p>
        </w:tc>
        <w:tc>
          <w:tcPr>
            <w:tcW w:w="320" w:type="dxa"/>
            <w:vAlign w:val="bottom"/>
            <w:shd w:val="clear" w:color="auto" w:fill="E6E6E6"/>
          </w:tcPr>
          <w:p>
            <w:pPr>
              <w:spacing w:after="0"/>
              <w:rPr>
                <w:sz w:val="24"/>
                <w:szCs w:val="24"/>
                <w:color w:val="auto"/>
              </w:rPr>
            </w:pPr>
          </w:p>
        </w:tc>
        <w:tc>
          <w:tcPr>
            <w:tcW w:w="15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w:t>
            </w:r>
          </w:p>
        </w:tc>
      </w:tr>
      <w:tr>
        <w:trPr>
          <w:trHeight w:val="293"/>
        </w:trPr>
        <w:tc>
          <w:tcPr>
            <w:tcW w:w="8400" w:type="dxa"/>
            <w:vAlign w:val="bottom"/>
          </w:tcPr>
          <w:p>
            <w:pPr>
              <w:jc w:val="right"/>
              <w:ind w:right="20"/>
              <w:spacing w:after="0"/>
              <w:rPr>
                <w:sz w:val="20"/>
                <w:szCs w:val="20"/>
                <w:color w:val="auto"/>
              </w:rPr>
            </w:pPr>
            <w:r>
              <w:rPr>
                <w:rFonts w:ascii="Arial" w:cs="Arial" w:eastAsia="Arial" w:hAnsi="Arial"/>
                <w:sz w:val="20"/>
                <w:szCs w:val="20"/>
                <w:color w:val="auto"/>
                <w:w w:val="92"/>
              </w:rPr>
              <w:t xml:space="preserve">Cash distributions to redeemable noncontrolling interests </w:t>
            </w:r>
            <w:r>
              <w:rPr>
                <w:rFonts w:ascii="Arial" w:cs="Arial" w:eastAsia="Arial" w:hAnsi="Arial"/>
                <w:sz w:val="20"/>
                <w:szCs w:val="20"/>
                <w:color w:val="B4B4B4"/>
                <w:w w:val="92"/>
              </w:rPr>
              <w:t>. . . . . . . . . . . . . . . . . . . . . . . . . . . . . . . . . . .</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07"/>
        </w:trPr>
        <w:tc>
          <w:tcPr>
            <w:tcW w:w="8400" w:type="dxa"/>
            <w:vAlign w:val="bottom"/>
            <w:shd w:val="clear" w:color="auto" w:fill="E6E6E6"/>
          </w:tcPr>
          <w:p>
            <w:pPr>
              <w:jc w:val="right"/>
              <w:ind w:right="20"/>
              <w:spacing w:after="0"/>
              <w:rPr>
                <w:sz w:val="20"/>
                <w:szCs w:val="20"/>
                <w:color w:val="auto"/>
              </w:rPr>
            </w:pPr>
            <w:r>
              <w:rPr>
                <w:rFonts w:ascii="Arial" w:cs="Arial" w:eastAsia="Arial" w:hAnsi="Arial"/>
                <w:sz w:val="20"/>
                <w:szCs w:val="20"/>
                <w:color w:val="auto"/>
                <w:w w:val="92"/>
              </w:rPr>
              <w:t xml:space="preserve">Comprehensive income attributable to redeemable noncontrolling interests </w:t>
            </w:r>
            <w:r>
              <w:rPr>
                <w:rFonts w:ascii="Arial" w:cs="Arial" w:eastAsia="Arial" w:hAnsi="Arial"/>
                <w:sz w:val="20"/>
                <w:szCs w:val="20"/>
                <w:color w:val="B4B4B4"/>
                <w:w w:val="92"/>
              </w:rPr>
              <w:t>. . . . . . . . . . . . . . . . . . . . .</w:t>
            </w:r>
          </w:p>
        </w:tc>
        <w:tc>
          <w:tcPr>
            <w:tcW w:w="320" w:type="dxa"/>
            <w:vAlign w:val="bottom"/>
            <w:shd w:val="clear" w:color="auto" w:fill="E6E6E6"/>
          </w:tcPr>
          <w:p>
            <w:pPr>
              <w:spacing w:after="0"/>
              <w:rPr>
                <w:sz w:val="24"/>
                <w:szCs w:val="24"/>
                <w:color w:val="auto"/>
              </w:rPr>
            </w:pPr>
          </w:p>
        </w:tc>
        <w:tc>
          <w:tcPr>
            <w:tcW w:w="15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13</w:t>
            </w:r>
          </w:p>
        </w:tc>
      </w:tr>
      <w:tr>
        <w:trPr>
          <w:trHeight w:val="290"/>
        </w:trPr>
        <w:tc>
          <w:tcPr>
            <w:tcW w:w="8400" w:type="dxa"/>
            <w:vAlign w:val="bottom"/>
            <w:tcBorders>
              <w:bottom w:val="single" w:sz="8" w:color="E6E6E6"/>
            </w:tcBorders>
          </w:tcPr>
          <w:p>
            <w:pPr>
              <w:jc w:val="right"/>
              <w:ind w:right="20"/>
              <w:spacing w:after="0"/>
              <w:rPr>
                <w:sz w:val="20"/>
                <w:szCs w:val="20"/>
                <w:color w:val="auto"/>
              </w:rPr>
            </w:pPr>
            <w:r>
              <w:rPr>
                <w:rFonts w:ascii="Arial" w:cs="Arial" w:eastAsia="Arial" w:hAnsi="Arial"/>
                <w:sz w:val="20"/>
                <w:szCs w:val="20"/>
                <w:color w:val="auto"/>
                <w:w w:val="91"/>
              </w:rPr>
              <w:t xml:space="preserve">Repurchase of redeemable noncontrolling interest </w:t>
            </w:r>
            <w:r>
              <w:rPr>
                <w:rFonts w:ascii="Arial" w:cs="Arial" w:eastAsia="Arial" w:hAnsi="Arial"/>
                <w:sz w:val="20"/>
                <w:szCs w:val="20"/>
                <w:color w:val="B4B4B4"/>
                <w:w w:val="91"/>
              </w:rPr>
              <w:t>. . . . . . . . . . . . . . . . . . . . . . . . . . . . . . . . . . . . . . . . .</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r>
      <w:tr>
        <w:trPr>
          <w:trHeight w:val="285"/>
        </w:trPr>
        <w:tc>
          <w:tcPr>
            <w:tcW w:w="8400" w:type="dxa"/>
            <w:vAlign w:val="bottom"/>
            <w:tcBorders>
              <w:bottom w:val="single" w:sz="8" w:color="E6E6E6"/>
            </w:tcBorders>
            <w:shd w:val="clear" w:color="auto" w:fill="E6E6E6"/>
          </w:tcPr>
          <w:p>
            <w:pPr>
              <w:jc w:val="right"/>
              <w:ind w:right="20"/>
              <w:spacing w:after="0"/>
              <w:rPr>
                <w:sz w:val="20"/>
                <w:szCs w:val="20"/>
                <w:color w:val="auto"/>
              </w:rPr>
            </w:pPr>
            <w:r>
              <w:rPr>
                <w:rFonts w:ascii="Arial" w:cs="Arial" w:eastAsia="Arial" w:hAnsi="Arial"/>
                <w:sz w:val="20"/>
                <w:szCs w:val="20"/>
                <w:b w:val="1"/>
                <w:bCs w:val="1"/>
                <w:color w:val="auto"/>
                <w:w w:val="90"/>
              </w:rPr>
              <w:t xml:space="preserve">Balance at December 31, 2024  </w:t>
            </w:r>
            <w:r>
              <w:rPr>
                <w:rFonts w:ascii="Arial" w:cs="Arial" w:eastAsia="Arial" w:hAnsi="Arial"/>
                <w:sz w:val="20"/>
                <w:szCs w:val="20"/>
                <w:b w:val="1"/>
                <w:bCs w:val="1"/>
                <w:color w:val="B4B4B4"/>
                <w:w w:val="90"/>
              </w:rPr>
              <w:t>. . . . . . . . . . . . . . . . . . . . . . . . . . . . . . . . . . . . . . . . . . . . . . . . . . . . . . . .</w:t>
            </w:r>
          </w:p>
        </w:tc>
        <w:tc>
          <w:tcPr>
            <w:tcW w:w="320" w:type="dxa"/>
            <w:vAlign w:val="bottom"/>
            <w:tcBorders>
              <w:bottom w:val="single" w:sz="8" w:color="auto"/>
            </w:tcBorders>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r>
      <w:tr>
        <w:trPr>
          <w:trHeight w:val="20"/>
        </w:trPr>
        <w:tc>
          <w:tcPr>
            <w:tcW w:w="840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E6E6E6"/>
              <w:bottom w:val="single" w:sz="8" w:color="auto"/>
            </w:tcBorders>
          </w:tcPr>
          <w:p>
            <w:pPr>
              <w:spacing w:after="0" w:line="20" w:lineRule="exact"/>
              <w:rPr>
                <w:sz w:val="1"/>
                <w:szCs w:val="1"/>
                <w:color w:val="auto"/>
              </w:rPr>
            </w:pPr>
          </w:p>
        </w:tc>
        <w:tc>
          <w:tcPr>
            <w:tcW w:w="154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-43815</wp:posOffset>
            </wp:positionV>
            <wp:extent cx="119697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4">
                      <a:extLst>
                        <a:ext uri="{28A0092B-C50C-407E-A947-70E740481C1C}"/>
                      </a:extLst>
                    </a:blip>
                    <a:srcRect/>
                    <a:stretch>
                      <a:fillRect/>
                    </a:stretch>
                  </pic:blipFill>
                  <pic:spPr bwMode="auto">
                    <a:xfrm>
                      <a:off x="0" y="0"/>
                      <a:ext cx="1196975" cy="508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98"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24" w:lineRule="exact"/>
        <w:rPr>
          <w:sz w:val="20"/>
          <w:szCs w:val="20"/>
          <w:color w:val="auto"/>
        </w:rPr>
      </w:pPr>
    </w:p>
    <w:p>
      <w:pPr>
        <w:jc w:val="both"/>
        <w:ind w:right="20" w:firstLine="450"/>
        <w:spacing w:after="0" w:line="290"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260"/>
          </w:cols>
          <w:pgMar w:left="820" w:top="359" w:right="80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i w:val="1"/>
          <w:iCs w:val="1"/>
          <w:color w:val="auto"/>
        </w:rPr>
        <w:t>Recently Adopted Accounting Standards</w:t>
      </w:r>
    </w:p>
    <w:p>
      <w:pPr>
        <w:spacing w:after="0" w:line="195"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9"/>
          <w:szCs w:val="19"/>
          <w:color w:val="auto"/>
        </w:rPr>
        <w:t xml:space="preserve">In December 2023, the FASB issued ASU No. 2023-09,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color w:val="auto"/>
        </w:rPr>
        <w:t>. The amendment improves income tax disclosure requirements by requiring public entities, on an annual basis,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provide disclosure of defined categories in the income tax rate reconciliation, as well as disclosure of income taxes paid, disaggregated by jurisdiction. This guidance must be applied prospectively and is effective for annual reporting periods in fiscal years beginning after December 15, 2024. As of December 31, 2024, the Company has elected to early adopt ASU 2023-09 prospectively and has enhanced its income tax disclosures included in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to comply with the requirements. The adoption did not have an impact on the Company’s financial statements.</w:t>
      </w:r>
    </w:p>
    <w:p>
      <w:pPr>
        <w:spacing w:after="0" w:line="127"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9"/>
          <w:szCs w:val="19"/>
          <w:color w:val="auto"/>
        </w:rPr>
        <w:t xml:space="preserve">In November 2023, the FASB issued ASU No. 2023-07, </w:t>
      </w:r>
      <w:r>
        <w:rPr>
          <w:rFonts w:ascii="Arial" w:cs="Arial" w:eastAsia="Arial" w:hAnsi="Arial"/>
          <w:sz w:val="19"/>
          <w:szCs w:val="19"/>
          <w:b w:val="1"/>
          <w:bCs w:val="1"/>
          <w:i w:val="1"/>
          <w:iCs w:val="1"/>
          <w:color w:val="auto"/>
        </w:rPr>
        <w:t>Segment Reporting (Topic 280): Improvements to Reportable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Segment Disclosures</w:t>
      </w:r>
      <w:r>
        <w:rPr>
          <w:rFonts w:ascii="Arial" w:cs="Arial" w:eastAsia="Arial" w:hAnsi="Arial"/>
          <w:sz w:val="19"/>
          <w:szCs w:val="19"/>
          <w:color w:val="auto"/>
        </w:rPr>
        <w:t>. The amendment improves reportable segment disclosure requirements, primarily through enhanced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disclosures about significant segment expense categories and details regarding information utilized to assess segment performance. Additionally, the amendment increases the frequency of disclosures by requiring Topic 280 to be applied to interim financial statements. This guidance must be applied retrospectively and is effective for annual reporting periods in fiscal years beginning after December 15, 2023, and interim reporting periods in fiscal years beginning after December 31, 2024. As of December 31, 2024, the Company has adopted ASU 2023-07 and has enhanced its reportable segment disclosures in Note 13, </w:t>
      </w:r>
      <w:r>
        <w:rPr>
          <w:rFonts w:ascii="Arial" w:cs="Arial" w:eastAsia="Arial" w:hAnsi="Arial"/>
          <w:sz w:val="19"/>
          <w:szCs w:val="19"/>
          <w:b w:val="1"/>
          <w:bCs w:val="1"/>
          <w:i w:val="1"/>
          <w:iCs w:val="1"/>
          <w:color w:val="auto"/>
        </w:rPr>
        <w:t>Segment Reporting</w:t>
      </w:r>
      <w:r>
        <w:rPr>
          <w:rFonts w:ascii="Arial" w:cs="Arial" w:eastAsia="Arial" w:hAnsi="Arial"/>
          <w:sz w:val="19"/>
          <w:szCs w:val="19"/>
          <w:color w:val="auto"/>
        </w:rPr>
        <w:t>, to comply with the requirements. The adoption did not have an impact on the Company’s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 Not Yet Adopted</w:t>
      </w:r>
    </w:p>
    <w:p>
      <w:pPr>
        <w:spacing w:after="0" w:line="193"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20"/>
          <w:szCs w:val="20"/>
          <w:color w:val="auto"/>
        </w:rPr>
        <w:t>In November 2024, the FASB issued ASU No 2024-03</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Income Statement - Reporting Comprehensive Income-Expense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Disaggregation Disclosures (Subtopic 220-40). </w:t>
      </w:r>
      <w:r>
        <w:rPr>
          <w:rFonts w:ascii="Arial" w:cs="Arial" w:eastAsia="Arial" w:hAnsi="Arial"/>
          <w:sz w:val="20"/>
          <w:szCs w:val="20"/>
          <w:color w:val="auto"/>
        </w:rPr>
        <w:t>The amendment requires certain expenses presented on the face of the income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statement to be disaggregated in the notes to the financial statements. This guidance is effective for annual reporting periods beginning after December 15, 2026 and interim periods within annual reporting periods beginning after December 15, 2027. The amendments may be applied either prospectively to financial statements issued for reporting periods after the effective date of this ASU or retrospectively to all prior periods presented in the financial statements. As of December 31, 2024, the Company has not elected to early adopt the standard and is evaluating the effect of the new guidance on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Acquisitions</w:t>
      </w:r>
    </w:p>
    <w:p>
      <w:pPr>
        <w:spacing w:after="0" w:line="194" w:lineRule="exact"/>
        <w:rPr>
          <w:sz w:val="20"/>
          <w:szCs w:val="20"/>
          <w:color w:val="auto"/>
        </w:rPr>
      </w:pPr>
    </w:p>
    <w:p>
      <w:pPr>
        <w:jc w:val="both"/>
        <w:ind w:right="20" w:firstLine="450"/>
        <w:spacing w:after="0" w:line="262" w:lineRule="auto"/>
        <w:rPr>
          <w:sz w:val="20"/>
          <w:szCs w:val="20"/>
          <w:color w:val="auto"/>
        </w:rPr>
      </w:pPr>
      <w:r>
        <w:rPr>
          <w:rFonts w:ascii="Arial" w:cs="Arial" w:eastAsia="Arial" w:hAnsi="Arial"/>
          <w:sz w:val="20"/>
          <w:szCs w:val="20"/>
          <w:color w:val="auto"/>
        </w:rPr>
        <w:t xml:space="preserve">As further described in Note 2, </w:t>
      </w:r>
      <w:r>
        <w:rPr>
          <w:rFonts w:ascii="Arial" w:cs="Arial" w:eastAsia="Arial" w:hAnsi="Arial"/>
          <w:sz w:val="20"/>
          <w:szCs w:val="20"/>
          <w:b w:val="1"/>
          <w:bCs w:val="1"/>
          <w:i w:val="1"/>
          <w:iCs w:val="1"/>
          <w:color w:val="auto"/>
        </w:rPr>
        <w:t>Summary of Significant Accounting Policies</w:t>
      </w:r>
      <w:r>
        <w:rPr>
          <w:rFonts w:ascii="Arial" w:cs="Arial" w:eastAsia="Arial" w:hAnsi="Arial"/>
          <w:sz w:val="20"/>
          <w:szCs w:val="20"/>
          <w:color w:val="auto"/>
        </w:rPr>
        <w:t>, the Company records the assets acquired and liabilities assumed at acquisition-date fair value, except for acquisitions under common control by CEG, in which assets acquired and liabilities assumed are recorded at historical cost at the acquisition date, which for certain transactions represent the acquired cost.</w:t>
      </w:r>
    </w:p>
    <w:p>
      <w:pPr>
        <w:spacing w:after="0" w:line="134"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8"/>
          <w:szCs w:val="18"/>
          <w:b w:val="1"/>
          <w:bCs w:val="1"/>
          <w:i w:val="1"/>
          <w:iCs w:val="1"/>
          <w:color w:val="auto"/>
        </w:rPr>
        <w:t xml:space="preserve">Dan’s Mountain Drop Down — </w:t>
      </w:r>
      <w:r>
        <w:rPr>
          <w:rFonts w:ascii="Arial" w:cs="Arial" w:eastAsia="Arial" w:hAnsi="Arial"/>
          <w:sz w:val="18"/>
          <w:szCs w:val="18"/>
          <w:color w:val="auto"/>
        </w:rPr>
        <w:t>On November 18, 2024, the Company, through its indirect subsidiary, Dan’s Mountain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Parent Holdco LLC, acquired the Class A membership interests in Dan’s 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as further described in Note 5, </w:t>
      </w:r>
      <w:r>
        <w:rPr>
          <w:rFonts w:ascii="Arial" w:cs="Arial" w:eastAsia="Arial" w:hAnsi="Arial"/>
          <w:sz w:val="18"/>
          <w:szCs w:val="18"/>
          <w:b w:val="1"/>
          <w:bCs w:val="1"/>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Equity Method and Variable Interest Entities</w:t>
      </w:r>
      <w:r>
        <w:rPr>
          <w:rFonts w:ascii="Arial" w:cs="Arial" w:eastAsia="Arial" w:hAnsi="Arial"/>
          <w:sz w:val="18"/>
          <w:szCs w:val="18"/>
          <w:color w:val="auto"/>
        </w:rPr>
        <w:t>. Dan’s Mountain has a 12-year PPA with an investment-grade utility that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commence when the underlying operating assets reach commercial operations, which is expected to occur in the first half of 2025. The Dan’s Mountain operations are reflected in the Company’s Renewables segment and the acquisition was funded with existing sources of liquidity. The acquisition was determined to be an asset acquisition and the Company consolidates Dan’s Mountain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Related Issues</w:t>
      </w:r>
      <w:r>
        <w:rPr>
          <w:rFonts w:ascii="Arial" w:cs="Arial" w:eastAsia="Arial" w:hAnsi="Arial"/>
          <w:sz w:val="18"/>
          <w:szCs w:val="18"/>
          <w:color w:val="auto"/>
        </w:rPr>
        <w:t>. The sum of the Company’s initial cash consideration of $7 million and the historical cost of the Company’s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assumed of $2 million, less Clearway Renew’s investment of $1 million in Dan’s Mountain TargetCo LLC, was recorded as an adjustment to CEG’s noncontrolling interest balance. In addition, the Company reflected the entire $7 million purchase price, which was contributed back to the Company by CEG to pay down the acquired long-term debt, in the line item contributions from CEG, net of distributions, in the consolidated statements of stockholders’ equity.</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260"/>
          </w:cols>
          <w:pgMar w:left="820" w:top="359" w:right="800" w:bottom="0" w:gutter="0" w:footer="0" w:header="0"/>
          <w:type w:val="continuous"/>
        </w:sectPr>
      </w:pPr>
    </w:p>
    <w:bookmarkStart w:id="94" w:name="page95"/>
    <w:bookmarkEnd w:id="94"/>
    <w:p>
      <w:pPr>
        <w:ind w:right="20" w:firstLine="450"/>
        <w:spacing w:after="0" w:line="283" w:lineRule="auto"/>
        <w:rPr>
          <w:sz w:val="20"/>
          <w:szCs w:val="20"/>
          <w:color w:val="auto"/>
        </w:rPr>
      </w:pPr>
      <w:r>
        <w:rPr>
          <w:rFonts w:ascii="Arial" w:cs="Arial" w:eastAsia="Arial" w:hAnsi="Arial"/>
          <w:sz w:val="20"/>
          <w:szCs w:val="20"/>
          <w:color w:val="auto"/>
        </w:rPr>
        <w:t>The following is a summary of assets and liabilities transferred in connection with the acquisition as of November 18, 2024:</w:t>
      </w:r>
    </w:p>
    <w:p>
      <w:pPr>
        <w:sectPr>
          <w:pgSz w:w="11880" w:h="15480" w:orient="portrait"/>
          <w:cols w:equalWidth="0" w:num="1">
            <w:col w:w="10260"/>
          </w:cols>
          <w:pgMar w:left="820" w:top="367" w:right="800" w:bottom="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29210</wp:posOffset>
                </wp:positionV>
                <wp:extent cx="6514465" cy="19050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85" o:spid="_x0000_s1110" style="position:absolute;margin-left:-0.4499pt;margin-top:2.3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w:t>
      </w:r>
      <w:r>
        <w:rPr>
          <w:rFonts w:ascii="Arial" w:cs="Arial" w:eastAsia="Arial" w:hAnsi="Arial"/>
          <w:sz w:val="18"/>
          <w:szCs w:val="18"/>
          <w:color w:val="B4B4B4"/>
        </w:rPr>
        <w:t>.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86" o:spid="_x0000_s1111"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4B4B4"/>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233045</wp:posOffset>
                </wp:positionV>
                <wp:extent cx="6514465" cy="1905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87" o:spid="_x0000_s1112" style="position:absolute;margin-left:-0.4499pt;margin-top:18.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 . . . . . . . . . . . .</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4B4B4"/>
        </w:rPr>
        <w:t>.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88" o:spid="_x0000_s1113"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18"/>
          <w:szCs w:val="18"/>
          <w:color w:val="B4B4B4"/>
        </w:rPr>
        <w:t>.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4B4B4"/>
        </w:rPr>
        <w:t>.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6527800" cy="2254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5">
                      <a:extLst>
                        <a:ext uri="{28A0092B-C50C-407E-A947-70E740481C1C}"/>
                      </a:extLst>
                    </a:blip>
                    <a:srcRect/>
                    <a:stretch>
                      <a:fillRect/>
                    </a:stretch>
                  </pic:blipFill>
                  <pic:spPr bwMode="auto">
                    <a:xfrm>
                      <a:off x="0" y="0"/>
                      <a:ext cx="6527800" cy="225425"/>
                    </a:xfrm>
                    <a:prstGeom prst="rect">
                      <a:avLst/>
                    </a:prstGeom>
                    <a:noFill/>
                  </pic:spPr>
                </pic:pic>
              </a:graphicData>
            </a:graphic>
          </wp:anchor>
        </w:drawing>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liabilities assumed </w:t>
      </w:r>
      <w:r>
        <w:rPr>
          <w:rFonts w:ascii="Arial" w:cs="Arial" w:eastAsia="Arial" w:hAnsi="Arial"/>
          <w:sz w:val="18"/>
          <w:szCs w:val="18"/>
          <w:color w:val="B4B4B4"/>
        </w:rPr>
        <w:t>.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126682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10" w:lineRule="exact"/>
        <w:rPr>
          <w:sz w:val="20"/>
          <w:szCs w:val="20"/>
          <w:color w:val="auto"/>
        </w:rPr>
      </w:pPr>
    </w:p>
    <w:p>
      <w:pPr>
        <w:ind w:left="300" w:hanging="220"/>
        <w:spacing w:after="0"/>
        <w:tabs>
          <w:tab w:leader="none" w:pos="30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Includes Construction in progress of $150 million.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w w:val="98"/>
              </w:rPr>
              <w:t>Dan’s Mountain</w:t>
            </w:r>
          </w:p>
        </w:tc>
      </w:tr>
      <w:tr>
        <w:trPr>
          <w:trHeight w:val="277"/>
        </w:trPr>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152</w:t>
            </w:r>
          </w:p>
        </w:tc>
      </w:tr>
      <w:tr>
        <w:trPr>
          <w:trHeight w:val="303"/>
        </w:trPr>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w:t>
            </w:r>
          </w:p>
        </w:tc>
      </w:tr>
      <w:tr>
        <w:trPr>
          <w:trHeight w:val="277"/>
        </w:trPr>
        <w:tc>
          <w:tcPr>
            <w:tcW w:w="2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155</w:t>
            </w:r>
          </w:p>
        </w:tc>
      </w:tr>
      <w:tr>
        <w:trPr>
          <w:trHeight w:val="600"/>
        </w:trPr>
        <w:tc>
          <w:tcPr>
            <w:tcW w:w="2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125</w:t>
            </w:r>
          </w:p>
        </w:tc>
      </w:tr>
      <w:tr>
        <w:trPr>
          <w:trHeight w:val="300"/>
        </w:trPr>
        <w:tc>
          <w:tcPr>
            <w:tcW w:w="2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3</w:t>
            </w:r>
          </w:p>
        </w:tc>
      </w:tr>
      <w:tr>
        <w:trPr>
          <w:trHeight w:val="303"/>
        </w:trPr>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w:t>
            </w:r>
          </w:p>
        </w:tc>
      </w:tr>
      <w:tr>
        <w:trPr>
          <w:trHeight w:val="280"/>
        </w:trPr>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157</w:t>
            </w:r>
          </w:p>
        </w:tc>
      </w:tr>
      <w:tr>
        <w:trPr>
          <w:trHeight w:val="275"/>
        </w:trPr>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22" w:lineRule="exact"/>
        <w:rPr>
          <w:sz w:val="20"/>
          <w:szCs w:val="20"/>
          <w:color w:val="auto"/>
        </w:rPr>
      </w:pPr>
    </w:p>
    <w:p>
      <w:pPr>
        <w:sectPr>
          <w:pgSz w:w="11880" w:h="15480" w:orient="portrait"/>
          <w:cols w:equalWidth="0" w:num="2">
            <w:col w:w="8260" w:space="140"/>
            <w:col w:w="1860"/>
          </w:cols>
          <w:pgMar w:left="820" w:top="367" w:right="800" w:bottom="0" w:gutter="0" w:footer="0" w:header="0"/>
          <w:type w:val="continuous"/>
        </w:sectPr>
      </w:pPr>
    </w:p>
    <w:p>
      <w:pPr>
        <w:ind w:left="80" w:right="20"/>
        <w:spacing w:after="0" w:line="209" w:lineRule="auto"/>
        <w:tabs>
          <w:tab w:leader="none" w:pos="318" w:val="left"/>
        </w:tabs>
        <w:numPr>
          <w:ilvl w:val="0"/>
          <w:numId w:val="43"/>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$77 million cash equity bridge loan and a $49 million tax equity bridge loan, offset by $1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pacing w:after="0" w:line="146" w:lineRule="exact"/>
        <w:rPr>
          <w:sz w:val="20"/>
          <w:szCs w:val="20"/>
          <w:color w:val="auto"/>
        </w:rPr>
      </w:pPr>
    </w:p>
    <w:p>
      <w:pPr>
        <w:jc w:val="both"/>
        <w:ind w:right="20" w:firstLine="450"/>
        <w:spacing w:after="0" w:line="281" w:lineRule="auto"/>
        <w:rPr>
          <w:sz w:val="20"/>
          <w:szCs w:val="20"/>
          <w:color w:val="auto"/>
        </w:rPr>
      </w:pPr>
      <w:r>
        <w:rPr>
          <w:rFonts w:ascii="Arial" w:cs="Arial" w:eastAsia="Arial" w:hAnsi="Arial"/>
          <w:sz w:val="18"/>
          <w:szCs w:val="18"/>
          <w:b w:val="1"/>
          <w:bCs w:val="1"/>
          <w:i w:val="1"/>
          <w:iCs w:val="1"/>
          <w:color w:val="auto"/>
        </w:rPr>
        <w:t xml:space="preserve">Rosamond Central BESS Drop Down </w:t>
      </w:r>
      <w:r>
        <w:rPr>
          <w:rFonts w:ascii="Arial" w:cs="Arial" w:eastAsia="Arial" w:hAnsi="Arial"/>
          <w:sz w:val="18"/>
          <w:szCs w:val="18"/>
          <w:color w:val="auto"/>
        </w:rPr>
        <w:t>— On December 1, 2023, the Rosamond Central solar facility acquired a 147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co-located BESS facility from Clearway Renew for initial cash consideration of $70 million, $16 million of which was funded by the Company, with the remaining $54 million funded through contributions from the cash equity investor in Rosie TargetCo LLC and the tax equity investor in Rosie TE HoldCo LLC. On June 13, 2024, when the Rosamond Central BESS facility reached substantial completion, the Company paid $279 million to Clearway Renew as additional purchase price to complete its acquisition of the facility. The additional purchase price consisted of $64 million funded by the Company and $215 million funded through contributions from the cash equity and tax equity investors. In order to facilitate and fund the construction of the BESS facility, Rosie Class B LLC, the indirect owner of the Rosamond Central solar facility, utilizing the proceeds from borrowings received under the refinanced debt facility, issued a loan to Clearway Renew, as further discussed in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and also made equity contributions to Rosie BESS Devco LLC, or Rosie Central BESS, which were accounted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 investments under the equity method of accounting, as further discussed in Note 5, </w:t>
      </w:r>
      <w:r>
        <w:rPr>
          <w:rFonts w:ascii="Arial" w:cs="Arial" w:eastAsia="Arial" w:hAnsi="Arial"/>
          <w:sz w:val="18"/>
          <w:szCs w:val="18"/>
          <w:b w:val="1"/>
          <w:bCs w:val="1"/>
          <w:i w:val="1"/>
          <w:iCs w:val="1"/>
          <w:color w:val="auto"/>
        </w:rPr>
        <w:t>Investments Accounted for by the 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Method and Variable Interest Entities</w:t>
      </w:r>
      <w:r>
        <w:rPr>
          <w:rFonts w:ascii="Arial" w:cs="Arial" w:eastAsia="Arial" w:hAnsi="Arial"/>
          <w:sz w:val="18"/>
          <w:szCs w:val="18"/>
          <w:color w:val="auto"/>
        </w:rPr>
        <w:t>. The BESS facility has a 15-year PPA for capacity with an investment-grade utility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commenced in July 2024. The Rosamond Central BESS operations are reflected in the Company’s Renewables segment and the Company’s portion of the purchase price was funded with existing sources of liquidity. The acquisition was determined to be an asset acquisition and the Company consolidates the Rosamond Central BESS net assets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difference between the historical cost of the Company’s net assets acquired of $266 million and the Company’s initial cash consideration of $70 million was recorded as an adjustment to CEG’s noncontrolling interest balance. The $279 million additional purchase price was also recorded as an adjustment to CEG’s noncontrolling interest balance.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tcBorders>
              <w:bottom w:val="single" w:sz="8" w:color="E6E6E6"/>
            </w:tcBorders>
          </w:tcPr>
          <w:p>
            <w:pPr>
              <w:jc w:val="right"/>
              <w:ind w:right="7082"/>
              <w:spacing w:after="0"/>
              <w:rPr>
                <w:sz w:val="20"/>
                <w:szCs w:val="20"/>
                <w:color w:val="auto"/>
              </w:rPr>
            </w:pPr>
            <w:r>
              <w:rPr>
                <w:rFonts w:ascii="Arial" w:cs="Arial" w:eastAsia="Arial" w:hAnsi="Arial"/>
                <w:sz w:val="18"/>
                <w:szCs w:val="18"/>
                <w:b w:val="1"/>
                <w:bCs w:val="1"/>
                <w:color w:val="auto"/>
                <w:w w:val="94"/>
              </w:rPr>
              <w:t>(In millions)</w:t>
            </w: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Rosamond Central BESS</w:t>
            </w:r>
          </w:p>
        </w:tc>
      </w:tr>
      <w:tr>
        <w:trPr>
          <w:trHeight w:val="280"/>
        </w:trPr>
        <w:tc>
          <w:tcPr>
            <w:tcW w:w="8160" w:type="dxa"/>
            <w:vAlign w:val="bottom"/>
            <w:tcBorders>
              <w:bottom w:val="single" w:sz="8" w:color="E6E6E6"/>
            </w:tcBorders>
            <w:shd w:val="clear" w:color="auto" w:fill="E6E6E6"/>
          </w:tcPr>
          <w:p>
            <w:pPr>
              <w:jc w:val="right"/>
              <w:ind w:right="22"/>
              <w:spacing w:after="0" w:line="280" w:lineRule="exact"/>
              <w:rPr>
                <w:sz w:val="20"/>
                <w:szCs w:val="20"/>
                <w:color w:val="auto"/>
              </w:rPr>
            </w:pPr>
            <w:r>
              <w:rPr>
                <w:rFonts w:ascii="Arial" w:cs="Arial" w:eastAsia="Arial" w:hAnsi="Arial"/>
                <w:sz w:val="20"/>
                <w:szCs w:val="20"/>
                <w:color w:val="B4B4B4"/>
                <w:w w:val="94"/>
              </w:rPr>
              <w:t>. . . . . . . . . . . . . . . . . . . . . . . . . . . . . . . . . . . . . . . . . . . . . . . . . . . .</w:t>
            </w:r>
            <w:r>
              <w:rPr>
                <w:rFonts w:ascii="Arial" w:cs="Arial" w:eastAsia="Arial" w:hAnsi="Arial"/>
                <w:sz w:val="20"/>
                <w:szCs w:val="20"/>
                <w:color w:val="000000"/>
                <w:w w:val="94"/>
              </w:rPr>
              <w:t>Property,plantandequipment</w:t>
            </w:r>
            <w:r>
              <w:rPr>
                <w:rFonts w:ascii="Arial" w:cs="Arial" w:eastAsia="Arial" w:hAnsi="Arial"/>
                <w:sz w:val="26"/>
                <w:szCs w:val="26"/>
                <w:color w:val="000000"/>
                <w:w w:val="94"/>
                <w:vertAlign w:val="superscript"/>
              </w:rPr>
              <w:t>(a)</w:t>
            </w:r>
          </w:p>
        </w:tc>
        <w:tc>
          <w:tcPr>
            <w:tcW w:w="940" w:type="dxa"/>
            <w:vAlign w:val="bottom"/>
            <w:tcBorders>
              <w:bottom w:val="single" w:sz="8" w:color="auto"/>
            </w:tcBorders>
            <w:shd w:val="clear" w:color="auto" w:fill="E6E6E6"/>
          </w:tcPr>
          <w:p>
            <w:pPr>
              <w:jc w:val="right"/>
              <w:ind w:right="683"/>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275</w:t>
            </w:r>
          </w:p>
        </w:tc>
      </w:tr>
      <w:tr>
        <w:trPr>
          <w:trHeight w:val="284"/>
        </w:trPr>
        <w:tc>
          <w:tcPr>
            <w:tcW w:w="8160" w:type="dxa"/>
            <w:vAlign w:val="bottom"/>
          </w:tcPr>
          <w:p>
            <w:pPr>
              <w:jc w:val="right"/>
              <w:ind w:right="22"/>
              <w:spacing w:after="0"/>
              <w:rPr>
                <w:sz w:val="20"/>
                <w:szCs w:val="20"/>
                <w:color w:val="auto"/>
              </w:rPr>
            </w:pPr>
            <w:r>
              <w:rPr>
                <w:rFonts w:ascii="Arial" w:cs="Arial" w:eastAsia="Arial" w:hAnsi="Arial"/>
                <w:sz w:val="20"/>
                <w:szCs w:val="20"/>
                <w:color w:val="auto"/>
                <w:w w:val="93"/>
              </w:rPr>
              <w:t xml:space="preserve">Total assets acquired </w:t>
            </w:r>
            <w:r>
              <w:rPr>
                <w:rFonts w:ascii="Arial" w:cs="Arial" w:eastAsia="Arial" w:hAnsi="Arial"/>
                <w:sz w:val="20"/>
                <w:szCs w:val="20"/>
                <w:color w:val="B4B4B4"/>
                <w:w w:val="93"/>
              </w:rPr>
              <w:t>. . . . . . . . . . . . . . . . . . . . . . . . . . . . . . . . . . . . . . . . . . . . . . . . . . . . . . . . . . . .</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275</w:t>
            </w:r>
          </w:p>
        </w:tc>
      </w:tr>
      <w:tr>
        <w:trPr>
          <w:trHeight w:val="321"/>
        </w:trPr>
        <w:tc>
          <w:tcPr>
            <w:tcW w:w="816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r>
      <w:tr>
        <w:trPr>
          <w:trHeight w:val="290"/>
        </w:trPr>
        <w:tc>
          <w:tcPr>
            <w:tcW w:w="8160" w:type="dxa"/>
            <w:vAlign w:val="bottom"/>
            <w:tcBorders>
              <w:bottom w:val="single" w:sz="8" w:color="E6E6E6"/>
            </w:tcBorders>
          </w:tcPr>
          <w:p>
            <w:pPr>
              <w:jc w:val="right"/>
              <w:ind w:right="22"/>
              <w:spacing w:after="0"/>
              <w:rPr>
                <w:sz w:val="20"/>
                <w:szCs w:val="20"/>
                <w:color w:val="auto"/>
              </w:rPr>
            </w:pPr>
            <w:r>
              <w:rPr>
                <w:rFonts w:ascii="Arial" w:cs="Arial" w:eastAsia="Arial" w:hAnsi="Arial"/>
                <w:sz w:val="20"/>
                <w:szCs w:val="20"/>
                <w:color w:val="auto"/>
                <w:w w:val="92"/>
              </w:rPr>
              <w:t xml:space="preserve">Other current and non-current liabilities  </w:t>
            </w:r>
            <w:r>
              <w:rPr>
                <w:rFonts w:ascii="Arial" w:cs="Arial" w:eastAsia="Arial" w:hAnsi="Arial"/>
                <w:sz w:val="20"/>
                <w:szCs w:val="20"/>
                <w:color w:val="B4B4B4"/>
                <w:w w:val="92"/>
              </w:rPr>
              <w:t>. . . . . . . . . . . . . . . . . . . . . . . . . . . . . . . . . . . . . . . . . . . . . .</w:t>
            </w: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80"/>
        </w:trPr>
        <w:tc>
          <w:tcPr>
            <w:tcW w:w="8160" w:type="dxa"/>
            <w:vAlign w:val="bottom"/>
            <w:tcBorders>
              <w:bottom w:val="single" w:sz="8" w:color="E6E6E6"/>
            </w:tcBorders>
            <w:shd w:val="clear" w:color="auto" w:fill="E6E6E6"/>
          </w:tcPr>
          <w:p>
            <w:pPr>
              <w:jc w:val="right"/>
              <w:ind w:right="2"/>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4B4B4"/>
                <w:w w:val="93"/>
              </w:rPr>
              <w:t>. . . . . . . . . . . . . . . . . . . . . . . . . . . . . . . . . . . . . . . . . . . . . . . . . . . . . . . . . .</w:t>
            </w:r>
          </w:p>
        </w:tc>
        <w:tc>
          <w:tcPr>
            <w:tcW w:w="94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w:t>
            </w:r>
          </w:p>
        </w:tc>
      </w:tr>
      <w:tr>
        <w:trPr>
          <w:trHeight w:val="260"/>
        </w:trPr>
        <w:tc>
          <w:tcPr>
            <w:tcW w:w="8160" w:type="dxa"/>
            <w:vAlign w:val="bottom"/>
          </w:tcPr>
          <w:p>
            <w:pPr>
              <w:jc w:val="right"/>
              <w:ind w:right="2"/>
              <w:spacing w:after="0"/>
              <w:rPr>
                <w:sz w:val="20"/>
                <w:szCs w:val="20"/>
                <w:color w:val="auto"/>
              </w:rPr>
            </w:pPr>
            <w:r>
              <w:rPr>
                <w:rFonts w:ascii="Arial" w:cs="Arial" w:eastAsia="Arial" w:hAnsi="Arial"/>
                <w:sz w:val="20"/>
                <w:szCs w:val="20"/>
                <w:color w:val="auto"/>
                <w:w w:val="92"/>
              </w:rPr>
              <w:t xml:space="preserve">Net assets acquired </w:t>
            </w:r>
            <w:r>
              <w:rPr>
                <w:rFonts w:ascii="Arial" w:cs="Arial" w:eastAsia="Arial" w:hAnsi="Arial"/>
                <w:sz w:val="20"/>
                <w:szCs w:val="20"/>
                <w:color w:val="B4B4B4"/>
                <w:w w:val="92"/>
              </w:rPr>
              <w:t>. . . . . . . . . . . . . . . . . . . . . . . . . . . . . . . . . . . . . . . . . . . . . . . . . . . . . . . . . . . . . .</w:t>
            </w:r>
          </w:p>
        </w:tc>
        <w:tc>
          <w:tcPr>
            <w:tcW w:w="940" w:type="dxa"/>
            <w:vAlign w:val="bottom"/>
            <w:tcBorders>
              <w:bottom w:val="single" w:sz="8" w:color="auto"/>
            </w:tcBorders>
          </w:tcPr>
          <w:p>
            <w:pPr>
              <w:jc w:val="right"/>
              <w:ind w:right="683"/>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r>
      <w:tr>
        <w:trPr>
          <w:trHeight w:val="20"/>
        </w:trPr>
        <w:tc>
          <w:tcPr>
            <w:tcW w:w="8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-43815</wp:posOffset>
            </wp:positionV>
            <wp:extent cx="134937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7">
                      <a:extLst>
                        <a:ext uri="{28A0092B-C50C-407E-A947-70E740481C1C}"/>
                      </a:extLst>
                    </a:blip>
                    <a:srcRect/>
                    <a:stretch>
                      <a:fillRect/>
                    </a:stretch>
                  </pic:blipFill>
                  <pic:spPr bwMode="auto">
                    <a:xfrm>
                      <a:off x="0" y="0"/>
                      <a:ext cx="13493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8">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36" w:lineRule="exact"/>
        <w:rPr>
          <w:sz w:val="20"/>
          <w:szCs w:val="20"/>
          <w:color w:val="auto"/>
        </w:rPr>
      </w:pPr>
    </w:p>
    <w:p>
      <w:pPr>
        <w:ind w:left="280" w:hanging="200"/>
        <w:spacing w:after="0"/>
        <w:tabs>
          <w:tab w:leader="none" w:pos="28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Includes Construction in progress of $272 million.</w:t>
      </w:r>
    </w:p>
    <w:p>
      <w:pPr>
        <w:sectPr>
          <w:pgSz w:w="11880" w:h="15480" w:orient="portrait"/>
          <w:cols w:equalWidth="0" w:num="1">
            <w:col w:w="10260"/>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260"/>
          </w:cols>
          <w:pgMar w:left="820" w:top="367" w:right="800" w:bottom="0" w:gutter="0" w:footer="0" w:header="0"/>
          <w:type w:val="continuous"/>
        </w:sectPr>
      </w:pPr>
    </w:p>
    <w:bookmarkStart w:id="95" w:name="page96"/>
    <w:bookmarkEnd w:id="95"/>
    <w:p>
      <w:pPr>
        <w:jc w:val="both"/>
        <w:ind w:left="80" w:firstLine="450"/>
        <w:spacing w:after="0" w:line="281" w:lineRule="auto"/>
        <w:rPr>
          <w:sz w:val="20"/>
          <w:szCs w:val="20"/>
          <w:color w:val="auto"/>
        </w:rPr>
      </w:pPr>
      <w:r>
        <w:rPr>
          <w:rFonts w:ascii="Arial" w:cs="Arial" w:eastAsia="Arial" w:hAnsi="Arial"/>
          <w:sz w:val="18"/>
          <w:szCs w:val="18"/>
          <w:b w:val="1"/>
          <w:bCs w:val="1"/>
          <w:i w:val="1"/>
          <w:iCs w:val="1"/>
          <w:color w:val="auto"/>
        </w:rPr>
        <w:t xml:space="preserve">Victory Pass and Arica Drop Down </w:t>
      </w:r>
      <w:r>
        <w:rPr>
          <w:rFonts w:ascii="Arial" w:cs="Arial" w:eastAsia="Arial" w:hAnsi="Arial"/>
          <w:sz w:val="18"/>
          <w:szCs w:val="18"/>
          <w:color w:val="auto"/>
        </w:rPr>
        <w:t>— On October 31, 2023, the Company, through its indirect subsidiary, VP-Arica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for initial cash consideration of $46 million. Simultaneously, a cash equity investor acquired the Class B membership interests in VP-Arica TargetCo LLC from Clearway Renew for initial cash consideration of $87 million. On May 1, 2024, when the facilities reached substantial completion, the Company paid $165 million to Clearway Renew as additional purchase price and the cash equity investor contributed an additional $347 million. VP-Arica TargetCo LLC consolidates as primary beneficiary, VP-Arica TE Holdco LLC, a tax equity fund that owns the Victory Pass and Arica solar and BESS facilities, as further described in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xml:space="preserve">. Victory Pass and Arica each have PPAs with investment-grade counterparties that have a 15-year and 14-year weighted average contract duration, respectively, that commenced between March 2024 and April 2024. The Victory Pass and Arica operations are reflected in the Company’s Renewables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sum of the Company’s initial cash consideration of $46 million and the historical cost of the Company’s net liabilities assumed of $1 million was recorded as an adjustment to CEG’s noncontrolling interest balance. The $165 million additional purchase price was also recorded as an adjustment to CEG’s noncontrolling interest balance. In addition, the Company reflected the entire $46 million of the Company’s initial purchase price, which was contributed back to the Company by CEG to pay down the acquired long-term debt, in the line item distributions to CEG, net of contributions, in the consolidated statements of stockholders’ equity. The Company also reflected the entire $165 million of the Company’s additional purchase price, which was contributed back to the Company by CEG to pay down long-term debt, in the line item contributions to CEG, net of distributions, in the consolidated statements of stockholders’ equity.</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October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40" w:type="dxa"/>
            <w:vAlign w:val="bottom"/>
            <w:tcBorders>
              <w:bottom w:val="single" w:sz="8" w:color="E6E6E6"/>
            </w:tcBorders>
          </w:tcPr>
          <w:p>
            <w:pPr>
              <w:jc w:val="right"/>
              <w:ind w:right="7261"/>
              <w:spacing w:after="0"/>
              <w:rPr>
                <w:sz w:val="20"/>
                <w:szCs w:val="20"/>
                <w:color w:val="auto"/>
              </w:rPr>
            </w:pPr>
            <w:r>
              <w:rPr>
                <w:rFonts w:ascii="Arial" w:cs="Arial" w:eastAsia="Arial" w:hAnsi="Arial"/>
                <w:sz w:val="18"/>
                <w:szCs w:val="18"/>
                <w:b w:val="1"/>
                <w:bCs w:val="1"/>
                <w:color w:val="auto"/>
                <w:w w:val="94"/>
              </w:rPr>
              <w:t>(In millions)</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Victory Pass and Arica</w:t>
            </w:r>
          </w:p>
        </w:tc>
      </w:tr>
      <w:tr>
        <w:trPr>
          <w:trHeight w:val="290"/>
        </w:trPr>
        <w:tc>
          <w:tcPr>
            <w:tcW w:w="834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1"/>
              </w:rPr>
              <w:t xml:space="preserve">Cash </w:t>
            </w:r>
            <w:r>
              <w:rPr>
                <w:rFonts w:ascii="Arial" w:cs="Arial" w:eastAsia="Arial" w:hAnsi="Arial"/>
                <w:sz w:val="20"/>
                <w:szCs w:val="20"/>
                <w:color w:val="B4B4B4"/>
                <w:w w:val="91"/>
              </w:rPr>
              <w:t>. . . . . . . . . . . . . . . . . . . . . . . . . . . . . . . . . . . . . . . . . . . . . . . . . . . . . . . . . . . . . . . . . . . . . . . . . . . .</w:t>
            </w:r>
          </w:p>
        </w:tc>
        <w:tc>
          <w:tcPr>
            <w:tcW w:w="840" w:type="dxa"/>
            <w:vAlign w:val="bottom"/>
            <w:shd w:val="clear" w:color="auto" w:fill="E6E6E6"/>
          </w:tcPr>
          <w:p>
            <w:pPr>
              <w:jc w:val="right"/>
              <w:ind w:right="583"/>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r>
      <w:tr>
        <w:trPr>
          <w:trHeight w:val="300"/>
        </w:trPr>
        <w:tc>
          <w:tcPr>
            <w:tcW w:w="8340" w:type="dxa"/>
            <w:vAlign w:val="bottom"/>
          </w:tcPr>
          <w:p>
            <w:pPr>
              <w:jc w:val="right"/>
              <w:ind w:right="21"/>
              <w:spacing w:after="0"/>
              <w:rPr>
                <w:sz w:val="20"/>
                <w:szCs w:val="20"/>
                <w:color w:val="auto"/>
              </w:rPr>
            </w:pPr>
            <w:r>
              <w:rPr>
                <w:rFonts w:ascii="Arial" w:cs="Arial" w:eastAsia="Arial" w:hAnsi="Arial"/>
                <w:sz w:val="20"/>
                <w:szCs w:val="20"/>
                <w:color w:val="auto"/>
                <w:w w:val="91"/>
              </w:rPr>
              <w:t xml:space="preserve">Property, plant and equipment </w:t>
            </w:r>
            <w:r>
              <w:rPr>
                <w:rFonts w:ascii="Arial" w:cs="Arial" w:eastAsia="Arial" w:hAnsi="Arial"/>
                <w:sz w:val="26"/>
                <w:szCs w:val="26"/>
                <w:color w:val="auto"/>
                <w:w w:val="91"/>
                <w:vertAlign w:val="superscript"/>
              </w:rPr>
              <w:t>(a)</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 . . . . . . . . . . . . . . . . . . . . . . . . . . . . . . . .</w:t>
            </w:r>
          </w:p>
        </w:tc>
        <w:tc>
          <w:tcPr>
            <w:tcW w:w="8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937</w:t>
            </w:r>
          </w:p>
        </w:tc>
      </w:tr>
      <w:tr>
        <w:trPr>
          <w:trHeight w:val="300"/>
        </w:trPr>
        <w:tc>
          <w:tcPr>
            <w:tcW w:w="834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2"/>
              </w:rPr>
              <w:t xml:space="preserve">Right-of-use assets, net </w:t>
            </w:r>
            <w:r>
              <w:rPr>
                <w:rFonts w:ascii="Arial" w:cs="Arial" w:eastAsia="Arial" w:hAnsi="Arial"/>
                <w:sz w:val="20"/>
                <w:szCs w:val="20"/>
                <w:color w:val="B4B4B4"/>
                <w:w w:val="92"/>
              </w:rPr>
              <w:t>. . . . . . . . . . . . . . . . . . . . . . . . . . . . . . . . . . . . . . . . . . . . . . . . . . . . . . . . . . . . .</w:t>
            </w:r>
          </w:p>
        </w:tc>
        <w:tc>
          <w:tcPr>
            <w:tcW w:w="8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r>
      <w:tr>
        <w:trPr>
          <w:trHeight w:val="293"/>
        </w:trPr>
        <w:tc>
          <w:tcPr>
            <w:tcW w:w="8340" w:type="dxa"/>
            <w:vAlign w:val="bottom"/>
          </w:tcPr>
          <w:p>
            <w:pPr>
              <w:jc w:val="right"/>
              <w:ind w:right="41"/>
              <w:spacing w:after="0"/>
              <w:rPr>
                <w:sz w:val="20"/>
                <w:szCs w:val="20"/>
                <w:color w:val="auto"/>
              </w:rPr>
            </w:pPr>
            <w:r>
              <w:rPr>
                <w:rFonts w:ascii="Arial" w:cs="Arial" w:eastAsia="Arial" w:hAnsi="Arial"/>
                <w:sz w:val="20"/>
                <w:szCs w:val="20"/>
                <w:color w:val="auto"/>
                <w:w w:val="92"/>
              </w:rPr>
              <w:t xml:space="preserve">Derivative assets </w:t>
            </w:r>
            <w:r>
              <w:rPr>
                <w:rFonts w:ascii="Arial" w:cs="Arial" w:eastAsia="Arial" w:hAnsi="Arial"/>
                <w:sz w:val="20"/>
                <w:szCs w:val="20"/>
                <w:color w:val="B4B4B4"/>
                <w:w w:val="92"/>
              </w:rPr>
              <w:t>. . . . . . . . . . . . . . . . . . . . . . . . . . . . . . . . . . . . . . . . . . . . . . . . . . . . . . . . . . . . . . . . . .</w:t>
            </w:r>
          </w:p>
        </w:tc>
        <w:tc>
          <w:tcPr>
            <w:tcW w:w="8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834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2"/>
              </w:rPr>
              <w:t xml:space="preserve">Other non-current assets </w:t>
            </w:r>
            <w:r>
              <w:rPr>
                <w:rFonts w:ascii="Arial" w:cs="Arial" w:eastAsia="Arial" w:hAnsi="Arial"/>
                <w:sz w:val="20"/>
                <w:szCs w:val="20"/>
                <w:color w:val="B4B4B4"/>
                <w:w w:val="92"/>
              </w:rPr>
              <w:t>. . . . . . . . . . . . . . . . . . . . . . . . . . . . . . . . . . . . . . . . . . . . . . . . . . . . . . . . . . . .</w:t>
            </w:r>
          </w:p>
        </w:tc>
        <w:tc>
          <w:tcPr>
            <w:tcW w:w="8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8340" w:type="dxa"/>
            <w:vAlign w:val="bottom"/>
          </w:tcPr>
          <w:p>
            <w:pPr>
              <w:jc w:val="right"/>
              <w:ind w:right="21"/>
              <w:spacing w:after="0"/>
              <w:rPr>
                <w:sz w:val="20"/>
                <w:szCs w:val="20"/>
                <w:color w:val="auto"/>
              </w:rPr>
            </w:pPr>
            <w:r>
              <w:rPr>
                <w:rFonts w:ascii="Arial" w:cs="Arial" w:eastAsia="Arial" w:hAnsi="Arial"/>
                <w:sz w:val="20"/>
                <w:szCs w:val="20"/>
                <w:color w:val="auto"/>
                <w:w w:val="93"/>
              </w:rPr>
              <w:t xml:space="preserve">Total assets acquired </w:t>
            </w:r>
            <w:r>
              <w:rPr>
                <w:rFonts w:ascii="Arial" w:cs="Arial" w:eastAsia="Arial" w:hAnsi="Arial"/>
                <w:sz w:val="20"/>
                <w:szCs w:val="20"/>
                <w:color w:val="B4B4B4"/>
                <w:w w:val="93"/>
              </w:rPr>
              <w:t>. . . . . . . . . . . . . . . . . . . . . . . . . . . . . . . . . . . . . . . . . . . . . . . . . . . . . . . . . . . . . .</w:t>
            </w:r>
          </w:p>
        </w:tc>
        <w:tc>
          <w:tcPr>
            <w:tcW w:w="8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949</w:t>
            </w:r>
          </w:p>
        </w:tc>
      </w:tr>
      <w:tr>
        <w:trPr>
          <w:trHeight w:val="307"/>
        </w:trPr>
        <w:tc>
          <w:tcPr>
            <w:tcW w:w="834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r>
      <w:tr>
        <w:trPr>
          <w:trHeight w:val="300"/>
        </w:trPr>
        <w:tc>
          <w:tcPr>
            <w:tcW w:w="8340" w:type="dxa"/>
            <w:vAlign w:val="bottom"/>
          </w:tcPr>
          <w:p>
            <w:pPr>
              <w:jc w:val="right"/>
              <w:ind w:right="41"/>
              <w:spacing w:after="0"/>
              <w:rPr>
                <w:sz w:val="20"/>
                <w:szCs w:val="20"/>
                <w:color w:val="auto"/>
              </w:rPr>
            </w:pPr>
            <w:r>
              <w:rPr>
                <w:rFonts w:ascii="Arial" w:cs="Arial" w:eastAsia="Arial" w:hAnsi="Arial"/>
                <w:sz w:val="20"/>
                <w:szCs w:val="20"/>
                <w:color w:val="auto"/>
                <w:w w:val="91"/>
              </w:rPr>
              <w:t xml:space="preserve">Long-term debt </w:t>
            </w:r>
            <w:r>
              <w:rPr>
                <w:rFonts w:ascii="Arial" w:cs="Arial" w:eastAsia="Arial" w:hAnsi="Arial"/>
                <w:sz w:val="26"/>
                <w:szCs w:val="26"/>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 . . . . . . . . . . . . . . . . . . . . . . . . . . . . . . . . . . . . . . . . . . .</w:t>
            </w:r>
          </w:p>
        </w:tc>
        <w:tc>
          <w:tcPr>
            <w:tcW w:w="8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864</w:t>
            </w:r>
          </w:p>
        </w:tc>
      </w:tr>
      <w:tr>
        <w:trPr>
          <w:trHeight w:val="300"/>
        </w:trPr>
        <w:tc>
          <w:tcPr>
            <w:tcW w:w="834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2"/>
              </w:rPr>
              <w:t xml:space="preserve">Long-term lease liabilities </w:t>
            </w:r>
            <w:r>
              <w:rPr>
                <w:rFonts w:ascii="Arial" w:cs="Arial" w:eastAsia="Arial" w:hAnsi="Arial"/>
                <w:sz w:val="20"/>
                <w:szCs w:val="20"/>
                <w:color w:val="B4B4B4"/>
                <w:w w:val="92"/>
              </w:rPr>
              <w:t>. . . . . . . . . . . . . . . . . . . . . . . . . . . . . . . . . . . . . . . . . . . . . . . . . . . . . . . . . . .</w:t>
            </w:r>
          </w:p>
        </w:tc>
        <w:tc>
          <w:tcPr>
            <w:tcW w:w="8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r>
      <w:tr>
        <w:trPr>
          <w:trHeight w:val="290"/>
        </w:trPr>
        <w:tc>
          <w:tcPr>
            <w:tcW w:w="8340" w:type="dxa"/>
            <w:vAlign w:val="bottom"/>
            <w:tcBorders>
              <w:bottom w:val="single" w:sz="8" w:color="E6E6E6"/>
            </w:tcBorders>
          </w:tcPr>
          <w:p>
            <w:pPr>
              <w:jc w:val="right"/>
              <w:ind w:right="21"/>
              <w:spacing w:after="0"/>
              <w:rPr>
                <w:sz w:val="20"/>
                <w:szCs w:val="20"/>
                <w:color w:val="auto"/>
              </w:rPr>
            </w:pPr>
            <w:r>
              <w:rPr>
                <w:rFonts w:ascii="Arial" w:cs="Arial" w:eastAsia="Arial" w:hAnsi="Arial"/>
                <w:sz w:val="20"/>
                <w:szCs w:val="20"/>
                <w:color w:val="auto"/>
                <w:w w:val="93"/>
              </w:rPr>
              <w:t xml:space="preserve">Other current and non-current liabilities </w:t>
            </w:r>
            <w:r>
              <w:rPr>
                <w:rFonts w:ascii="Arial" w:cs="Arial" w:eastAsia="Arial" w:hAnsi="Arial"/>
                <w:sz w:val="20"/>
                <w:szCs w:val="20"/>
                <w:color w:val="B4B4B4"/>
                <w:w w:val="93"/>
              </w:rPr>
              <w:t>. . . . . . . . . . . . . . . . . . . . . . . . . . . . . . . . . . . . . . . . . . . . . . . .</w:t>
            </w:r>
          </w:p>
        </w:tc>
        <w:tc>
          <w:tcPr>
            <w:tcW w:w="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r>
      <w:tr>
        <w:trPr>
          <w:trHeight w:val="280"/>
        </w:trPr>
        <w:tc>
          <w:tcPr>
            <w:tcW w:w="834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4"/>
              </w:rPr>
              <w:t xml:space="preserve">Total liabilities assumed </w:t>
            </w:r>
            <w:r>
              <w:rPr>
                <w:rFonts w:ascii="Arial" w:cs="Arial" w:eastAsia="Arial" w:hAnsi="Arial"/>
                <w:sz w:val="20"/>
                <w:szCs w:val="20"/>
                <w:color w:val="B4B4B4"/>
                <w:w w:val="94"/>
              </w:rPr>
              <w:t>. . . . . . . . . . . . . . . . . . . . . . . . . . . . . . . . . . . . . . . . . . . . . . . . . . . . . . . . . . .</w:t>
            </w:r>
          </w:p>
        </w:tc>
        <w:tc>
          <w:tcPr>
            <w:tcW w:w="8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950</w:t>
            </w:r>
          </w:p>
        </w:tc>
      </w:tr>
      <w:tr>
        <w:trPr>
          <w:trHeight w:val="275"/>
        </w:trPr>
        <w:tc>
          <w:tcPr>
            <w:tcW w:w="8340" w:type="dxa"/>
            <w:vAlign w:val="bottom"/>
          </w:tcPr>
          <w:p>
            <w:pPr>
              <w:jc w:val="right"/>
              <w:ind w:right="21"/>
              <w:spacing w:after="0"/>
              <w:rPr>
                <w:sz w:val="20"/>
                <w:szCs w:val="20"/>
                <w:color w:val="auto"/>
              </w:rPr>
            </w:pPr>
            <w:r>
              <w:rPr>
                <w:rFonts w:ascii="Arial" w:cs="Arial" w:eastAsia="Arial" w:hAnsi="Arial"/>
                <w:sz w:val="20"/>
                <w:szCs w:val="20"/>
                <w:color w:val="auto"/>
                <w:w w:val="93"/>
              </w:rPr>
              <w:t xml:space="preserve">Net liabilities assumed </w:t>
            </w:r>
            <w:r>
              <w:rPr>
                <w:rFonts w:ascii="Arial" w:cs="Arial" w:eastAsia="Arial" w:hAnsi="Arial"/>
                <w:sz w:val="20"/>
                <w:szCs w:val="20"/>
                <w:color w:val="B4B4B4"/>
                <w:w w:val="93"/>
              </w:rPr>
              <w:t>. . . . . . . . . . . . . . . . . . . . . . . . . . . . . . . . . . . . . . . . . . . . . . . . . . . . . . . . . . . . .</w:t>
            </w:r>
          </w:p>
        </w:tc>
        <w:tc>
          <w:tcPr>
            <w:tcW w:w="840" w:type="dxa"/>
            <w:vAlign w:val="bottom"/>
            <w:tcBorders>
              <w:bottom w:val="single" w:sz="8" w:color="auto"/>
            </w:tcBorders>
          </w:tcPr>
          <w:p>
            <w:pPr>
              <w:jc w:val="right"/>
              <w:ind w:right="583"/>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-43815</wp:posOffset>
            </wp:positionV>
            <wp:extent cx="123507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9">
                      <a:extLst>
                        <a:ext uri="{28A0092B-C50C-407E-A947-70E740481C1C}"/>
                      </a:extLst>
                    </a:blip>
                    <a:srcRect/>
                    <a:stretch>
                      <a:fillRect/>
                    </a:stretch>
                  </pic:blipFill>
                  <pic:spPr bwMode="auto">
                    <a:xfrm>
                      <a:off x="0" y="0"/>
                      <a:ext cx="12350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0">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36" w:lineRule="exact"/>
        <w:rPr>
          <w:sz w:val="20"/>
          <w:szCs w:val="20"/>
          <w:color w:val="auto"/>
        </w:rPr>
      </w:pPr>
    </w:p>
    <w:p>
      <w:pPr>
        <w:ind w:left="280" w:hanging="200"/>
        <w:spacing w:after="0"/>
        <w:tabs>
          <w:tab w:leader="none" w:pos="280" w:val="left"/>
        </w:tabs>
        <w:numPr>
          <w:ilvl w:val="0"/>
          <w:numId w:val="45"/>
        </w:numPr>
        <w:rPr>
          <w:rFonts w:ascii="Arial" w:cs="Arial" w:eastAsia="Arial" w:hAnsi="Arial"/>
          <w:sz w:val="24"/>
          <w:szCs w:val="24"/>
          <w:color w:val="auto"/>
          <w:vertAlign w:val="superscript"/>
        </w:rPr>
      </w:pPr>
      <w:r>
        <w:rPr>
          <w:rFonts w:ascii="Arial" w:cs="Arial" w:eastAsia="Arial" w:hAnsi="Arial"/>
          <w:sz w:val="15"/>
          <w:szCs w:val="15"/>
          <w:color w:val="auto"/>
        </w:rPr>
        <w:t>Includes Construction in progress of $893 million.</w:t>
      </w:r>
    </w:p>
    <w:p>
      <w:pPr>
        <w:spacing w:after="0" w:line="90" w:lineRule="exact"/>
        <w:rPr>
          <w:rFonts w:ascii="Arial" w:cs="Arial" w:eastAsia="Arial" w:hAnsi="Arial"/>
          <w:sz w:val="24"/>
          <w:szCs w:val="24"/>
          <w:color w:val="auto"/>
          <w:vertAlign w:val="superscript"/>
        </w:rPr>
      </w:pPr>
    </w:p>
    <w:p>
      <w:pPr>
        <w:ind w:left="80" w:right="20"/>
        <w:spacing w:after="0" w:line="209" w:lineRule="auto"/>
        <w:tabs>
          <w:tab w:leader="none" w:pos="315"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$483 million cash equity bridge loan and $385 million tax equity bridge loan, offset by $4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ectPr>
          <w:pgSz w:w="11880" w:h="15480" w:orient="portrait"/>
          <w:cols w:equalWidth="0" w:num="1">
            <w:col w:w="10260"/>
          </w:cols>
          <w:pgMar w:left="820" w:top="36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260"/>
          </w:cols>
          <w:pgMar w:left="820" w:top="362" w:right="800" w:bottom="0" w:gutter="0" w:footer="0" w:header="0"/>
          <w:type w:val="continuous"/>
        </w:sectPr>
      </w:pPr>
    </w:p>
    <w:bookmarkStart w:id="96" w:name="page97"/>
    <w:bookmarkEnd w:id="96"/>
    <w:p>
      <w:pPr>
        <w:jc w:val="both"/>
        <w:ind w:right="20" w:firstLine="450"/>
        <w:spacing w:after="0" w:line="283" w:lineRule="auto"/>
        <w:rPr>
          <w:sz w:val="20"/>
          <w:szCs w:val="20"/>
          <w:color w:val="auto"/>
        </w:rPr>
      </w:pPr>
      <w:r>
        <w:rPr>
          <w:rFonts w:ascii="Arial" w:cs="Arial" w:eastAsia="Arial" w:hAnsi="Arial"/>
          <w:sz w:val="18"/>
          <w:szCs w:val="18"/>
          <w:b w:val="1"/>
          <w:bCs w:val="1"/>
          <w:i w:val="1"/>
          <w:iCs w:val="1"/>
          <w:color w:val="auto"/>
        </w:rPr>
        <w:t xml:space="preserve">Cedar Creek Drop Down — </w:t>
      </w:r>
      <w:r>
        <w:rPr>
          <w:rFonts w:ascii="Arial" w:cs="Arial" w:eastAsia="Arial" w:hAnsi="Arial"/>
          <w:sz w:val="18"/>
          <w:szCs w:val="18"/>
          <w:color w:val="auto"/>
        </w:rPr>
        <w:t>On April 16, 2024, the Company, through its indirect subsidiary, Cedar Creek Wind Holdco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difference between the Company’s cash paid of $117 million and the historical cost of the Company’s net assets acquired of $17 million was recorded as an adjustment to CEG’s noncontrolling interest balance. In addition, the Company reflected the entire $117 million purchase price, which was contributed back to the Company by CEG to pay down the acquired long-term debt, in the line item contributions from CEG, net of distributions, in the consolidated statements of stockholders’ equity.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is a summary of assets and liabilities transferred in connection with the acquisition as of April 16,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0" w:type="dxa"/>
            <w:vAlign w:val="bottom"/>
            <w:tcBorders>
              <w:bottom w:val="single" w:sz="8" w:color="E6E6E6"/>
            </w:tcBorders>
          </w:tcPr>
          <w:p>
            <w:pPr>
              <w:jc w:val="right"/>
              <w:ind w:right="7321"/>
              <w:spacing w:after="0"/>
              <w:rPr>
                <w:sz w:val="20"/>
                <w:szCs w:val="20"/>
                <w:color w:val="auto"/>
              </w:rPr>
            </w:pPr>
            <w:r>
              <w:rPr>
                <w:rFonts w:ascii="Arial" w:cs="Arial" w:eastAsia="Arial" w:hAnsi="Arial"/>
                <w:sz w:val="18"/>
                <w:szCs w:val="18"/>
                <w:b w:val="1"/>
                <w:bCs w:val="1"/>
                <w:color w:val="auto"/>
                <w:w w:val="94"/>
              </w:rPr>
              <w:t>(In millions)</w:t>
            </w: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8"/>
                <w:szCs w:val="18"/>
                <w:b w:val="1"/>
                <w:bCs w:val="1"/>
                <w:color w:val="auto"/>
              </w:rPr>
              <w:t>Cedar Creek</w:t>
            </w:r>
          </w:p>
        </w:tc>
      </w:tr>
      <w:tr>
        <w:trPr>
          <w:trHeight w:val="290"/>
        </w:trPr>
        <w:tc>
          <w:tcPr>
            <w:tcW w:w="84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2"/>
              </w:rPr>
              <w:t xml:space="preserve">Restricted cash </w:t>
            </w:r>
            <w:r>
              <w:rPr>
                <w:rFonts w:ascii="Arial" w:cs="Arial" w:eastAsia="Arial" w:hAnsi="Arial"/>
                <w:sz w:val="20"/>
                <w:szCs w:val="20"/>
                <w:color w:val="B4B4B4"/>
                <w:w w:val="92"/>
              </w:rPr>
              <w:t>. . . . . . . . . . . . . . . . . . . . . . . . . . . . . . . . . . . . . . . . . . . . . . . . . . . . . . . . . . . . . . . . . . . .</w:t>
            </w:r>
          </w:p>
        </w:tc>
        <w:tc>
          <w:tcPr>
            <w:tcW w:w="300" w:type="dxa"/>
            <w:vAlign w:val="bottom"/>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5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w:t>
            </w:r>
          </w:p>
        </w:tc>
      </w:tr>
      <w:tr>
        <w:trPr>
          <w:trHeight w:val="293"/>
        </w:trPr>
        <w:tc>
          <w:tcPr>
            <w:tcW w:w="8400" w:type="dxa"/>
            <w:vAlign w:val="bottom"/>
          </w:tcPr>
          <w:p>
            <w:pPr>
              <w:jc w:val="right"/>
              <w:ind w:right="41"/>
              <w:spacing w:after="0"/>
              <w:rPr>
                <w:sz w:val="20"/>
                <w:szCs w:val="20"/>
                <w:color w:val="auto"/>
              </w:rPr>
            </w:pPr>
            <w:r>
              <w:rPr>
                <w:rFonts w:ascii="Arial" w:cs="Arial" w:eastAsia="Arial" w:hAnsi="Arial"/>
                <w:sz w:val="20"/>
                <w:szCs w:val="20"/>
                <w:color w:val="auto"/>
                <w:w w:val="92"/>
              </w:rPr>
              <w:t xml:space="preserve">Property, plant and equipment </w:t>
            </w:r>
            <w:r>
              <w:rPr>
                <w:rFonts w:ascii="Arial" w:cs="Arial" w:eastAsia="Arial" w:hAnsi="Arial"/>
                <w:sz w:val="20"/>
                <w:szCs w:val="20"/>
                <w:color w:val="B4B4B4"/>
                <w:w w:val="92"/>
              </w:rPr>
              <w:t>. . . . . . . . . . . . . . . . . . . . . . . . . . . . . . . . . . . . . . . . . . . . . . . . . . . . . . . .</w:t>
            </w:r>
          </w:p>
        </w:tc>
        <w:tc>
          <w:tcPr>
            <w:tcW w:w="30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311</w:t>
            </w:r>
          </w:p>
        </w:tc>
      </w:tr>
      <w:tr>
        <w:trPr>
          <w:trHeight w:val="307"/>
        </w:trPr>
        <w:tc>
          <w:tcPr>
            <w:tcW w:w="84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Right-of-use assets, net </w:t>
            </w:r>
            <w:r>
              <w:rPr>
                <w:rFonts w:ascii="Arial" w:cs="Arial" w:eastAsia="Arial" w:hAnsi="Arial"/>
                <w:sz w:val="20"/>
                <w:szCs w:val="20"/>
                <w:color w:val="B4B4B4"/>
                <w:w w:val="91"/>
              </w:rPr>
              <w:t>. . . . . . . . . . . . . . . . . . . . . . . . . . . . . . . . . . . . . . . . . . . . . . . . . . . . . . . . . . . . . .</w:t>
            </w:r>
          </w:p>
        </w:tc>
        <w:tc>
          <w:tcPr>
            <w:tcW w:w="300" w:type="dxa"/>
            <w:vAlign w:val="bottom"/>
            <w:shd w:val="clear" w:color="auto" w:fill="E6E6E6"/>
          </w:tcPr>
          <w:p>
            <w:pPr>
              <w:spacing w:after="0"/>
              <w:rPr>
                <w:sz w:val="24"/>
                <w:szCs w:val="24"/>
                <w:color w:val="auto"/>
              </w:rPr>
            </w:pPr>
          </w:p>
        </w:tc>
        <w:tc>
          <w:tcPr>
            <w:tcW w:w="15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6</w:t>
            </w:r>
          </w:p>
        </w:tc>
      </w:tr>
      <w:tr>
        <w:trPr>
          <w:trHeight w:val="293"/>
        </w:trPr>
        <w:tc>
          <w:tcPr>
            <w:tcW w:w="8400" w:type="dxa"/>
            <w:vAlign w:val="bottom"/>
          </w:tcPr>
          <w:p>
            <w:pPr>
              <w:jc w:val="right"/>
              <w:ind w:right="41"/>
              <w:spacing w:after="0"/>
              <w:rPr>
                <w:sz w:val="20"/>
                <w:szCs w:val="20"/>
                <w:color w:val="auto"/>
              </w:rPr>
            </w:pPr>
            <w:r>
              <w:rPr>
                <w:rFonts w:ascii="Arial" w:cs="Arial" w:eastAsia="Arial" w:hAnsi="Arial"/>
                <w:sz w:val="20"/>
                <w:szCs w:val="20"/>
                <w:color w:val="auto"/>
                <w:w w:val="91"/>
              </w:rPr>
              <w:t xml:space="preserve">Derivative assets </w:t>
            </w:r>
            <w:r>
              <w:rPr>
                <w:rFonts w:ascii="Arial" w:cs="Arial" w:eastAsia="Arial" w:hAnsi="Arial"/>
                <w:sz w:val="20"/>
                <w:szCs w:val="20"/>
                <w:color w:val="B4B4B4"/>
                <w:w w:val="91"/>
              </w:rPr>
              <w:t>. . . . . . . . . . . . . . . . . . . . . . . . . . . . . . . . . . . . . . . . . . . . . . . . . . . . . . . . . . . . . . . . . . .</w:t>
            </w:r>
          </w:p>
        </w:tc>
        <w:tc>
          <w:tcPr>
            <w:tcW w:w="30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14</w:t>
            </w:r>
          </w:p>
        </w:tc>
      </w:tr>
      <w:tr>
        <w:trPr>
          <w:trHeight w:val="297"/>
        </w:trPr>
        <w:tc>
          <w:tcPr>
            <w:tcW w:w="840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2"/>
              </w:rPr>
              <w:t xml:space="preserve">Other current and non-current assets </w:t>
            </w:r>
            <w:r>
              <w:rPr>
                <w:rFonts w:ascii="Arial" w:cs="Arial" w:eastAsia="Arial" w:hAnsi="Arial"/>
                <w:sz w:val="20"/>
                <w:szCs w:val="20"/>
                <w:color w:val="B4B4B4"/>
                <w:w w:val="92"/>
              </w:rPr>
              <w:t>. . . . . . . . . . . . . . . . . . . . . . . . . . . . . . . . . . . . . . . . . . . . . . . . . . .</w:t>
            </w:r>
          </w:p>
        </w:tc>
        <w:tc>
          <w:tcPr>
            <w:tcW w:w="300" w:type="dxa"/>
            <w:vAlign w:val="bottom"/>
            <w:tcBorders>
              <w:bottom w:val="single" w:sz="8" w:color="auto"/>
            </w:tcBorders>
            <w:shd w:val="clear" w:color="auto" w:fill="E6E6E6"/>
          </w:tcPr>
          <w:p>
            <w:pPr>
              <w:spacing w:after="0"/>
              <w:rPr>
                <w:sz w:val="24"/>
                <w:szCs w:val="24"/>
                <w:color w:val="auto"/>
              </w:rPr>
            </w:pPr>
          </w:p>
        </w:tc>
        <w:tc>
          <w:tcPr>
            <w:tcW w:w="15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14</w:t>
            </w:r>
          </w:p>
        </w:tc>
      </w:tr>
      <w:tr>
        <w:trPr>
          <w:trHeight w:val="283"/>
        </w:trPr>
        <w:tc>
          <w:tcPr>
            <w:tcW w:w="8400" w:type="dxa"/>
            <w:vAlign w:val="bottom"/>
          </w:tcPr>
          <w:p>
            <w:pPr>
              <w:jc w:val="right"/>
              <w:ind w:right="41"/>
              <w:spacing w:after="0"/>
              <w:rPr>
                <w:sz w:val="20"/>
                <w:szCs w:val="20"/>
                <w:color w:val="auto"/>
              </w:rPr>
            </w:pPr>
            <w:r>
              <w:rPr>
                <w:rFonts w:ascii="Arial" w:cs="Arial" w:eastAsia="Arial" w:hAnsi="Arial"/>
                <w:sz w:val="20"/>
                <w:szCs w:val="20"/>
                <w:color w:val="auto"/>
                <w:w w:val="93"/>
              </w:rPr>
              <w:t xml:space="preserve">Total assets acquired  </w:t>
            </w:r>
            <w:r>
              <w:rPr>
                <w:rFonts w:ascii="Arial" w:cs="Arial" w:eastAsia="Arial" w:hAnsi="Arial"/>
                <w:sz w:val="20"/>
                <w:szCs w:val="20"/>
                <w:color w:val="B4B4B4"/>
                <w:w w:val="93"/>
              </w:rPr>
              <w:t>. . . . . . . . . . . . . . . . . . . . . . . . . . . . . . . . . . . . . . . . . . . . . . . . . . . . . . . . . . . . . .</w:t>
            </w:r>
          </w:p>
        </w:tc>
        <w:tc>
          <w:tcPr>
            <w:tcW w:w="30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346</w:t>
            </w:r>
          </w:p>
        </w:tc>
      </w:tr>
      <w:tr>
        <w:trPr>
          <w:trHeight w:val="307"/>
        </w:trPr>
        <w:tc>
          <w:tcPr>
            <w:tcW w:w="84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560" w:type="dxa"/>
            <w:vAlign w:val="bottom"/>
            <w:shd w:val="clear" w:color="auto" w:fill="E6E6E6"/>
          </w:tcPr>
          <w:p>
            <w:pPr>
              <w:spacing w:after="0"/>
              <w:rPr>
                <w:sz w:val="24"/>
                <w:szCs w:val="24"/>
                <w:color w:val="auto"/>
              </w:rPr>
            </w:pPr>
          </w:p>
        </w:tc>
      </w:tr>
      <w:tr>
        <w:trPr>
          <w:trHeight w:val="300"/>
        </w:trPr>
        <w:tc>
          <w:tcPr>
            <w:tcW w:w="8400" w:type="dxa"/>
            <w:vAlign w:val="bottom"/>
          </w:tcPr>
          <w:p>
            <w:pPr>
              <w:jc w:val="right"/>
              <w:ind w:right="41"/>
              <w:spacing w:after="0"/>
              <w:rPr>
                <w:sz w:val="20"/>
                <w:szCs w:val="20"/>
                <w:color w:val="auto"/>
              </w:rPr>
            </w:pPr>
            <w:r>
              <w:rPr>
                <w:rFonts w:ascii="Arial" w:cs="Arial" w:eastAsia="Arial" w:hAnsi="Arial"/>
                <w:sz w:val="20"/>
                <w:szCs w:val="20"/>
                <w:color w:val="auto"/>
                <w:w w:val="91"/>
              </w:rPr>
              <w:t xml:space="preserve">Long-term debt </w:t>
            </w:r>
            <w:r>
              <w:rPr>
                <w:rFonts w:ascii="Arial" w:cs="Arial" w:eastAsia="Arial" w:hAnsi="Arial"/>
                <w:sz w:val="26"/>
                <w:szCs w:val="26"/>
                <w:color w:val="auto"/>
                <w:w w:val="91"/>
                <w:vertAlign w:val="superscript"/>
              </w:rPr>
              <w:t>(a)</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 . . . . . . . . . . . . . . . . . . . . . . . . . . . . . . . . . . . . . . . . . . . .</w:t>
            </w:r>
          </w:p>
        </w:tc>
        <w:tc>
          <w:tcPr>
            <w:tcW w:w="30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309</w:t>
            </w:r>
          </w:p>
        </w:tc>
      </w:tr>
      <w:tr>
        <w:trPr>
          <w:trHeight w:val="300"/>
        </w:trPr>
        <w:tc>
          <w:tcPr>
            <w:tcW w:w="84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2"/>
              </w:rPr>
              <w:t xml:space="preserve">Long-term lease liabilities  </w:t>
            </w:r>
            <w:r>
              <w:rPr>
                <w:rFonts w:ascii="Arial" w:cs="Arial" w:eastAsia="Arial" w:hAnsi="Arial"/>
                <w:sz w:val="20"/>
                <w:szCs w:val="20"/>
                <w:color w:val="B4B4B4"/>
                <w:w w:val="92"/>
              </w:rPr>
              <w:t>. . . . . . . . . . . . . . . . . . . . . . . . . . . . . . . . . . . . . . . . . . . . . . . . . . . . . . . . . . .</w:t>
            </w:r>
          </w:p>
        </w:tc>
        <w:tc>
          <w:tcPr>
            <w:tcW w:w="300" w:type="dxa"/>
            <w:vAlign w:val="bottom"/>
            <w:shd w:val="clear" w:color="auto" w:fill="E6E6E6"/>
          </w:tcPr>
          <w:p>
            <w:pPr>
              <w:spacing w:after="0"/>
              <w:rPr>
                <w:sz w:val="24"/>
                <w:szCs w:val="24"/>
                <w:color w:val="auto"/>
              </w:rPr>
            </w:pPr>
          </w:p>
        </w:tc>
        <w:tc>
          <w:tcPr>
            <w:tcW w:w="15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7</w:t>
            </w:r>
          </w:p>
        </w:tc>
      </w:tr>
      <w:tr>
        <w:trPr>
          <w:trHeight w:val="290"/>
        </w:trPr>
        <w:tc>
          <w:tcPr>
            <w:tcW w:w="8400" w:type="dxa"/>
            <w:vAlign w:val="bottom"/>
            <w:tcBorders>
              <w:bottom w:val="single" w:sz="8" w:color="E6E6E6"/>
            </w:tcBorders>
          </w:tcPr>
          <w:p>
            <w:pPr>
              <w:jc w:val="right"/>
              <w:ind w:right="41"/>
              <w:spacing w:after="0"/>
              <w:rPr>
                <w:sz w:val="20"/>
                <w:szCs w:val="20"/>
                <w:color w:val="auto"/>
              </w:rPr>
            </w:pPr>
            <w:r>
              <w:rPr>
                <w:rFonts w:ascii="Arial" w:cs="Arial" w:eastAsia="Arial" w:hAnsi="Arial"/>
                <w:sz w:val="20"/>
                <w:szCs w:val="20"/>
                <w:color w:val="auto"/>
                <w:w w:val="92"/>
              </w:rPr>
              <w:t xml:space="preserve">Other current and non-current liabilities </w:t>
            </w:r>
            <w:r>
              <w:rPr>
                <w:rFonts w:ascii="Arial" w:cs="Arial" w:eastAsia="Arial" w:hAnsi="Arial"/>
                <w:sz w:val="20"/>
                <w:szCs w:val="20"/>
                <w:color w:val="B4B4B4"/>
                <w:w w:val="92"/>
              </w:rPr>
              <w:t>. . . . . . . . . . . . . . . . . . . . . . . . . . . . . . . . . . . . . . . . . . . . . . . . .</w:t>
            </w: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w:t>
            </w:r>
          </w:p>
        </w:tc>
      </w:tr>
      <w:tr>
        <w:trPr>
          <w:trHeight w:val="280"/>
        </w:trPr>
        <w:tc>
          <w:tcPr>
            <w:tcW w:w="840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4B4B4"/>
                <w:w w:val="93"/>
              </w:rPr>
              <w:t>. . . . . . . . . . . . . . . . . . . . . . . . . . . . . . . . . . . . . . . . . . . . . . . . . . . . . . . . . . . .</w:t>
            </w:r>
          </w:p>
        </w:tc>
        <w:tc>
          <w:tcPr>
            <w:tcW w:w="300" w:type="dxa"/>
            <w:vAlign w:val="bottom"/>
            <w:tcBorders>
              <w:bottom w:val="single" w:sz="8" w:color="auto"/>
            </w:tcBorders>
            <w:shd w:val="clear" w:color="auto" w:fill="E6E6E6"/>
          </w:tcPr>
          <w:p>
            <w:pPr>
              <w:spacing w:after="0"/>
              <w:rPr>
                <w:sz w:val="24"/>
                <w:szCs w:val="24"/>
                <w:color w:val="auto"/>
              </w:rPr>
            </w:pPr>
          </w:p>
        </w:tc>
        <w:tc>
          <w:tcPr>
            <w:tcW w:w="15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329</w:t>
            </w:r>
          </w:p>
        </w:tc>
      </w:tr>
      <w:tr>
        <w:trPr>
          <w:trHeight w:val="275"/>
        </w:trPr>
        <w:tc>
          <w:tcPr>
            <w:tcW w:w="8400" w:type="dxa"/>
            <w:vAlign w:val="bottom"/>
          </w:tcPr>
          <w:p>
            <w:pPr>
              <w:jc w:val="right"/>
              <w:ind w:right="41"/>
              <w:spacing w:after="0"/>
              <w:rPr>
                <w:sz w:val="20"/>
                <w:szCs w:val="20"/>
                <w:color w:val="auto"/>
              </w:rPr>
            </w:pPr>
            <w:r>
              <w:rPr>
                <w:rFonts w:ascii="Arial" w:cs="Arial" w:eastAsia="Arial" w:hAnsi="Arial"/>
                <w:sz w:val="20"/>
                <w:szCs w:val="20"/>
                <w:color w:val="auto"/>
                <w:w w:val="92"/>
              </w:rPr>
              <w:t xml:space="preserve">Net assets acquired </w:t>
            </w:r>
            <w:r>
              <w:rPr>
                <w:rFonts w:ascii="Arial" w:cs="Arial" w:eastAsia="Arial" w:hAnsi="Arial"/>
                <w:sz w:val="20"/>
                <w:szCs w:val="20"/>
                <w:color w:val="B4B4B4"/>
                <w:w w:val="92"/>
              </w:rPr>
              <w:t>. . . . . . . . . . . . . . . . . . . . . . . . . . . . . . . . . . . . . . . . . . . . . . . . . . . . . . . . . . . . . . . .</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-43815</wp:posOffset>
            </wp:positionV>
            <wp:extent cx="120650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1">
                      <a:extLst>
                        <a:ext uri="{28A0092B-C50C-407E-A947-70E740481C1C}"/>
                      </a:extLst>
                    </a:blip>
                    <a:srcRect/>
                    <a:stretch>
                      <a:fillRect/>
                    </a:stretch>
                  </pic:blipFill>
                  <pic:spPr bwMode="auto">
                    <a:xfrm>
                      <a:off x="0" y="0"/>
                      <a:ext cx="120650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2">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2" w:lineRule="exact"/>
        <w:rPr>
          <w:sz w:val="20"/>
          <w:szCs w:val="20"/>
          <w:color w:val="auto"/>
        </w:rPr>
      </w:pPr>
    </w:p>
    <w:p>
      <w:pPr>
        <w:ind w:left="80" w:right="20"/>
        <w:spacing w:after="0" w:line="225" w:lineRule="auto"/>
        <w:tabs>
          <w:tab w:leader="none" w:pos="346" w:val="left"/>
        </w:tabs>
        <w:numPr>
          <w:ilvl w:val="0"/>
          <w:numId w:val="46"/>
        </w:numPr>
        <w:rPr>
          <w:rFonts w:ascii="Arial" w:cs="Arial" w:eastAsia="Arial" w:hAnsi="Arial"/>
          <w:sz w:val="24"/>
          <w:szCs w:val="24"/>
          <w:color w:val="auto"/>
          <w:vertAlign w:val="superscript"/>
        </w:rPr>
      </w:pPr>
      <w:r>
        <w:rPr>
          <w:rFonts w:ascii="Arial" w:cs="Arial" w:eastAsia="Arial" w:hAnsi="Arial"/>
          <w:sz w:val="15"/>
          <w:szCs w:val="15"/>
          <w:color w:val="auto"/>
        </w:rPr>
        <w:t xml:space="preserve">Includes a $112 million construction loan, a $91 million cash equity bridge loan, and a $109 million tax equity bridge loan, offset by $3 million in unamortized debt issuance costs. See Note 10, </w:t>
      </w:r>
      <w:r>
        <w:rPr>
          <w:rFonts w:ascii="Arial" w:cs="Arial" w:eastAsia="Arial" w:hAnsi="Arial"/>
          <w:sz w:val="15"/>
          <w:szCs w:val="15"/>
          <w:b w:val="1"/>
          <w:bCs w:val="1"/>
          <w:i w:val="1"/>
          <w:iCs w:val="1"/>
          <w:color w:val="auto"/>
        </w:rPr>
        <w:t>Long-term Debt,</w:t>
      </w:r>
      <w:r>
        <w:rPr>
          <w:rFonts w:ascii="Arial" w:cs="Arial" w:eastAsia="Arial" w:hAnsi="Arial"/>
          <w:sz w:val="15"/>
          <w:szCs w:val="15"/>
          <w:color w:val="auto"/>
        </w:rPr>
        <w:t xml:space="preserve"> for further discussion of the long-term debt assumed in the acquisition.</w:t>
      </w:r>
    </w:p>
    <w:p>
      <w:pPr>
        <w:spacing w:after="0" w:line="146"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8"/>
          <w:szCs w:val="18"/>
          <w:b w:val="1"/>
          <w:bCs w:val="1"/>
          <w:i w:val="1"/>
          <w:iCs w:val="1"/>
          <w:color w:val="auto"/>
        </w:rPr>
        <w:t xml:space="preserve">Texas Solar Nova 2 Drop Down — </w:t>
      </w:r>
      <w:r>
        <w:rPr>
          <w:rFonts w:ascii="Arial" w:cs="Arial" w:eastAsia="Arial" w:hAnsi="Arial"/>
          <w:sz w:val="18"/>
          <w:szCs w:val="18"/>
          <w:color w:val="auto"/>
        </w:rPr>
        <w:t>On March 15, 2024, the Company, through its indirect subsidiary, TSN1 TE Holdco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acquired Texas Solar Nova 2, a 200 MW solar facility that is located in Kent County, Texas, from Clearway Renew for cash consideration of $112 million, of which $17 million was funded by the Company, with the remaining $95 million funded through a contribution from the cash equity investor in Lighthouse Renewable Holdco 2 LLC, a partnership. Lighthouse Renewable Holdco 2 LLC indirectly consolidates as primary beneficiary, TSN1 TE Holdco LLC, a tax equity fund that owns Texas Solar Nova 1 and Texas Solar Nova 2, as further described in Note 5, </w:t>
      </w:r>
      <w:r>
        <w:rPr>
          <w:rFonts w:ascii="Arial" w:cs="Arial" w:eastAsia="Arial" w:hAnsi="Arial"/>
          <w:sz w:val="18"/>
          <w:szCs w:val="18"/>
          <w:b w:val="1"/>
          <w:bCs w:val="1"/>
          <w:i w:val="1"/>
          <w:iCs w:val="1"/>
          <w:color w:val="auto"/>
        </w:rPr>
        <w:t>Investments Accounted for by the Equity Method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and Variable Interest Entities. </w:t>
      </w:r>
      <w:r>
        <w:rPr>
          <w:rFonts w:ascii="Arial" w:cs="Arial" w:eastAsia="Arial" w:hAnsi="Arial"/>
          <w:sz w:val="18"/>
          <w:szCs w:val="18"/>
          <w:color w:val="auto"/>
        </w:rPr>
        <w:t>Texas Solar Nova 2 has an 18-year PPA with an investment-grade counterparty that commenced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February 2024. The Texas Solar Nova 2 operations are reflected in the 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difference between the Company’s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contributions from CEG, net of distributions, in the consolidated statements of stockholders’ equity.</w:t>
      </w:r>
    </w:p>
    <w:p>
      <w:pPr>
        <w:sectPr>
          <w:pgSz w:w="11880" w:h="15480" w:orient="portrait"/>
          <w:cols w:equalWidth="0" w:num="1">
            <w:col w:w="10260"/>
          </w:cols>
          <w:pgMar w:left="820" w:top="36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260"/>
          </w:cols>
          <w:pgMar w:left="820" w:top="362" w:right="800" w:bottom="0" w:gutter="0" w:footer="0" w:header="0"/>
          <w:type w:val="continuous"/>
        </w:sectPr>
      </w:pPr>
    </w:p>
    <w:bookmarkStart w:id="97" w:name="page98"/>
    <w:bookmarkEnd w:id="97"/>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March 15, 2024:</w:t>
      </w:r>
    </w:p>
    <w:p>
      <w:pPr>
        <w:sectPr>
          <w:pgSz w:w="11880" w:h="15480" w:orient="portrait"/>
          <w:cols w:equalWidth="0" w:num="1">
            <w:col w:w="10260"/>
          </w:cols>
          <w:pgMar w:left="820" w:top="367" w:right="800" w:bottom="0" w:gutter="0" w:footer="0" w:header="0"/>
        </w:sect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29210</wp:posOffset>
                </wp:positionV>
                <wp:extent cx="6514465" cy="1905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97" o:spid="_x0000_s1122" style="position:absolute;margin-left:-0.4499pt;margin-top:2.3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B4B4B4"/>
        </w:rPr>
        <w:t>. . . . . . .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4B4B4"/>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98" o:spid="_x0000_s1123"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net </w:t>
      </w:r>
      <w:r>
        <w:rPr>
          <w:rFonts w:ascii="Arial" w:cs="Arial" w:eastAsia="Arial" w:hAnsi="Arial"/>
          <w:sz w:val="18"/>
          <w:szCs w:val="18"/>
          <w:color w:val="B4B4B4"/>
        </w:rPr>
        <w:t>.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18"/>
          <w:szCs w:val="18"/>
          <w:color w:val="B4B4B4"/>
        </w:rPr>
        <w:t>. .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99" o:spid="_x0000_s1124"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assets </w:t>
      </w:r>
      <w:r>
        <w:rPr>
          <w:rFonts w:ascii="Arial" w:cs="Arial" w:eastAsia="Arial" w:hAnsi="Arial"/>
          <w:sz w:val="18"/>
          <w:szCs w:val="18"/>
          <w:color w:val="B4B4B4"/>
        </w:rPr>
        <w:t>.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4B4B4"/>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0" o:spid="_x0000_s1125"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18415</wp:posOffset>
                </wp:positionV>
                <wp:extent cx="6514465" cy="1905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1" o:spid="_x0000_s1126" style="position:absolute;margin-left:-0.4499pt;margin-top:1.4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4B4B4"/>
        </w:rPr>
        <w:t>.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18"/>
          <w:szCs w:val="18"/>
          <w:color w:val="B4B4B4"/>
        </w:rPr>
        <w:t>.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2" o:spid="_x0000_s1127"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4B4B4"/>
        </w:rPr>
        <w:t>. . . . . . . . . . . . . . . . . . . . . . . . . . . . . . . . . . . . . . . . . . . . . . . . . . . . . . . . . . . .</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assets acquired </w:t>
      </w:r>
      <w:r>
        <w:rPr>
          <w:rFonts w:ascii="Arial" w:cs="Arial" w:eastAsia="Arial" w:hAnsi="Arial"/>
          <w:sz w:val="18"/>
          <w:szCs w:val="18"/>
          <w:color w:val="B4B4B4"/>
        </w:rPr>
        <w:t>.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126682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3">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Texas Solar Nova 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00" w:type="dxa"/>
            <w:vAlign w:val="bottom"/>
            <w:tcBorders>
              <w:top w:val="single" w:sz="8" w:color="auto"/>
            </w:tcBorders>
          </w:tcPr>
          <w:p>
            <w:pPr>
              <w:jc w:val="right"/>
              <w:ind w:right="560"/>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280</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303"/>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77"/>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6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03"/>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80"/>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w:t>
            </w:r>
          </w:p>
        </w:tc>
      </w:tr>
      <w:tr>
        <w:trPr>
          <w:trHeight w:val="275"/>
        </w:trPr>
        <w:tc>
          <w:tcPr>
            <w:tcW w:w="800" w:type="dxa"/>
            <w:vAlign w:val="bottom"/>
            <w:tcBorders>
              <w:bottom w:val="single" w:sz="8" w:color="auto"/>
            </w:tcBorders>
          </w:tcPr>
          <w:p>
            <w:pPr>
              <w:jc w:val="right"/>
              <w:ind w:right="56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-43815</wp:posOffset>
            </wp:positionV>
            <wp:extent cx="1206500"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4">
                      <a:extLst>
                        <a:ext uri="{28A0092B-C50C-407E-A947-70E740481C1C}"/>
                      </a:extLst>
                    </a:blip>
                    <a:srcRect/>
                    <a:stretch>
                      <a:fillRect/>
                    </a:stretch>
                  </pic:blipFill>
                  <pic:spPr bwMode="auto">
                    <a:xfrm>
                      <a:off x="0" y="0"/>
                      <a:ext cx="1206500"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8260" w:space="140"/>
            <w:col w:w="1860"/>
          </w:cols>
          <w:pgMar w:left="820" w:top="367" w:right="800" w:bottom="0" w:gutter="0" w:footer="0" w:header="0"/>
          <w:type w:val="continuous"/>
        </w:sectPr>
      </w:pPr>
    </w:p>
    <w:p>
      <w:pPr>
        <w:spacing w:after="0" w:line="20" w:lineRule="exact"/>
        <w:rPr>
          <w:sz w:val="20"/>
          <w:szCs w:val="20"/>
          <w:color w:val="auto"/>
        </w:rPr>
      </w:pPr>
    </w:p>
    <w:p>
      <w:pPr>
        <w:ind w:left="80" w:right="20"/>
        <w:spacing w:after="0" w:line="210" w:lineRule="auto"/>
        <w:tabs>
          <w:tab w:leader="none" w:pos="316"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an $80 million term loan and a $115 million tax equity bridge loan, offset by $1 million in unamortized debt issuance costs. See Note 10, </w:t>
      </w: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for further discussion of the long-term debt assumed in the acquisition.</w:t>
      </w:r>
    </w:p>
    <w:p>
      <w:pPr>
        <w:spacing w:after="0" w:line="147"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9"/>
          <w:szCs w:val="19"/>
          <w:b w:val="1"/>
          <w:bCs w:val="1"/>
          <w:i w:val="1"/>
          <w:iCs w:val="1"/>
          <w:color w:val="auto"/>
        </w:rPr>
        <w:t xml:space="preserve">Texas Solar Nova 1 Drop Down </w:t>
      </w:r>
      <w:r>
        <w:rPr>
          <w:rFonts w:ascii="Arial" w:cs="Arial" w:eastAsia="Arial" w:hAnsi="Arial"/>
          <w:sz w:val="19"/>
          <w:szCs w:val="19"/>
          <w:color w:val="auto"/>
        </w:rPr>
        <w:t>— On December 28, 2023, the Company, through its indirect subsidiary, Lighthouse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Renewable Holdco 2 LLC, acquired TSN1 BL Borrower Holdco LLC, the indirect owner of Texas Solar Nova 1, a 252 MW solar facility that is located in Kent County, Texas, from Clearway Renew for cash consideration of $23 million. Lighthouse Renewable Holdco 2 LLC is a partnership between the Company and a cash equity investor. The cash equity investor contributed cash consideration of $109 million to acquire their portion of the acquired entity. TSN1 BL Borrower Holdco LLC consolidates as primary beneficiary, TSN1 TE Holdco LLC, a tax equity fund that owns the Texas Solar Nova 1 solar facility, as further described in Note 5, </w:t>
      </w:r>
      <w:r>
        <w:rPr>
          <w:rFonts w:ascii="Arial" w:cs="Arial" w:eastAsia="Arial" w:hAnsi="Arial"/>
          <w:sz w:val="19"/>
          <w:szCs w:val="19"/>
          <w:b w:val="1"/>
          <w:bCs w:val="1"/>
          <w:i w:val="1"/>
          <w:iCs w:val="1"/>
          <w:color w:val="auto"/>
        </w:rPr>
        <w:t>Investments Accounted for by the Equity Method and Variable Interest Entities</w:t>
      </w:r>
      <w:r>
        <w:rPr>
          <w:rFonts w:ascii="Arial" w:cs="Arial" w:eastAsia="Arial" w:hAnsi="Arial"/>
          <w:sz w:val="19"/>
          <w:szCs w:val="19"/>
          <w:color w:val="auto"/>
        </w:rPr>
        <w:t xml:space="preserve">. Texas Solar Nova 1 has an 18-year PPA with an investment-grade counterparty that commenced in January 2024. The Texas Solar Nova 1 operations are reflected in the Company’s Renewables segment and the acquisition was funded with existing sources of liquidity. The acquisition was determined to be an asset acquisition and the Company consolidates Texas Solar Nova 1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9"/>
          <w:szCs w:val="19"/>
          <w:b w:val="1"/>
          <w:bCs w:val="1"/>
          <w:i w:val="1"/>
          <w:iCs w:val="1"/>
          <w:color w:val="auto"/>
        </w:rPr>
        <w:t>Business Combinations - Related Issues</w:t>
      </w:r>
      <w:r>
        <w:rPr>
          <w:rFonts w:ascii="Arial" w:cs="Arial" w:eastAsia="Arial" w:hAnsi="Arial"/>
          <w:sz w:val="19"/>
          <w:szCs w:val="19"/>
          <w:color w:val="auto"/>
        </w:rPr>
        <w:t>. The sum of the Company’s cash paid of $23 million and the historical cost of the Company’s net liabilities assumed of $6 million was recorded as an adjustment to CEG’s noncontrolling interest balance. In addition, the Company reflected the entire $23 million of the Company’s purchase price, which was contributed back to the Company by CEG to pay down the acquired long-term debt, in the line item distributions to CEG, net of contributions, in the consolidated statements of stockholders’ equity.</w:t>
      </w:r>
    </w:p>
    <w:p>
      <w:pPr>
        <w:sectPr>
          <w:pgSz w:w="11880" w:h="15480" w:orient="portrait"/>
          <w:cols w:equalWidth="0" w:num="1">
            <w:col w:w="10260"/>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260"/>
          </w:cols>
          <w:pgMar w:left="820" w:top="367" w:right="800" w:bottom="0" w:gutter="0" w:footer="0" w:header="0"/>
          <w:type w:val="continuous"/>
        </w:sectPr>
      </w:pPr>
    </w:p>
    <w:bookmarkStart w:id="98" w:name="page99"/>
    <w:bookmarkEnd w:id="98"/>
    <w:p>
      <w:pPr>
        <w:ind w:right="20" w:firstLine="450"/>
        <w:spacing w:after="0" w:line="283" w:lineRule="auto"/>
        <w:rPr>
          <w:sz w:val="20"/>
          <w:szCs w:val="20"/>
          <w:color w:val="auto"/>
        </w:rPr>
      </w:pPr>
      <w:r>
        <w:rPr>
          <w:rFonts w:ascii="Arial" w:cs="Arial" w:eastAsia="Arial" w:hAnsi="Arial"/>
          <w:sz w:val="20"/>
          <w:szCs w:val="20"/>
          <w:color w:val="auto"/>
        </w:rPr>
        <w:t>The following is a summary of assets and liabilities transferred in connection with the acquisition as of December 28, 2023:</w:t>
      </w:r>
    </w:p>
    <w:p>
      <w:pPr>
        <w:sectPr>
          <w:pgSz w:w="11880" w:h="15480" w:orient="portrait"/>
          <w:cols w:equalWidth="0" w:num="1">
            <w:col w:w="10260"/>
          </w:cols>
          <w:pgMar w:left="820" w:top="367" w:right="800" w:bottom="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29210</wp:posOffset>
                </wp:positionV>
                <wp:extent cx="6514465" cy="1905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5" o:spid="_x0000_s1130" style="position:absolute;margin-left:-0.4499pt;margin-top:2.3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8"/>
          <w:szCs w:val="18"/>
          <w:color w:val="B4B4B4"/>
        </w:rPr>
        <w:t>. . . . . . . . . . . . . . .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4B4B4"/>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6" o:spid="_x0000_s1131"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net </w:t>
      </w:r>
      <w:r>
        <w:rPr>
          <w:rFonts w:ascii="Arial" w:cs="Arial" w:eastAsia="Arial" w:hAnsi="Arial"/>
          <w:sz w:val="18"/>
          <w:szCs w:val="18"/>
          <w:color w:val="B4B4B4"/>
        </w:rPr>
        <w:t>.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18"/>
          <w:szCs w:val="18"/>
          <w:color w:val="B4B4B4"/>
        </w:rPr>
        <w:t>. .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7" o:spid="_x0000_s1132"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color w:val="B4B4B4"/>
        </w:rPr>
        <w:t>.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4B4B4"/>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8" o:spid="_x0000_s1133"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18415</wp:posOffset>
                </wp:positionV>
                <wp:extent cx="6514465" cy="1905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09" o:spid="_x0000_s1134" style="position:absolute;margin-left:-0.4499pt;margin-top:1.4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4B4B4"/>
        </w:rPr>
        <w:t>.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18"/>
          <w:szCs w:val="18"/>
          <w:color w:val="B4B4B4"/>
        </w:rPr>
        <w:t>.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10" o:spid="_x0000_s1135"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4B4B4"/>
        </w:rPr>
        <w:t>. . . . . . . . . . . . . . . . . . . . . . . . . . . . . . . . . . . . . . . . . . . . . . . . . . . . . . . . . . . .</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liabilities assumed </w:t>
      </w:r>
      <w:r>
        <w:rPr>
          <w:rFonts w:ascii="Arial" w:cs="Arial" w:eastAsia="Arial" w:hAnsi="Arial"/>
          <w:sz w:val="18"/>
          <w:szCs w:val="18"/>
          <w:color w:val="B4B4B4"/>
        </w:rPr>
        <w:t>.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126682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5">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Texas Solar Nova 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00" w:type="dxa"/>
            <w:vAlign w:val="bottom"/>
            <w:tcBorders>
              <w:top w:val="single" w:sz="8" w:color="auto"/>
            </w:tcBorders>
          </w:tcPr>
          <w:p>
            <w:pPr>
              <w:jc w:val="right"/>
              <w:ind w:right="560"/>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362</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03"/>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77"/>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396</w:t>
            </w:r>
          </w:p>
        </w:tc>
      </w:tr>
      <w:tr>
        <w:trPr>
          <w:trHeight w:val="6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349</w:t>
            </w:r>
          </w:p>
        </w:tc>
      </w:tr>
      <w:tr>
        <w:trPr>
          <w:trHeight w:val="300"/>
        </w:trPr>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03"/>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r>
      <w:tr>
        <w:trPr>
          <w:trHeight w:val="280"/>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402</w:t>
            </w:r>
          </w:p>
        </w:tc>
      </w:tr>
      <w:tr>
        <w:trPr>
          <w:trHeight w:val="275"/>
        </w:trPr>
        <w:tc>
          <w:tcPr>
            <w:tcW w:w="800" w:type="dxa"/>
            <w:vAlign w:val="bottom"/>
            <w:tcBorders>
              <w:bottom w:val="single" w:sz="8" w:color="auto"/>
            </w:tcBorders>
          </w:tcPr>
          <w:p>
            <w:pPr>
              <w:jc w:val="right"/>
              <w:ind w:right="56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-43815</wp:posOffset>
            </wp:positionV>
            <wp:extent cx="120650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6">
                      <a:extLst>
                        <a:ext uri="{28A0092B-C50C-407E-A947-70E740481C1C}"/>
                      </a:extLst>
                    </a:blip>
                    <a:srcRect/>
                    <a:stretch>
                      <a:fillRect/>
                    </a:stretch>
                  </pic:blipFill>
                  <pic:spPr bwMode="auto">
                    <a:xfrm>
                      <a:off x="0" y="0"/>
                      <a:ext cx="1206500"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8260" w:space="140"/>
            <w:col w:w="1860"/>
          </w:cols>
          <w:pgMar w:left="820" w:top="367" w:right="800" w:bottom="0" w:gutter="0" w:footer="0" w:header="0"/>
          <w:type w:val="continuous"/>
        </w:sectPr>
      </w:pPr>
    </w:p>
    <w:p>
      <w:pPr>
        <w:spacing w:after="0" w:line="22" w:lineRule="exact"/>
        <w:rPr>
          <w:sz w:val="20"/>
          <w:szCs w:val="20"/>
          <w:color w:val="auto"/>
        </w:rPr>
      </w:pPr>
    </w:p>
    <w:p>
      <w:pPr>
        <w:ind w:left="80" w:right="20"/>
        <w:spacing w:after="0" w:line="209" w:lineRule="auto"/>
        <w:tabs>
          <w:tab w:leader="none" w:pos="305"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$90 million construction loan, $109 million cash equity bridge loan and $151 million tax equity bridge loan, offset by $1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pacing w:after="0" w:line="146" w:lineRule="exact"/>
        <w:rPr>
          <w:sz w:val="20"/>
          <w:szCs w:val="20"/>
          <w:color w:val="auto"/>
        </w:rPr>
      </w:pPr>
    </w:p>
    <w:p>
      <w:pPr>
        <w:jc w:val="both"/>
        <w:ind w:left="80" w:right="20" w:firstLine="450"/>
        <w:spacing w:after="0" w:line="284" w:lineRule="auto"/>
        <w:rPr>
          <w:sz w:val="20"/>
          <w:szCs w:val="20"/>
          <w:color w:val="auto"/>
        </w:rPr>
      </w:pPr>
      <w:r>
        <w:rPr>
          <w:rFonts w:ascii="Arial" w:cs="Arial" w:eastAsia="Arial" w:hAnsi="Arial"/>
          <w:sz w:val="18"/>
          <w:szCs w:val="18"/>
          <w:b w:val="1"/>
          <w:bCs w:val="1"/>
          <w:i w:val="1"/>
          <w:iCs w:val="1"/>
          <w:color w:val="auto"/>
        </w:rPr>
        <w:t xml:space="preserve">Daggett 2 Drop Down </w:t>
      </w:r>
      <w:r>
        <w:rPr>
          <w:rFonts w:ascii="Arial" w:cs="Arial" w:eastAsia="Arial" w:hAnsi="Arial"/>
          <w:sz w:val="18"/>
          <w:szCs w:val="18"/>
          <w:color w:val="auto"/>
        </w:rPr>
        <w:t>— On August 30, 2023, the Company, through its indirect subsidiary, Daggett Solar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acquired the Class A membership interests in Daggett 2 TargetCo LLC, a partnership and the indirect owner of Daggett 2, a 182 MW solar facility that is paired with a 131 MW BESS facility located in San Bernardino, California, from CEG for cash consideration of $13 million. Daggett 2 TargetCo LLC consolidates as primary beneficiary, Daggett 2 TE Holdco LLC, a tax equity fund that owns the Daggett 2 solar facility, as further described in Note 5, </w:t>
      </w:r>
      <w:r>
        <w:rPr>
          <w:rFonts w:ascii="Arial" w:cs="Arial" w:eastAsia="Arial" w:hAnsi="Arial"/>
          <w:sz w:val="18"/>
          <w:szCs w:val="18"/>
          <w:b w:val="1"/>
          <w:bCs w:val="1"/>
          <w:i w:val="1"/>
          <w:iCs w:val="1"/>
          <w:color w:val="auto"/>
        </w:rPr>
        <w:t>Investments Accounted for by the 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Method and Variable Interest Entities. </w:t>
      </w:r>
      <w:r>
        <w:rPr>
          <w:rFonts w:ascii="Arial" w:cs="Arial" w:eastAsia="Arial" w:hAnsi="Arial"/>
          <w:sz w:val="18"/>
          <w:szCs w:val="18"/>
          <w:color w:val="auto"/>
        </w:rPr>
        <w:t>Daggett 2 has PPAs with investment-grade counterparties that have a 15-year weighted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average contract duration that commenced in December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sum of the historical cost of the Company’s acquired interests of $29 million and the cash paid of $13 million was recorded as an adjustment to CEG’s noncontrolling interest balance.</w:t>
      </w:r>
    </w:p>
    <w:p>
      <w:pPr>
        <w:sectPr>
          <w:pgSz w:w="11880" w:h="15480" w:orient="portrait"/>
          <w:cols w:equalWidth="0" w:num="1">
            <w:col w:w="10260"/>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260"/>
          </w:cols>
          <w:pgMar w:left="820" w:top="367" w:right="800" w:bottom="0" w:gutter="0" w:footer="0" w:header="0"/>
          <w:type w:val="continuous"/>
        </w:sectPr>
      </w:pPr>
    </w:p>
    <w:bookmarkStart w:id="99" w:name="page100"/>
    <w:bookmarkEnd w:id="99"/>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August 30, 2023:</w:t>
      </w:r>
    </w:p>
    <w:p>
      <w:pPr>
        <w:sectPr>
          <w:pgSz w:w="11880" w:h="15480" w:orient="portrait"/>
          <w:cols w:equalWidth="0" w:num="1">
            <w:col w:w="10260"/>
          </w:cols>
          <w:pgMar w:left="820" w:top="367" w:right="800" w:bottom="0" w:gutter="0" w:footer="0" w:header="0"/>
        </w:sect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51510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7">
                      <a:extLst>
                        <a:ext uri="{28A0092B-C50C-407E-A947-70E740481C1C}"/>
                      </a:extLst>
                    </a:blip>
                    <a:srcRect/>
                    <a:stretch>
                      <a:fillRect/>
                    </a:stretch>
                  </pic:blipFill>
                  <pic:spPr bwMode="auto">
                    <a:xfrm>
                      <a:off x="0" y="0"/>
                      <a:ext cx="6515100" cy="196850"/>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8"/>
          <w:szCs w:val="18"/>
          <w:color w:val="B4B4B4"/>
        </w:rPr>
        <w:t>. . . . . . . . . . . . . . . . . . . . . . . . . . . . . . . . . . . . . . . . . . . . . . . . . . . . . . . . . . . . . . . . . . . . . . . . . . . .</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18415</wp:posOffset>
                </wp:positionV>
                <wp:extent cx="6514465" cy="1905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14" o:spid="_x0000_s1139" style="position:absolute;margin-left:-0.4499pt;margin-top:1.4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4B4B4"/>
        </w:rPr>
        <w:t>.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net </w:t>
      </w:r>
      <w:r>
        <w:rPr>
          <w:rFonts w:ascii="Arial" w:cs="Arial" w:eastAsia="Arial" w:hAnsi="Arial"/>
          <w:sz w:val="18"/>
          <w:szCs w:val="18"/>
          <w:color w:val="B4B4B4"/>
        </w:rPr>
        <w:t>.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651510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8">
                      <a:extLst>
                        <a:ext uri="{28A0092B-C50C-407E-A947-70E740481C1C}"/>
                      </a:extLst>
                    </a:blip>
                    <a:srcRect/>
                    <a:stretch>
                      <a:fillRect/>
                    </a:stretch>
                  </pic:blipFill>
                  <pic:spPr bwMode="auto">
                    <a:xfrm>
                      <a:off x="0" y="0"/>
                      <a:ext cx="6515100" cy="196850"/>
                    </a:xfrm>
                    <a:prstGeom prst="rect">
                      <a:avLst/>
                    </a:prstGeom>
                    <a:noFill/>
                  </pic:spPr>
                </pic:pic>
              </a:graphicData>
            </a:graphic>
          </wp:anchor>
        </w:drawing>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18"/>
          <w:szCs w:val="18"/>
          <w:color w:val="B4B4B4"/>
        </w:rPr>
        <w:t>. . . . . .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4B4B4"/>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16" o:spid="_x0000_s1141"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18415</wp:posOffset>
                </wp:positionV>
                <wp:extent cx="6514465" cy="19050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17" o:spid="_x0000_s1142" style="position:absolute;margin-left:-0.4499pt;margin-top:1.4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4B4B4"/>
        </w:rPr>
        <w:t>.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18"/>
          <w:szCs w:val="18"/>
          <w:color w:val="B4B4B4"/>
        </w:rPr>
        <w:t>.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515100" cy="203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9">
                      <a:extLst>
                        <a:ext uri="{28A0092B-C50C-407E-A947-70E740481C1C}"/>
                      </a:extLst>
                    </a:blip>
                    <a:srcRect/>
                    <a:stretch>
                      <a:fillRect/>
                    </a:stretch>
                  </pic:blipFill>
                  <pic:spPr bwMode="auto">
                    <a:xfrm>
                      <a:off x="0" y="0"/>
                      <a:ext cx="6515100" cy="203200"/>
                    </a:xfrm>
                    <a:prstGeom prst="rect">
                      <a:avLst/>
                    </a:prstGeom>
                    <a:noFill/>
                  </pic:spPr>
                </pic:pic>
              </a:graphicData>
            </a:graphic>
          </wp:anchor>
        </w:drawing>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4B4B4"/>
        </w:rPr>
        <w:t>.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18"/>
          <w:szCs w:val="18"/>
          <w:color w:val="B4B4B4"/>
        </w:rPr>
        <w:t>.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527800"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0">
                      <a:extLst>
                        <a:ext uri="{28A0092B-C50C-407E-A947-70E740481C1C}"/>
                      </a:extLst>
                    </a:blip>
                    <a:srcRect/>
                    <a:stretch>
                      <a:fillRect/>
                    </a:stretch>
                  </pic:blipFill>
                  <pic:spPr bwMode="auto">
                    <a:xfrm>
                      <a:off x="0" y="0"/>
                      <a:ext cx="6527800" cy="231775"/>
                    </a:xfrm>
                    <a:prstGeom prst="rect">
                      <a:avLst/>
                    </a:prstGeom>
                    <a:noFill/>
                  </pic:spPr>
                </pic:pic>
              </a:graphicData>
            </a:graphic>
          </wp:anchor>
        </w:drawing>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assets acquired less noncontrolling interests </w:t>
      </w:r>
      <w:r>
        <w:rPr>
          <w:rFonts w:ascii="Arial" w:cs="Arial" w:eastAsia="Arial" w:hAnsi="Arial"/>
          <w:sz w:val="18"/>
          <w:szCs w:val="18"/>
          <w:color w:val="B4B4B4"/>
        </w:rPr>
        <w:t>.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126682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1">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Daggett 2</w:t>
      </w:r>
    </w:p>
    <w:p>
      <w:pPr>
        <w:spacing w:after="0" w:line="72"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1</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119</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379</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22</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22</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543</w:t>
      </w:r>
    </w:p>
    <w:p>
      <w:pPr>
        <w:spacing w:after="0" w:line="3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308</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23</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28</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359</w:t>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213</w:t>
      </w:r>
    </w:p>
    <w:p>
      <w:pPr>
        <w:spacing w:after="0" w:line="85" w:lineRule="exact"/>
        <w:rPr>
          <w:sz w:val="20"/>
          <w:szCs w:val="20"/>
          <w:color w:val="auto"/>
        </w:rPr>
      </w:pPr>
    </w:p>
    <w:p>
      <w:pPr>
        <w:spacing w:after="0"/>
        <w:tabs>
          <w:tab w:leader="none" w:pos="144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(29)</w:t>
      </w:r>
    </w:p>
    <w:p>
      <w:pPr>
        <w:spacing w:after="0" w:line="200" w:lineRule="exact"/>
        <w:rPr>
          <w:sz w:val="20"/>
          <w:szCs w:val="20"/>
          <w:color w:val="auto"/>
        </w:rPr>
      </w:pPr>
    </w:p>
    <w:p>
      <w:pPr>
        <w:sectPr>
          <w:pgSz w:w="11880" w:h="15480" w:orient="portrait"/>
          <w:cols w:equalWidth="0" w:num="2">
            <w:col w:w="8260" w:space="180"/>
            <w:col w:w="1820"/>
          </w:cols>
          <w:pgMar w:left="820" w:top="367" w:right="800" w:bottom="0" w:gutter="0" w:footer="0" w:header="0"/>
          <w:type w:val="continuous"/>
        </w:sectPr>
      </w:pPr>
    </w:p>
    <w:p>
      <w:pPr>
        <w:spacing w:after="0" w:line="108" w:lineRule="exact"/>
        <w:rPr>
          <w:sz w:val="20"/>
          <w:szCs w:val="20"/>
          <w:color w:val="auto"/>
        </w:rPr>
      </w:pPr>
    </w:p>
    <w:p>
      <w:pPr>
        <w:ind w:left="80"/>
        <w:spacing w:after="0" w:line="209" w:lineRule="auto"/>
        <w:tabs>
          <w:tab w:leader="none" w:pos="321" w:val="left"/>
        </w:tabs>
        <w:numPr>
          <w:ilvl w:val="0"/>
          <w:numId w:val="49"/>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funds that were contributed by the cash equity investor and tax equity investor, which were primarily used to pay off the tax equity bridge loan when the facility reached substantial completion on December 22, 2023, as further discussed in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w:t>
      </w:r>
    </w:p>
    <w:p>
      <w:pPr>
        <w:spacing w:after="0" w:line="71" w:lineRule="exact"/>
        <w:rPr>
          <w:rFonts w:ascii="Arial" w:cs="Arial" w:eastAsia="Arial" w:hAnsi="Arial"/>
          <w:sz w:val="26"/>
          <w:szCs w:val="26"/>
          <w:color w:val="auto"/>
          <w:vertAlign w:val="superscript"/>
        </w:rPr>
      </w:pPr>
    </w:p>
    <w:p>
      <w:pPr>
        <w:ind w:left="80" w:right="20"/>
        <w:spacing w:after="0" w:line="223" w:lineRule="auto"/>
        <w:tabs>
          <w:tab w:leader="none" w:pos="326" w:val="left"/>
        </w:tabs>
        <w:numPr>
          <w:ilvl w:val="0"/>
          <w:numId w:val="49"/>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$107 million construction loan and $204 million tax equity bridge loan, offset by $3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for further discussion of the long-term debt assumed in the acquisition.</w:t>
      </w:r>
    </w:p>
    <w:p>
      <w:pPr>
        <w:spacing w:after="0" w:line="166"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8"/>
          <w:szCs w:val="18"/>
          <w:b w:val="1"/>
          <w:bCs w:val="1"/>
          <w:i w:val="1"/>
          <w:iCs w:val="1"/>
          <w:color w:val="auto"/>
        </w:rPr>
        <w:t xml:space="preserve">Daggett 3 Drop Down </w:t>
      </w:r>
      <w:r>
        <w:rPr>
          <w:rFonts w:ascii="Arial" w:cs="Arial" w:eastAsia="Arial" w:hAnsi="Arial"/>
          <w:sz w:val="18"/>
          <w:szCs w:val="18"/>
          <w:color w:val="auto"/>
        </w:rPr>
        <w:t>— On February 17, 2023, the Company, through its indirect subsidiary, Daggett Solar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acquired the Class A membership interests in Daggett TargetCo LLC, the indirect owner of Daggett 3, a 300 MW solar facility that is paired with a 149 MW BESS facility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facility, as further described in Note 5, </w:t>
      </w:r>
      <w:r>
        <w:rPr>
          <w:rFonts w:ascii="Arial" w:cs="Arial" w:eastAsia="Arial" w:hAnsi="Arial"/>
          <w:sz w:val="18"/>
          <w:szCs w:val="18"/>
          <w:b w:val="1"/>
          <w:bCs w:val="1"/>
          <w:i w:val="1"/>
          <w:iCs w:val="1"/>
          <w:color w:val="auto"/>
        </w:rPr>
        <w:t>Investments Accounted for by the 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Method and Variable Interest Entities. </w:t>
      </w:r>
      <w:r>
        <w:rPr>
          <w:rFonts w:ascii="Arial" w:cs="Arial" w:eastAsia="Arial" w:hAnsi="Arial"/>
          <w:sz w:val="18"/>
          <w:szCs w:val="18"/>
          <w:color w:val="auto"/>
        </w:rPr>
        <w:t>Daggett 3 has PPAs with investment-grade counterparties that have a 15-year weighted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average contract duration that commenced between July 2023 and November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difference between the cash paid of $21 million and the historical cost of the Company’s net assets acquired of $15 million was recorded as an adjustment to CEG’s noncontrolling interest balance. In addition, the Company reflected the entire $21 million of the Company’s purchase price, which was contributed back to the Company by CEG to pay down the acquired long-term debt, in the line item distributions to CEG, net of contributions, in the consolidated statements of stockholders’ equity.</w:t>
      </w:r>
    </w:p>
    <w:p>
      <w:pPr>
        <w:sectPr>
          <w:pgSz w:w="11880" w:h="15480" w:orient="portrait"/>
          <w:cols w:equalWidth="0" w:num="1">
            <w:col w:w="10260"/>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260"/>
          </w:cols>
          <w:pgMar w:left="820" w:top="367" w:right="800" w:bottom="0" w:gutter="0" w:footer="0" w:header="0"/>
          <w:type w:val="continuous"/>
        </w:sectPr>
      </w:pPr>
    </w:p>
    <w:bookmarkStart w:id="100" w:name="page101"/>
    <w:bookmarkEnd w:id="100"/>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February 17, 2023:</w:t>
      </w:r>
    </w:p>
    <w:p>
      <w:pPr>
        <w:sectPr>
          <w:pgSz w:w="11880" w:h="15480" w:orient="portrait"/>
          <w:cols w:equalWidth="0" w:num="1">
            <w:col w:w="10260"/>
          </w:cols>
          <w:pgMar w:left="820" w:top="367" w:right="800" w:bottom="0" w:gutter="0" w:footer="0" w:header="0"/>
        </w:sect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29210</wp:posOffset>
                </wp:positionV>
                <wp:extent cx="6514465" cy="1905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21" o:spid="_x0000_s1146" style="position:absolute;margin-left:-0.4499pt;margin-top:2.3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B4B4B4"/>
        </w:rPr>
        <w:t>. . . . . . .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4B4B4"/>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22" o:spid="_x0000_s1147"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net </w:t>
      </w:r>
      <w:r>
        <w:rPr>
          <w:rFonts w:ascii="Arial" w:cs="Arial" w:eastAsia="Arial" w:hAnsi="Arial"/>
          <w:sz w:val="18"/>
          <w:szCs w:val="18"/>
          <w:color w:val="B4B4B4"/>
        </w:rPr>
        <w:t>. . . . . . . . . . . . . . . . . . . . . . . . . . . . . . . . . . . . . . . . . . . . . . . . . . . . . . . . . . . . . .</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18"/>
          <w:szCs w:val="18"/>
          <w:color w:val="B4B4B4"/>
        </w:rPr>
        <w:t>. .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23" o:spid="_x0000_s1148"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4B4B4"/>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233045</wp:posOffset>
                </wp:positionV>
                <wp:extent cx="6514465" cy="1905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24" o:spid="_x0000_s1149" style="position:absolute;margin-left:-0.4499pt;margin-top:18.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 . . . . . . . . . . . . . . . . . . . .</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4B4B4"/>
        </w:rPr>
        <w:t>.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wp:posOffset>
                </wp:positionV>
                <wp:extent cx="6514465" cy="19050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6E6E6"/>
                        </a:solidFill>
                      </wps:spPr>
                      <wps:bodyPr/>
                    </wps:wsp>
                  </a:graphicData>
                </a:graphic>
              </wp:anchor>
            </w:drawing>
          </mc:Choice>
          <mc:Fallback>
            <w:pict>
              <v:rect id="Shape 125" o:spid="_x0000_s1150" style="position:absolute;margin-left:-0.4499pt;margin-top:3.3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 . . . . . . . .</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4B4B4"/>
        </w:rPr>
        <w:t>.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6527800" cy="2254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2">
                      <a:extLst>
                        <a:ext uri="{28A0092B-C50C-407E-A947-70E740481C1C}"/>
                      </a:extLst>
                    </a:blip>
                    <a:srcRect/>
                    <a:stretch>
                      <a:fillRect/>
                    </a:stretch>
                  </pic:blipFill>
                  <pic:spPr bwMode="auto">
                    <a:xfrm>
                      <a:off x="0" y="0"/>
                      <a:ext cx="6527800" cy="225425"/>
                    </a:xfrm>
                    <a:prstGeom prst="rect">
                      <a:avLst/>
                    </a:prstGeom>
                    <a:noFill/>
                  </pic:spPr>
                </pic:pic>
              </a:graphicData>
            </a:graphic>
          </wp:anchor>
        </w:drawing>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assets acquired </w:t>
      </w:r>
      <w:r>
        <w:rPr>
          <w:rFonts w:ascii="Arial" w:cs="Arial" w:eastAsia="Arial" w:hAnsi="Arial"/>
          <w:sz w:val="18"/>
          <w:szCs w:val="18"/>
          <w:color w:val="B4B4B4"/>
        </w:rPr>
        <w:t>.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126682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3">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18"/>
                <w:szCs w:val="18"/>
                <w:b w:val="1"/>
                <w:bCs w:val="1"/>
                <w:color w:val="auto"/>
              </w:rPr>
              <w:t>Daggett 3</w:t>
            </w:r>
          </w:p>
        </w:tc>
      </w:tr>
      <w:tr>
        <w:trPr>
          <w:trHeight w:val="277"/>
        </w:trPr>
        <w:tc>
          <w:tcPr>
            <w:tcW w:w="3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4</w:t>
            </w:r>
          </w:p>
        </w:tc>
      </w:tr>
      <w:tr>
        <w:trPr>
          <w:trHeight w:val="300"/>
        </w:trPr>
        <w:tc>
          <w:tcPr>
            <w:tcW w:w="360" w:type="dxa"/>
            <w:vAlign w:val="bottom"/>
          </w:tcPr>
          <w:p>
            <w:pPr>
              <w:spacing w:after="0"/>
              <w:rPr>
                <w:sz w:val="24"/>
                <w:szCs w:val="24"/>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534</w:t>
            </w:r>
          </w:p>
        </w:tc>
      </w:tr>
      <w:tr>
        <w:trPr>
          <w:trHeight w:val="300"/>
        </w:trPr>
        <w:tc>
          <w:tcPr>
            <w:tcW w:w="360" w:type="dxa"/>
            <w:vAlign w:val="bottom"/>
          </w:tcPr>
          <w:p>
            <w:pPr>
              <w:spacing w:after="0"/>
              <w:rPr>
                <w:sz w:val="24"/>
                <w:szCs w:val="24"/>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31</w:t>
            </w:r>
          </w:p>
        </w:tc>
      </w:tr>
      <w:tr>
        <w:trPr>
          <w:trHeight w:val="303"/>
        </w:trPr>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w:t>
            </w:r>
          </w:p>
        </w:tc>
      </w:tr>
      <w:tr>
        <w:trPr>
          <w:trHeight w:val="277"/>
        </w:trPr>
        <w:tc>
          <w:tcPr>
            <w:tcW w:w="360" w:type="dxa"/>
            <w:vAlign w:val="bottom"/>
          </w:tcPr>
          <w:p>
            <w:pPr>
              <w:spacing w:after="0"/>
              <w:rPr>
                <w:sz w:val="24"/>
                <w:szCs w:val="24"/>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596</w:t>
            </w:r>
          </w:p>
        </w:tc>
      </w:tr>
      <w:tr>
        <w:trPr>
          <w:trHeight w:val="600"/>
        </w:trPr>
        <w:tc>
          <w:tcPr>
            <w:tcW w:w="360" w:type="dxa"/>
            <w:vAlign w:val="bottom"/>
          </w:tcPr>
          <w:p>
            <w:pPr>
              <w:spacing w:after="0"/>
              <w:rPr>
                <w:sz w:val="24"/>
                <w:szCs w:val="24"/>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480</w:t>
            </w:r>
          </w:p>
        </w:tc>
      </w:tr>
      <w:tr>
        <w:trPr>
          <w:trHeight w:val="300"/>
        </w:trPr>
        <w:tc>
          <w:tcPr>
            <w:tcW w:w="360" w:type="dxa"/>
            <w:vAlign w:val="bottom"/>
          </w:tcPr>
          <w:p>
            <w:pPr>
              <w:spacing w:after="0"/>
              <w:rPr>
                <w:sz w:val="24"/>
                <w:szCs w:val="24"/>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33</w:t>
            </w:r>
          </w:p>
        </w:tc>
      </w:tr>
      <w:tr>
        <w:trPr>
          <w:trHeight w:val="303"/>
        </w:trPr>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68</w:t>
            </w:r>
          </w:p>
        </w:tc>
      </w:tr>
      <w:tr>
        <w:trPr>
          <w:trHeight w:val="280"/>
        </w:trPr>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581</w:t>
            </w:r>
          </w:p>
        </w:tc>
      </w:tr>
      <w:tr>
        <w:trPr>
          <w:trHeight w:val="275"/>
        </w:trPr>
        <w:tc>
          <w:tcPr>
            <w:tcW w:w="36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8260" w:space="140"/>
            <w:col w:w="1860"/>
          </w:cols>
          <w:pgMar w:left="820" w:top="367" w:right="800" w:bottom="0" w:gutter="0" w:footer="0" w:header="0"/>
          <w:type w:val="continuous"/>
        </w:sectPr>
      </w:pPr>
    </w:p>
    <w:p>
      <w:pPr>
        <w:spacing w:after="0" w:line="22" w:lineRule="exact"/>
        <w:rPr>
          <w:sz w:val="20"/>
          <w:szCs w:val="20"/>
          <w:color w:val="auto"/>
        </w:rPr>
      </w:pPr>
    </w:p>
    <w:p>
      <w:pPr>
        <w:ind w:left="80" w:right="20"/>
        <w:spacing w:after="0" w:line="209" w:lineRule="auto"/>
        <w:tabs>
          <w:tab w:leader="none" w:pos="304"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$181 million construction loan, $75 million cash equity bridge loan and $229 million tax equity bridge loan, offset by $5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for further discussion of the long-term debt assumed in the acquisition.</w:t>
      </w:r>
    </w:p>
    <w:p>
      <w:pPr>
        <w:spacing w:after="0" w:line="71" w:lineRule="exact"/>
        <w:rPr>
          <w:rFonts w:ascii="Arial" w:cs="Arial" w:eastAsia="Arial" w:hAnsi="Arial"/>
          <w:sz w:val="26"/>
          <w:szCs w:val="26"/>
          <w:color w:val="auto"/>
          <w:vertAlign w:val="superscript"/>
        </w:rPr>
      </w:pPr>
    </w:p>
    <w:p>
      <w:pPr>
        <w:ind w:left="80" w:right="20"/>
        <w:spacing w:after="0" w:line="209" w:lineRule="auto"/>
        <w:tabs>
          <w:tab w:leader="none" w:pos="317"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Includes $32 million of facility costs that were subsequently funded by CEG. Subsequent to the acquisition date, CEG funded an additional $22 million in facility costs. The combined $54 million funded by CEG was repaid to CEG in October 2023.</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Note 4 — Property, Plant and Equipment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major classes of property, plant, and equipment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w w:val="94"/>
              </w:rPr>
              <w:t>December 31, 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w w:val="95"/>
              </w:rPr>
              <w:t>December 31, 2023</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Depreciable Lives</w:t>
            </w:r>
          </w:p>
        </w:tc>
      </w:tr>
      <w:tr>
        <w:trPr>
          <w:trHeight w:val="282"/>
        </w:trPr>
        <w:tc>
          <w:tcPr>
            <w:tcW w:w="1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4"/>
          </w:tcPr>
          <w:p>
            <w:pPr>
              <w:jc w:val="right"/>
              <w:ind w:right="1523"/>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08"/>
        </w:trPr>
        <w:tc>
          <w:tcPr>
            <w:tcW w:w="45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w w:val="91"/>
              </w:rPr>
              <w:t xml:space="preserve">Facilities and equipment </w:t>
            </w:r>
            <w:r>
              <w:rPr>
                <w:rFonts w:ascii="Arial" w:cs="Arial" w:eastAsia="Arial" w:hAnsi="Arial"/>
                <w:sz w:val="20"/>
                <w:szCs w:val="20"/>
                <w:color w:val="B4B4B4"/>
                <w:w w:val="91"/>
              </w:rPr>
              <w:t>. . . . . . . . . . . . . . . . . . . . . . . . .</w:t>
            </w:r>
          </w:p>
        </w:tc>
        <w:tc>
          <w:tcPr>
            <w:tcW w:w="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13,302</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176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11,426</w:t>
            </w:r>
          </w:p>
        </w:tc>
        <w:tc>
          <w:tcPr>
            <w:tcW w:w="60" w:type="dxa"/>
            <w:vAlign w:val="bottom"/>
            <w:shd w:val="clear" w:color="auto" w:fill="E6E6E6"/>
          </w:tcPr>
          <w:p>
            <w:pPr>
              <w:spacing w:after="0"/>
              <w:rPr>
                <w:sz w:val="24"/>
                <w:szCs w:val="24"/>
                <w:color w:val="auto"/>
              </w:rPr>
            </w:pPr>
          </w:p>
        </w:tc>
        <w:tc>
          <w:tcPr>
            <w:tcW w:w="15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3 - 40 Years</w:t>
            </w:r>
          </w:p>
        </w:tc>
      </w:tr>
      <w:tr>
        <w:trPr>
          <w:trHeight w:val="294"/>
        </w:trPr>
        <w:tc>
          <w:tcPr>
            <w:tcW w:w="4560" w:type="dxa"/>
            <w:vAlign w:val="bottom"/>
            <w:gridSpan w:val="2"/>
          </w:tcPr>
          <w:p>
            <w:pPr>
              <w:jc w:val="right"/>
              <w:ind w:right="40"/>
              <w:spacing w:after="0"/>
              <w:rPr>
                <w:sz w:val="20"/>
                <w:szCs w:val="20"/>
                <w:color w:val="auto"/>
              </w:rPr>
            </w:pPr>
            <w:r>
              <w:rPr>
                <w:rFonts w:ascii="Arial" w:cs="Arial" w:eastAsia="Arial" w:hAnsi="Arial"/>
                <w:sz w:val="20"/>
                <w:szCs w:val="20"/>
                <w:color w:val="auto"/>
                <w:w w:val="91"/>
              </w:rPr>
              <w:t xml:space="preserve">Land and improvements </w:t>
            </w:r>
            <w:r>
              <w:rPr>
                <w:rFonts w:ascii="Arial" w:cs="Arial" w:eastAsia="Arial" w:hAnsi="Arial"/>
                <w:sz w:val="20"/>
                <w:szCs w:val="20"/>
                <w:color w:val="B4B4B4"/>
                <w:w w:val="91"/>
              </w:rPr>
              <w:t>. . . . . . . . . . . . . . . . . . . . . . . . .</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537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3"/>
              <w:spacing w:after="0"/>
              <w:rPr>
                <w:sz w:val="20"/>
                <w:szCs w:val="20"/>
                <w:color w:val="auto"/>
              </w:rPr>
            </w:pPr>
            <w:r>
              <w:rPr>
                <w:rFonts w:ascii="Arial" w:cs="Arial" w:eastAsia="Arial" w:hAnsi="Arial"/>
                <w:sz w:val="20"/>
                <w:szCs w:val="20"/>
                <w:color w:val="auto"/>
              </w:rPr>
              <w:t>365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6"/>
        </w:trPr>
        <w:tc>
          <w:tcPr>
            <w:tcW w:w="4560" w:type="dxa"/>
            <w:vAlign w:val="bottom"/>
            <w:tcBorders>
              <w:bottom w:val="single" w:sz="8" w:color="E6E6E6"/>
            </w:tcBorders>
            <w:gridSpan w:val="2"/>
            <w:shd w:val="clear" w:color="auto" w:fill="E6E6E6"/>
          </w:tcPr>
          <w:p>
            <w:pPr>
              <w:jc w:val="right"/>
              <w:ind w:right="40"/>
              <w:spacing w:after="0" w:line="297" w:lineRule="exact"/>
              <w:rPr>
                <w:sz w:val="20"/>
                <w:szCs w:val="20"/>
                <w:color w:val="auto"/>
              </w:rPr>
            </w:pPr>
            <w:r>
              <w:rPr>
                <w:rFonts w:ascii="Arial" w:cs="Arial" w:eastAsia="Arial" w:hAnsi="Arial"/>
                <w:sz w:val="20"/>
                <w:szCs w:val="20"/>
                <w:color w:val="auto"/>
                <w:w w:val="89"/>
              </w:rPr>
              <w:t xml:space="preserve">Construction in progress </w:t>
            </w:r>
            <w:r>
              <w:rPr>
                <w:rFonts w:ascii="Arial" w:cs="Arial" w:eastAsia="Arial" w:hAnsi="Arial"/>
                <w:sz w:val="26"/>
                <w:szCs w:val="26"/>
                <w:color w:val="auto"/>
                <w:w w:val="89"/>
                <w:vertAlign w:val="superscript"/>
              </w:rPr>
              <w:t>(a) (b)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191</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76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1,220</w:t>
            </w:r>
          </w:p>
        </w:tc>
        <w:tc>
          <w:tcPr>
            <w:tcW w:w="60" w:type="dxa"/>
            <w:vAlign w:val="bottom"/>
            <w:tcBorders>
              <w:bottom w:val="single" w:sz="8" w:color="E6E6E6"/>
            </w:tcBorders>
            <w:shd w:val="clear" w:color="auto" w:fill="E6E6E6"/>
          </w:tcPr>
          <w:p>
            <w:pPr>
              <w:spacing w:after="0"/>
              <w:rPr>
                <w:sz w:val="24"/>
                <w:szCs w:val="24"/>
                <w:color w:val="auto"/>
              </w:rPr>
            </w:pPr>
          </w:p>
        </w:tc>
        <w:tc>
          <w:tcPr>
            <w:tcW w:w="1560" w:type="dxa"/>
            <w:vAlign w:val="bottom"/>
            <w:tcBorders>
              <w:bottom w:val="single" w:sz="8" w:color="E6E6E6"/>
            </w:tcBorders>
            <w:shd w:val="clear" w:color="auto" w:fill="E6E6E6"/>
          </w:tcPr>
          <w:p>
            <w:pPr>
              <w:spacing w:after="0"/>
              <w:rPr>
                <w:sz w:val="24"/>
                <w:szCs w:val="24"/>
                <w:color w:val="auto"/>
              </w:rPr>
            </w:pPr>
          </w:p>
        </w:tc>
      </w:tr>
      <w:tr>
        <w:trPr>
          <w:trHeight w:val="284"/>
        </w:trPr>
        <w:tc>
          <w:tcPr>
            <w:tcW w:w="4560" w:type="dxa"/>
            <w:vAlign w:val="bottom"/>
            <w:gridSpan w:val="2"/>
          </w:tcPr>
          <w:p>
            <w:pPr>
              <w:jc w:val="right"/>
              <w:ind w:right="60"/>
              <w:spacing w:after="0"/>
              <w:rPr>
                <w:sz w:val="20"/>
                <w:szCs w:val="20"/>
                <w:color w:val="auto"/>
              </w:rPr>
            </w:pPr>
            <w:r>
              <w:rPr>
                <w:rFonts w:ascii="Arial" w:cs="Arial" w:eastAsia="Arial" w:hAnsi="Arial"/>
                <w:sz w:val="20"/>
                <w:szCs w:val="20"/>
                <w:color w:val="auto"/>
                <w:w w:val="97"/>
              </w:rPr>
              <w:t xml:space="preserve">Total property, plant and equipment </w:t>
            </w:r>
            <w:r>
              <w:rPr>
                <w:rFonts w:ascii="Arial" w:cs="Arial" w:eastAsia="Arial" w:hAnsi="Arial"/>
                <w:sz w:val="20"/>
                <w:szCs w:val="20"/>
                <w:color w:val="B4B4B4"/>
                <w:w w:val="97"/>
              </w:rPr>
              <w:t>. . . . . . . . . . . . .</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14,030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3"/>
              <w:spacing w:after="0"/>
              <w:rPr>
                <w:sz w:val="20"/>
                <w:szCs w:val="20"/>
                <w:color w:val="auto"/>
              </w:rPr>
            </w:pPr>
            <w:r>
              <w:rPr>
                <w:rFonts w:ascii="Arial" w:cs="Arial" w:eastAsia="Arial" w:hAnsi="Arial"/>
                <w:sz w:val="20"/>
                <w:szCs w:val="20"/>
                <w:color w:val="auto"/>
              </w:rPr>
              <w:t>13,011</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6"/>
        </w:trPr>
        <w:tc>
          <w:tcPr>
            <w:tcW w:w="456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20"/>
                <w:szCs w:val="20"/>
                <w:color w:val="auto"/>
                <w:w w:val="92"/>
              </w:rPr>
              <w:t xml:space="preserve">Accumulated depreciation </w:t>
            </w:r>
            <w:r>
              <w:rPr>
                <w:rFonts w:ascii="Arial" w:cs="Arial" w:eastAsia="Arial" w:hAnsi="Arial"/>
                <w:sz w:val="20"/>
                <w:szCs w:val="20"/>
                <w:color w:val="B4B4B4"/>
                <w:w w:val="92"/>
              </w:rPr>
              <w:t>. . . . . . . . .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(4,086)</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(3,485)</w:t>
            </w:r>
          </w:p>
        </w:tc>
        <w:tc>
          <w:tcPr>
            <w:tcW w:w="60" w:type="dxa"/>
            <w:vAlign w:val="bottom"/>
            <w:tcBorders>
              <w:bottom w:val="single" w:sz="8" w:color="E6E6E6"/>
            </w:tcBorders>
            <w:shd w:val="clear" w:color="auto" w:fill="E6E6E6"/>
          </w:tcPr>
          <w:p>
            <w:pPr>
              <w:spacing w:after="0"/>
              <w:rPr>
                <w:sz w:val="24"/>
                <w:szCs w:val="24"/>
                <w:color w:val="auto"/>
              </w:rPr>
            </w:pPr>
          </w:p>
        </w:tc>
        <w:tc>
          <w:tcPr>
            <w:tcW w:w="1560" w:type="dxa"/>
            <w:vAlign w:val="bottom"/>
            <w:tcBorders>
              <w:bottom w:val="single" w:sz="8" w:color="E6E6E6"/>
            </w:tcBorders>
            <w:shd w:val="clear" w:color="auto" w:fill="E6E6E6"/>
          </w:tcPr>
          <w:p>
            <w:pPr>
              <w:spacing w:after="0"/>
              <w:rPr>
                <w:sz w:val="24"/>
                <w:szCs w:val="24"/>
                <w:color w:val="auto"/>
              </w:rPr>
            </w:pPr>
          </w:p>
        </w:tc>
      </w:tr>
      <w:tr>
        <w:trPr>
          <w:trHeight w:val="260"/>
        </w:trPr>
        <w:tc>
          <w:tcPr>
            <w:tcW w:w="4560" w:type="dxa"/>
            <w:vAlign w:val="bottom"/>
            <w:gridSpan w:val="2"/>
          </w:tcPr>
          <w:p>
            <w:pPr>
              <w:jc w:val="right"/>
              <w:ind w:right="60"/>
              <w:spacing w:after="0"/>
              <w:rPr>
                <w:sz w:val="20"/>
                <w:szCs w:val="20"/>
                <w:color w:val="auto"/>
              </w:rPr>
            </w:pPr>
            <w:r>
              <w:rPr>
                <w:rFonts w:ascii="Arial" w:cs="Arial" w:eastAsia="Arial" w:hAnsi="Arial"/>
                <w:sz w:val="20"/>
                <w:szCs w:val="20"/>
                <w:color w:val="auto"/>
                <w:w w:val="96"/>
              </w:rPr>
              <w:t xml:space="preserve">Net property, plant and equipment  </w:t>
            </w:r>
            <w:r>
              <w:rPr>
                <w:rFonts w:ascii="Arial" w:cs="Arial" w:eastAsia="Arial" w:hAnsi="Arial"/>
                <w:sz w:val="20"/>
                <w:szCs w:val="20"/>
                <w:color w:val="B4B4B4"/>
                <w:w w:val="96"/>
              </w:rPr>
              <w:t>. . . . . . . . . . . . . .</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9,944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60" w:type="dxa"/>
            <w:vAlign w:val="bottom"/>
          </w:tcPr>
          <w:p>
            <w:pPr>
              <w:jc w:val="right"/>
              <w:ind w:right="3"/>
              <w:spacing w:after="0"/>
              <w:rPr>
                <w:sz w:val="20"/>
                <w:szCs w:val="20"/>
                <w:color w:val="auto"/>
              </w:rPr>
            </w:pPr>
            <w:r>
              <w:rPr>
                <w:rFonts w:ascii="Arial" w:cs="Arial" w:eastAsia="Arial" w:hAnsi="Arial"/>
                <w:sz w:val="20"/>
                <w:szCs w:val="20"/>
                <w:color w:val="auto"/>
              </w:rPr>
              <w:t>9,526</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1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35"/>
        </w:trPr>
        <w:tc>
          <w:tcPr>
            <w:tcW w:w="198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-142240</wp:posOffset>
            </wp:positionV>
            <wp:extent cx="260667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4">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87" w:lineRule="exact"/>
        <w:rPr>
          <w:sz w:val="20"/>
          <w:szCs w:val="20"/>
          <w:color w:val="auto"/>
        </w:rPr>
      </w:pPr>
    </w:p>
    <w:p>
      <w:pPr>
        <w:ind w:left="80" w:right="20"/>
        <w:spacing w:after="0" w:line="234" w:lineRule="auto"/>
        <w:tabs>
          <w:tab w:leader="none" w:pos="278"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As of December 31, 2024 and 2023, construction in progress included $23 million and $21 million, respectively, of capital expenditures that relate to prepaid long-term service agreements for facilities in the Flexible Generation segment.</w:t>
      </w:r>
    </w:p>
    <w:p>
      <w:pPr>
        <w:spacing w:after="0" w:line="56" w:lineRule="exact"/>
        <w:rPr>
          <w:rFonts w:ascii="Arial" w:cs="Arial" w:eastAsia="Arial" w:hAnsi="Arial"/>
          <w:sz w:val="24"/>
          <w:szCs w:val="24"/>
          <w:color w:val="auto"/>
          <w:vertAlign w:val="superscript"/>
        </w:rPr>
      </w:pPr>
    </w:p>
    <w:p>
      <w:pPr>
        <w:ind w:left="80" w:right="20"/>
        <w:spacing w:after="0" w:line="218" w:lineRule="auto"/>
        <w:tabs>
          <w:tab w:leader="none" w:pos="299" w:val="left"/>
        </w:tabs>
        <w:numPr>
          <w:ilvl w:val="0"/>
          <w:numId w:val="51"/>
        </w:numPr>
        <w:rPr>
          <w:rFonts w:ascii="Arial" w:cs="Arial" w:eastAsia="Arial" w:hAnsi="Arial"/>
          <w:sz w:val="26"/>
          <w:szCs w:val="26"/>
          <w:color w:val="auto"/>
          <w:vertAlign w:val="superscript"/>
        </w:rPr>
      </w:pPr>
      <w:r>
        <w:rPr>
          <w:rFonts w:ascii="Arial" w:cs="Arial" w:eastAsia="Arial" w:hAnsi="Arial"/>
          <w:sz w:val="18"/>
          <w:szCs w:val="18"/>
          <w:color w:val="auto"/>
        </w:rPr>
        <w:t>As of December 31, 2024 and 2023, construction in progress included $9 million and $72 million, respectively, of accrued non-cash capital expenditures.</w:t>
      </w:r>
    </w:p>
    <w:p>
      <w:pPr>
        <w:spacing w:after="0" w:line="156"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Depreciation expense related to property, plant and equipment during the years ended December 31, 2024, 2023 and 2022 was $610 million, $514 million and $502 million, respectively.</w:t>
      </w:r>
    </w:p>
    <w:p>
      <w:pPr>
        <w:spacing w:after="0" w:line="118"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 xml:space="preserve">The Company recorded long-lived asset impairments during the years ended December 31, 2023 and 2022, as further described in Note 9, </w:t>
      </w:r>
      <w:r>
        <w:rPr>
          <w:rFonts w:ascii="Arial" w:cs="Arial" w:eastAsia="Arial" w:hAnsi="Arial"/>
          <w:sz w:val="20"/>
          <w:szCs w:val="20"/>
          <w:b w:val="1"/>
          <w:bCs w:val="1"/>
          <w:i w:val="1"/>
          <w:iCs w:val="1"/>
          <w:color w:val="auto"/>
        </w:rPr>
        <w:t>Asset Impairments.</w:t>
      </w:r>
    </w:p>
    <w:p>
      <w:pPr>
        <w:sectPr>
          <w:pgSz w:w="11880" w:h="15480" w:orient="portrait"/>
          <w:cols w:equalWidth="0" w:num="1">
            <w:col w:w="10260"/>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260"/>
          </w:cols>
          <w:pgMar w:left="820" w:top="367" w:right="80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Note 5 — Investments Accounted for by the Equity Method and Variable Interest Entities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Method Investments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table reflects the Company’s equity investments in unconsolidated affiliates as of December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2"/>
                <w:szCs w:val="22"/>
                <w:color w:val="auto"/>
              </w:rPr>
            </w:pPr>
          </w:p>
        </w:tc>
        <w:tc>
          <w:tcPr>
            <w:tcW w:w="22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Economic Interest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w w:val="90"/>
              </w:rPr>
              <w:t xml:space="preserve">Investment Balance </w:t>
            </w:r>
            <w:r>
              <w:rPr>
                <w:rFonts w:ascii="Arial" w:cs="Arial" w:eastAsia="Arial" w:hAnsi="Arial"/>
                <w:sz w:val="23"/>
                <w:szCs w:val="23"/>
                <w:b w:val="1"/>
                <w:bCs w:val="1"/>
                <w:color w:val="auto"/>
                <w:w w:val="90"/>
                <w:vertAlign w:val="superscript"/>
              </w:rPr>
              <w:t>(a)</w:t>
            </w:r>
          </w:p>
        </w:tc>
      </w:tr>
      <w:tr>
        <w:trPr>
          <w:trHeight w:val="268"/>
        </w:trPr>
        <w:tc>
          <w:tcPr>
            <w:tcW w:w="5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tcPr>
          <w:p>
            <w:pPr>
              <w:jc w:val="right"/>
              <w:ind w:right="543"/>
              <w:spacing w:after="0"/>
              <w:rPr>
                <w:sz w:val="20"/>
                <w:szCs w:val="20"/>
                <w:color w:val="auto"/>
              </w:rPr>
            </w:pPr>
            <w:r>
              <w:rPr>
                <w:rFonts w:ascii="Arial" w:cs="Arial" w:eastAsia="Arial" w:hAnsi="Arial"/>
                <w:sz w:val="18"/>
                <w:szCs w:val="18"/>
                <w:b w:val="1"/>
                <w:bCs w:val="1"/>
                <w:color w:val="auto"/>
              </w:rPr>
              <w:t>(In millions)</w:t>
            </w:r>
          </w:p>
        </w:tc>
      </w:tr>
      <w:tr>
        <w:trPr>
          <w:trHeight w:val="307"/>
        </w:trPr>
        <w:tc>
          <w:tcPr>
            <w:tcW w:w="570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2"/>
              </w:rPr>
              <w:t xml:space="preserve">Avenal </w:t>
            </w:r>
            <w:r>
              <w:rPr>
                <w:rFonts w:ascii="Arial" w:cs="Arial" w:eastAsia="Arial" w:hAnsi="Arial"/>
                <w:sz w:val="20"/>
                <w:szCs w:val="20"/>
                <w:color w:val="B4B4B4"/>
                <w:w w:val="92"/>
              </w:rPr>
              <w:t>. . . . . . . . . . . . . . . . . . . . . . . . . . . . . . . . . . . . . . . . . . . . . . . .</w:t>
            </w:r>
          </w:p>
        </w:tc>
        <w:tc>
          <w:tcPr>
            <w:tcW w:w="228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50%</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202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9</w:t>
            </w:r>
          </w:p>
        </w:tc>
      </w:tr>
      <w:tr>
        <w:trPr>
          <w:trHeight w:val="293"/>
        </w:trPr>
        <w:tc>
          <w:tcPr>
            <w:tcW w:w="5700" w:type="dxa"/>
            <w:vAlign w:val="bottom"/>
          </w:tcPr>
          <w:p>
            <w:pPr>
              <w:ind w:left="180"/>
              <w:spacing w:after="0"/>
              <w:rPr>
                <w:sz w:val="20"/>
                <w:szCs w:val="20"/>
                <w:color w:val="auto"/>
              </w:rPr>
            </w:pPr>
            <w:r>
              <w:rPr>
                <w:rFonts w:ascii="Arial" w:cs="Arial" w:eastAsia="Arial" w:hAnsi="Arial"/>
                <w:sz w:val="20"/>
                <w:szCs w:val="20"/>
                <w:color w:val="auto"/>
                <w:w w:val="91"/>
              </w:rPr>
              <w:t xml:space="preserve">Desert Sunlight </w:t>
            </w:r>
            <w:r>
              <w:rPr>
                <w:rFonts w:ascii="Arial" w:cs="Arial" w:eastAsia="Arial" w:hAnsi="Arial"/>
                <w:sz w:val="20"/>
                <w:szCs w:val="20"/>
                <w:color w:val="B4B4B4"/>
                <w:w w:val="91"/>
              </w:rPr>
              <w:t>. . . . . . . . . . . . . . . . . . . . . . . . . . . . . . . . . . . . . . . . . .</w:t>
            </w:r>
          </w:p>
        </w:tc>
        <w:tc>
          <w:tcPr>
            <w:tcW w:w="2280" w:type="dxa"/>
            <w:vAlign w:val="bottom"/>
            <w:gridSpan w:val="2"/>
          </w:tcPr>
          <w:p>
            <w:pPr>
              <w:jc w:val="center"/>
              <w:spacing w:after="0"/>
              <w:rPr>
                <w:sz w:val="20"/>
                <w:szCs w:val="20"/>
                <w:color w:val="auto"/>
              </w:rPr>
            </w:pPr>
            <w:r>
              <w:rPr>
                <w:rFonts w:ascii="Arial" w:cs="Arial" w:eastAsia="Arial" w:hAnsi="Arial"/>
                <w:sz w:val="20"/>
                <w:szCs w:val="20"/>
                <w:color w:val="auto"/>
                <w:w w:val="89"/>
              </w:rPr>
              <w:t>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right"/>
              <w:ind w:right="3"/>
              <w:spacing w:after="0"/>
              <w:rPr>
                <w:sz w:val="20"/>
                <w:szCs w:val="20"/>
                <w:color w:val="auto"/>
              </w:rPr>
            </w:pPr>
            <w:r>
              <w:rPr>
                <w:rFonts w:ascii="Arial" w:cs="Arial" w:eastAsia="Arial" w:hAnsi="Arial"/>
                <w:sz w:val="20"/>
                <w:szCs w:val="20"/>
                <w:color w:val="auto"/>
              </w:rPr>
              <w:t>217</w:t>
            </w:r>
          </w:p>
        </w:tc>
      </w:tr>
      <w:tr>
        <w:trPr>
          <w:trHeight w:val="307"/>
        </w:trPr>
        <w:tc>
          <w:tcPr>
            <w:tcW w:w="570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1"/>
              </w:rPr>
              <w:t xml:space="preserve">Elkhorn Ridge  </w:t>
            </w:r>
            <w:r>
              <w:rPr>
                <w:rFonts w:ascii="Arial" w:cs="Arial" w:eastAsia="Arial" w:hAnsi="Arial"/>
                <w:sz w:val="20"/>
                <w:szCs w:val="20"/>
                <w:color w:val="B4B4B4"/>
                <w:w w:val="91"/>
              </w:rPr>
              <w:t>. . . . . . . . . . . . . . . . . . . . . . . . . . . . . . . . . . . . . . . . . .</w:t>
            </w:r>
          </w:p>
        </w:tc>
        <w:tc>
          <w:tcPr>
            <w:tcW w:w="228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91"/>
              </w:rPr>
              <w:t>66.7%</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02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7</w:t>
            </w:r>
          </w:p>
        </w:tc>
      </w:tr>
      <w:tr>
        <w:trPr>
          <w:trHeight w:val="300"/>
        </w:trPr>
        <w:tc>
          <w:tcPr>
            <w:tcW w:w="5700" w:type="dxa"/>
            <w:vAlign w:val="bottom"/>
          </w:tcPr>
          <w:p>
            <w:pPr>
              <w:ind w:left="180"/>
              <w:spacing w:after="0"/>
              <w:rPr>
                <w:sz w:val="20"/>
                <w:szCs w:val="20"/>
                <w:color w:val="auto"/>
              </w:rPr>
            </w:pPr>
            <w:r>
              <w:rPr>
                <w:rFonts w:ascii="Arial" w:cs="Arial" w:eastAsia="Arial" w:hAnsi="Arial"/>
                <w:sz w:val="20"/>
                <w:szCs w:val="20"/>
                <w:color w:val="auto"/>
                <w:w w:val="90"/>
              </w:rPr>
              <w:t xml:space="preserve">GenConn </w:t>
            </w:r>
            <w:r>
              <w:rPr>
                <w:rFonts w:ascii="Arial" w:cs="Arial" w:eastAsia="Arial" w:hAnsi="Arial"/>
                <w:sz w:val="26"/>
                <w:szCs w:val="26"/>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w:t>
            </w:r>
          </w:p>
        </w:tc>
        <w:tc>
          <w:tcPr>
            <w:tcW w:w="2280" w:type="dxa"/>
            <w:vAlign w:val="bottom"/>
            <w:gridSpan w:val="2"/>
          </w:tcPr>
          <w:p>
            <w:pPr>
              <w:jc w:val="center"/>
              <w:spacing w:after="0"/>
              <w:rPr>
                <w:sz w:val="20"/>
                <w:szCs w:val="20"/>
                <w:color w:val="auto"/>
              </w:rPr>
            </w:pPr>
            <w:r>
              <w:rPr>
                <w:rFonts w:ascii="Arial" w:cs="Arial" w:eastAsia="Arial" w:hAnsi="Arial"/>
                <w:sz w:val="20"/>
                <w:szCs w:val="20"/>
                <w:color w:val="auto"/>
                <w:w w:val="89"/>
              </w:rPr>
              <w:t>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right"/>
              <w:ind w:right="3"/>
              <w:spacing w:after="0"/>
              <w:rPr>
                <w:sz w:val="20"/>
                <w:szCs w:val="20"/>
                <w:color w:val="auto"/>
              </w:rPr>
            </w:pPr>
            <w:r>
              <w:rPr>
                <w:rFonts w:ascii="Arial" w:cs="Arial" w:eastAsia="Arial" w:hAnsi="Arial"/>
                <w:sz w:val="20"/>
                <w:szCs w:val="20"/>
                <w:color w:val="auto"/>
              </w:rPr>
              <w:t>75</w:t>
            </w:r>
          </w:p>
        </w:tc>
      </w:tr>
      <w:tr>
        <w:trPr>
          <w:trHeight w:val="290"/>
        </w:trPr>
        <w:tc>
          <w:tcPr>
            <w:tcW w:w="57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w w:val="90"/>
              </w:rPr>
              <w:t xml:space="preserve">San Juan Mesa </w:t>
            </w:r>
            <w:r>
              <w:rPr>
                <w:rFonts w:ascii="Arial" w:cs="Arial" w:eastAsia="Arial" w:hAnsi="Arial"/>
                <w:sz w:val="20"/>
                <w:szCs w:val="20"/>
                <w:color w:val="B4B4B4"/>
                <w:w w:val="90"/>
              </w:rPr>
              <w:t>. . . . . . . . . . . . . . . . . . . . . . . . . . . . . . . . . . . . . . . . . .</w:t>
            </w:r>
          </w:p>
        </w:tc>
        <w:tc>
          <w:tcPr>
            <w:tcW w:w="2280" w:type="dxa"/>
            <w:vAlign w:val="bottom"/>
            <w:tcBorders>
              <w:bottom w:val="single" w:sz="8" w:color="E6E6E6"/>
            </w:tcBorders>
            <w:gridSpan w:val="2"/>
            <w:shd w:val="clear" w:color="auto" w:fill="E6E6E6"/>
          </w:tcPr>
          <w:p>
            <w:pPr>
              <w:jc w:val="center"/>
              <w:spacing w:after="0"/>
              <w:rPr>
                <w:sz w:val="20"/>
                <w:szCs w:val="20"/>
                <w:color w:val="auto"/>
              </w:rPr>
            </w:pPr>
            <w:r>
              <w:rPr>
                <w:rFonts w:ascii="Arial" w:cs="Arial" w:eastAsia="Arial" w:hAnsi="Arial"/>
                <w:sz w:val="20"/>
                <w:szCs w:val="20"/>
                <w:color w:val="auto"/>
                <w:w w:val="89"/>
              </w:rPr>
              <w:t>75%</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202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1</w:t>
            </w:r>
          </w:p>
        </w:tc>
      </w:tr>
      <w:tr>
        <w:trPr>
          <w:trHeight w:val="260"/>
        </w:trPr>
        <w:tc>
          <w:tcPr>
            <w:tcW w:w="5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3"/>
              <w:spacing w:after="0"/>
              <w:rPr>
                <w:sz w:val="20"/>
                <w:szCs w:val="20"/>
                <w:color w:val="auto"/>
              </w:rPr>
            </w:pPr>
            <w:r>
              <w:rPr>
                <w:rFonts w:ascii="Arial" w:cs="Arial" w:eastAsia="Arial" w:hAnsi="Arial"/>
                <w:sz w:val="20"/>
                <w:szCs w:val="20"/>
                <w:color w:val="auto"/>
              </w:rPr>
              <w:t>309</w:t>
            </w:r>
          </w:p>
        </w:tc>
      </w:tr>
      <w:tr>
        <w:trPr>
          <w:trHeight w:val="20"/>
        </w:trPr>
        <w:tc>
          <w:tcPr>
            <w:tcW w:w="5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5095875</wp:posOffset>
            </wp:positionH>
            <wp:positionV relativeFrom="paragraph">
              <wp:posOffset>-43815</wp:posOffset>
            </wp:positionV>
            <wp:extent cx="142557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5">
                      <a:extLst>
                        <a:ext uri="{28A0092B-C50C-407E-A947-70E740481C1C}"/>
                      </a:extLst>
                    </a:blip>
                    <a:srcRect/>
                    <a:stretch>
                      <a:fillRect/>
                    </a:stretch>
                  </pic:blipFill>
                  <pic:spPr bwMode="auto">
                    <a:xfrm>
                      <a:off x="0" y="0"/>
                      <a:ext cx="14255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19" w:lineRule="exact"/>
        <w:rPr>
          <w:sz w:val="20"/>
          <w:szCs w:val="20"/>
          <w:color w:val="auto"/>
        </w:rPr>
      </w:pPr>
    </w:p>
    <w:p>
      <w:pPr>
        <w:ind w:left="300" w:hanging="220"/>
        <w:spacing w:after="0"/>
        <w:tabs>
          <w:tab w:leader="none" w:pos="300" w:val="left"/>
        </w:tabs>
        <w:numPr>
          <w:ilvl w:val="0"/>
          <w:numId w:val="52"/>
        </w:numPr>
        <w:rPr>
          <w:rFonts w:ascii="Arial" w:cs="Arial" w:eastAsia="Arial" w:hAnsi="Arial"/>
          <w:sz w:val="26"/>
          <w:szCs w:val="26"/>
          <w:color w:val="auto"/>
          <w:vertAlign w:val="superscript"/>
        </w:rPr>
      </w:pPr>
      <w:r>
        <w:rPr>
          <w:rFonts w:ascii="Arial" w:cs="Arial" w:eastAsia="Arial" w:hAnsi="Arial"/>
          <w:sz w:val="18"/>
          <w:szCs w:val="18"/>
          <w:color w:val="auto"/>
        </w:rPr>
        <w:t>The Company’s maximum exposure to loss is limited to its investment balances.</w:t>
      </w:r>
    </w:p>
    <w:p>
      <w:pPr>
        <w:spacing w:after="0" w:line="64" w:lineRule="exact"/>
        <w:rPr>
          <w:rFonts w:ascii="Arial" w:cs="Arial" w:eastAsia="Arial" w:hAnsi="Arial"/>
          <w:sz w:val="26"/>
          <w:szCs w:val="26"/>
          <w:color w:val="auto"/>
          <w:vertAlign w:val="superscript"/>
        </w:rPr>
      </w:pPr>
    </w:p>
    <w:p>
      <w:pPr>
        <w:ind w:left="300" w:hanging="220"/>
        <w:spacing w:after="0" w:line="188" w:lineRule="auto"/>
        <w:tabs>
          <w:tab w:leader="none" w:pos="300" w:val="left"/>
        </w:tabs>
        <w:numPr>
          <w:ilvl w:val="0"/>
          <w:numId w:val="52"/>
        </w:numPr>
        <w:rPr>
          <w:rFonts w:ascii="Arial" w:cs="Arial" w:eastAsia="Arial" w:hAnsi="Arial"/>
          <w:sz w:val="26"/>
          <w:szCs w:val="26"/>
          <w:color w:val="auto"/>
          <w:vertAlign w:val="superscript"/>
        </w:rPr>
      </w:pPr>
      <w:r>
        <w:rPr>
          <w:rFonts w:ascii="Arial" w:cs="Arial" w:eastAsia="Arial" w:hAnsi="Arial"/>
          <w:sz w:val="18"/>
          <w:szCs w:val="18"/>
          <w:color w:val="auto"/>
        </w:rPr>
        <w:t>GenConn is a VIE.</w:t>
      </w:r>
    </w:p>
    <w:p>
      <w:pPr>
        <w:spacing w:after="0" w:line="166"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As of December 31, 2024 and 2023, the Company had $20 million and $17 million, respectively, of undistributed earnings from its equity method investments.</w:t>
      </w:r>
    </w:p>
    <w:p>
      <w:pPr>
        <w:spacing w:after="0" w:line="118"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The Company acquired its interest in Desert Sunlight on June 30, 2015, for $285 million, which resulted in a $181 million difference between the purchase price and the basis of the acquired assets and liabilities. The difference is attributable to the fair value of the property, plant and equipment and PPAs. The Company is amortizing the related basis differences to equity in earnings of unconsolidated subsidiaries over the related useful life of the underlying assets acquired. As of December 31, 2024, the carrying value of the basis difference is $115 million.</w:t>
      </w:r>
    </w:p>
    <w:p>
      <w:pPr>
        <w:spacing w:after="0" w:line="12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Company’s pro-rata share of non-recourse debt held by unconsolidated affiliates was $282 million as of December 31, 2024.</w:t>
      </w:r>
    </w:p>
    <w:p>
      <w:pPr>
        <w:spacing w:after="0" w:line="113"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b w:val="1"/>
          <w:bCs w:val="1"/>
          <w:i w:val="1"/>
          <w:iCs w:val="1"/>
          <w:color w:val="auto"/>
        </w:rPr>
        <w:t xml:space="preserve">Rosie Central BESS </w:t>
      </w:r>
      <w:r>
        <w:rPr>
          <w:rFonts w:ascii="Arial" w:cs="Arial" w:eastAsia="Arial" w:hAnsi="Arial"/>
          <w:sz w:val="18"/>
          <w:szCs w:val="18"/>
          <w:color w:val="auto"/>
        </w:rPr>
        <w:t>— On June 30, 2023, the Company, through its indirect subsidiary, Rosie Class B LLC, the indirect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owner of the Rosamond Central solar facility, became the owner of the Class B membership interests of Rosie Central BESS in order to facilitate and fund the construction of a BESS facility that is co-located at the Rosamond Central solar facility. Clearway Renew indirectly owns the Class A membership interests and controls Rosie Central BESS. The Company accounted for its investment in Rosie Central BESS as an equity method investment. On June 13, 2024, when the Rosamond Central BESS facility reached substantial completion, Clearway Renew redeemed Rosie Class B LLC’s entire investment of $28 million in Rosie Central BESS utilizing the additional purchase price paid by the Company, as further described in Note 3, </w:t>
      </w: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Rosie Class B LLC’s equity investment in Rosie Central BESS was comprised of contributions from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cash equity investor in Rosie TargetCo LLC during the year ended December 31, 2023.</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880" w:h="15480" w:orient="portrait"/>
          <w:cols w:equalWidth="0" w:num="1">
            <w:col w:w="10260"/>
          </w:cols>
          <w:pgMar w:left="820" w:top="360" w:right="800" w:bottom="0" w:gutter="0" w:footer="0" w:header="0"/>
          <w:type w:val="continuous"/>
        </w:sectPr>
      </w:pPr>
    </w:p>
    <w:bookmarkStart w:id="102" w:name="page103"/>
    <w:bookmarkEnd w:id="102"/>
    <w:p>
      <w:pPr>
        <w:ind w:left="440"/>
        <w:spacing w:after="0"/>
        <w:rPr>
          <w:sz w:val="20"/>
          <w:szCs w:val="20"/>
          <w:color w:val="auto"/>
        </w:rPr>
      </w:pPr>
      <w:r>
        <w:rPr>
          <w:rFonts w:ascii="Arial" w:cs="Arial" w:eastAsia="Arial" w:hAnsi="Arial"/>
          <w:sz w:val="20"/>
          <w:szCs w:val="20"/>
          <w:color w:val="auto"/>
        </w:rPr>
        <w:t>The following tables present summarized financial information for the Company’s equity method investments: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w w:val="91"/>
              </w:rPr>
              <w:t>Year Ended December 31,</w:t>
            </w:r>
          </w:p>
        </w:tc>
        <w:tc>
          <w:tcPr>
            <w:tcW w:w="960" w:type="dxa"/>
            <w:vAlign w:val="bottom"/>
            <w:tcBorders>
              <w:bottom w:val="single" w:sz="8" w:color="auto"/>
            </w:tcBorders>
          </w:tcPr>
          <w:p>
            <w:pPr>
              <w:spacing w:after="0"/>
              <w:rPr>
                <w:sz w:val="19"/>
                <w:szCs w:val="19"/>
                <w:color w:val="auto"/>
              </w:rPr>
            </w:pPr>
          </w:p>
        </w:tc>
      </w:tr>
      <w:tr>
        <w:trPr>
          <w:trHeight w:val="235"/>
        </w:trPr>
        <w:tc>
          <w:tcPr>
            <w:tcW w:w="5860" w:type="dxa"/>
            <w:vAlign w:val="bottom"/>
          </w:tcPr>
          <w:p>
            <w:pPr>
              <w:spacing w:after="0"/>
              <w:rPr>
                <w:sz w:val="20"/>
                <w:szCs w:val="20"/>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r>
      <w:tr>
        <w:trPr>
          <w:trHeight w:val="268"/>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(In millions)</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2"/>
        </w:trPr>
        <w:tc>
          <w:tcPr>
            <w:tcW w:w="58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Desert Sunlight</w:t>
            </w:r>
          </w:p>
        </w:tc>
        <w:tc>
          <w:tcPr>
            <w:tcW w:w="10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3"/>
        </w:trPr>
        <w:tc>
          <w:tcPr>
            <w:tcW w:w="5860" w:type="dxa"/>
            <w:vAlign w:val="bottom"/>
          </w:tcPr>
          <w:p>
            <w:pPr>
              <w:ind w:left="40"/>
              <w:spacing w:after="0"/>
              <w:rPr>
                <w:sz w:val="20"/>
                <w:szCs w:val="20"/>
                <w:color w:val="auto"/>
              </w:rPr>
            </w:pPr>
            <w:r>
              <w:rPr>
                <w:rFonts w:ascii="Arial" w:cs="Arial" w:eastAsia="Arial" w:hAnsi="Arial"/>
                <w:sz w:val="20"/>
                <w:szCs w:val="20"/>
                <w:color w:val="auto"/>
                <w:w w:val="90"/>
              </w:rPr>
              <w:t xml:space="preserve">Operating revenues </w:t>
            </w:r>
            <w:r>
              <w:rPr>
                <w:rFonts w:ascii="Arial" w:cs="Arial" w:eastAsia="Arial" w:hAnsi="Arial"/>
                <w:sz w:val="20"/>
                <w:szCs w:val="20"/>
                <w:color w:val="B4B4B4"/>
                <w:w w:val="90"/>
              </w:rPr>
              <w:t>. . . . . . . . . . . . . . . . . . . . . . . . . . . . . . . . . . . . . . . . . .</w:t>
            </w:r>
          </w:p>
        </w:tc>
        <w:tc>
          <w:tcPr>
            <w:tcW w:w="1040" w:type="dxa"/>
            <w:vAlign w:val="bottom"/>
          </w:tcPr>
          <w:p>
            <w:pPr>
              <w:jc w:val="right"/>
              <w:ind w:right="81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206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307"/>
        </w:trPr>
        <w:tc>
          <w:tcPr>
            <w:tcW w:w="58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Operating income </w:t>
            </w:r>
            <w:r>
              <w:rPr>
                <w:rFonts w:ascii="Arial" w:cs="Arial" w:eastAsia="Arial" w:hAnsi="Arial"/>
                <w:sz w:val="20"/>
                <w:szCs w:val="20"/>
                <w:color w:val="B4B4B4"/>
                <w:w w:val="91"/>
              </w:rPr>
              <w:t>. . . . . . . . . . . . . . . . . . . . . . . . . . . . . . . . . . . . . . . . . . .</w:t>
            </w:r>
          </w:p>
        </w:tc>
        <w:tc>
          <w:tcPr>
            <w:tcW w:w="1040" w:type="dxa"/>
            <w:vAlign w:val="bottom"/>
            <w:shd w:val="clear" w:color="auto" w:fill="E6E6E6"/>
          </w:tcPr>
          <w:p>
            <w:pPr>
              <w:spacing w:after="0"/>
              <w:rPr>
                <w:sz w:val="24"/>
                <w:szCs w:val="24"/>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6"/>
              </w:rPr>
              <w:t>146</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w:t>
            </w:r>
          </w:p>
        </w:tc>
      </w:tr>
      <w:tr>
        <w:trPr>
          <w:trHeight w:val="293"/>
        </w:trPr>
        <w:tc>
          <w:tcPr>
            <w:tcW w:w="5860" w:type="dxa"/>
            <w:vAlign w:val="bottom"/>
          </w:tcPr>
          <w:p>
            <w:pPr>
              <w:ind w:left="40"/>
              <w:spacing w:after="0"/>
              <w:rPr>
                <w:sz w:val="20"/>
                <w:szCs w:val="20"/>
                <w:color w:val="auto"/>
              </w:rPr>
            </w:pPr>
            <w:r>
              <w:rPr>
                <w:rFonts w:ascii="Arial" w:cs="Arial" w:eastAsia="Arial" w:hAnsi="Arial"/>
                <w:sz w:val="20"/>
                <w:szCs w:val="20"/>
                <w:color w:val="auto"/>
                <w:w w:val="91"/>
              </w:rPr>
              <w:t xml:space="preserve">Net income </w:t>
            </w:r>
            <w:r>
              <w:rPr>
                <w:rFonts w:ascii="Arial" w:cs="Arial" w:eastAsia="Arial" w:hAnsi="Arial"/>
                <w:sz w:val="20"/>
                <w:szCs w:val="20"/>
                <w:color w:val="B4B4B4"/>
                <w:w w:val="91"/>
              </w:rPr>
              <w:t>. . . . . . . . . . . . . . . . . . . . . . . . . . . . . . . . . . . . . . . . . . . . . . . .</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92"/>
        </w:trPr>
        <w:tc>
          <w:tcPr>
            <w:tcW w:w="58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10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3"/>
        </w:trPr>
        <w:tc>
          <w:tcPr>
            <w:tcW w:w="5860" w:type="dxa"/>
            <w:vAlign w:val="bottom"/>
          </w:tcPr>
          <w:p>
            <w:pPr>
              <w:ind w:left="40"/>
              <w:spacing w:after="0"/>
              <w:rPr>
                <w:sz w:val="20"/>
                <w:szCs w:val="20"/>
                <w:color w:val="auto"/>
              </w:rPr>
            </w:pPr>
            <w:r>
              <w:rPr>
                <w:rFonts w:ascii="Arial" w:cs="Arial" w:eastAsia="Arial" w:hAnsi="Arial"/>
                <w:sz w:val="20"/>
                <w:szCs w:val="20"/>
                <w:color w:val="auto"/>
                <w:w w:val="90"/>
              </w:rPr>
              <w:t xml:space="preserve">Operating revenues </w:t>
            </w:r>
            <w:r>
              <w:rPr>
                <w:rFonts w:ascii="Arial" w:cs="Arial" w:eastAsia="Arial" w:hAnsi="Arial"/>
                <w:sz w:val="20"/>
                <w:szCs w:val="20"/>
                <w:color w:val="B4B4B4"/>
                <w:w w:val="90"/>
              </w:rPr>
              <w:t>. . . . . . . . . . . . . . . . . . . . . . . . . . . . . . . . . . . . . . . . . .</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7"/>
        </w:trPr>
        <w:tc>
          <w:tcPr>
            <w:tcW w:w="58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Operating income  </w:t>
            </w:r>
            <w:r>
              <w:rPr>
                <w:rFonts w:ascii="Arial" w:cs="Arial" w:eastAsia="Arial" w:hAnsi="Arial"/>
                <w:sz w:val="20"/>
                <w:szCs w:val="20"/>
                <w:color w:val="B4B4B4"/>
                <w:w w:val="91"/>
              </w:rPr>
              <w:t>. . . . . . . . . . . . . . . . . . . . . . . . . . . . . . . . . . . . . . . . . .</w:t>
            </w:r>
          </w:p>
        </w:tc>
        <w:tc>
          <w:tcPr>
            <w:tcW w:w="1040" w:type="dxa"/>
            <w:vAlign w:val="bottom"/>
            <w:shd w:val="clear" w:color="auto" w:fill="E6E6E6"/>
          </w:tcPr>
          <w:p>
            <w:pPr>
              <w:spacing w:after="0"/>
              <w:rPr>
                <w:sz w:val="24"/>
                <w:szCs w:val="24"/>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w:t>
            </w:r>
          </w:p>
        </w:tc>
      </w:tr>
      <w:tr>
        <w:trPr>
          <w:trHeight w:val="287"/>
        </w:trPr>
        <w:tc>
          <w:tcPr>
            <w:tcW w:w="5860" w:type="dxa"/>
            <w:vAlign w:val="bottom"/>
          </w:tcPr>
          <w:p>
            <w:pPr>
              <w:ind w:left="40"/>
              <w:spacing w:after="0"/>
              <w:rPr>
                <w:sz w:val="20"/>
                <w:szCs w:val="20"/>
                <w:color w:val="auto"/>
              </w:rPr>
            </w:pPr>
            <w:r>
              <w:rPr>
                <w:rFonts w:ascii="Arial" w:cs="Arial" w:eastAsia="Arial" w:hAnsi="Arial"/>
                <w:sz w:val="20"/>
                <w:szCs w:val="20"/>
                <w:color w:val="auto"/>
                <w:w w:val="91"/>
              </w:rPr>
              <w:t xml:space="preserve">Net income </w:t>
            </w:r>
            <w:r>
              <w:rPr>
                <w:rFonts w:ascii="Arial" w:cs="Arial" w:eastAsia="Arial" w:hAnsi="Arial"/>
                <w:sz w:val="20"/>
                <w:szCs w:val="20"/>
                <w:color w:val="B4B4B4"/>
                <w:w w:val="91"/>
              </w:rPr>
              <w:t>. . . . . . . . . . . . . . . . . . . . . . . . . . . . . . . . . . . . . . . . . . . . . . . .</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3"/>
        </w:trPr>
        <w:tc>
          <w:tcPr>
            <w:tcW w:w="5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As of December 31,</w:t>
            </w:r>
          </w:p>
        </w:tc>
      </w:tr>
      <w:tr>
        <w:trPr>
          <w:trHeight w:val="235"/>
        </w:trPr>
        <w:tc>
          <w:tcPr>
            <w:tcW w:w="5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r>
      <w:tr>
        <w:trPr>
          <w:trHeight w:val="268"/>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3"/>
                <w:szCs w:val="23"/>
                <w:color w:val="auto"/>
              </w:rPr>
            </w:pPr>
          </w:p>
        </w:tc>
      </w:tr>
      <w:tr>
        <w:trPr>
          <w:trHeight w:val="292"/>
        </w:trPr>
        <w:tc>
          <w:tcPr>
            <w:tcW w:w="58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Desert Sunlight</w:t>
            </w:r>
          </w:p>
        </w:tc>
        <w:tc>
          <w:tcPr>
            <w:tcW w:w="10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3"/>
        </w:trPr>
        <w:tc>
          <w:tcPr>
            <w:tcW w:w="690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Current assets </w:t>
            </w:r>
            <w:r>
              <w:rPr>
                <w:rFonts w:ascii="Arial" w:cs="Arial" w:eastAsia="Arial" w:hAnsi="Arial"/>
                <w:sz w:val="20"/>
                <w:szCs w:val="20"/>
                <w:color w:val="B4B4B4"/>
                <w:w w:val="89"/>
              </w:rPr>
              <w:t>. . . . . . . . . . . . . . . . . . . . . . . . . . . . . . .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B4B4B4"/>
              </w:rPr>
              <w:t>. .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07"/>
        </w:trPr>
        <w:tc>
          <w:tcPr>
            <w:tcW w:w="69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0"/>
              </w:rPr>
              <w:t xml:space="preserve">Non-current assets </w:t>
            </w:r>
            <w:r>
              <w:rPr>
                <w:rFonts w:ascii="Arial" w:cs="Arial" w:eastAsia="Arial" w:hAnsi="Arial"/>
                <w:sz w:val="20"/>
                <w:szCs w:val="20"/>
                <w:color w:val="B4B4B4"/>
                <w:w w:val="90"/>
              </w:rPr>
              <w:t>. . . . . . . . . . . . . . . . . . . . . . . . . . . . . . . . . . . . . . . . . . . . . . . . . . . . .</w:t>
            </w:r>
          </w:p>
        </w:tc>
        <w:tc>
          <w:tcPr>
            <w:tcW w:w="360" w:type="dxa"/>
            <w:vAlign w:val="bottom"/>
            <w:shd w:val="clear" w:color="auto" w:fill="E6E6E6"/>
          </w:tcPr>
          <w:p>
            <w:pPr>
              <w:jc w:val="right"/>
              <w:spacing w:after="0"/>
              <w:rPr>
                <w:sz w:val="20"/>
                <w:szCs w:val="20"/>
                <w:color w:val="auto"/>
              </w:rPr>
            </w:pPr>
            <w:r>
              <w:rPr>
                <w:rFonts w:ascii="Arial" w:cs="Arial" w:eastAsia="Arial" w:hAnsi="Arial"/>
                <w:sz w:val="20"/>
                <w:szCs w:val="20"/>
                <w:color w:val="B4B4B4"/>
              </w:rPr>
              <w:t>. .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1,131</w:t>
            </w:r>
          </w:p>
        </w:tc>
      </w:tr>
      <w:tr>
        <w:trPr>
          <w:trHeight w:val="293"/>
        </w:trPr>
        <w:tc>
          <w:tcPr>
            <w:tcW w:w="6900" w:type="dxa"/>
            <w:vAlign w:val="bottom"/>
            <w:gridSpan w:val="2"/>
          </w:tcPr>
          <w:p>
            <w:pPr>
              <w:ind w:left="40"/>
              <w:spacing w:after="0"/>
              <w:rPr>
                <w:sz w:val="20"/>
                <w:szCs w:val="20"/>
                <w:color w:val="auto"/>
              </w:rPr>
            </w:pPr>
            <w:r>
              <w:rPr>
                <w:rFonts w:ascii="Arial" w:cs="Arial" w:eastAsia="Arial" w:hAnsi="Arial"/>
                <w:sz w:val="20"/>
                <w:szCs w:val="20"/>
                <w:color w:val="auto"/>
                <w:w w:val="91"/>
              </w:rPr>
              <w:t xml:space="preserve">Current liabilities </w:t>
            </w:r>
            <w:r>
              <w:rPr>
                <w:rFonts w:ascii="Arial" w:cs="Arial" w:eastAsia="Arial" w:hAnsi="Arial"/>
                <w:sz w:val="20"/>
                <w:szCs w:val="20"/>
                <w:color w:val="B4B4B4"/>
                <w:w w:val="91"/>
              </w:rPr>
              <w:t>. . . . . . . . . . . . . . . . . . . . . . . . . . . .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B4B4B4"/>
              </w:rPr>
              <w:t>. .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7"/>
        </w:trPr>
        <w:tc>
          <w:tcPr>
            <w:tcW w:w="69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1"/>
              </w:rPr>
              <w:t xml:space="preserve">Non-current liabilities  </w:t>
            </w:r>
            <w:r>
              <w:rPr>
                <w:rFonts w:ascii="Arial" w:cs="Arial" w:eastAsia="Arial" w:hAnsi="Arial"/>
                <w:sz w:val="20"/>
                <w:szCs w:val="20"/>
                <w:color w:val="B4B4B4"/>
                <w:w w:val="91"/>
              </w:rPr>
              <w:t>. . . . . . . . . . . . . . . . . . . . . . . . . . . . . . . . . . . . . . . . . . . . . . . . . .</w:t>
            </w:r>
          </w:p>
        </w:tc>
        <w:tc>
          <w:tcPr>
            <w:tcW w:w="360" w:type="dxa"/>
            <w:vAlign w:val="bottom"/>
            <w:shd w:val="clear" w:color="auto" w:fill="E6E6E6"/>
          </w:tcPr>
          <w:p>
            <w:pPr>
              <w:jc w:val="right"/>
              <w:spacing w:after="0"/>
              <w:rPr>
                <w:sz w:val="20"/>
                <w:szCs w:val="20"/>
                <w:color w:val="auto"/>
              </w:rPr>
            </w:pPr>
            <w:r>
              <w:rPr>
                <w:rFonts w:ascii="Arial" w:cs="Arial" w:eastAsia="Arial" w:hAnsi="Arial"/>
                <w:sz w:val="20"/>
                <w:szCs w:val="20"/>
                <w:color w:val="B4B4B4"/>
                <w:w w:val="93"/>
              </w:rPr>
              <w:t>. .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726</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776</w:t>
            </w:r>
          </w:p>
        </w:tc>
      </w:tr>
      <w:tr>
        <w:trPr>
          <w:trHeight w:val="285"/>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(b)</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9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89"/>
                <w:shd w:val="clear" w:color="auto" w:fill="E6E6E6"/>
              </w:rPr>
              <w:t xml:space="preserve">Current assets </w:t>
            </w:r>
            <w:r>
              <w:rPr>
                <w:rFonts w:ascii="Arial" w:cs="Arial" w:eastAsia="Arial" w:hAnsi="Arial"/>
                <w:sz w:val="20"/>
                <w:szCs w:val="20"/>
                <w:color w:val="B4B4B4"/>
                <w:w w:val="89"/>
                <w:shd w:val="clear" w:color="auto" w:fill="E6E6E6"/>
              </w:rPr>
              <w:t>. . . . . . . . . . . . . . . . . . . . . . . . . . . . . . . . . . . . . . . . . . . . . . . . . . . . . . . . .</w:t>
            </w:r>
          </w:p>
        </w:tc>
        <w:tc>
          <w:tcPr>
            <w:tcW w:w="360" w:type="dxa"/>
            <w:vAlign w:val="bottom"/>
            <w:shd w:val="clear" w:color="auto" w:fill="E6E6E6"/>
          </w:tcPr>
          <w:p>
            <w:pPr>
              <w:jc w:val="right"/>
              <w:spacing w:after="0"/>
              <w:rPr>
                <w:sz w:val="20"/>
                <w:szCs w:val="20"/>
                <w:color w:val="auto"/>
              </w:rPr>
            </w:pPr>
            <w:r>
              <w:rPr>
                <w:rFonts w:ascii="Arial" w:cs="Arial" w:eastAsia="Arial" w:hAnsi="Arial"/>
                <w:sz w:val="20"/>
                <w:szCs w:val="20"/>
                <w:color w:val="B4B4B4"/>
                <w:shd w:val="clear" w:color="auto" w:fill="E6E6E6"/>
              </w:rPr>
              <w:t>. .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6900" w:type="dxa"/>
            <w:vAlign w:val="bottom"/>
            <w:gridSpan w:val="2"/>
          </w:tcPr>
          <w:p>
            <w:pPr>
              <w:ind w:left="40"/>
              <w:spacing w:after="0"/>
              <w:rPr>
                <w:sz w:val="20"/>
                <w:szCs w:val="20"/>
                <w:color w:val="auto"/>
              </w:rPr>
            </w:pPr>
            <w:r>
              <w:rPr>
                <w:rFonts w:ascii="Arial" w:cs="Arial" w:eastAsia="Arial" w:hAnsi="Arial"/>
                <w:sz w:val="20"/>
                <w:szCs w:val="20"/>
                <w:color w:val="auto"/>
                <w:w w:val="90"/>
              </w:rPr>
              <w:t xml:space="preserve">Non-current assets </w:t>
            </w:r>
            <w:r>
              <w:rPr>
                <w:rFonts w:ascii="Arial" w:cs="Arial" w:eastAsia="Arial" w:hAnsi="Arial"/>
                <w:sz w:val="20"/>
                <w:szCs w:val="20"/>
                <w:color w:val="B4B4B4"/>
                <w:w w:val="90"/>
              </w:rPr>
              <w:t>. . . . . . . . . . . . . . . . . . . . . . . . . . .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B4B4B4"/>
              </w:rPr>
              <w:t>. .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307"/>
        </w:trPr>
        <w:tc>
          <w:tcPr>
            <w:tcW w:w="69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1"/>
                <w:shd w:val="clear" w:color="auto" w:fill="E6E6E6"/>
              </w:rPr>
              <w:t xml:space="preserve">Current liabilities </w:t>
            </w:r>
            <w:r>
              <w:rPr>
                <w:rFonts w:ascii="Arial" w:cs="Arial" w:eastAsia="Arial" w:hAnsi="Arial"/>
                <w:sz w:val="20"/>
                <w:szCs w:val="20"/>
                <w:color w:val="B4B4B4"/>
                <w:w w:val="91"/>
                <w:shd w:val="clear" w:color="auto" w:fill="E6E6E6"/>
              </w:rPr>
              <w:t>. . . . . . . . . . . . . . . . . . . . . . . . . . . . . . . . . . . . . . . . . . . . . . . . . . . . . .</w:t>
            </w:r>
          </w:p>
        </w:tc>
        <w:tc>
          <w:tcPr>
            <w:tcW w:w="360" w:type="dxa"/>
            <w:vAlign w:val="bottom"/>
            <w:shd w:val="clear" w:color="auto" w:fill="E6E6E6"/>
          </w:tcPr>
          <w:p>
            <w:pPr>
              <w:jc w:val="right"/>
              <w:spacing w:after="0"/>
              <w:rPr>
                <w:sz w:val="20"/>
                <w:szCs w:val="20"/>
                <w:color w:val="auto"/>
              </w:rPr>
            </w:pPr>
            <w:r>
              <w:rPr>
                <w:rFonts w:ascii="Arial" w:cs="Arial" w:eastAsia="Arial" w:hAnsi="Arial"/>
                <w:sz w:val="20"/>
                <w:szCs w:val="20"/>
                <w:color w:val="B4B4B4"/>
                <w:shd w:val="clear" w:color="auto" w:fill="E6E6E6"/>
              </w:rPr>
              <w:t>. .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w:t>
            </w:r>
          </w:p>
        </w:tc>
      </w:tr>
      <w:tr>
        <w:trPr>
          <w:trHeight w:val="287"/>
        </w:trPr>
        <w:tc>
          <w:tcPr>
            <w:tcW w:w="6900" w:type="dxa"/>
            <w:vAlign w:val="bottom"/>
            <w:gridSpan w:val="2"/>
          </w:tcPr>
          <w:p>
            <w:pPr>
              <w:ind w:left="40"/>
              <w:spacing w:after="0"/>
              <w:rPr>
                <w:sz w:val="20"/>
                <w:szCs w:val="20"/>
                <w:color w:val="auto"/>
              </w:rPr>
            </w:pPr>
            <w:r>
              <w:rPr>
                <w:rFonts w:ascii="Arial" w:cs="Arial" w:eastAsia="Arial" w:hAnsi="Arial"/>
                <w:sz w:val="20"/>
                <w:szCs w:val="20"/>
                <w:color w:val="auto"/>
                <w:w w:val="91"/>
              </w:rPr>
              <w:t xml:space="preserve">Non-current liabilities  </w:t>
            </w:r>
            <w:r>
              <w:rPr>
                <w:rFonts w:ascii="Arial" w:cs="Arial" w:eastAsia="Arial" w:hAnsi="Arial"/>
                <w:sz w:val="20"/>
                <w:szCs w:val="20"/>
                <w:color w:val="B4B4B4"/>
                <w:w w:val="91"/>
              </w:rPr>
              <w:t>. . . . . . . . . . . . . . . . . . . . . . . .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B4B4B4"/>
                <w:w w:val="93"/>
              </w:rPr>
              <w:t>. .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-1889760</wp:posOffset>
            </wp:positionV>
            <wp:extent cx="463550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7">
                      <a:extLst>
                        <a:ext uri="{28A0092B-C50C-407E-A947-70E740481C1C}"/>
                      </a:extLst>
                    </a:blip>
                    <a:srcRect/>
                    <a:stretch>
                      <a:fillRect/>
                    </a:stretch>
                  </pic:blipFill>
                  <pic:spPr bwMode="auto">
                    <a:xfrm>
                      <a:off x="0" y="0"/>
                      <a:ext cx="4635500" cy="25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-946785</wp:posOffset>
            </wp:positionV>
            <wp:extent cx="46355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8">
                      <a:extLst>
                        <a:ext uri="{28A0092B-C50C-407E-A947-70E740481C1C}"/>
                      </a:extLst>
                    </a:blip>
                    <a:srcRect/>
                    <a:stretch>
                      <a:fillRect/>
                    </a:stretch>
                  </pic:blipFill>
                  <pic:spPr bwMode="auto">
                    <a:xfrm>
                      <a:off x="0" y="0"/>
                      <a:ext cx="4635500" cy="25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-3810</wp:posOffset>
            </wp:positionV>
            <wp:extent cx="463550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9">
                      <a:extLst>
                        <a:ext uri="{28A0092B-C50C-407E-A947-70E740481C1C}"/>
                      </a:extLst>
                    </a:blip>
                    <a:srcRect/>
                    <a:stretch>
                      <a:fillRect/>
                    </a:stretch>
                  </pic:blipFill>
                  <pic:spPr bwMode="auto">
                    <a:xfrm>
                      <a:off x="0" y="0"/>
                      <a:ext cx="4635500"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126682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0">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56" w:lineRule="exact"/>
        <w:rPr>
          <w:sz w:val="20"/>
          <w:szCs w:val="20"/>
          <w:color w:val="auto"/>
        </w:rPr>
      </w:pPr>
    </w:p>
    <w:p>
      <w:pPr>
        <w:ind w:left="300" w:hanging="220"/>
        <w:spacing w:after="0"/>
        <w:tabs>
          <w:tab w:leader="none" w:pos="30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Avenal, Elkhorn Ridge, GenConn and San Juan Mesa.</w:t>
      </w:r>
    </w:p>
    <w:p>
      <w:pPr>
        <w:spacing w:after="0" w:line="30" w:lineRule="exact"/>
        <w:rPr>
          <w:rFonts w:ascii="Arial" w:cs="Arial" w:eastAsia="Arial" w:hAnsi="Arial"/>
          <w:sz w:val="26"/>
          <w:szCs w:val="26"/>
          <w:color w:val="auto"/>
          <w:vertAlign w:val="superscript"/>
        </w:rPr>
      </w:pPr>
    </w:p>
    <w:p>
      <w:pPr>
        <w:ind w:left="80"/>
        <w:spacing w:after="0" w:line="209" w:lineRule="auto"/>
        <w:tabs>
          <w:tab w:leader="none" w:pos="317"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Avenal, Elkhorn Ridge, GenConn and San Juan Mesa as of December 31, 2024 and 2023. Includes Rosie Central BESS only as of December 31, 2023 since the equity investment was redeemed on June 13, 2024, as further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Variable Interest Entities, or VIEs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Entities that are Consolidated</w:t>
      </w:r>
    </w:p>
    <w:p>
      <w:pPr>
        <w:spacing w:after="0" w:line="198"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b w:val="1"/>
          <w:bCs w:val="1"/>
          <w:i w:val="1"/>
          <w:iCs w:val="1"/>
          <w:color w:val="auto"/>
        </w:rPr>
        <w:t>Consolidations</w:t>
      </w:r>
      <w:r>
        <w:rPr>
          <w:rFonts w:ascii="Arial" w:cs="Arial" w:eastAsia="Arial" w:hAnsi="Arial"/>
          <w:sz w:val="18"/>
          <w:szCs w:val="18"/>
          <w:color w:val="auto"/>
        </w:rPr>
        <w:t>. These arrangements are primarily related to tax equity arrangements entered into with third parties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is a summary of significant activity during 2024 related to the Company’s consolidated VIEs: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DGPV Funds</w:t>
      </w:r>
    </w:p>
    <w:p>
      <w:pPr>
        <w:spacing w:after="0" w:line="198"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color w:val="auto"/>
        </w:rPr>
        <w:t>On December 31, 2024, Chestnut Fund Class B LLC, an indirect subsidiary of the Company, acquired 100% of the Class A membership interests in Chestnut Fund LLC, a tax equity fund that owns several distributed solar facilities, from the tax equity investor for $5 million. Prior to the acquisition, the Company consolidated Chestnut Fund LLC through its ownership of the Class B membership interests and role as managing member, and the Class A membership interests were reflected as redeemable noncontrolling interest on the Company’s consolidated balance sheet. The difference between the historical cost of the Company’s redeemable noncontrolling interest of $12 million and the cash paid of $5 million was recorded as adjustments to additional paid-in capital and CEG’s noncontrolling interest balance.</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880" w:h="15480" w:orient="portrait"/>
          <w:cols w:equalWidth="0" w:num="1">
            <w:col w:w="10260"/>
          </w:cols>
          <w:pgMar w:left="820" w:top="367" w:right="800" w:bottom="0" w:gutter="0" w:footer="0" w:header="0"/>
          <w:type w:val="continuous"/>
        </w:sectPr>
      </w:pPr>
    </w:p>
    <w:bookmarkStart w:id="103" w:name="page104"/>
    <w:bookmarkEnd w:id="103"/>
    <w:p>
      <w:pPr>
        <w:ind w:left="440"/>
        <w:spacing w:after="0"/>
        <w:rPr>
          <w:sz w:val="20"/>
          <w:szCs w:val="20"/>
          <w:color w:val="auto"/>
        </w:rPr>
      </w:pPr>
      <w:r>
        <w:rPr>
          <w:rFonts w:ascii="Arial" w:cs="Arial" w:eastAsia="Arial" w:hAnsi="Arial"/>
          <w:sz w:val="20"/>
          <w:szCs w:val="20"/>
          <w:b w:val="1"/>
          <w:bCs w:val="1"/>
          <w:i w:val="1"/>
          <w:iCs w:val="1"/>
          <w:color w:val="auto"/>
        </w:rPr>
        <w:t>Cedro Hill TE Holdco LLC</w:t>
      </w:r>
    </w:p>
    <w:p>
      <w:pPr>
        <w:spacing w:after="0" w:line="198"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20"/>
          <w:szCs w:val="20"/>
          <w:color w:val="auto"/>
        </w:rPr>
        <w:t xml:space="preserve">On December 27, 2024, when the repowering of the Cedro Hill wind facility reached substantial completion, tax equity investors contributed $152 million to acquire the Class A membership interests in Cedro Hill TE Holdco LLC, as further described in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The Company, through its indirect subsidiary, Cedro Hill Class B Member LLC, consolidates as primary beneficiary, Cedro Hill TE Holdco LLC, a tax equity fund that owns the Cedro Hill wind facility. The Class A membership interests in Cedro Hill TE Holdco LLC are reflected as noncontrolling interest on the Company’s consolidated balance sheet.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Spring Canyon</w:t>
      </w:r>
    </w:p>
    <w:p>
      <w:pPr>
        <w:spacing w:after="0" w:line="198"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9"/>
          <w:szCs w:val="19"/>
          <w:color w:val="auto"/>
        </w:rPr>
        <w:t>On December 17, 2024, Spring Canyon TE Holdco LLC, an indirect subsidiary of the Company, acquired 100% of the Class A membership interests in Spring Canyon Expansion Holdings LLC, a tax equity fund that owns the Spring Canyon wind facilities, from the tax equity investor for $7 million. Prior to the acquisition, the Company consolidated Spring Canyon Expansion Holdings LLC through its controlling interest in Spring Canyon Expansion Class B Holdings LLC, a partnership, which owns the Class B membership interests, and role as managing member, and the Class A membership interests were reflected as noncontrolling interest on the Company’s consolidated balance sheet. The difference between the cash paid of $7 million and the historical cost of the Company’s noncontrolling interest of $3 million was recorded as adjustments to additional paid-in capital and CEG’s noncontrolling interest balance.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Dan’s Mountain TargetCo LLC</w:t>
      </w:r>
    </w:p>
    <w:p>
      <w:pPr>
        <w:spacing w:after="0" w:line="195"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on November 18, 2024, Dan’s Mountain Parent Holdco LLC, an indirect subsidiary of the Company, acquired the Class A membership interests in Dan’s Mountain TargetCo LLC, which is a partnership between the Company and Clearway Renew. The Company consolidates Dan’s Mountain TargetCo LLC as a VIE as the Company is the primary beneficiary through its role as managing member. Through its membership interests in Dan’s Mountain TargetCo LLC, the Company receives 50% of distributable cash. The Company recorded the noncontrolling interest of Clearway Renew’s Class B membership interests in Dan’s Mountain TargetCo LLC at historical carrying amount, with the offset to additional paid-in capital. Dan’s Mountain TargetCo LLC consolidates as primary beneficiary and through its ownership of the Class B membership interests, Dan’s Mountain Tax Credit Holdco LLC, a tax equity fund that owns the Dan’s Mountain wind facility. The Class A membership interests in Dan’s Mountain Tax Credit Holdco LLC are held by a tax equity investor and are reflected as noncontrolling interest on the Company’s consolidated balance sheet.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Cedar Creek TE Holdco LLC</w:t>
      </w:r>
    </w:p>
    <w:p>
      <w:pPr>
        <w:spacing w:after="0" w:line="195" w:lineRule="exact"/>
        <w:rPr>
          <w:sz w:val="20"/>
          <w:szCs w:val="20"/>
          <w:color w:val="auto"/>
        </w:rPr>
      </w:pPr>
    </w:p>
    <w:p>
      <w:pPr>
        <w:jc w:val="both"/>
        <w:ind w:right="20" w:firstLine="450"/>
        <w:spacing w:after="0" w:line="259" w:lineRule="auto"/>
        <w:rPr>
          <w:sz w:val="20"/>
          <w:szCs w:val="20"/>
          <w:color w:val="auto"/>
        </w:rPr>
      </w:pPr>
      <w:r>
        <w:rPr>
          <w:rFonts w:ascii="Arial" w:cs="Arial" w:eastAsia="Arial" w:hAnsi="Arial"/>
          <w:sz w:val="20"/>
          <w:szCs w:val="20"/>
          <w:color w:val="auto"/>
        </w:rPr>
        <w:t xml:space="preserve">As described in Note 3, </w:t>
      </w:r>
      <w:r>
        <w:rPr>
          <w:rFonts w:ascii="Arial" w:cs="Arial" w:eastAsia="Arial" w:hAnsi="Arial"/>
          <w:sz w:val="20"/>
          <w:szCs w:val="20"/>
          <w:b w:val="1"/>
          <w:bCs w:val="1"/>
          <w:i w:val="1"/>
          <w:iCs w:val="1"/>
          <w:color w:val="auto"/>
        </w:rPr>
        <w:t>Acquisitions</w:t>
      </w:r>
      <w:r>
        <w:rPr>
          <w:rFonts w:ascii="Arial" w:cs="Arial" w:eastAsia="Arial" w:hAnsi="Arial"/>
          <w:sz w:val="20"/>
          <w:szCs w:val="20"/>
          <w:color w:val="auto"/>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Lighthouse Renewable Holdco 2 LLC</w:t>
      </w:r>
    </w:p>
    <w:p>
      <w:pPr>
        <w:spacing w:after="0" w:line="195" w:lineRule="exact"/>
        <w:rPr>
          <w:sz w:val="20"/>
          <w:szCs w:val="20"/>
          <w:color w:val="auto"/>
        </w:rPr>
      </w:pPr>
    </w:p>
    <w:p>
      <w:pPr>
        <w:jc w:val="both"/>
        <w:ind w:right="20" w:firstLine="450"/>
        <w:spacing w:after="0" w:line="291"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additional paid-in capital. The Class A membership interests in TSN1 TE Holdco LLC are held by a tax equity investor and are reflected as noncontrolling interest on the Company’s consolidated balance sheet.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Daggett Renewable Holdco LLC</w:t>
      </w:r>
    </w:p>
    <w:p>
      <w:pPr>
        <w:spacing w:after="0" w:line="198"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880" w:h="15480" w:orient="portrait"/>
          <w:cols w:equalWidth="0" w:num="1">
            <w:col w:w="10260"/>
          </w:cols>
          <w:pgMar w:left="820" w:top="359" w:right="800" w:bottom="0" w:gutter="0" w:footer="0" w:header="0"/>
          <w:type w:val="continuous"/>
        </w:sectPr>
      </w:pPr>
    </w:p>
    <w:bookmarkStart w:id="104" w:name="page105"/>
    <w:bookmarkEnd w:id="104"/>
    <w:p>
      <w:pPr>
        <w:ind w:right="20" w:firstLine="450"/>
        <w:spacing w:after="0" w:line="283" w:lineRule="auto"/>
        <w:rPr>
          <w:sz w:val="20"/>
          <w:szCs w:val="20"/>
          <w:color w:val="auto"/>
        </w:rPr>
      </w:pPr>
      <w:r>
        <w:rPr>
          <w:rFonts w:ascii="Arial" w:cs="Arial" w:eastAsia="Arial" w:hAnsi="Arial"/>
          <w:sz w:val="20"/>
          <w:szCs w:val="20"/>
          <w:color w:val="auto"/>
        </w:rPr>
        <w:t>Summarized financial information for the Company’s consolidated VIEs consisted of the following as of December 31, 2024:</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1"/>
              </w:rPr>
              <w:t>Buckthorn</w:t>
            </w:r>
          </w:p>
        </w:tc>
        <w:tc>
          <w:tcPr>
            <w:tcW w:w="6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Cedar Creek TE</w:t>
            </w:r>
          </w:p>
        </w:tc>
        <w:tc>
          <w:tcPr>
            <w:tcW w:w="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Cedro Hill TE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87"/>
              <w:spacing w:after="0"/>
              <w:rPr>
                <w:sz w:val="20"/>
                <w:szCs w:val="20"/>
                <w:color w:val="auto"/>
              </w:rPr>
            </w:pPr>
            <w:r>
              <w:rPr>
                <w:rFonts w:ascii="Arial" w:cs="Arial" w:eastAsia="Arial" w:hAnsi="Arial"/>
                <w:sz w:val="14"/>
                <w:szCs w:val="14"/>
                <w:b w:val="1"/>
                <w:bCs w:val="1"/>
                <w:color w:val="auto"/>
              </w:rPr>
              <w:t>Daggett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b w:val="1"/>
                <w:bCs w:val="1"/>
                <w:color w:val="auto"/>
                <w:w w:val="87"/>
              </w:rPr>
              <w:t>Lighthouse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Arial" w:cs="Arial" w:eastAsia="Arial" w:hAnsi="Arial"/>
                <w:sz w:val="14"/>
                <w:szCs w:val="14"/>
                <w:b w:val="1"/>
                <w:bCs w:val="1"/>
                <w:color w:val="auto"/>
                <w:w w:val="90"/>
              </w:rPr>
              <w:t>Lighthouse</w:t>
            </w:r>
          </w:p>
        </w:tc>
        <w:tc>
          <w:tcPr>
            <w:tcW w:w="0" w:type="dxa"/>
            <w:vAlign w:val="bottom"/>
          </w:tcPr>
          <w:p>
            <w:pPr>
              <w:spacing w:after="0"/>
              <w:rPr>
                <w:sz w:val="1"/>
                <w:szCs w:val="1"/>
                <w:color w:val="auto"/>
              </w:rPr>
            </w:pPr>
          </w:p>
        </w:tc>
      </w:tr>
      <w:tr>
        <w:trPr>
          <w:trHeight w:val="140"/>
        </w:trPr>
        <w:tc>
          <w:tcPr>
            <w:tcW w:w="2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87"/>
              <w:spacing w:after="0" w:line="140" w:lineRule="exact"/>
              <w:rPr>
                <w:sz w:val="20"/>
                <w:szCs w:val="20"/>
                <w:color w:val="auto"/>
              </w:rPr>
            </w:pPr>
            <w:r>
              <w:rPr>
                <w:rFonts w:ascii="Arial" w:cs="Arial" w:eastAsia="Arial" w:hAnsi="Arial"/>
                <w:sz w:val="14"/>
                <w:szCs w:val="14"/>
                <w:b w:val="1"/>
                <w:bCs w:val="1"/>
                <w:color w:val="auto"/>
                <w:w w:val="90"/>
              </w:rPr>
              <w:t>Renewable</w:t>
            </w:r>
          </w:p>
        </w:tc>
        <w:tc>
          <w:tcPr>
            <w:tcW w:w="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 xml:space="preserve">DGPV Funds </w:t>
            </w:r>
            <w:r>
              <w:rPr>
                <w:rFonts w:ascii="Arial" w:cs="Arial" w:eastAsia="Arial" w:hAnsi="Arial"/>
                <w:sz w:val="18"/>
                <w:szCs w:val="18"/>
                <w:b w:val="1"/>
                <w:bCs w:val="1"/>
                <w:color w:val="auto"/>
                <w:w w:val="93"/>
                <w:vertAlign w:val="superscript"/>
              </w:rPr>
              <w:t>(b)</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87"/>
              <w:spacing w:after="0" w:line="140" w:lineRule="exact"/>
              <w:rPr>
                <w:sz w:val="20"/>
                <w:szCs w:val="20"/>
                <w:color w:val="auto"/>
              </w:rPr>
            </w:pPr>
            <w:r>
              <w:rPr>
                <w:rFonts w:ascii="Arial" w:cs="Arial" w:eastAsia="Arial" w:hAnsi="Arial"/>
                <w:sz w:val="14"/>
                <w:szCs w:val="14"/>
                <w:b w:val="1"/>
                <w:bCs w:val="1"/>
                <w:color w:val="auto"/>
                <w:w w:val="90"/>
              </w:rPr>
              <w:t>Renewable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47"/>
              <w:spacing w:after="0" w:line="140" w:lineRule="exact"/>
              <w:rPr>
                <w:sz w:val="20"/>
                <w:szCs w:val="20"/>
                <w:color w:val="auto"/>
              </w:rPr>
            </w:pPr>
            <w:r>
              <w:rPr>
                <w:rFonts w:ascii="Arial" w:cs="Arial" w:eastAsia="Arial" w:hAnsi="Arial"/>
                <w:sz w:val="14"/>
                <w:szCs w:val="14"/>
                <w:b w:val="1"/>
                <w:bCs w:val="1"/>
                <w:color w:val="auto"/>
                <w:w w:val="92"/>
              </w:rPr>
              <w:t>Renewable</w:t>
            </w:r>
          </w:p>
        </w:tc>
        <w:tc>
          <w:tcPr>
            <w:tcW w:w="0" w:type="dxa"/>
            <w:vAlign w:val="bottom"/>
          </w:tcPr>
          <w:p>
            <w:pPr>
              <w:spacing w:after="0"/>
              <w:rPr>
                <w:sz w:val="1"/>
                <w:szCs w:val="1"/>
                <w:color w:val="auto"/>
              </w:rPr>
            </w:pPr>
          </w:p>
        </w:tc>
      </w:tr>
      <w:tr>
        <w:trPr>
          <w:trHeight w:val="190"/>
        </w:trPr>
        <w:tc>
          <w:tcPr>
            <w:tcW w:w="2560" w:type="dxa"/>
            <w:vAlign w:val="bottom"/>
            <w:tcBorders>
              <w:bottom w:val="single" w:sz="8" w:color="E6E6E6"/>
            </w:tcBorders>
            <w:vMerge w:val="continue"/>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Holdings, LLC</w:t>
            </w: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6"/>
              </w:rPr>
              <w:t>Holdco LLC</w:t>
            </w:r>
          </w:p>
        </w:tc>
        <w:tc>
          <w:tcPr>
            <w:tcW w:w="60" w:type="dxa"/>
            <w:vAlign w:val="bottom"/>
            <w:tcBorders>
              <w:bottom w:val="single" w:sz="8" w:color="E6E6E6"/>
            </w:tcBorders>
          </w:tcPr>
          <w:p>
            <w:pPr>
              <w:spacing w:after="0"/>
              <w:rPr>
                <w:sz w:val="16"/>
                <w:szCs w:val="16"/>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Holdco LLC</w:t>
            </w:r>
          </w:p>
        </w:tc>
        <w:tc>
          <w:tcPr>
            <w:tcW w:w="60" w:type="dxa"/>
            <w:vAlign w:val="bottom"/>
            <w:tcBorders>
              <w:bottom w:val="single" w:sz="8" w:color="E6E6E6"/>
            </w:tcBorders>
          </w:tcPr>
          <w:p>
            <w:pPr>
              <w:spacing w:after="0"/>
              <w:rPr>
                <w:sz w:val="16"/>
                <w:szCs w:val="16"/>
                <w:color w:val="auto"/>
              </w:rPr>
            </w:pPr>
          </w:p>
        </w:tc>
        <w:tc>
          <w:tcPr>
            <w:tcW w:w="1020" w:type="dxa"/>
            <w:vAlign w:val="bottom"/>
            <w:tcBorders>
              <w:bottom w:val="single" w:sz="8" w:color="auto"/>
            </w:tcBorders>
            <w:gridSpan w:val="2"/>
          </w:tcPr>
          <w:p>
            <w:pPr>
              <w:ind w:left="60"/>
              <w:spacing w:after="0" w:line="190" w:lineRule="exact"/>
              <w:rPr>
                <w:sz w:val="20"/>
                <w:szCs w:val="20"/>
                <w:color w:val="auto"/>
              </w:rPr>
            </w:pPr>
            <w:r>
              <w:rPr>
                <w:rFonts w:ascii="Arial" w:cs="Arial" w:eastAsia="Arial" w:hAnsi="Arial"/>
                <w:sz w:val="14"/>
                <w:szCs w:val="14"/>
                <w:b w:val="1"/>
                <w:bCs w:val="1"/>
                <w:color w:val="auto"/>
                <w:w w:val="96"/>
              </w:rPr>
              <w:t xml:space="preserve">Holdco LLC </w:t>
            </w:r>
            <w:r>
              <w:rPr>
                <w:rFonts w:ascii="Arial" w:cs="Arial" w:eastAsia="Arial" w:hAnsi="Arial"/>
                <w:sz w:val="18"/>
                <w:szCs w:val="18"/>
                <w:b w:val="1"/>
                <w:bCs w:val="1"/>
                <w:color w:val="auto"/>
                <w:w w:val="96"/>
                <w:vertAlign w:val="superscript"/>
              </w:rPr>
              <w:t>(a)</w:t>
            </w:r>
          </w:p>
        </w:tc>
        <w:tc>
          <w:tcPr>
            <w:tcW w:w="60" w:type="dxa"/>
            <w:vAlign w:val="bottom"/>
            <w:tcBorders>
              <w:bottom w:val="single" w:sz="8" w:color="E6E6E6"/>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E6E6E6"/>
            </w:tcBorders>
          </w:tcPr>
          <w:p>
            <w:pPr>
              <w:spacing w:after="0"/>
              <w:rPr>
                <w:sz w:val="16"/>
                <w:szCs w:val="16"/>
                <w:color w:val="auto"/>
              </w:rPr>
            </w:pPr>
          </w:p>
        </w:tc>
        <w:tc>
          <w:tcPr>
            <w:tcW w:w="1020" w:type="dxa"/>
            <w:vAlign w:val="bottom"/>
            <w:tcBorders>
              <w:bottom w:val="single" w:sz="8" w:color="auto"/>
            </w:tcBorders>
            <w:gridSpan w:val="2"/>
          </w:tcPr>
          <w:p>
            <w:pPr>
              <w:ind w:left="60"/>
              <w:spacing w:after="0" w:line="190" w:lineRule="exact"/>
              <w:rPr>
                <w:sz w:val="20"/>
                <w:szCs w:val="20"/>
                <w:color w:val="auto"/>
              </w:rPr>
            </w:pPr>
            <w:r>
              <w:rPr>
                <w:rFonts w:ascii="Arial" w:cs="Arial" w:eastAsia="Arial" w:hAnsi="Arial"/>
                <w:sz w:val="14"/>
                <w:szCs w:val="14"/>
                <w:b w:val="1"/>
                <w:bCs w:val="1"/>
                <w:color w:val="auto"/>
                <w:w w:val="96"/>
              </w:rPr>
              <w:t xml:space="preserve">Holdco LLC </w:t>
            </w:r>
            <w:r>
              <w:rPr>
                <w:rFonts w:ascii="Arial" w:cs="Arial" w:eastAsia="Arial" w:hAnsi="Arial"/>
                <w:sz w:val="18"/>
                <w:szCs w:val="18"/>
                <w:b w:val="1"/>
                <w:bCs w:val="1"/>
                <w:color w:val="auto"/>
                <w:w w:val="96"/>
                <w:vertAlign w:val="superscript"/>
              </w:rPr>
              <w:t>(c)</w:t>
            </w:r>
          </w:p>
        </w:tc>
        <w:tc>
          <w:tcPr>
            <w:tcW w:w="60" w:type="dxa"/>
            <w:vAlign w:val="bottom"/>
            <w:tcBorders>
              <w:bottom w:val="single" w:sz="8" w:color="E6E6E6"/>
            </w:tcBorders>
          </w:tcPr>
          <w:p>
            <w:pPr>
              <w:spacing w:after="0"/>
              <w:rPr>
                <w:sz w:val="16"/>
                <w:szCs w:val="16"/>
                <w:color w:val="auto"/>
              </w:rPr>
            </w:pPr>
          </w:p>
        </w:tc>
        <w:tc>
          <w:tcPr>
            <w:tcW w:w="1120" w:type="dxa"/>
            <w:vAlign w:val="bottom"/>
            <w:tcBorders>
              <w:bottom w:val="single" w:sz="8" w:color="auto"/>
            </w:tcBorders>
            <w:gridSpan w:val="2"/>
          </w:tcPr>
          <w:p>
            <w:pPr>
              <w:ind w:left="60"/>
              <w:spacing w:after="0" w:line="190" w:lineRule="exact"/>
              <w:rPr>
                <w:sz w:val="20"/>
                <w:szCs w:val="20"/>
                <w:color w:val="auto"/>
              </w:rPr>
            </w:pPr>
            <w:r>
              <w:rPr>
                <w:rFonts w:ascii="Arial" w:cs="Arial" w:eastAsia="Arial" w:hAnsi="Arial"/>
                <w:sz w:val="14"/>
                <w:szCs w:val="14"/>
                <w:b w:val="1"/>
                <w:bCs w:val="1"/>
                <w:color w:val="auto"/>
                <w:w w:val="94"/>
              </w:rPr>
              <w:t xml:space="preserve">Holdco 2 LLC </w:t>
            </w:r>
            <w:r>
              <w:rPr>
                <w:rFonts w:ascii="Arial" w:cs="Arial" w:eastAsia="Arial" w:hAnsi="Arial"/>
                <w:sz w:val="18"/>
                <w:szCs w:val="18"/>
                <w:b w:val="1"/>
                <w:bCs w:val="1"/>
                <w:color w:val="auto"/>
                <w:w w:val="94"/>
                <w:vertAlign w:val="superscript"/>
              </w:rPr>
              <w:t>(d)</w:t>
            </w:r>
          </w:p>
        </w:tc>
        <w:tc>
          <w:tcPr>
            <w:tcW w:w="0" w:type="dxa"/>
            <w:vAlign w:val="bottom"/>
          </w:tcPr>
          <w:p>
            <w:pPr>
              <w:spacing w:after="0"/>
              <w:rPr>
                <w:sz w:val="1"/>
                <w:szCs w:val="1"/>
                <w:color w:val="auto"/>
              </w:rPr>
            </w:pPr>
          </w:p>
        </w:tc>
      </w:tr>
      <w:tr>
        <w:trPr>
          <w:trHeight w:val="212"/>
        </w:trPr>
        <w:tc>
          <w:tcPr>
            <w:tcW w:w="2560" w:type="dxa"/>
            <w:vAlign w:val="bottom"/>
            <w:shd w:val="clear" w:color="auto" w:fill="E6E6E6"/>
          </w:tcPr>
          <w:p>
            <w:pPr>
              <w:ind w:left="40"/>
              <w:spacing w:after="0" w:line="212" w:lineRule="exact"/>
              <w:rPr>
                <w:sz w:val="20"/>
                <w:szCs w:val="20"/>
                <w:color w:val="auto"/>
              </w:rPr>
            </w:pPr>
            <w:r>
              <w:rPr>
                <w:rFonts w:ascii="Arial" w:cs="Arial" w:eastAsia="Arial" w:hAnsi="Arial"/>
                <w:sz w:val="20"/>
                <w:szCs w:val="20"/>
                <w:color w:val="auto"/>
                <w:w w:val="94"/>
              </w:rPr>
              <w:t>Other current and non-current</w:t>
            </w:r>
          </w:p>
        </w:tc>
        <w:tc>
          <w:tcPr>
            <w:tcW w:w="160" w:type="dxa"/>
            <w:vAlign w:val="bottom"/>
            <w:vMerge w:val="restart"/>
            <w:shd w:val="clear" w:color="auto" w:fill="E6E6E6"/>
          </w:tcPr>
          <w:p>
            <w:pPr>
              <w:ind w:left="40"/>
              <w:spacing w:after="0"/>
              <w:rPr>
                <w:sz w:val="20"/>
                <w:szCs w:val="20"/>
                <w:color w:val="auto"/>
              </w:rPr>
            </w:pPr>
            <w:r>
              <w:rPr>
                <w:rFonts w:ascii="Arial" w:cs="Arial" w:eastAsia="Arial" w:hAnsi="Arial"/>
                <w:sz w:val="20"/>
                <w:szCs w:val="20"/>
                <w:color w:val="auto"/>
                <w:w w:val="89"/>
              </w:rPr>
              <w:t>$</w:t>
            </w: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22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w w:val="89"/>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40</w:t>
            </w:r>
          </w:p>
        </w:tc>
        <w:tc>
          <w:tcPr>
            <w:tcW w:w="44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6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62</w:t>
            </w:r>
          </w:p>
        </w:tc>
        <w:tc>
          <w:tcPr>
            <w:tcW w:w="22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w w:val="89"/>
              </w:rPr>
              <w:t>$</w:t>
            </w: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152</w:t>
            </w:r>
          </w:p>
        </w:tc>
        <w:tc>
          <w:tcPr>
            <w:tcW w:w="48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rPr>
              <w:t>$</w:t>
            </w: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26</w:t>
            </w:r>
          </w:p>
        </w:tc>
        <w:tc>
          <w:tcPr>
            <w:tcW w:w="22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w w:val="71"/>
              </w:rPr>
              <w:t>$</w:t>
            </w: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67</w:t>
            </w:r>
          </w:p>
        </w:tc>
        <w:tc>
          <w:tcPr>
            <w:tcW w:w="24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E6E6E6"/>
          </w:tcPr>
          <w:p>
            <w:pPr>
              <w:jc w:val="right"/>
              <w:ind w:right="7"/>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273"/>
        </w:trPr>
        <w:tc>
          <w:tcPr>
            <w:tcW w:w="25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 xml:space="preserve">assets </w:t>
            </w:r>
            <w:r>
              <w:rPr>
                <w:rFonts w:ascii="Arial" w:cs="Arial" w:eastAsia="Arial" w:hAnsi="Arial"/>
                <w:sz w:val="20"/>
                <w:szCs w:val="20"/>
                <w:color w:val="B4B4B4"/>
                <w:w w:val="96"/>
              </w:rPr>
              <w:t>. . . . . . . . . . . . . . . . . .</w:t>
            </w:r>
          </w:p>
        </w:tc>
        <w:tc>
          <w:tcPr>
            <w:tcW w:w="160" w:type="dxa"/>
            <w:vAlign w:val="bottom"/>
            <w:vMerge w:val="continue"/>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40" w:type="dxa"/>
            <w:vAlign w:val="bottom"/>
            <w:gridSpan w:val="2"/>
            <w:vMerge w:val="continue"/>
            <w:shd w:val="clear" w:color="auto" w:fill="E6E6E6"/>
          </w:tcPr>
          <w:p>
            <w:pPr>
              <w:spacing w:after="0"/>
              <w:rPr>
                <w:sz w:val="23"/>
                <w:szCs w:val="23"/>
                <w:color w:val="auto"/>
              </w:rPr>
            </w:pPr>
          </w:p>
        </w:tc>
        <w:tc>
          <w:tcPr>
            <w:tcW w:w="60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480" w:type="dxa"/>
            <w:vAlign w:val="bottom"/>
            <w:gridSpan w:val="2"/>
            <w:vMerge w:val="continue"/>
            <w:shd w:val="clear" w:color="auto" w:fill="E6E6E6"/>
          </w:tcPr>
          <w:p>
            <w:pPr>
              <w:spacing w:after="0"/>
              <w:rPr>
                <w:sz w:val="23"/>
                <w:szCs w:val="23"/>
                <w:color w:val="auto"/>
              </w:rPr>
            </w:pPr>
          </w:p>
        </w:tc>
        <w:tc>
          <w:tcPr>
            <w:tcW w:w="64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9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560" w:type="dxa"/>
            <w:vAlign w:val="bottom"/>
          </w:tcPr>
          <w:p>
            <w:pPr>
              <w:ind w:left="40"/>
              <w:spacing w:after="0"/>
              <w:rPr>
                <w:sz w:val="20"/>
                <w:szCs w:val="20"/>
                <w:color w:val="auto"/>
              </w:rPr>
            </w:pPr>
            <w:r>
              <w:rPr>
                <w:rFonts w:ascii="Arial" w:cs="Arial" w:eastAsia="Arial" w:hAnsi="Arial"/>
                <w:sz w:val="20"/>
                <w:szCs w:val="20"/>
                <w:color w:val="auto"/>
                <w:w w:val="93"/>
              </w:rPr>
              <w:t>Property, plant and equipment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313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946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Arial" w:cs="Arial" w:eastAsia="Arial" w:hAnsi="Arial"/>
                <w:sz w:val="20"/>
                <w:szCs w:val="20"/>
                <w:color w:val="auto"/>
              </w:rPr>
              <w:t>1,296</w:t>
            </w:r>
          </w:p>
        </w:tc>
        <w:tc>
          <w:tcPr>
            <w:tcW w:w="0" w:type="dxa"/>
            <w:vAlign w:val="bottom"/>
          </w:tcPr>
          <w:p>
            <w:pPr>
              <w:spacing w:after="0"/>
              <w:rPr>
                <w:sz w:val="1"/>
                <w:szCs w:val="1"/>
                <w:color w:val="auto"/>
              </w:rPr>
            </w:pPr>
          </w:p>
        </w:tc>
      </w:tr>
      <w:tr>
        <w:trPr>
          <w:trHeight w:val="297"/>
        </w:trPr>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1"/>
              </w:rPr>
              <w:t xml:space="preserve">Intangible assets </w:t>
            </w:r>
            <w:r>
              <w:rPr>
                <w:rFonts w:ascii="Arial" w:cs="Arial" w:eastAsia="Arial" w:hAnsi="Arial"/>
                <w:sz w:val="20"/>
                <w:szCs w:val="20"/>
                <w:color w:val="B4B4B4"/>
                <w:w w:val="91"/>
              </w:rPr>
              <w:t>. . . . . . . . . . .</w:t>
            </w: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ind w:right="7"/>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3"/>
        </w:trPr>
        <w:tc>
          <w:tcPr>
            <w:tcW w:w="2560" w:type="dxa"/>
            <w:vAlign w:val="bottom"/>
          </w:tcPr>
          <w:p>
            <w:pPr>
              <w:jc w:val="right"/>
              <w:spacing w:after="0"/>
              <w:rPr>
                <w:sz w:val="20"/>
                <w:szCs w:val="20"/>
                <w:color w:val="auto"/>
              </w:rPr>
            </w:pPr>
            <w:r>
              <w:rPr>
                <w:rFonts w:ascii="Arial" w:cs="Arial" w:eastAsia="Arial" w:hAnsi="Arial"/>
                <w:sz w:val="20"/>
                <w:szCs w:val="20"/>
                <w:color w:val="auto"/>
                <w:w w:val="94"/>
              </w:rPr>
              <w:t xml:space="preserve">Total assets </w:t>
            </w:r>
            <w:r>
              <w:rPr>
                <w:rFonts w:ascii="Arial" w:cs="Arial" w:eastAsia="Arial" w:hAnsi="Arial"/>
                <w:sz w:val="20"/>
                <w:szCs w:val="20"/>
                <w:color w:val="B4B4B4"/>
                <w:w w:val="94"/>
              </w:rPr>
              <w:t>.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1,098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Arial" w:cs="Arial" w:eastAsia="Arial" w:hAnsi="Arial"/>
                <w:sz w:val="20"/>
                <w:szCs w:val="20"/>
                <w:color w:val="auto"/>
              </w:rPr>
              <w:t>1,441</w:t>
            </w:r>
          </w:p>
        </w:tc>
        <w:tc>
          <w:tcPr>
            <w:tcW w:w="0" w:type="dxa"/>
            <w:vAlign w:val="bottom"/>
          </w:tcPr>
          <w:p>
            <w:pPr>
              <w:spacing w:after="0"/>
              <w:rPr>
                <w:sz w:val="1"/>
                <w:szCs w:val="1"/>
                <w:color w:val="auto"/>
              </w:rPr>
            </w:pPr>
          </w:p>
        </w:tc>
      </w:tr>
      <w:tr>
        <w:trPr>
          <w:trHeight w:val="307"/>
        </w:trPr>
        <w:tc>
          <w:tcPr>
            <w:tcW w:w="2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xml:space="preserve">Total liabilities </w:t>
            </w:r>
            <w:r>
              <w:rPr>
                <w:rFonts w:ascii="Arial" w:cs="Arial" w:eastAsia="Arial" w:hAnsi="Arial"/>
                <w:sz w:val="20"/>
                <w:szCs w:val="20"/>
                <w:color w:val="B4B4B4"/>
              </w:rPr>
              <w:t>. . . . . . . . . . .</w:t>
            </w: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447</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569</w:t>
            </w:r>
          </w:p>
        </w:tc>
        <w:tc>
          <w:tcPr>
            <w:tcW w:w="0" w:type="dxa"/>
            <w:vAlign w:val="bottom"/>
          </w:tcPr>
          <w:p>
            <w:pPr>
              <w:spacing w:after="0"/>
              <w:rPr>
                <w:sz w:val="1"/>
                <w:szCs w:val="1"/>
                <w:color w:val="auto"/>
              </w:rPr>
            </w:pPr>
          </w:p>
        </w:tc>
      </w:tr>
      <w:tr>
        <w:trPr>
          <w:trHeight w:val="290"/>
        </w:trPr>
        <w:tc>
          <w:tcPr>
            <w:tcW w:w="25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Noncontrolling interest </w:t>
            </w:r>
            <w:r>
              <w:rPr>
                <w:rFonts w:ascii="Arial" w:cs="Arial" w:eastAsia="Arial" w:hAnsi="Arial"/>
                <w:sz w:val="20"/>
                <w:szCs w:val="20"/>
                <w:color w:val="B4B4B4"/>
                <w:w w:val="93"/>
              </w:rPr>
              <w:t>. . . . . .</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796</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668</w:t>
            </w:r>
          </w:p>
        </w:tc>
        <w:tc>
          <w:tcPr>
            <w:tcW w:w="0" w:type="dxa"/>
            <w:vAlign w:val="bottom"/>
          </w:tcPr>
          <w:p>
            <w:pPr>
              <w:spacing w:after="0"/>
              <w:rPr>
                <w:sz w:val="1"/>
                <w:szCs w:val="1"/>
                <w:color w:val="auto"/>
              </w:rPr>
            </w:pPr>
          </w:p>
        </w:tc>
      </w:tr>
      <w:tr>
        <w:trPr>
          <w:trHeight w:val="212"/>
        </w:trPr>
        <w:tc>
          <w:tcPr>
            <w:tcW w:w="2560" w:type="dxa"/>
            <w:vAlign w:val="bottom"/>
            <w:shd w:val="clear" w:color="auto" w:fill="E6E6E6"/>
          </w:tcPr>
          <w:p>
            <w:pPr>
              <w:jc w:val="right"/>
              <w:ind w:right="1122"/>
              <w:spacing w:after="0" w:line="212" w:lineRule="exact"/>
              <w:rPr>
                <w:sz w:val="20"/>
                <w:szCs w:val="20"/>
                <w:color w:val="auto"/>
              </w:rPr>
            </w:pPr>
            <w:r>
              <w:rPr>
                <w:rFonts w:ascii="Arial" w:cs="Arial" w:eastAsia="Arial" w:hAnsi="Arial"/>
                <w:sz w:val="20"/>
                <w:szCs w:val="20"/>
                <w:color w:val="auto"/>
                <w:w w:val="97"/>
              </w:rPr>
              <w:t>Net assets less</w:t>
            </w:r>
          </w:p>
        </w:tc>
        <w:tc>
          <w:tcPr>
            <w:tcW w:w="160" w:type="dxa"/>
            <w:vAlign w:val="bottom"/>
            <w:vMerge w:val="restart"/>
            <w:shd w:val="clear" w:color="auto" w:fill="E6E6E6"/>
          </w:tcPr>
          <w:p>
            <w:pPr>
              <w:ind w:left="40"/>
              <w:spacing w:after="0"/>
              <w:rPr>
                <w:sz w:val="20"/>
                <w:szCs w:val="20"/>
                <w:color w:val="auto"/>
              </w:rPr>
            </w:pPr>
            <w:r>
              <w:rPr>
                <w:rFonts w:ascii="Arial" w:cs="Arial" w:eastAsia="Arial" w:hAnsi="Arial"/>
                <w:sz w:val="20"/>
                <w:szCs w:val="20"/>
                <w:color w:val="auto"/>
                <w:w w:val="89"/>
              </w:rPr>
              <w:t>$</w:t>
            </w: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163</w:t>
            </w:r>
          </w:p>
        </w:tc>
        <w:tc>
          <w:tcPr>
            <w:tcW w:w="22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w w:val="89"/>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122</w:t>
            </w:r>
          </w:p>
        </w:tc>
        <w:tc>
          <w:tcPr>
            <w:tcW w:w="44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6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99</w:t>
            </w:r>
          </w:p>
        </w:tc>
        <w:tc>
          <w:tcPr>
            <w:tcW w:w="22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w w:val="89"/>
              </w:rPr>
              <w:t>$</w:t>
            </w: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(145)</w:t>
            </w:r>
          </w:p>
        </w:tc>
        <w:tc>
          <w:tcPr>
            <w:tcW w:w="480" w:type="dxa"/>
            <w:vAlign w:val="bottom"/>
            <w:gridSpan w:val="2"/>
            <w:vMerge w:val="restart"/>
            <w:shd w:val="clear" w:color="auto" w:fill="E6E6E6"/>
          </w:tcPr>
          <w:p>
            <w:pPr>
              <w:ind w:left="100"/>
              <w:spacing w:after="0"/>
              <w:rPr>
                <w:sz w:val="20"/>
                <w:szCs w:val="20"/>
                <w:color w:val="auto"/>
              </w:rPr>
            </w:pPr>
            <w:r>
              <w:rPr>
                <w:rFonts w:ascii="Arial" w:cs="Arial" w:eastAsia="Arial" w:hAnsi="Arial"/>
                <w:sz w:val="20"/>
                <w:szCs w:val="20"/>
                <w:color w:val="auto"/>
              </w:rPr>
              <w:t>$</w:t>
            </w: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214</w:t>
            </w:r>
          </w:p>
        </w:tc>
        <w:tc>
          <w:tcPr>
            <w:tcW w:w="22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w w:val="71"/>
              </w:rPr>
              <w:t>$</w:t>
            </w: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84</w:t>
            </w:r>
          </w:p>
        </w:tc>
        <w:tc>
          <w:tcPr>
            <w:tcW w:w="24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E6E6E6"/>
          </w:tcPr>
          <w:p>
            <w:pPr>
              <w:jc w:val="right"/>
              <w:ind w:right="7"/>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r>
        <w:trPr>
          <w:trHeight w:val="263"/>
        </w:trPr>
        <w:tc>
          <w:tcPr>
            <w:tcW w:w="2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xml:space="preserve">noncontrolling interest </w:t>
            </w:r>
            <w:r>
              <w:rPr>
                <w:rFonts w:ascii="Arial" w:cs="Arial" w:eastAsia="Arial" w:hAnsi="Arial"/>
                <w:sz w:val="20"/>
                <w:szCs w:val="20"/>
                <w:color w:val="B4B4B4"/>
              </w:rPr>
              <w:t>. . .</w:t>
            </w:r>
          </w:p>
        </w:tc>
        <w:tc>
          <w:tcPr>
            <w:tcW w:w="160" w:type="dxa"/>
            <w:vAlign w:val="bottom"/>
            <w:vMerge w:val="continue"/>
            <w:shd w:val="clear" w:color="auto" w:fill="E6E6E6"/>
          </w:tcPr>
          <w:p>
            <w:pPr>
              <w:spacing w:after="0"/>
              <w:rPr>
                <w:sz w:val="22"/>
                <w:szCs w:val="22"/>
                <w:color w:val="auto"/>
              </w:rPr>
            </w:pPr>
          </w:p>
        </w:tc>
        <w:tc>
          <w:tcPr>
            <w:tcW w:w="860" w:type="dxa"/>
            <w:vAlign w:val="bottom"/>
            <w:vMerge w:val="continue"/>
            <w:shd w:val="clear" w:color="auto" w:fill="E6E6E6"/>
          </w:tcPr>
          <w:p>
            <w:pPr>
              <w:spacing w:after="0"/>
              <w:rPr>
                <w:sz w:val="22"/>
                <w:szCs w:val="22"/>
                <w:color w:val="auto"/>
              </w:rPr>
            </w:pPr>
          </w:p>
        </w:tc>
        <w:tc>
          <w:tcPr>
            <w:tcW w:w="220" w:type="dxa"/>
            <w:vAlign w:val="bottom"/>
            <w:gridSpan w:val="2"/>
            <w:vMerge w:val="continue"/>
            <w:shd w:val="clear" w:color="auto" w:fill="E6E6E6"/>
          </w:tcPr>
          <w:p>
            <w:pPr>
              <w:spacing w:after="0"/>
              <w:rPr>
                <w:sz w:val="22"/>
                <w:szCs w:val="22"/>
                <w:color w:val="auto"/>
              </w:rPr>
            </w:pPr>
          </w:p>
        </w:tc>
        <w:tc>
          <w:tcPr>
            <w:tcW w:w="960" w:type="dxa"/>
            <w:vAlign w:val="bottom"/>
            <w:vMerge w:val="continue"/>
            <w:shd w:val="clear" w:color="auto" w:fill="E6E6E6"/>
          </w:tcPr>
          <w:p>
            <w:pPr>
              <w:spacing w:after="0"/>
              <w:rPr>
                <w:sz w:val="22"/>
                <w:szCs w:val="22"/>
                <w:color w:val="auto"/>
              </w:rPr>
            </w:pPr>
          </w:p>
        </w:tc>
        <w:tc>
          <w:tcPr>
            <w:tcW w:w="440" w:type="dxa"/>
            <w:vAlign w:val="bottom"/>
            <w:gridSpan w:val="2"/>
            <w:vMerge w:val="continue"/>
            <w:shd w:val="clear" w:color="auto" w:fill="E6E6E6"/>
          </w:tcPr>
          <w:p>
            <w:pPr>
              <w:spacing w:after="0"/>
              <w:rPr>
                <w:sz w:val="22"/>
                <w:szCs w:val="22"/>
                <w:color w:val="auto"/>
              </w:rPr>
            </w:pPr>
          </w:p>
        </w:tc>
        <w:tc>
          <w:tcPr>
            <w:tcW w:w="600" w:type="dxa"/>
            <w:vAlign w:val="bottom"/>
            <w:vMerge w:val="continue"/>
            <w:shd w:val="clear" w:color="auto" w:fill="E6E6E6"/>
          </w:tcPr>
          <w:p>
            <w:pPr>
              <w:spacing w:after="0"/>
              <w:rPr>
                <w:sz w:val="22"/>
                <w:szCs w:val="22"/>
                <w:color w:val="auto"/>
              </w:rPr>
            </w:pPr>
          </w:p>
        </w:tc>
        <w:tc>
          <w:tcPr>
            <w:tcW w:w="220" w:type="dxa"/>
            <w:vAlign w:val="bottom"/>
            <w:gridSpan w:val="2"/>
            <w:vMerge w:val="continue"/>
            <w:shd w:val="clear" w:color="auto" w:fill="E6E6E6"/>
          </w:tcPr>
          <w:p>
            <w:pPr>
              <w:spacing w:after="0"/>
              <w:rPr>
                <w:sz w:val="22"/>
                <w:szCs w:val="22"/>
                <w:color w:val="auto"/>
              </w:rPr>
            </w:pPr>
          </w:p>
        </w:tc>
        <w:tc>
          <w:tcPr>
            <w:tcW w:w="860" w:type="dxa"/>
            <w:vAlign w:val="bottom"/>
            <w:vMerge w:val="continue"/>
            <w:shd w:val="clear" w:color="auto" w:fill="E6E6E6"/>
          </w:tcPr>
          <w:p>
            <w:pPr>
              <w:spacing w:after="0"/>
              <w:rPr>
                <w:sz w:val="22"/>
                <w:szCs w:val="22"/>
                <w:color w:val="auto"/>
              </w:rPr>
            </w:pPr>
          </w:p>
        </w:tc>
        <w:tc>
          <w:tcPr>
            <w:tcW w:w="480" w:type="dxa"/>
            <w:vAlign w:val="bottom"/>
            <w:gridSpan w:val="2"/>
            <w:vMerge w:val="continue"/>
            <w:shd w:val="clear" w:color="auto" w:fill="E6E6E6"/>
          </w:tcPr>
          <w:p>
            <w:pPr>
              <w:spacing w:after="0"/>
              <w:rPr>
                <w:sz w:val="22"/>
                <w:szCs w:val="22"/>
                <w:color w:val="auto"/>
              </w:rPr>
            </w:pPr>
          </w:p>
        </w:tc>
        <w:tc>
          <w:tcPr>
            <w:tcW w:w="640" w:type="dxa"/>
            <w:vAlign w:val="bottom"/>
            <w:vMerge w:val="continue"/>
            <w:shd w:val="clear" w:color="auto" w:fill="E6E6E6"/>
          </w:tcPr>
          <w:p>
            <w:pPr>
              <w:spacing w:after="0"/>
              <w:rPr>
                <w:sz w:val="22"/>
                <w:szCs w:val="22"/>
                <w:color w:val="auto"/>
              </w:rPr>
            </w:pPr>
          </w:p>
        </w:tc>
        <w:tc>
          <w:tcPr>
            <w:tcW w:w="220" w:type="dxa"/>
            <w:vAlign w:val="bottom"/>
            <w:gridSpan w:val="2"/>
            <w:vMerge w:val="continue"/>
            <w:shd w:val="clear" w:color="auto" w:fill="E6E6E6"/>
          </w:tcPr>
          <w:p>
            <w:pPr>
              <w:spacing w:after="0"/>
              <w:rPr>
                <w:sz w:val="22"/>
                <w:szCs w:val="22"/>
                <w:color w:val="auto"/>
              </w:rPr>
            </w:pPr>
          </w:p>
        </w:tc>
        <w:tc>
          <w:tcPr>
            <w:tcW w:w="860" w:type="dxa"/>
            <w:vAlign w:val="bottom"/>
            <w:vMerge w:val="continue"/>
            <w:shd w:val="clear" w:color="auto" w:fill="E6E6E6"/>
          </w:tcPr>
          <w:p>
            <w:pPr>
              <w:spacing w:after="0"/>
              <w:rPr>
                <w:sz w:val="22"/>
                <w:szCs w:val="22"/>
                <w:color w:val="auto"/>
              </w:rPr>
            </w:pPr>
          </w:p>
        </w:tc>
        <w:tc>
          <w:tcPr>
            <w:tcW w:w="240" w:type="dxa"/>
            <w:vAlign w:val="bottom"/>
            <w:gridSpan w:val="2"/>
            <w:vMerge w:val="continue"/>
            <w:shd w:val="clear" w:color="auto" w:fill="E6E6E6"/>
          </w:tcPr>
          <w:p>
            <w:pPr>
              <w:spacing w:after="0"/>
              <w:rPr>
                <w:sz w:val="22"/>
                <w:szCs w:val="22"/>
                <w:color w:val="auto"/>
              </w:rPr>
            </w:pPr>
          </w:p>
        </w:tc>
        <w:tc>
          <w:tcPr>
            <w:tcW w:w="94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-43815</wp:posOffset>
            </wp:positionV>
            <wp:extent cx="491172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1">
                      <a:extLst>
                        <a:ext uri="{28A0092B-C50C-407E-A947-70E740481C1C}"/>
                      </a:extLst>
                    </a:blip>
                    <a:srcRect/>
                    <a:stretch>
                      <a:fillRect/>
                    </a:stretch>
                  </pic:blipFill>
                  <pic:spPr bwMode="auto">
                    <a:xfrm>
                      <a:off x="0" y="0"/>
                      <a:ext cx="49117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2">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13" w:lineRule="exact"/>
        <w:rPr>
          <w:sz w:val="20"/>
          <w:szCs w:val="20"/>
          <w:color w:val="auto"/>
        </w:rPr>
      </w:pPr>
    </w:p>
    <w:p>
      <w:pPr>
        <w:ind w:left="300" w:hanging="220"/>
        <w:spacing w:after="0"/>
        <w:tabs>
          <w:tab w:leader="none" w:pos="30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Daggett Renewable Holdco LLC consolidates Daggett TE Holdco LLC and Daggett 2 TE Holdco LLC, which are consolidated VIEs.</w:t>
      </w:r>
    </w:p>
    <w:p>
      <w:pPr>
        <w:spacing w:after="0" w:line="70" w:lineRule="exact"/>
        <w:rPr>
          <w:rFonts w:ascii="Arial" w:cs="Arial" w:eastAsia="Arial" w:hAnsi="Arial"/>
          <w:sz w:val="26"/>
          <w:szCs w:val="26"/>
          <w:color w:val="auto"/>
          <w:vertAlign w:val="superscript"/>
        </w:rPr>
      </w:pPr>
    </w:p>
    <w:p>
      <w:pPr>
        <w:ind w:left="80" w:right="20"/>
        <w:spacing w:after="0" w:line="209" w:lineRule="auto"/>
        <w:tabs>
          <w:tab w:leader="none" w:pos="313"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DGPV Funds is comprised of Clearway &amp; EFS Distributed Solar LLC, Golden Puma Fund LLC and Renew Solar CS4 Fund LLC, which are all tax equity funds.</w:t>
      </w:r>
    </w:p>
    <w:p>
      <w:pPr>
        <w:ind w:left="300" w:hanging="220"/>
        <w:spacing w:after="0" w:line="208" w:lineRule="auto"/>
        <w:tabs>
          <w:tab w:leader="none" w:pos="30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Lighthouse Renewable Holdco LLC consolidates Black Rock TE Holdco LLC and Mililani TE Holdco LLC, which are consolidated VIEs.</w:t>
      </w:r>
    </w:p>
    <w:p>
      <w:pPr>
        <w:spacing w:after="0" w:line="71" w:lineRule="exact"/>
        <w:rPr>
          <w:rFonts w:ascii="Arial" w:cs="Arial" w:eastAsia="Arial" w:hAnsi="Arial"/>
          <w:sz w:val="26"/>
          <w:szCs w:val="26"/>
          <w:color w:val="auto"/>
          <w:vertAlign w:val="superscript"/>
        </w:rPr>
      </w:pPr>
    </w:p>
    <w:p>
      <w:pPr>
        <w:ind w:left="80" w:right="260"/>
        <w:spacing w:after="0" w:line="209" w:lineRule="auto"/>
        <w:tabs>
          <w:tab w:leader="none" w:pos="311"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Lighthouse Renewable Holdco 2 LLC consolidates Mesquite Sky TE Holdco LLC, Mesquite Star Tax Equity Holdco LLC and TSN1 TE Holdco LLC, which are consolidated VIEs.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Oahu Solar LLC</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b w:val="1"/>
                <w:bCs w:val="1"/>
                <w:color w:val="auto"/>
                <w:w w:val="89"/>
              </w:rPr>
              <w:t>Rattlesnake TE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b w:val="1"/>
                <w:bCs w:val="1"/>
                <w:color w:val="auto"/>
                <w:w w:val="88"/>
              </w:rPr>
              <w:t>Rosie TargetCo</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24"/>
              <w:spacing w:after="0"/>
              <w:rPr>
                <w:sz w:val="20"/>
                <w:szCs w:val="20"/>
                <w:color w:val="auto"/>
              </w:rPr>
            </w:pPr>
            <w:r>
              <w:rPr>
                <w:rFonts w:ascii="Arial" w:cs="Arial" w:eastAsia="Arial" w:hAnsi="Arial"/>
                <w:sz w:val="14"/>
                <w:szCs w:val="14"/>
                <w:b w:val="1"/>
                <w:bCs w:val="1"/>
                <w:color w:val="auto"/>
              </w:rPr>
              <w:t>VP-Arica</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b w:val="1"/>
                <w:bCs w:val="1"/>
                <w:color w:val="auto"/>
                <w:w w:val="95"/>
              </w:rPr>
              <w:t>Wildorado TE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90"/>
        </w:trPr>
        <w:tc>
          <w:tcPr>
            <w:tcW w:w="2560" w:type="dxa"/>
            <w:vAlign w:val="bottom"/>
            <w:tcBorders>
              <w:bottom w:val="single" w:sz="8" w:color="E6E6E6"/>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Holdco LLC</w:t>
            </w: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LLC</w:t>
            </w:r>
          </w:p>
        </w:tc>
        <w:tc>
          <w:tcPr>
            <w:tcW w:w="60" w:type="dxa"/>
            <w:vAlign w:val="bottom"/>
            <w:tcBorders>
              <w:bottom w:val="single" w:sz="8" w:color="E6E6E6"/>
            </w:tcBorders>
          </w:tcPr>
          <w:p>
            <w:pPr>
              <w:spacing w:after="0"/>
              <w:rPr>
                <w:sz w:val="16"/>
                <w:szCs w:val="16"/>
                <w:color w:val="auto"/>
              </w:rPr>
            </w:pPr>
          </w:p>
        </w:tc>
        <w:tc>
          <w:tcPr>
            <w:tcW w:w="120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4"/>
                <w:szCs w:val="14"/>
                <w:b w:val="1"/>
                <w:bCs w:val="1"/>
                <w:color w:val="auto"/>
                <w:w w:val="98"/>
              </w:rPr>
              <w:t xml:space="preserve">TargetCo LLC </w:t>
            </w:r>
            <w:r>
              <w:rPr>
                <w:rFonts w:ascii="Arial" w:cs="Arial" w:eastAsia="Arial" w:hAnsi="Arial"/>
                <w:sz w:val="18"/>
                <w:szCs w:val="18"/>
                <w:b w:val="1"/>
                <w:bCs w:val="1"/>
                <w:color w:val="auto"/>
                <w:w w:val="98"/>
                <w:vertAlign w:val="superscript"/>
              </w:rPr>
              <w:t>(a)</w:t>
            </w:r>
          </w:p>
        </w:tc>
        <w:tc>
          <w:tcPr>
            <w:tcW w:w="60" w:type="dxa"/>
            <w:vAlign w:val="bottom"/>
            <w:tcBorders>
              <w:bottom w:val="single" w:sz="8" w:color="E6E6E6"/>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Holdco LLC</w:t>
            </w:r>
          </w:p>
        </w:tc>
        <w:tc>
          <w:tcPr>
            <w:tcW w:w="60" w:type="dxa"/>
            <w:vAlign w:val="bottom"/>
            <w:tcBorders>
              <w:bottom w:val="single" w:sz="8" w:color="E6E6E6"/>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60" w:type="dxa"/>
            <w:vAlign w:val="bottom"/>
            <w:shd w:val="clear" w:color="auto" w:fill="E6E6E6"/>
          </w:tcPr>
          <w:p>
            <w:pPr>
              <w:ind w:left="40"/>
              <w:spacing w:after="0" w:line="182" w:lineRule="exact"/>
              <w:rPr>
                <w:sz w:val="20"/>
                <w:szCs w:val="20"/>
                <w:color w:val="auto"/>
              </w:rPr>
            </w:pPr>
            <w:r>
              <w:rPr>
                <w:rFonts w:ascii="Arial" w:cs="Arial" w:eastAsia="Arial" w:hAnsi="Arial"/>
                <w:sz w:val="20"/>
                <w:szCs w:val="20"/>
                <w:color w:val="auto"/>
                <w:w w:val="94"/>
              </w:rPr>
              <w:t>Other current and non-current</w:t>
            </w:r>
          </w:p>
        </w:tc>
        <w:tc>
          <w:tcPr>
            <w:tcW w:w="520" w:type="dxa"/>
            <w:vAlign w:val="bottom"/>
            <w:vMerge w:val="restart"/>
            <w:shd w:val="clear" w:color="auto" w:fill="E6E6E6"/>
          </w:tcPr>
          <w:p>
            <w:pPr>
              <w:jc w:val="right"/>
              <w:ind w:right="290"/>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37</w:t>
            </w:r>
          </w:p>
        </w:tc>
        <w:tc>
          <w:tcPr>
            <w:tcW w:w="220" w:type="dxa"/>
            <w:vAlign w:val="bottom"/>
            <w:gridSpan w:val="2"/>
            <w:vMerge w:val="restart"/>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22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62</w:t>
            </w:r>
          </w:p>
        </w:tc>
        <w:tc>
          <w:tcPr>
            <w:tcW w:w="300" w:type="dxa"/>
            <w:vAlign w:val="bottom"/>
            <w:gridSpan w:val="2"/>
            <w:vMerge w:val="restart"/>
            <w:shd w:val="clear" w:color="auto" w:fill="E6E6E6"/>
          </w:tcPr>
          <w:p>
            <w:pPr>
              <w:jc w:val="right"/>
              <w:ind w:right="1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66</w:t>
            </w:r>
          </w:p>
        </w:tc>
        <w:tc>
          <w:tcPr>
            <w:tcW w:w="240" w:type="dxa"/>
            <w:vAlign w:val="bottom"/>
            <w:gridSpan w:val="2"/>
            <w:vMerge w:val="restart"/>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6E6E6"/>
          </w:tcPr>
          <w:p>
            <w:pPr>
              <w:jc w:val="right"/>
              <w:ind w:right="7"/>
              <w:spacing w:after="0"/>
              <w:rPr>
                <w:sz w:val="20"/>
                <w:szCs w:val="20"/>
                <w:color w:val="auto"/>
              </w:rPr>
            </w:pPr>
            <w:r>
              <w:rPr>
                <w:rFonts w:ascii="Arial" w:cs="Arial" w:eastAsia="Arial" w:hAnsi="Arial"/>
                <w:sz w:val="20"/>
                <w:szCs w:val="20"/>
                <w:color w:val="auto"/>
              </w:rPr>
              <w:t>26</w:t>
            </w:r>
          </w:p>
        </w:tc>
        <w:tc>
          <w:tcPr>
            <w:tcW w:w="300" w:type="dxa"/>
            <w:vAlign w:val="bottom"/>
            <w:gridSpan w:val="2"/>
            <w:vMerge w:val="restart"/>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ind w:right="4"/>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73"/>
        </w:trPr>
        <w:tc>
          <w:tcPr>
            <w:tcW w:w="25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 xml:space="preserve">assets </w:t>
            </w:r>
            <w:r>
              <w:rPr>
                <w:rFonts w:ascii="Arial" w:cs="Arial" w:eastAsia="Arial" w:hAnsi="Arial"/>
                <w:sz w:val="20"/>
                <w:szCs w:val="20"/>
                <w:color w:val="B4B4B4"/>
                <w:w w:val="96"/>
              </w:rPr>
              <w:t>. . . . . . . . . . . . . . . . . .</w:t>
            </w:r>
          </w:p>
        </w:tc>
        <w:tc>
          <w:tcPr>
            <w:tcW w:w="520" w:type="dxa"/>
            <w:vAlign w:val="bottom"/>
            <w:vMerge w:val="continue"/>
            <w:shd w:val="clear" w:color="auto" w:fill="E6E6E6"/>
          </w:tcPr>
          <w:p>
            <w:pPr>
              <w:spacing w:after="0"/>
              <w:rPr>
                <w:sz w:val="23"/>
                <w:szCs w:val="23"/>
                <w:color w:val="auto"/>
              </w:rPr>
            </w:pPr>
          </w:p>
        </w:tc>
        <w:tc>
          <w:tcPr>
            <w:tcW w:w="74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108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108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108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560" w:type="dxa"/>
            <w:vAlign w:val="bottom"/>
          </w:tcPr>
          <w:p>
            <w:pPr>
              <w:ind w:left="40"/>
              <w:spacing w:after="0"/>
              <w:rPr>
                <w:sz w:val="20"/>
                <w:szCs w:val="20"/>
                <w:color w:val="auto"/>
              </w:rPr>
            </w:pPr>
            <w:r>
              <w:rPr>
                <w:rFonts w:ascii="Arial" w:cs="Arial" w:eastAsia="Arial" w:hAnsi="Arial"/>
                <w:sz w:val="20"/>
                <w:szCs w:val="20"/>
                <w:color w:val="auto"/>
                <w:w w:val="93"/>
              </w:rPr>
              <w:t>Property, plant and equipment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488</w:t>
            </w:r>
          </w:p>
        </w:tc>
        <w:tc>
          <w:tcPr>
            <w:tcW w:w="0" w:type="dxa"/>
            <w:vAlign w:val="bottom"/>
          </w:tcPr>
          <w:p>
            <w:pPr>
              <w:spacing w:after="0"/>
              <w:rPr>
                <w:sz w:val="1"/>
                <w:szCs w:val="1"/>
                <w:color w:val="auto"/>
              </w:rPr>
            </w:pPr>
          </w:p>
        </w:tc>
      </w:tr>
      <w:tr>
        <w:trPr>
          <w:trHeight w:val="296"/>
        </w:trPr>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1"/>
              </w:rPr>
              <w:t xml:space="preserve">Intangible assets </w:t>
            </w:r>
            <w:r>
              <w:rPr>
                <w:rFonts w:ascii="Arial" w:cs="Arial" w:eastAsia="Arial" w:hAnsi="Arial"/>
                <w:sz w:val="20"/>
                <w:szCs w:val="20"/>
                <w:color w:val="B4B4B4"/>
                <w:w w:val="91"/>
              </w:rPr>
              <w:t>. . . . . . . . . . .</w:t>
            </w:r>
          </w:p>
        </w:tc>
        <w:tc>
          <w:tcPr>
            <w:tcW w:w="5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ind w:right="7"/>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2560" w:type="dxa"/>
            <w:vAlign w:val="bottom"/>
          </w:tcPr>
          <w:p>
            <w:pPr>
              <w:jc w:val="right"/>
              <w:spacing w:after="0"/>
              <w:rPr>
                <w:sz w:val="20"/>
                <w:szCs w:val="20"/>
                <w:color w:val="auto"/>
              </w:rPr>
            </w:pPr>
            <w:r>
              <w:rPr>
                <w:rFonts w:ascii="Arial" w:cs="Arial" w:eastAsia="Arial" w:hAnsi="Arial"/>
                <w:sz w:val="20"/>
                <w:szCs w:val="20"/>
                <w:color w:val="auto"/>
                <w:w w:val="94"/>
              </w:rPr>
              <w:t xml:space="preserve">Total assets </w:t>
            </w:r>
            <w:r>
              <w:rPr>
                <w:rFonts w:ascii="Arial" w:cs="Arial" w:eastAsia="Arial" w:hAnsi="Arial"/>
                <w:sz w:val="20"/>
                <w:szCs w:val="20"/>
                <w:color w:val="B4B4B4"/>
                <w:w w:val="94"/>
              </w:rPr>
              <w:t>. . . . . . . . . . . . . .</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Arial" w:cs="Arial" w:eastAsia="Arial" w:hAnsi="Arial"/>
                <w:sz w:val="20"/>
                <w:szCs w:val="20"/>
                <w:color w:val="auto"/>
              </w:rPr>
              <w:t>204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563</w:t>
            </w:r>
          </w:p>
        </w:tc>
        <w:tc>
          <w:tcPr>
            <w:tcW w:w="0" w:type="dxa"/>
            <w:vAlign w:val="bottom"/>
          </w:tcPr>
          <w:p>
            <w:pPr>
              <w:spacing w:after="0"/>
              <w:rPr>
                <w:sz w:val="1"/>
                <w:szCs w:val="1"/>
                <w:color w:val="auto"/>
              </w:rPr>
            </w:pPr>
          </w:p>
        </w:tc>
      </w:tr>
      <w:tr>
        <w:trPr>
          <w:trHeight w:val="306"/>
        </w:trPr>
        <w:tc>
          <w:tcPr>
            <w:tcW w:w="2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xml:space="preserve">Total liabilities </w:t>
            </w:r>
            <w:r>
              <w:rPr>
                <w:rFonts w:ascii="Arial" w:cs="Arial" w:eastAsia="Arial" w:hAnsi="Arial"/>
                <w:sz w:val="20"/>
                <w:szCs w:val="20"/>
                <w:color w:val="B4B4B4"/>
              </w:rPr>
              <w:t>. . . . . . . . . . .</w:t>
            </w:r>
          </w:p>
        </w:tc>
        <w:tc>
          <w:tcPr>
            <w:tcW w:w="5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218</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18</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315</w:t>
            </w:r>
          </w:p>
        </w:tc>
        <w:tc>
          <w:tcPr>
            <w:tcW w:w="0" w:type="dxa"/>
            <w:vAlign w:val="bottom"/>
          </w:tcPr>
          <w:p>
            <w:pPr>
              <w:spacing w:after="0"/>
              <w:rPr>
                <w:sz w:val="1"/>
                <w:szCs w:val="1"/>
                <w:color w:val="auto"/>
              </w:rPr>
            </w:pPr>
          </w:p>
        </w:tc>
      </w:tr>
      <w:tr>
        <w:trPr>
          <w:trHeight w:val="290"/>
        </w:trPr>
        <w:tc>
          <w:tcPr>
            <w:tcW w:w="25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Noncontrolling interest </w:t>
            </w:r>
            <w:r>
              <w:rPr>
                <w:rFonts w:ascii="Arial" w:cs="Arial" w:eastAsia="Arial" w:hAnsi="Arial"/>
                <w:sz w:val="20"/>
                <w:szCs w:val="20"/>
                <w:color w:val="B4B4B4"/>
                <w:w w:val="93"/>
              </w:rPr>
              <w:t>. . . . . .</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81</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12"/>
        </w:trPr>
        <w:tc>
          <w:tcPr>
            <w:tcW w:w="2560" w:type="dxa"/>
            <w:vAlign w:val="bottom"/>
            <w:shd w:val="clear" w:color="auto" w:fill="E6E6E6"/>
          </w:tcPr>
          <w:p>
            <w:pPr>
              <w:jc w:val="right"/>
              <w:ind w:right="1122"/>
              <w:spacing w:after="0" w:line="212" w:lineRule="exact"/>
              <w:rPr>
                <w:sz w:val="20"/>
                <w:szCs w:val="20"/>
                <w:color w:val="auto"/>
              </w:rPr>
            </w:pPr>
            <w:r>
              <w:rPr>
                <w:rFonts w:ascii="Arial" w:cs="Arial" w:eastAsia="Arial" w:hAnsi="Arial"/>
                <w:sz w:val="20"/>
                <w:szCs w:val="20"/>
                <w:color w:val="auto"/>
                <w:w w:val="97"/>
              </w:rPr>
              <w:t>Net assets less</w:t>
            </w:r>
          </w:p>
        </w:tc>
        <w:tc>
          <w:tcPr>
            <w:tcW w:w="520" w:type="dxa"/>
            <w:vAlign w:val="bottom"/>
            <w:vMerge w:val="restart"/>
            <w:shd w:val="clear" w:color="auto" w:fill="E6E6E6"/>
          </w:tcPr>
          <w:p>
            <w:pPr>
              <w:jc w:val="right"/>
              <w:ind w:right="290"/>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144</w:t>
            </w:r>
          </w:p>
        </w:tc>
        <w:tc>
          <w:tcPr>
            <w:tcW w:w="220" w:type="dxa"/>
            <w:vAlign w:val="bottom"/>
            <w:gridSpan w:val="2"/>
            <w:vMerge w:val="restart"/>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87</w:t>
            </w:r>
          </w:p>
        </w:tc>
        <w:tc>
          <w:tcPr>
            <w:tcW w:w="22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115</w:t>
            </w:r>
          </w:p>
        </w:tc>
        <w:tc>
          <w:tcPr>
            <w:tcW w:w="300" w:type="dxa"/>
            <w:vAlign w:val="bottom"/>
            <w:gridSpan w:val="2"/>
            <w:vMerge w:val="restart"/>
            <w:shd w:val="clear" w:color="auto" w:fill="E6E6E6"/>
          </w:tcPr>
          <w:p>
            <w:pPr>
              <w:jc w:val="right"/>
              <w:ind w:right="1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708</w:t>
            </w:r>
          </w:p>
        </w:tc>
        <w:tc>
          <w:tcPr>
            <w:tcW w:w="240" w:type="dxa"/>
            <w:vAlign w:val="bottom"/>
            <w:gridSpan w:val="2"/>
            <w:vMerge w:val="restart"/>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6E6E6"/>
          </w:tcPr>
          <w:p>
            <w:pPr>
              <w:jc w:val="right"/>
              <w:ind w:right="7"/>
              <w:spacing w:after="0"/>
              <w:rPr>
                <w:sz w:val="20"/>
                <w:szCs w:val="20"/>
                <w:color w:val="auto"/>
              </w:rPr>
            </w:pPr>
            <w:r>
              <w:rPr>
                <w:rFonts w:ascii="Arial" w:cs="Arial" w:eastAsia="Arial" w:hAnsi="Arial"/>
                <w:sz w:val="20"/>
                <w:szCs w:val="20"/>
                <w:color w:val="auto"/>
              </w:rPr>
              <w:t>105</w:t>
            </w:r>
          </w:p>
        </w:tc>
        <w:tc>
          <w:tcPr>
            <w:tcW w:w="300" w:type="dxa"/>
            <w:vAlign w:val="bottom"/>
            <w:gridSpan w:val="2"/>
            <w:vMerge w:val="restart"/>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ind w:right="4"/>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63"/>
        </w:trPr>
        <w:tc>
          <w:tcPr>
            <w:tcW w:w="2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xml:space="preserve">noncontrolling interest </w:t>
            </w:r>
            <w:r>
              <w:rPr>
                <w:rFonts w:ascii="Arial" w:cs="Arial" w:eastAsia="Arial" w:hAnsi="Arial"/>
                <w:sz w:val="20"/>
                <w:szCs w:val="20"/>
                <w:color w:val="B4B4B4"/>
              </w:rPr>
              <w:t>. . .</w:t>
            </w:r>
          </w:p>
        </w:tc>
        <w:tc>
          <w:tcPr>
            <w:tcW w:w="520" w:type="dxa"/>
            <w:vAlign w:val="bottom"/>
            <w:vMerge w:val="continue"/>
            <w:shd w:val="clear" w:color="auto" w:fill="E6E6E6"/>
          </w:tcPr>
          <w:p>
            <w:pPr>
              <w:spacing w:after="0"/>
              <w:rPr>
                <w:sz w:val="22"/>
                <w:szCs w:val="22"/>
                <w:color w:val="auto"/>
              </w:rPr>
            </w:pPr>
          </w:p>
        </w:tc>
        <w:tc>
          <w:tcPr>
            <w:tcW w:w="740" w:type="dxa"/>
            <w:vAlign w:val="bottom"/>
            <w:vMerge w:val="continue"/>
            <w:shd w:val="clear" w:color="auto" w:fill="E6E6E6"/>
          </w:tcPr>
          <w:p>
            <w:pPr>
              <w:spacing w:after="0"/>
              <w:rPr>
                <w:sz w:val="22"/>
                <w:szCs w:val="22"/>
                <w:color w:val="auto"/>
              </w:rPr>
            </w:pPr>
          </w:p>
        </w:tc>
        <w:tc>
          <w:tcPr>
            <w:tcW w:w="220" w:type="dxa"/>
            <w:vAlign w:val="bottom"/>
            <w:gridSpan w:val="2"/>
            <w:vMerge w:val="continue"/>
            <w:shd w:val="clear" w:color="auto" w:fill="E6E6E6"/>
          </w:tcPr>
          <w:p>
            <w:pPr>
              <w:spacing w:after="0"/>
              <w:rPr>
                <w:sz w:val="22"/>
                <w:szCs w:val="22"/>
                <w:color w:val="auto"/>
              </w:rPr>
            </w:pPr>
          </w:p>
        </w:tc>
        <w:tc>
          <w:tcPr>
            <w:tcW w:w="1080" w:type="dxa"/>
            <w:vAlign w:val="bottom"/>
            <w:vMerge w:val="continue"/>
            <w:shd w:val="clear" w:color="auto" w:fill="E6E6E6"/>
          </w:tcPr>
          <w:p>
            <w:pPr>
              <w:spacing w:after="0"/>
              <w:rPr>
                <w:sz w:val="22"/>
                <w:szCs w:val="22"/>
                <w:color w:val="auto"/>
              </w:rPr>
            </w:pPr>
          </w:p>
        </w:tc>
        <w:tc>
          <w:tcPr>
            <w:tcW w:w="220" w:type="dxa"/>
            <w:vAlign w:val="bottom"/>
            <w:gridSpan w:val="2"/>
            <w:vMerge w:val="continue"/>
            <w:shd w:val="clear" w:color="auto" w:fill="E6E6E6"/>
          </w:tcPr>
          <w:p>
            <w:pPr>
              <w:spacing w:after="0"/>
              <w:rPr>
                <w:sz w:val="22"/>
                <w:szCs w:val="22"/>
                <w:color w:val="auto"/>
              </w:rPr>
            </w:pPr>
          </w:p>
        </w:tc>
        <w:tc>
          <w:tcPr>
            <w:tcW w:w="1080" w:type="dxa"/>
            <w:vAlign w:val="bottom"/>
            <w:vMerge w:val="continue"/>
            <w:shd w:val="clear" w:color="auto" w:fill="E6E6E6"/>
          </w:tcPr>
          <w:p>
            <w:pPr>
              <w:spacing w:after="0"/>
              <w:rPr>
                <w:sz w:val="22"/>
                <w:szCs w:val="22"/>
                <w:color w:val="auto"/>
              </w:rPr>
            </w:pPr>
          </w:p>
        </w:tc>
        <w:tc>
          <w:tcPr>
            <w:tcW w:w="300" w:type="dxa"/>
            <w:vAlign w:val="bottom"/>
            <w:gridSpan w:val="2"/>
            <w:vMerge w:val="continue"/>
            <w:shd w:val="clear" w:color="auto" w:fill="E6E6E6"/>
          </w:tcPr>
          <w:p>
            <w:pPr>
              <w:spacing w:after="0"/>
              <w:rPr>
                <w:sz w:val="22"/>
                <w:szCs w:val="22"/>
                <w:color w:val="auto"/>
              </w:rPr>
            </w:pPr>
          </w:p>
        </w:tc>
        <w:tc>
          <w:tcPr>
            <w:tcW w:w="960" w:type="dxa"/>
            <w:vAlign w:val="bottom"/>
            <w:vMerge w:val="continue"/>
            <w:shd w:val="clear" w:color="auto" w:fill="E6E6E6"/>
          </w:tcPr>
          <w:p>
            <w:pPr>
              <w:spacing w:after="0"/>
              <w:rPr>
                <w:sz w:val="22"/>
                <w:szCs w:val="22"/>
                <w:color w:val="auto"/>
              </w:rPr>
            </w:pPr>
          </w:p>
        </w:tc>
        <w:tc>
          <w:tcPr>
            <w:tcW w:w="240" w:type="dxa"/>
            <w:vAlign w:val="bottom"/>
            <w:gridSpan w:val="2"/>
            <w:vMerge w:val="continue"/>
            <w:shd w:val="clear" w:color="auto" w:fill="E6E6E6"/>
          </w:tcPr>
          <w:p>
            <w:pPr>
              <w:spacing w:after="0"/>
              <w:rPr>
                <w:sz w:val="22"/>
                <w:szCs w:val="22"/>
                <w:color w:val="auto"/>
              </w:rPr>
            </w:pPr>
          </w:p>
        </w:tc>
        <w:tc>
          <w:tcPr>
            <w:tcW w:w="1080" w:type="dxa"/>
            <w:vAlign w:val="bottom"/>
            <w:vMerge w:val="continue"/>
            <w:shd w:val="clear" w:color="auto" w:fill="E6E6E6"/>
          </w:tcPr>
          <w:p>
            <w:pPr>
              <w:spacing w:after="0"/>
              <w:rPr>
                <w:sz w:val="22"/>
                <w:szCs w:val="22"/>
                <w:color w:val="auto"/>
              </w:rPr>
            </w:pPr>
          </w:p>
        </w:tc>
        <w:tc>
          <w:tcPr>
            <w:tcW w:w="300" w:type="dxa"/>
            <w:vAlign w:val="bottom"/>
            <w:gridSpan w:val="2"/>
            <w:vMerge w:val="continue"/>
            <w:shd w:val="clear" w:color="auto" w:fill="E6E6E6"/>
          </w:tcPr>
          <w:p>
            <w:pPr>
              <w:spacing w:after="0"/>
              <w:rPr>
                <w:sz w:val="22"/>
                <w:szCs w:val="22"/>
                <w:color w:val="auto"/>
              </w:rPr>
            </w:pPr>
          </w:p>
        </w:tc>
        <w:tc>
          <w:tcPr>
            <w:tcW w:w="96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E6E6E6"/>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-43815</wp:posOffset>
            </wp:positionV>
            <wp:extent cx="491172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3">
                      <a:extLst>
                        <a:ext uri="{28A0092B-C50C-407E-A947-70E740481C1C}"/>
                      </a:extLst>
                    </a:blip>
                    <a:srcRect/>
                    <a:stretch>
                      <a:fillRect/>
                    </a:stretch>
                  </pic:blipFill>
                  <pic:spPr bwMode="auto">
                    <a:xfrm>
                      <a:off x="0" y="0"/>
                      <a:ext cx="49117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4">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36" w:lineRule="exact"/>
        <w:rPr>
          <w:sz w:val="20"/>
          <w:szCs w:val="20"/>
          <w:color w:val="auto"/>
        </w:rPr>
      </w:pPr>
    </w:p>
    <w:p>
      <w:pPr>
        <w:ind w:left="300" w:hanging="220"/>
        <w:spacing w:after="0"/>
        <w:tabs>
          <w:tab w:leader="none" w:pos="300" w:val="left"/>
        </w:tabs>
        <w:numPr>
          <w:ilvl w:val="0"/>
          <w:numId w:val="55"/>
        </w:numPr>
        <w:rPr>
          <w:rFonts w:ascii="Arial" w:cs="Arial" w:eastAsia="Arial" w:hAnsi="Arial"/>
          <w:sz w:val="24"/>
          <w:szCs w:val="24"/>
          <w:color w:val="auto"/>
          <w:vertAlign w:val="superscript"/>
        </w:rPr>
      </w:pPr>
      <w:r>
        <w:rPr>
          <w:rFonts w:ascii="Arial" w:cs="Arial" w:eastAsia="Arial" w:hAnsi="Arial"/>
          <w:sz w:val="15"/>
          <w:szCs w:val="15"/>
          <w:color w:val="auto"/>
        </w:rPr>
        <w:t>VP-Arica TargetCo LLC consolidates VP-Arica TE Holdco LLC, a consolidated VIE that owns the Victory Pass and Arica solar and BESS facilities.</w:t>
      </w:r>
    </w:p>
    <w:p>
      <w:pPr>
        <w:spacing w:after="0" w:line="70" w:lineRule="exact"/>
        <w:rPr>
          <w:rFonts w:ascii="Arial" w:cs="Arial" w:eastAsia="Arial" w:hAnsi="Arial"/>
          <w:sz w:val="24"/>
          <w:szCs w:val="24"/>
          <w:color w:val="auto"/>
          <w:vertAlign w:val="superscript"/>
        </w:rPr>
      </w:pPr>
    </w:p>
    <w:p>
      <w:pPr>
        <w:ind w:left="80" w:right="20"/>
        <w:spacing w:after="0" w:line="209" w:lineRule="auto"/>
        <w:tabs>
          <w:tab w:leader="none" w:pos="353" w:val="left"/>
        </w:tabs>
        <w:numPr>
          <w:ilvl w:val="0"/>
          <w:numId w:val="55"/>
        </w:numPr>
        <w:rPr>
          <w:rFonts w:ascii="Arial" w:cs="Arial" w:eastAsia="Arial" w:hAnsi="Arial"/>
          <w:sz w:val="26"/>
          <w:szCs w:val="26"/>
          <w:color w:val="auto"/>
          <w:vertAlign w:val="superscript"/>
        </w:rPr>
      </w:pPr>
      <w:r>
        <w:rPr>
          <w:rFonts w:ascii="Arial" w:cs="Arial" w:eastAsia="Arial" w:hAnsi="Arial"/>
          <w:sz w:val="16"/>
          <w:szCs w:val="16"/>
          <w:color w:val="auto"/>
        </w:rPr>
        <w:t>Other is comprised of Dan’s Mountain TargetCo LLC, which consolidates Dan’s Mountain Tax Credit Holdco LLC, Elbow Creek TE Holdco LLC, Langford TE Partnership LLC, Pinnacle Repowering TE Holdco LLC and the Spring Canyon facilities.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Fair Value of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Accounting under ASC 820</w:t>
      </w:r>
    </w:p>
    <w:p>
      <w:pPr>
        <w:spacing w:after="0" w:line="198" w:lineRule="exact"/>
        <w:rPr>
          <w:sz w:val="20"/>
          <w:szCs w:val="20"/>
          <w:color w:val="auto"/>
        </w:rPr>
      </w:pPr>
    </w:p>
    <w:p>
      <w:pPr>
        <w:ind w:right="20" w:firstLine="450"/>
        <w:spacing w:after="0" w:line="281" w:lineRule="auto"/>
        <w:rPr>
          <w:sz w:val="20"/>
          <w:szCs w:val="20"/>
          <w:color w:val="auto"/>
        </w:rPr>
      </w:pPr>
      <w:r>
        <w:rPr>
          <w:rFonts w:ascii="Arial" w:cs="Arial" w:eastAsia="Arial" w:hAnsi="Arial"/>
          <w:sz w:val="20"/>
          <w:szCs w:val="20"/>
          <w:color w:val="auto"/>
        </w:rPr>
        <w:t>ASC 820 establishes a fair value hierarchy that prioritizes the inputs to valuation techniques used to measure fair value into three levels as follows:</w:t>
      </w:r>
    </w:p>
    <w:p>
      <w:pPr>
        <w:spacing w:after="0" w:line="1" w:lineRule="exact"/>
        <w:rPr>
          <w:sz w:val="20"/>
          <w:szCs w:val="20"/>
          <w:color w:val="auto"/>
        </w:rPr>
      </w:pPr>
    </w:p>
    <w:p>
      <w:pPr>
        <w:ind w:left="1340" w:right="20" w:hanging="270"/>
        <w:spacing w:after="0" w:line="281" w:lineRule="auto"/>
        <w:tabs>
          <w:tab w:leader="none" w:pos="13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Level 1—quoted prices (unadjusted) in active markets for identical assets or liabilities that the Company has the ability to access as of the measurement date.</w:t>
      </w:r>
    </w:p>
    <w:p>
      <w:pPr>
        <w:spacing w:after="0" w:line="1" w:lineRule="exact"/>
        <w:rPr>
          <w:rFonts w:ascii="Arial" w:cs="Arial" w:eastAsia="Arial" w:hAnsi="Arial"/>
          <w:sz w:val="20"/>
          <w:szCs w:val="20"/>
          <w:color w:val="auto"/>
        </w:rPr>
      </w:pPr>
    </w:p>
    <w:p>
      <w:pPr>
        <w:ind w:left="1340" w:right="20" w:hanging="270"/>
        <w:spacing w:after="0" w:line="281" w:lineRule="auto"/>
        <w:tabs>
          <w:tab w:leader="none" w:pos="13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Arial" w:cs="Arial" w:eastAsia="Arial" w:hAnsi="Arial"/>
          <w:sz w:val="20"/>
          <w:szCs w:val="20"/>
          <w:color w:val="auto"/>
        </w:rPr>
      </w:pPr>
    </w:p>
    <w:p>
      <w:pPr>
        <w:ind w:left="1340" w:right="20" w:hanging="270"/>
        <w:spacing w:after="0" w:line="283" w:lineRule="auto"/>
        <w:tabs>
          <w:tab w:leader="none" w:pos="13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Level 3—unobservable inputs for the asset or liability only used when there is little, if any, market activity for the asset or liability at the measurement date.</w:t>
      </w:r>
    </w:p>
    <w:p>
      <w:pPr>
        <w:spacing w:after="0" w:line="58" w:lineRule="exact"/>
        <w:rPr>
          <w:sz w:val="20"/>
          <w:szCs w:val="20"/>
          <w:color w:val="auto"/>
        </w:rPr>
      </w:pPr>
    </w:p>
    <w:p>
      <w:pPr>
        <w:ind w:right="20" w:firstLine="450"/>
        <w:spacing w:after="0" w:line="310" w:lineRule="auto"/>
        <w:rPr>
          <w:sz w:val="20"/>
          <w:szCs w:val="20"/>
          <w:color w:val="auto"/>
        </w:rPr>
      </w:pPr>
      <w:r>
        <w:rPr>
          <w:rFonts w:ascii="Arial" w:cs="Arial" w:eastAsia="Arial" w:hAnsi="Arial"/>
          <w:sz w:val="19"/>
          <w:szCs w:val="19"/>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cash and cash equivalents, restricted cash, accounts receivable — trade, accounts payable — trade, accounts payable</w:t>
      </w:r>
    </w:p>
    <w:p>
      <w:pPr>
        <w:spacing w:after="0" w:line="33"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 affiliates and accrued expenses and other current liabilities, the carrying amounts approximates fair value because of the short-term maturity of those instruments and are classified as Level 1 within the fair value hierarchy.</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880" w:h="15480" w:orient="portrait"/>
          <w:cols w:equalWidth="0" w:num="1">
            <w:col w:w="10260"/>
          </w:cols>
          <w:pgMar w:left="820" w:top="367" w:right="800" w:bottom="0" w:gutter="0" w:footer="0" w:header="0"/>
          <w:type w:val="continuous"/>
        </w:sectPr>
      </w:pPr>
    </w:p>
    <w:bookmarkStart w:id="105" w:name="page106"/>
    <w:bookmarkEnd w:id="105"/>
    <w:p>
      <w:pPr>
        <w:ind w:right="20" w:firstLine="450"/>
        <w:spacing w:after="0" w:line="283" w:lineRule="auto"/>
        <w:rPr>
          <w:sz w:val="20"/>
          <w:szCs w:val="20"/>
          <w:color w:val="auto"/>
        </w:rPr>
      </w:pPr>
      <w:r>
        <w:rPr>
          <w:rFonts w:ascii="Arial" w:cs="Arial" w:eastAsia="Arial" w:hAnsi="Arial"/>
          <w:sz w:val="20"/>
          <w:szCs w:val="20"/>
          <w:color w:val="auto"/>
        </w:rPr>
        <w:t>The carrying amount and estimated fair value of the Company’s recorded financial instrument not carried at fair market value or that does not approximate fair value is as follows:</w:t>
      </w:r>
    </w:p>
    <w:p>
      <w:pPr>
        <w:spacing w:after="0" w:line="72" w:lineRule="exact"/>
        <w:rPr>
          <w:sz w:val="20"/>
          <w:szCs w:val="20"/>
          <w:color w:val="auto"/>
        </w:rPr>
      </w:pPr>
    </w:p>
    <w:tbl>
      <w:tblPr>
        <w:tblLayout w:type="fixed"/>
        <w:tblInd w:w="5640" w:type="dxa"/>
        <w:tblCellMar>
          <w:top w:w="0" w:type="dxa"/>
          <w:left w:w="0" w:type="dxa"/>
          <w:bottom w:w="0" w:type="dxa"/>
          <w:right w:w="0" w:type="dxa"/>
        </w:tblCellMar>
      </w:tblPr>
      <w:tr>
        <w:trPr>
          <w:trHeight w:val="219"/>
        </w:trPr>
        <w:tc>
          <w:tcPr>
            <w:tcW w:w="22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As of December 31, 2024</w:t>
            </w:r>
          </w:p>
        </w:tc>
        <w:tc>
          <w:tcPr>
            <w:tcW w:w="60" w:type="dxa"/>
            <w:vAlign w:val="bottom"/>
          </w:tcPr>
          <w:p>
            <w:pPr>
              <w:spacing w:after="0"/>
              <w:rPr>
                <w:sz w:val="19"/>
                <w:szCs w:val="19"/>
                <w:color w:val="auto"/>
              </w:rPr>
            </w:pPr>
          </w:p>
        </w:tc>
        <w:tc>
          <w:tcPr>
            <w:tcW w:w="22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41"/>
        </w:trPr>
        <w:tc>
          <w:tcPr>
            <w:tcW w:w="1120" w:type="dxa"/>
            <w:vAlign w:val="bottom"/>
          </w:tcPr>
          <w:p>
            <w:pPr>
              <w:ind w:left="240"/>
              <w:spacing w:after="0" w:line="141" w:lineRule="exact"/>
              <w:rPr>
                <w:sz w:val="20"/>
                <w:szCs w:val="20"/>
                <w:color w:val="auto"/>
              </w:rPr>
            </w:pPr>
            <w:r>
              <w:rPr>
                <w:rFonts w:ascii="Arial" w:cs="Arial" w:eastAsia="Arial" w:hAnsi="Arial"/>
                <w:sz w:val="16"/>
                <w:szCs w:val="16"/>
                <w:b w:val="1"/>
                <w:bCs w:val="1"/>
                <w:color w:val="auto"/>
              </w:rPr>
              <w:t>Carrying</w:t>
            </w:r>
          </w:p>
        </w:tc>
        <w:tc>
          <w:tcPr>
            <w:tcW w:w="116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2"/>
                <w:szCs w:val="12"/>
                <w:color w:val="auto"/>
              </w:rPr>
            </w:pPr>
          </w:p>
        </w:tc>
        <w:tc>
          <w:tcPr>
            <w:tcW w:w="1120" w:type="dxa"/>
            <w:vAlign w:val="bottom"/>
          </w:tcPr>
          <w:p>
            <w:pPr>
              <w:ind w:left="240"/>
              <w:spacing w:after="0" w:line="141" w:lineRule="exact"/>
              <w:rPr>
                <w:sz w:val="20"/>
                <w:szCs w:val="20"/>
                <w:color w:val="auto"/>
              </w:rPr>
            </w:pPr>
            <w:r>
              <w:rPr>
                <w:rFonts w:ascii="Arial" w:cs="Arial" w:eastAsia="Arial" w:hAnsi="Arial"/>
                <w:sz w:val="16"/>
                <w:szCs w:val="16"/>
                <w:b w:val="1"/>
                <w:bCs w:val="1"/>
                <w:color w:val="auto"/>
              </w:rPr>
              <w:t>Carrying</w:t>
            </w:r>
          </w:p>
        </w:tc>
        <w:tc>
          <w:tcPr>
            <w:tcW w:w="116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1120" w:type="dxa"/>
            <w:vAlign w:val="bottom"/>
          </w:tcPr>
          <w:p>
            <w:pPr>
              <w:ind w:left="280"/>
              <w:spacing w:after="0"/>
              <w:rPr>
                <w:sz w:val="20"/>
                <w:szCs w:val="20"/>
                <w:color w:val="auto"/>
              </w:rPr>
            </w:pPr>
            <w:r>
              <w:rPr>
                <w:rFonts w:ascii="Arial" w:cs="Arial" w:eastAsia="Arial" w:hAnsi="Arial"/>
                <w:sz w:val="16"/>
                <w:szCs w:val="16"/>
                <w:b w:val="1"/>
                <w:bCs w:val="1"/>
                <w:color w:val="auto"/>
              </w:rPr>
              <w:t>Amount</w:t>
            </w: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6"/>
                <w:szCs w:val="16"/>
                <w:b w:val="1"/>
                <w:bCs w:val="1"/>
                <w:color w:val="auto"/>
              </w:rPr>
              <w:t>Amount</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1270</wp:posOffset>
            </wp:positionV>
            <wp:extent cx="292417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5">
                      <a:extLst>
                        <a:ext uri="{28A0092B-C50C-407E-A947-70E740481C1C}"/>
                      </a:extLst>
                    </a:blip>
                    <a:srcRect/>
                    <a:stretch>
                      <a:fillRect/>
                    </a:stretch>
                  </pic:blipFill>
                  <pic:spPr bwMode="auto">
                    <a:xfrm>
                      <a:off x="0" y="0"/>
                      <a:ext cx="2924175" cy="12700"/>
                    </a:xfrm>
                    <a:prstGeom prst="rect">
                      <a:avLst/>
                    </a:prstGeom>
                    <a:noFill/>
                  </pic:spPr>
                </pic:pic>
              </a:graphicData>
            </a:graphic>
          </wp:anchor>
        </w:drawing>
      </w:r>
    </w:p>
    <w:p>
      <w:pPr>
        <w:spacing w:after="0" w:line="4"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28575</wp:posOffset>
                </wp:positionV>
                <wp:extent cx="6514465" cy="18097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E6E6E6"/>
                        </a:solidFill>
                      </wps:spPr>
                      <wps:bodyPr/>
                    </wps:wsp>
                  </a:graphicData>
                </a:graphic>
              </wp:anchor>
            </w:drawing>
          </mc:Choice>
          <mc:Fallback>
            <w:pict>
              <v:rect id="Shape 140" o:spid="_x0000_s1165" style="position:absolute;margin-left:-0.4499pt;margin-top:2.25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Liabilities:</w:t>
      </w:r>
    </w:p>
    <w:p>
      <w:pPr>
        <w:spacing w:after="0" w:line="55" w:lineRule="exact"/>
        <w:rPr>
          <w:sz w:val="20"/>
          <w:szCs w:val="20"/>
          <w:color w:val="auto"/>
        </w:rPr>
      </w:pPr>
    </w:p>
    <w:p>
      <w:pPr>
        <w:ind w:left="180"/>
        <w:spacing w:after="0"/>
        <w:tabs>
          <w:tab w:leader="none" w:pos="6180" w:val="left"/>
          <w:tab w:leader="none" w:pos="6840" w:val="left"/>
          <w:tab w:leader="none" w:pos="7360" w:val="left"/>
          <w:tab w:leader="none" w:pos="8020" w:val="left"/>
          <w:tab w:leader="none" w:pos="8520" w:val="left"/>
          <w:tab w:leader="none" w:pos="9180" w:val="left"/>
          <w:tab w:leader="none" w:pos="9700" w:val="left"/>
        </w:tabs>
        <w:rPr>
          <w:sz w:val="20"/>
          <w:szCs w:val="20"/>
          <w:color w:val="auto"/>
        </w:rPr>
      </w:pPr>
      <w:r>
        <w:rPr>
          <w:rFonts w:ascii="Arial" w:cs="Arial" w:eastAsia="Arial" w:hAnsi="Arial"/>
          <w:sz w:val="20"/>
          <w:szCs w:val="20"/>
          <w:color w:val="auto"/>
        </w:rPr>
        <w:t xml:space="preserve">Long-term debt, including current portion </w:t>
      </w:r>
      <w:r>
        <w:rPr>
          <w:rFonts w:ascii="Arial" w:cs="Arial" w:eastAsia="Arial" w:hAnsi="Arial"/>
          <w:sz w:val="26"/>
          <w:szCs w:val="26"/>
          <w:color w:val="auto"/>
          <w:vertAlign w:val="superscript"/>
        </w:rPr>
        <w:t>(a)</w:t>
      </w:r>
      <w:r>
        <w:rPr>
          <w:rFonts w:ascii="Arial" w:cs="Arial" w:eastAsia="Arial" w:hAnsi="Arial"/>
          <w:sz w:val="20"/>
          <w:szCs w:val="20"/>
          <w:color w:val="auto"/>
        </w:rPr>
        <w:t xml:space="preserve">  </w:t>
      </w:r>
      <w:r>
        <w:rPr>
          <w:rFonts w:ascii="Arial" w:cs="Arial" w:eastAsia="Arial" w:hAnsi="Arial"/>
          <w:sz w:val="20"/>
          <w:szCs w:val="20"/>
          <w:color w:val="B4B4B4"/>
        </w:rPr>
        <w:t>. . . . . . . . . . . . . . . . . .</w:t>
      </w:r>
      <w:r>
        <w:rPr>
          <w:rFonts w:ascii="Arial" w:cs="Arial" w:eastAsia="Arial" w:hAnsi="Arial"/>
          <w:sz w:val="20"/>
          <w:szCs w:val="20"/>
          <w:color w:val="auto"/>
        </w:rPr>
        <w:t xml:space="preserve"> $</w:t>
      </w:r>
      <w:r>
        <w:rPr>
          <w:sz w:val="20"/>
          <w:szCs w:val="20"/>
          <w:color w:val="auto"/>
        </w:rPr>
        <w:tab/>
      </w:r>
      <w:r>
        <w:rPr>
          <w:rFonts w:ascii="Arial" w:cs="Arial" w:eastAsia="Arial" w:hAnsi="Arial"/>
          <w:sz w:val="20"/>
          <w:szCs w:val="20"/>
          <w:color w:val="auto"/>
        </w:rPr>
        <w:t>7,237</w:t>
        <w:tab/>
        <w:t>$</w:t>
      </w:r>
      <w:r>
        <w:rPr>
          <w:sz w:val="20"/>
          <w:szCs w:val="20"/>
          <w:color w:val="auto"/>
        </w:rPr>
        <w:tab/>
      </w:r>
      <w:r>
        <w:rPr>
          <w:rFonts w:ascii="Arial" w:cs="Arial" w:eastAsia="Arial" w:hAnsi="Arial"/>
          <w:sz w:val="20"/>
          <w:szCs w:val="20"/>
          <w:color w:val="auto"/>
        </w:rPr>
        <w:t>6,715</w:t>
        <w:tab/>
        <w:t>$</w:t>
      </w:r>
      <w:r>
        <w:rPr>
          <w:sz w:val="20"/>
          <w:szCs w:val="20"/>
          <w:color w:val="auto"/>
        </w:rPr>
        <w:tab/>
      </w:r>
      <w:r>
        <w:rPr>
          <w:rFonts w:ascii="Arial" w:cs="Arial" w:eastAsia="Arial" w:hAnsi="Arial"/>
          <w:sz w:val="20"/>
          <w:szCs w:val="20"/>
          <w:color w:val="auto"/>
        </w:rPr>
        <w:t>8,102</w:t>
        <w:tab/>
        <w:t>$</w:t>
      </w:r>
      <w:r>
        <w:rPr>
          <w:sz w:val="20"/>
          <w:szCs w:val="20"/>
          <w:color w:val="auto"/>
        </w:rPr>
        <w:tab/>
      </w:r>
      <w:r>
        <w:rPr>
          <w:rFonts w:ascii="Arial" w:cs="Arial" w:eastAsia="Arial" w:hAnsi="Arial"/>
          <w:sz w:val="17"/>
          <w:szCs w:val="17"/>
          <w:color w:val="auto"/>
        </w:rPr>
        <w:t>7,611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1266825"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77" w:lineRule="exact"/>
        <w:rPr>
          <w:sz w:val="20"/>
          <w:szCs w:val="20"/>
          <w:color w:val="auto"/>
        </w:rPr>
      </w:pPr>
    </w:p>
    <w:p>
      <w:pPr>
        <w:ind w:left="320" w:hanging="240"/>
        <w:spacing w:after="0"/>
        <w:tabs>
          <w:tab w:leader="none" w:pos="320" w:val="left"/>
        </w:tabs>
        <w:numPr>
          <w:ilvl w:val="0"/>
          <w:numId w:val="58"/>
        </w:numPr>
        <w:rPr>
          <w:rFonts w:ascii="Arial" w:cs="Arial" w:eastAsia="Arial" w:hAnsi="Arial"/>
          <w:sz w:val="23"/>
          <w:szCs w:val="23"/>
          <w:color w:val="auto"/>
          <w:vertAlign w:val="superscript"/>
        </w:rPr>
      </w:pPr>
      <w:r>
        <w:rPr>
          <w:rFonts w:ascii="Arial" w:cs="Arial" w:eastAsia="Arial" w:hAnsi="Arial"/>
          <w:sz w:val="16"/>
          <w:szCs w:val="16"/>
          <w:color w:val="auto"/>
        </w:rPr>
        <w:t>Excludes net debt issuance costs, which are recorded as a reduction to long-term debt on the Company’s consolidated balance sheets.</w:t>
      </w:r>
    </w:p>
    <w:p>
      <w:pPr>
        <w:spacing w:after="0" w:line="165"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As of December 31, 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As of December 31, 2023</w:t>
            </w:r>
          </w:p>
        </w:tc>
      </w:tr>
      <w:tr>
        <w:trPr>
          <w:trHeight w:val="235"/>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9"/>
              </w:rPr>
              <w:t>Level 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w w:val="99"/>
              </w:rPr>
              <w:t>Level 3</w:t>
            </w:r>
          </w:p>
        </w:tc>
      </w:tr>
      <w:tr>
        <w:trPr>
          <w:trHeight w:val="222"/>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08"/>
        </w:trPr>
        <w:tc>
          <w:tcPr>
            <w:tcW w:w="564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3"/>
              </w:rPr>
              <w:t xml:space="preserve">Long-term debt, including current portion </w:t>
            </w:r>
            <w:r>
              <w:rPr>
                <w:rFonts w:ascii="Arial" w:cs="Arial" w:eastAsia="Arial" w:hAnsi="Arial"/>
                <w:sz w:val="20"/>
                <w:szCs w:val="20"/>
                <w:color w:val="B4B4B4"/>
                <w:w w:val="93"/>
              </w:rPr>
              <w:t>. . . . . . . . . . . . . . . . . . . .</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1,922</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ind w:right="13"/>
              <w:spacing w:after="0"/>
              <w:rPr>
                <w:sz w:val="20"/>
                <w:szCs w:val="20"/>
                <w:color w:val="auto"/>
              </w:rPr>
            </w:pPr>
            <w:r>
              <w:rPr>
                <w:rFonts w:ascii="Arial" w:cs="Arial" w:eastAsia="Arial" w:hAnsi="Arial"/>
                <w:sz w:val="20"/>
                <w:szCs w:val="20"/>
                <w:color w:val="auto"/>
              </w:rPr>
              <w:t>4,793</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1,939</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5,672</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Measurements</w:t>
      </w:r>
    </w:p>
    <w:p>
      <w:pPr>
        <w:spacing w:after="0" w:line="198"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8"/>
                <w:szCs w:val="18"/>
                <w:b w:val="1"/>
                <w:bCs w:val="1"/>
                <w:color w:val="auto"/>
              </w:rPr>
              <w:t>As of December 31, 2024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8"/>
                <w:szCs w:val="18"/>
                <w:b w:val="1"/>
                <w:bCs w:val="1"/>
                <w:color w:val="auto"/>
              </w:rPr>
              <w:t>As of December 31, 2023</w:t>
            </w:r>
          </w:p>
        </w:tc>
        <w:tc>
          <w:tcPr>
            <w:tcW w:w="0" w:type="dxa"/>
            <w:vAlign w:val="bottom"/>
          </w:tcPr>
          <w:p>
            <w:pPr>
              <w:spacing w:after="0"/>
              <w:rPr>
                <w:sz w:val="1"/>
                <w:szCs w:val="1"/>
                <w:color w:val="auto"/>
              </w:rPr>
            </w:pPr>
          </w:p>
        </w:tc>
      </w:tr>
      <w:tr>
        <w:trPr>
          <w:trHeight w:val="265"/>
        </w:trPr>
        <w:tc>
          <w:tcPr>
            <w:tcW w:w="1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3"/>
                <w:szCs w:val="23"/>
                <w:b w:val="1"/>
                <w:bCs w:val="1"/>
                <w:color w:val="auto"/>
                <w:vertAlign w:val="superscript"/>
              </w:rPr>
              <w:t>(a)</w:t>
            </w:r>
          </w:p>
        </w:tc>
        <w:tc>
          <w:tcPr>
            <w:tcW w:w="1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3"/>
                <w:szCs w:val="23"/>
                <w:b w:val="1"/>
                <w:bCs w:val="1"/>
                <w:color w:val="auto"/>
                <w:vertAlign w:val="superscript"/>
              </w:rPr>
              <w:t>(a)</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420" w:type="dxa"/>
            <w:vAlign w:val="bottom"/>
            <w:tcBorders>
              <w:bottom w:val="single" w:sz="8" w:color="E6E6E6"/>
            </w:tcBorders>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23"/>
                <w:szCs w:val="23"/>
                <w:b w:val="1"/>
                <w:bCs w:val="1"/>
                <w:color w:val="auto"/>
                <w:vertAlign w:val="superscript"/>
              </w:rPr>
              <w:t>(b)</w:t>
            </w:r>
          </w:p>
        </w:tc>
        <w:tc>
          <w:tcPr>
            <w:tcW w:w="80" w:type="dxa"/>
            <w:vAlign w:val="bottom"/>
            <w:tcBorders>
              <w:bottom w:val="single" w:sz="8" w:color="E6E6E6"/>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23"/>
                <w:szCs w:val="23"/>
                <w:b w:val="1"/>
                <w:bCs w:val="1"/>
                <w:color w:val="auto"/>
                <w:vertAlign w:val="superscript"/>
              </w:rPr>
              <w:t>(b)</w:t>
            </w:r>
          </w:p>
        </w:tc>
        <w:tc>
          <w:tcPr>
            <w:tcW w:w="80" w:type="dxa"/>
            <w:vAlign w:val="bottom"/>
            <w:tcBorders>
              <w:bottom w:val="single" w:sz="8" w:color="E6E6E6"/>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w w:val="94"/>
              </w:rPr>
              <w:t>Level 3</w:t>
            </w:r>
          </w:p>
        </w:tc>
        <w:tc>
          <w:tcPr>
            <w:tcW w:w="0" w:type="dxa"/>
            <w:vAlign w:val="bottom"/>
          </w:tcPr>
          <w:p>
            <w:pPr>
              <w:spacing w:after="0"/>
              <w:rPr>
                <w:sz w:val="1"/>
                <w:szCs w:val="1"/>
                <w:color w:val="auto"/>
              </w:rPr>
            </w:pPr>
          </w:p>
        </w:tc>
      </w:tr>
      <w:tr>
        <w:trPr>
          <w:trHeight w:val="245"/>
        </w:trPr>
        <w:tc>
          <w:tcPr>
            <w:tcW w:w="3420" w:type="dxa"/>
            <w:vAlign w:val="bottom"/>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Derivative assets</w:t>
            </w:r>
          </w:p>
        </w:tc>
        <w:tc>
          <w:tcPr>
            <w:tcW w:w="1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1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3420" w:type="dxa"/>
            <w:vAlign w:val="bottom"/>
            <w:gridSpan w:val="2"/>
          </w:tcPr>
          <w:p>
            <w:pPr>
              <w:jc w:val="right"/>
              <w:ind w:right="100"/>
              <w:spacing w:after="0"/>
              <w:rPr>
                <w:sz w:val="20"/>
                <w:szCs w:val="20"/>
                <w:color w:val="auto"/>
              </w:rPr>
            </w:pPr>
            <w:r>
              <w:rPr>
                <w:rFonts w:ascii="Arial" w:cs="Arial" w:eastAsia="Arial" w:hAnsi="Arial"/>
                <w:sz w:val="20"/>
                <w:szCs w:val="20"/>
                <w:color w:val="auto"/>
                <w:w w:val="96"/>
              </w:rPr>
              <w:t xml:space="preserve">Energy-related commodity contracts </w:t>
            </w:r>
            <w:r>
              <w:rPr>
                <w:rFonts w:ascii="Arial" w:cs="Arial" w:eastAsia="Arial" w:hAnsi="Arial"/>
                <w:sz w:val="23"/>
                <w:szCs w:val="23"/>
                <w:color w:val="auto"/>
                <w:w w:val="96"/>
                <w:vertAlign w:val="superscript"/>
              </w:rPr>
              <w:t>(c)</w:t>
            </w:r>
          </w:p>
        </w:tc>
        <w:tc>
          <w:tcPr>
            <w:tcW w:w="420" w:type="dxa"/>
            <w:vAlign w:val="bottom"/>
            <w:gridSpan w:val="2"/>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w:t>
            </w:r>
          </w:p>
        </w:tc>
        <w:tc>
          <w:tcPr>
            <w:tcW w:w="5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342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w w:val="96"/>
              </w:rPr>
              <w:t xml:space="preserve">Interest rate contracts </w:t>
            </w:r>
            <w:r>
              <w:rPr>
                <w:rFonts w:ascii="Arial" w:cs="Arial" w:eastAsia="Arial" w:hAnsi="Arial"/>
                <w:sz w:val="20"/>
                <w:szCs w:val="20"/>
                <w:color w:val="B4B4B4"/>
                <w:w w:val="96"/>
              </w:rPr>
              <w:t>. . . . . . . . . . . . . .</w:t>
            </w:r>
          </w:p>
        </w:tc>
        <w:tc>
          <w:tcPr>
            <w:tcW w:w="120" w:type="dxa"/>
            <w:vAlign w:val="bottom"/>
            <w:shd w:val="clear" w:color="auto" w:fill="E6E6E6"/>
          </w:tcPr>
          <w:p>
            <w:pPr>
              <w:ind w:left="20"/>
              <w:spacing w:after="0"/>
              <w:rPr>
                <w:sz w:val="20"/>
                <w:szCs w:val="20"/>
                <w:color w:val="auto"/>
              </w:rPr>
            </w:pPr>
            <w:r>
              <w:rPr>
                <w:rFonts w:ascii="Arial" w:cs="Arial" w:eastAsia="Arial" w:hAnsi="Arial"/>
                <w:sz w:val="20"/>
                <w:szCs w:val="20"/>
                <w:color w:val="B4B4B4"/>
              </w:rPr>
              <w:t>.</w:t>
            </w:r>
          </w:p>
        </w:tc>
        <w:tc>
          <w:tcPr>
            <w:tcW w:w="30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166</w:t>
            </w:r>
          </w:p>
        </w:tc>
        <w:tc>
          <w:tcPr>
            <w:tcW w:w="8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w:t>
            </w:r>
          </w:p>
        </w:tc>
        <w:tc>
          <w:tcPr>
            <w:tcW w:w="8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3420" w:type="dxa"/>
            <w:vAlign w:val="bottom"/>
            <w:tcBorders>
              <w:bottom w:val="single" w:sz="8" w:color="E6E6E6"/>
            </w:tcBorders>
            <w:gridSpan w:val="2"/>
          </w:tcPr>
          <w:p>
            <w:pPr>
              <w:jc w:val="right"/>
              <w:ind w:right="40"/>
              <w:spacing w:after="0"/>
              <w:rPr>
                <w:sz w:val="20"/>
                <w:szCs w:val="20"/>
                <w:color w:val="auto"/>
              </w:rPr>
            </w:pPr>
            <w:r>
              <w:rPr>
                <w:rFonts w:ascii="Arial" w:cs="Arial" w:eastAsia="Arial" w:hAnsi="Arial"/>
                <w:sz w:val="20"/>
                <w:szCs w:val="20"/>
                <w:b w:val="1"/>
                <w:bCs w:val="1"/>
                <w:color w:val="auto"/>
                <w:w w:val="91"/>
              </w:rPr>
              <w:t xml:space="preserve">Other financial instruments </w:t>
            </w:r>
            <w:r>
              <w:rPr>
                <w:rFonts w:ascii="Arial" w:cs="Arial" w:eastAsia="Arial" w:hAnsi="Arial"/>
                <w:sz w:val="23"/>
                <w:szCs w:val="23"/>
                <w:b w:val="1"/>
                <w:bCs w:val="1"/>
                <w:color w:val="auto"/>
                <w:w w:val="91"/>
                <w:vertAlign w:val="superscript"/>
              </w:rPr>
              <w:t>(d)</w:t>
            </w:r>
            <w:r>
              <w:rPr>
                <w:rFonts w:ascii="Arial" w:cs="Arial" w:eastAsia="Arial" w:hAnsi="Arial"/>
                <w:sz w:val="20"/>
                <w:szCs w:val="20"/>
                <w:b w:val="1"/>
                <w:bCs w:val="1"/>
                <w:color w:val="auto"/>
                <w:w w:val="91"/>
              </w:rPr>
              <w:t xml:space="preserve">  </w:t>
            </w:r>
            <w:r>
              <w:rPr>
                <w:rFonts w:ascii="Arial" w:cs="Arial" w:eastAsia="Arial" w:hAnsi="Arial"/>
                <w:sz w:val="20"/>
                <w:szCs w:val="20"/>
                <w:b w:val="1"/>
                <w:bCs w:val="1"/>
                <w:color w:val="B4B4B4"/>
                <w:w w:val="91"/>
              </w:rPr>
              <w:t>. . . . . . .</w:t>
            </w:r>
          </w:p>
        </w:tc>
        <w:tc>
          <w:tcPr>
            <w:tcW w:w="120" w:type="dxa"/>
            <w:vAlign w:val="bottom"/>
            <w:tcBorders>
              <w:bottom w:val="single" w:sz="8" w:color="E6E6E6"/>
            </w:tcBorders>
          </w:tcPr>
          <w:p>
            <w:pPr>
              <w:ind w:left="20"/>
              <w:spacing w:after="0"/>
              <w:rPr>
                <w:sz w:val="20"/>
                <w:szCs w:val="20"/>
                <w:color w:val="auto"/>
              </w:rPr>
            </w:pPr>
            <w:r>
              <w:rPr>
                <w:rFonts w:ascii="Arial" w:cs="Arial" w:eastAsia="Arial" w:hAnsi="Arial"/>
                <w:sz w:val="20"/>
                <w:szCs w:val="20"/>
                <w:b w:val="1"/>
                <w:bCs w:val="1"/>
                <w:color w:val="B4B4B4"/>
              </w:rPr>
              <w:t>.</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0"/>
        </w:trPr>
        <w:tc>
          <w:tcPr>
            <w:tcW w:w="3540" w:type="dxa"/>
            <w:vAlign w:val="bottom"/>
            <w:tcBorders>
              <w:bottom w:val="single" w:sz="8" w:color="E6E6E6"/>
            </w:tcBorders>
            <w:gridSpan w:val="3"/>
            <w:shd w:val="clear" w:color="auto" w:fill="E6E6E6"/>
          </w:tcPr>
          <w:p>
            <w:pPr>
              <w:ind w:left="380"/>
              <w:spacing w:after="0" w:line="215" w:lineRule="exact"/>
              <w:rPr>
                <w:sz w:val="20"/>
                <w:szCs w:val="20"/>
                <w:color w:val="auto"/>
              </w:rPr>
            </w:pPr>
            <w:r>
              <w:rPr>
                <w:rFonts w:ascii="Arial" w:cs="Arial" w:eastAsia="Arial" w:hAnsi="Arial"/>
                <w:sz w:val="20"/>
                <w:szCs w:val="20"/>
                <w:b w:val="1"/>
                <w:bCs w:val="1"/>
                <w:color w:val="B4B4B4"/>
                <w:w w:val="92"/>
              </w:rPr>
              <w:t>. . . . . . . . . . . . . . . . . . . . .</w:t>
            </w:r>
            <w:r>
              <w:rPr>
                <w:rFonts w:ascii="Arial" w:cs="Arial" w:eastAsia="Arial" w:hAnsi="Arial"/>
                <w:sz w:val="20"/>
                <w:szCs w:val="20"/>
                <w:b w:val="1"/>
                <w:bCs w:val="1"/>
                <w:color w:val="000000"/>
                <w:w w:val="92"/>
              </w:rPr>
              <w:t>Totalassets</w:t>
            </w:r>
          </w:p>
        </w:tc>
        <w:tc>
          <w:tcPr>
            <w:tcW w:w="300" w:type="dxa"/>
            <w:vAlign w:val="bottom"/>
            <w:tcBorders>
              <w:bottom w:val="single" w:sz="8" w:color="auto"/>
            </w:tcBorders>
            <w:shd w:val="clear" w:color="auto" w:fill="E6E6E6"/>
          </w:tcPr>
          <w:p>
            <w:pPr>
              <w:jc w:val="right"/>
              <w:ind w:right="40"/>
              <w:spacing w:after="0" w:line="215"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166</w:t>
            </w:r>
          </w:p>
        </w:tc>
        <w:tc>
          <w:tcPr>
            <w:tcW w:w="80" w:type="dxa"/>
            <w:vAlign w:val="bottom"/>
            <w:tcBorders>
              <w:bottom w:val="single" w:sz="8" w:color="E6E6E6"/>
            </w:tcBorders>
            <w:shd w:val="clear" w:color="auto" w:fill="E6E6E6"/>
          </w:tcPr>
          <w:p>
            <w:pPr>
              <w:spacing w:after="0"/>
              <w:rPr>
                <w:sz w:val="20"/>
                <w:szCs w:val="20"/>
                <w:color w:val="auto"/>
              </w:rPr>
            </w:pPr>
          </w:p>
        </w:tc>
        <w:tc>
          <w:tcPr>
            <w:tcW w:w="500" w:type="dxa"/>
            <w:vAlign w:val="bottom"/>
            <w:tcBorders>
              <w:bottom w:val="single" w:sz="8" w:color="auto"/>
            </w:tcBorders>
            <w:shd w:val="clear" w:color="auto" w:fill="E6E6E6"/>
          </w:tcPr>
          <w:p>
            <w:pPr>
              <w:jc w:val="right"/>
              <w:ind w:right="240"/>
              <w:spacing w:after="0" w:line="215"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19</w:t>
            </w:r>
          </w:p>
        </w:tc>
        <w:tc>
          <w:tcPr>
            <w:tcW w:w="8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60"/>
              <w:spacing w:after="0" w:line="215"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E6E6E6"/>
          </w:tcPr>
          <w:p>
            <w:pPr>
              <w:jc w:val="right"/>
              <w:spacing w:after="0" w:line="215" w:lineRule="exact"/>
              <w:rPr>
                <w:sz w:val="20"/>
                <w:szCs w:val="20"/>
                <w:color w:val="auto"/>
              </w:rPr>
            </w:pPr>
            <w:r>
              <w:rPr>
                <w:rFonts w:ascii="Arial" w:cs="Arial" w:eastAsia="Arial" w:hAnsi="Arial"/>
                <w:sz w:val="20"/>
                <w:szCs w:val="20"/>
                <w:color w:val="auto"/>
              </w:rPr>
              <w:t>123</w:t>
            </w:r>
          </w:p>
        </w:tc>
        <w:tc>
          <w:tcPr>
            <w:tcW w:w="8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auto"/>
            </w:tcBorders>
            <w:shd w:val="clear" w:color="auto" w:fill="E6E6E6"/>
          </w:tcPr>
          <w:p>
            <w:pPr>
              <w:jc w:val="right"/>
              <w:ind w:right="240"/>
              <w:spacing w:after="0" w:line="215"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ind w:right="1"/>
              <w:spacing w:after="0" w:line="215"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0"/>
        </w:trPr>
        <w:tc>
          <w:tcPr>
            <w:tcW w:w="3420" w:type="dxa"/>
            <w:vAlign w:val="bottom"/>
            <w:tcBorders>
              <w:top w:val="single" w:sz="8" w:color="E6E6E6"/>
              <w:bottom w:val="single" w:sz="8" w:color="E6E6E6"/>
            </w:tcBorders>
            <w:gridSpan w:val="2"/>
            <w:vMerge w:val="restart"/>
          </w:tcPr>
          <w:p>
            <w:pPr>
              <w:ind w:left="40"/>
              <w:spacing w:after="0"/>
              <w:rPr>
                <w:sz w:val="20"/>
                <w:szCs w:val="20"/>
                <w:color w:val="auto"/>
              </w:rPr>
            </w:pPr>
            <w:r>
              <w:rPr>
                <w:rFonts w:ascii="Arial" w:cs="Arial" w:eastAsia="Arial" w:hAnsi="Arial"/>
                <w:sz w:val="20"/>
                <w:szCs w:val="20"/>
                <w:b w:val="1"/>
                <w:bCs w:val="1"/>
                <w:color w:val="auto"/>
              </w:rPr>
              <w:t>Derivative liabilities</w:t>
            </w:r>
          </w:p>
        </w:tc>
        <w:tc>
          <w:tcPr>
            <w:tcW w:w="12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E6E6E6"/>
              <w:bottom w:val="single" w:sz="8" w:color="auto"/>
            </w:tcBorders>
          </w:tcPr>
          <w:p>
            <w:pPr>
              <w:spacing w:after="0" w:line="20" w:lineRule="exact"/>
              <w:rPr>
                <w:sz w:val="1"/>
                <w:szCs w:val="1"/>
                <w:color w:val="auto"/>
              </w:rPr>
            </w:pPr>
          </w:p>
        </w:tc>
        <w:tc>
          <w:tcPr>
            <w:tcW w:w="13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500" w:type="dxa"/>
            <w:vAlign w:val="bottom"/>
            <w:tcBorders>
              <w:top w:val="single" w:sz="8" w:color="E6E6E6"/>
              <w:bottom w:val="single" w:sz="8" w:color="auto"/>
            </w:tcBorders>
          </w:tcPr>
          <w:p>
            <w:pPr>
              <w:spacing w:after="0" w:line="20" w:lineRule="exact"/>
              <w:rPr>
                <w:sz w:val="1"/>
                <w:szCs w:val="1"/>
                <w:color w:val="auto"/>
              </w:rPr>
            </w:pPr>
          </w:p>
        </w:tc>
        <w:tc>
          <w:tcPr>
            <w:tcW w:w="11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E6E6E6"/>
              <w:bottom w:val="single" w:sz="8" w:color="auto"/>
            </w:tcBorders>
          </w:tcPr>
          <w:p>
            <w:pPr>
              <w:spacing w:after="0" w:line="20" w:lineRule="exact"/>
              <w:rPr>
                <w:sz w:val="1"/>
                <w:szCs w:val="1"/>
                <w:color w:val="auto"/>
              </w:rPr>
            </w:pPr>
          </w:p>
        </w:tc>
        <w:tc>
          <w:tcPr>
            <w:tcW w:w="13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80" w:type="dxa"/>
            <w:vAlign w:val="bottom"/>
            <w:tcBorders>
              <w:top w:val="single" w:sz="8" w:color="E6E6E6"/>
              <w:bottom w:val="single" w:sz="8" w:color="auto"/>
            </w:tcBorders>
          </w:tcPr>
          <w:p>
            <w:pPr>
              <w:spacing w:after="0" w:line="20" w:lineRule="exact"/>
              <w:rPr>
                <w:sz w:val="1"/>
                <w:szCs w:val="1"/>
                <w:color w:val="auto"/>
              </w:rPr>
            </w:pPr>
          </w:p>
        </w:tc>
        <w:tc>
          <w:tcPr>
            <w:tcW w:w="114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4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w w:val="95"/>
              </w:rPr>
              <w:t xml:space="preserve">Energy-related commodity contracts </w:t>
            </w:r>
            <w:r>
              <w:rPr>
                <w:rFonts w:ascii="Arial" w:cs="Arial" w:eastAsia="Arial" w:hAnsi="Arial"/>
                <w:sz w:val="23"/>
                <w:szCs w:val="23"/>
                <w:color w:val="auto"/>
                <w:w w:val="95"/>
                <w:vertAlign w:val="superscript"/>
              </w:rPr>
              <w:t>(e)</w:t>
            </w:r>
          </w:p>
        </w:tc>
        <w:tc>
          <w:tcPr>
            <w:tcW w:w="42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3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88"/>
        </w:trPr>
        <w:tc>
          <w:tcPr>
            <w:tcW w:w="3420" w:type="dxa"/>
            <w:vAlign w:val="bottom"/>
            <w:gridSpan w:val="2"/>
          </w:tcPr>
          <w:p>
            <w:pPr>
              <w:jc w:val="right"/>
              <w:ind w:right="40"/>
              <w:spacing w:after="0"/>
              <w:rPr>
                <w:sz w:val="20"/>
                <w:szCs w:val="20"/>
                <w:color w:val="auto"/>
              </w:rPr>
            </w:pPr>
            <w:r>
              <w:rPr>
                <w:rFonts w:ascii="Arial" w:cs="Arial" w:eastAsia="Arial" w:hAnsi="Arial"/>
                <w:sz w:val="20"/>
                <w:szCs w:val="20"/>
                <w:color w:val="auto"/>
                <w:w w:val="96"/>
              </w:rPr>
              <w:t xml:space="preserve">Interest rate contracts </w:t>
            </w:r>
            <w:r>
              <w:rPr>
                <w:rFonts w:ascii="Arial" w:cs="Arial" w:eastAsia="Arial" w:hAnsi="Arial"/>
                <w:sz w:val="20"/>
                <w:szCs w:val="20"/>
                <w:color w:val="B4B4B4"/>
                <w:w w:val="96"/>
              </w:rPr>
              <w:t>. . . . . . . . . . . . . .</w:t>
            </w:r>
          </w:p>
        </w:tc>
        <w:tc>
          <w:tcPr>
            <w:tcW w:w="120" w:type="dxa"/>
            <w:vAlign w:val="bottom"/>
          </w:tcPr>
          <w:p>
            <w:pPr>
              <w:ind w:left="20"/>
              <w:spacing w:after="0"/>
              <w:rPr>
                <w:sz w:val="20"/>
                <w:szCs w:val="20"/>
                <w:color w:val="auto"/>
              </w:rPr>
            </w:pPr>
            <w:r>
              <w:rPr>
                <w:rFonts w:ascii="Arial" w:cs="Arial" w:eastAsia="Arial" w:hAnsi="Arial"/>
                <w:sz w:val="20"/>
                <w:szCs w:val="20"/>
                <w:color w:val="B4B4B4"/>
              </w:rPr>
              <w:t>.</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
        </w:trPr>
        <w:tc>
          <w:tcPr>
            <w:tcW w:w="3540" w:type="dxa"/>
            <w:vAlign w:val="bottom"/>
            <w:gridSpan w:val="3"/>
            <w:vMerge w:val="restart"/>
            <w:shd w:val="clear" w:color="auto" w:fill="E6E6E6"/>
          </w:tcPr>
          <w:p>
            <w:pPr>
              <w:ind w:left="380"/>
              <w:spacing w:after="0"/>
              <w:rPr>
                <w:sz w:val="20"/>
                <w:szCs w:val="20"/>
                <w:color w:val="auto"/>
              </w:rPr>
            </w:pPr>
            <w:r>
              <w:rPr>
                <w:rFonts w:ascii="Arial" w:cs="Arial" w:eastAsia="Arial" w:hAnsi="Arial"/>
                <w:sz w:val="20"/>
                <w:szCs w:val="20"/>
                <w:b w:val="1"/>
                <w:bCs w:val="1"/>
                <w:color w:val="auto"/>
              </w:rPr>
              <w:t xml:space="preserve">Total liabilities </w:t>
            </w:r>
            <w:r>
              <w:rPr>
                <w:rFonts w:ascii="Arial" w:cs="Arial" w:eastAsia="Arial" w:hAnsi="Arial"/>
                <w:sz w:val="20"/>
                <w:szCs w:val="20"/>
                <w:b w:val="1"/>
                <w:bCs w:val="1"/>
                <w:color w:val="B4B4B4"/>
              </w:rPr>
              <w:t>. . .</w:t>
            </w: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420" w:type="dxa"/>
            <w:vAlign w:val="bottom"/>
            <w:gridSpan w:val="2"/>
            <w:vMerge w:val="continue"/>
            <w:shd w:val="clear" w:color="auto" w:fill="E6E6E6"/>
          </w:tcPr>
          <w:p>
            <w:pPr>
              <w:jc w:val="right"/>
              <w:ind w:right="20"/>
              <w:spacing w:after="0" w:line="217" w:lineRule="exact"/>
              <w:rPr>
                <w:sz w:val="20"/>
                <w:szCs w:val="20"/>
                <w:color w:val="auto"/>
              </w:rPr>
            </w:pPr>
            <w:r>
              <w:rPr>
                <w:rFonts w:ascii="Arial" w:cs="Arial" w:eastAsia="Arial" w:hAnsi="Arial"/>
                <w:sz w:val="20"/>
                <w:szCs w:val="20"/>
                <w:b w:val="1"/>
                <w:bCs w:val="1"/>
                <w:color w:val="B4B4B4"/>
              </w:rPr>
              <w:t>. . . . . . . . . . . . . .</w:t>
            </w:r>
          </w:p>
        </w:tc>
        <w:tc>
          <w:tcPr>
            <w:tcW w:w="420" w:type="dxa"/>
            <w:vAlign w:val="bottom"/>
            <w:gridSpan w:val="2"/>
            <w:shd w:val="clear" w:color="auto" w:fill="E6E6E6"/>
          </w:tcPr>
          <w:p>
            <w:pPr>
              <w:ind w:left="20"/>
              <w:spacing w:after="0"/>
              <w:rPr>
                <w:sz w:val="20"/>
                <w:szCs w:val="20"/>
                <w:color w:val="auto"/>
              </w:rPr>
            </w:pPr>
            <w:r>
              <w:rPr>
                <w:rFonts w:ascii="Arial" w:cs="Arial" w:eastAsia="Arial" w:hAnsi="Arial"/>
                <w:sz w:val="20"/>
                <w:szCs w:val="20"/>
                <w:b w:val="1"/>
                <w:bCs w:val="1"/>
                <w:color w:val="B4B4B4"/>
              </w:rPr>
              <w:t xml:space="preserve">. </w:t>
            </w:r>
            <w:r>
              <w:rPr>
                <w:rFonts w:ascii="Arial" w:cs="Arial" w:eastAsia="Arial" w:hAnsi="Arial"/>
                <w:sz w:val="20"/>
                <w:szCs w:val="20"/>
                <w:color w:val="000000"/>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3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5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0"/>
        </w:trPr>
        <w:tc>
          <w:tcPr>
            <w:tcW w:w="1980" w:type="dxa"/>
            <w:vAlign w:val="bottom"/>
            <w:tcBorders>
              <w:top w:val="single" w:sz="8" w:color="E6E6E6"/>
            </w:tcBorders>
          </w:tcPr>
          <w:p>
            <w:pPr>
              <w:spacing w:after="0" w:line="20" w:lineRule="exact"/>
              <w:rPr>
                <w:sz w:val="1"/>
                <w:szCs w:val="1"/>
                <w:color w:val="auto"/>
              </w:rPr>
            </w:pPr>
          </w:p>
        </w:tc>
        <w:tc>
          <w:tcPr>
            <w:tcW w:w="144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8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-894715</wp:posOffset>
            </wp:positionV>
            <wp:extent cx="428307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7">
                      <a:extLst>
                        <a:ext uri="{28A0092B-C50C-407E-A947-70E740481C1C}"/>
                      </a:extLst>
                    </a:blip>
                    <a:srcRect/>
                    <a:stretch>
                      <a:fillRect/>
                    </a:stretch>
                  </pic:blipFill>
                  <pic:spPr bwMode="auto">
                    <a:xfrm>
                      <a:off x="0" y="0"/>
                      <a:ext cx="4283075" cy="50800"/>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-142240</wp:posOffset>
            </wp:positionV>
            <wp:extent cx="428307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8">
                      <a:extLst>
                        <a:ext uri="{28A0092B-C50C-407E-A947-70E740481C1C}"/>
                      </a:extLst>
                    </a:blip>
                    <a:srcRect/>
                    <a:stretch>
                      <a:fillRect/>
                    </a:stretch>
                  </pic:blipFill>
                  <pic:spPr bwMode="auto">
                    <a:xfrm>
                      <a:off x="0" y="0"/>
                      <a:ext cx="4283075" cy="50800"/>
                    </a:xfrm>
                    <a:prstGeom prst="rect">
                      <a:avLst/>
                    </a:prstGeom>
                    <a:noFill/>
                  </pic:spPr>
                </pic:pic>
              </a:graphicData>
            </a:graphic>
          </wp:anchor>
        </w:drawing>
      </w:r>
    </w:p>
    <w:p>
      <w:pPr>
        <w:ind w:left="300" w:hanging="220"/>
        <w:spacing w:after="0"/>
        <w:tabs>
          <w:tab w:leader="none" w:pos="300"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There were no derivative assets or liabilities classified as Level 1 as of December 31, 2024 and 2023.</w:t>
      </w:r>
    </w:p>
    <w:p>
      <w:pPr>
        <w:spacing w:after="0" w:line="40" w:lineRule="exact"/>
        <w:rPr>
          <w:rFonts w:ascii="Arial" w:cs="Arial" w:eastAsia="Arial" w:hAnsi="Arial"/>
          <w:sz w:val="23"/>
          <w:szCs w:val="23"/>
          <w:color w:val="auto"/>
          <w:vertAlign w:val="superscript"/>
        </w:rPr>
      </w:pPr>
    </w:p>
    <w:p>
      <w:pPr>
        <w:ind w:left="80"/>
        <w:spacing w:after="0" w:line="229" w:lineRule="auto"/>
        <w:tabs>
          <w:tab w:leader="none" w:pos="333"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The Company’s interest rate swaps are measured at fair value using an income approach, which use readily observable inputs, such as forward interest rates (e.g., SOFR) and contractual terms to estimate fair value.</w:t>
      </w:r>
    </w:p>
    <w:p>
      <w:pPr>
        <w:spacing w:after="0" w:line="35" w:lineRule="exact"/>
        <w:rPr>
          <w:rFonts w:ascii="Arial" w:cs="Arial" w:eastAsia="Arial" w:hAnsi="Arial"/>
          <w:sz w:val="23"/>
          <w:szCs w:val="23"/>
          <w:color w:val="auto"/>
          <w:vertAlign w:val="superscript"/>
        </w:rPr>
      </w:pPr>
    </w:p>
    <w:p>
      <w:pPr>
        <w:ind w:left="300" w:hanging="220"/>
        <w:spacing w:after="0"/>
        <w:tabs>
          <w:tab w:leader="none" w:pos="30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Includes long-term backbone transportation service contracts classified as Level 2 and heat rate call option contracts classified as Level 3.</w:t>
      </w:r>
    </w:p>
    <w:p>
      <w:pPr>
        <w:spacing w:after="0" w:line="40" w:lineRule="exact"/>
        <w:rPr>
          <w:rFonts w:ascii="Arial" w:cs="Arial" w:eastAsia="Arial" w:hAnsi="Arial"/>
          <w:sz w:val="21"/>
          <w:szCs w:val="21"/>
          <w:color w:val="auto"/>
          <w:vertAlign w:val="superscript"/>
        </w:rPr>
      </w:pPr>
    </w:p>
    <w:p>
      <w:pPr>
        <w:ind w:left="300" w:hanging="220"/>
        <w:spacing w:after="0" w:line="213" w:lineRule="auto"/>
        <w:tabs>
          <w:tab w:leader="none" w:pos="300"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Includes SREC contract.</w:t>
      </w:r>
    </w:p>
    <w:p>
      <w:pPr>
        <w:spacing w:after="0" w:line="41" w:lineRule="exact"/>
        <w:rPr>
          <w:rFonts w:ascii="Arial" w:cs="Arial" w:eastAsia="Arial" w:hAnsi="Arial"/>
          <w:sz w:val="23"/>
          <w:szCs w:val="23"/>
          <w:color w:val="auto"/>
          <w:vertAlign w:val="superscript"/>
        </w:rPr>
      </w:pPr>
    </w:p>
    <w:p>
      <w:pPr>
        <w:jc w:val="both"/>
        <w:ind w:left="80" w:right="20"/>
        <w:spacing w:after="0" w:line="236" w:lineRule="auto"/>
        <w:tabs>
          <w:tab w:leader="none" w:pos="327"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Includes long-term power commodity contracts and heat rate call option contracts classified as Level 3. As of December 31, 2024 and 2023, $366 million and $325 million related to long-term power commodity contracts, respectively, and $5 million related to heat rate call option contracts.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880" w:h="15480" w:orient="portrait"/>
          <w:cols w:equalWidth="0" w:num="1">
            <w:col w:w="10260"/>
          </w:cols>
          <w:pgMar w:left="820" w:top="367" w:right="800" w:bottom="0" w:gutter="0" w:footer="0" w:header="0"/>
          <w:type w:val="continuous"/>
        </w:sectPr>
      </w:pPr>
    </w:p>
    <w:bookmarkStart w:id="106" w:name="page107"/>
    <w:bookmarkEnd w:id="106"/>
    <w:p>
      <w:pPr>
        <w:jc w:val="both"/>
        <w:ind w:left="100" w:right="20" w:firstLine="450"/>
        <w:spacing w:after="0" w:line="283" w:lineRule="auto"/>
        <w:rPr>
          <w:sz w:val="20"/>
          <w:szCs w:val="20"/>
          <w:color w:val="auto"/>
        </w:rPr>
      </w:pPr>
      <w:r>
        <w:rPr>
          <w:rFonts w:ascii="Arial" w:cs="Arial" w:eastAsia="Arial" w:hAnsi="Arial"/>
          <w:sz w:val="20"/>
          <w:szCs w:val="20"/>
          <w:color w:val="auto"/>
        </w:rPr>
        <w:t>The following table reconciles the beginning and ending balances for instruments that are recognized at fair value in the consolidated financial statements using significant unobservable inputs: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center"/>
              <w:ind w:right="243"/>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235"/>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2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6"/>
        </w:trPr>
        <w:tc>
          <w:tcPr>
            <w:tcW w:w="6320" w:type="dxa"/>
            <w:vAlign w:val="bottom"/>
            <w:vMerge w:val="restart"/>
          </w:tcPr>
          <w:p>
            <w:pPr>
              <w:jc w:val="right"/>
              <w:ind w:right="5120"/>
              <w:spacing w:after="0"/>
              <w:rPr>
                <w:sz w:val="20"/>
                <w:szCs w:val="20"/>
                <w:color w:val="auto"/>
              </w:rPr>
            </w:pPr>
            <w:r>
              <w:rPr>
                <w:rFonts w:ascii="Arial" w:cs="Arial" w:eastAsia="Arial" w:hAnsi="Arial"/>
                <w:sz w:val="20"/>
                <w:szCs w:val="20"/>
                <w:b w:val="1"/>
                <w:bCs w:val="1"/>
                <w:color w:val="auto"/>
                <w:w w:val="96"/>
              </w:rPr>
              <w:t>(In millions)</w:t>
            </w:r>
          </w:p>
        </w:tc>
        <w:tc>
          <w:tcPr>
            <w:tcW w:w="320" w:type="dxa"/>
            <w:vAlign w:val="bottom"/>
          </w:tcPr>
          <w:p>
            <w:pPr>
              <w:spacing w:after="0"/>
              <w:rPr>
                <w:sz w:val="16"/>
                <w:szCs w:val="16"/>
                <w:color w:val="auto"/>
              </w:rPr>
            </w:pPr>
          </w:p>
        </w:tc>
        <w:tc>
          <w:tcPr>
            <w:tcW w:w="3620" w:type="dxa"/>
            <w:vAlign w:val="bottom"/>
            <w:gridSpan w:val="4"/>
          </w:tcPr>
          <w:p>
            <w:pPr>
              <w:jc w:val="center"/>
              <w:ind w:right="243"/>
              <w:spacing w:after="0"/>
              <w:rPr>
                <w:sz w:val="20"/>
                <w:szCs w:val="20"/>
                <w:color w:val="auto"/>
              </w:rPr>
            </w:pPr>
            <w:r>
              <w:rPr>
                <w:rFonts w:ascii="Arial" w:cs="Arial" w:eastAsia="Arial" w:hAnsi="Arial"/>
                <w:sz w:val="16"/>
                <w:szCs w:val="16"/>
                <w:b w:val="1"/>
                <w:bCs w:val="1"/>
                <w:color w:val="auto"/>
                <w:w w:val="91"/>
              </w:rPr>
              <w:t>Fair Value Measurement Using Significant</w:t>
            </w:r>
          </w:p>
        </w:tc>
        <w:tc>
          <w:tcPr>
            <w:tcW w:w="0" w:type="dxa"/>
            <w:vAlign w:val="bottom"/>
          </w:tcPr>
          <w:p>
            <w:pPr>
              <w:spacing w:after="0"/>
              <w:rPr>
                <w:sz w:val="1"/>
                <w:szCs w:val="1"/>
                <w:color w:val="auto"/>
              </w:rPr>
            </w:pPr>
          </w:p>
        </w:tc>
      </w:tr>
      <w:tr>
        <w:trPr>
          <w:trHeight w:val="214"/>
        </w:trPr>
        <w:tc>
          <w:tcPr>
            <w:tcW w:w="6320" w:type="dxa"/>
            <w:vAlign w:val="bottom"/>
            <w:tcBorders>
              <w:bottom w:val="single" w:sz="8" w:color="E6E6E6"/>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6"/>
                <w:szCs w:val="16"/>
                <w:b w:val="1"/>
                <w:bCs w:val="1"/>
                <w:color w:val="auto"/>
                <w:w w:val="90"/>
              </w:rPr>
              <w:t>Unobservable Inputs (Level 3)</w:t>
            </w:r>
          </w:p>
        </w:tc>
        <w:tc>
          <w:tcPr>
            <w:tcW w:w="0" w:type="dxa"/>
            <w:vAlign w:val="bottom"/>
          </w:tcPr>
          <w:p>
            <w:pPr>
              <w:spacing w:after="0"/>
              <w:rPr>
                <w:sz w:val="1"/>
                <w:szCs w:val="1"/>
                <w:color w:val="auto"/>
              </w:rPr>
            </w:pPr>
          </w:p>
        </w:tc>
      </w:tr>
      <w:tr>
        <w:trPr>
          <w:trHeight w:val="290"/>
        </w:trPr>
        <w:tc>
          <w:tcPr>
            <w:tcW w:w="6320" w:type="dxa"/>
            <w:vAlign w:val="bottom"/>
            <w:shd w:val="clear" w:color="auto" w:fill="E6E6E6"/>
          </w:tcPr>
          <w:p>
            <w:pPr>
              <w:jc w:val="right"/>
              <w:ind w:right="40"/>
              <w:spacing w:after="0"/>
              <w:rPr>
                <w:sz w:val="20"/>
                <w:szCs w:val="20"/>
                <w:color w:val="auto"/>
              </w:rPr>
            </w:pPr>
            <w:r>
              <w:rPr>
                <w:rFonts w:ascii="Arial" w:cs="Arial" w:eastAsia="Arial" w:hAnsi="Arial"/>
                <w:sz w:val="20"/>
                <w:szCs w:val="20"/>
                <w:b w:val="1"/>
                <w:bCs w:val="1"/>
                <w:color w:val="auto"/>
                <w:w w:val="90"/>
              </w:rPr>
              <w:t xml:space="preserve">Beginning balance </w:t>
            </w:r>
            <w:r>
              <w:rPr>
                <w:rFonts w:ascii="Arial" w:cs="Arial" w:eastAsia="Arial" w:hAnsi="Arial"/>
                <w:sz w:val="20"/>
                <w:szCs w:val="20"/>
                <w:b w:val="1"/>
                <w:bCs w:val="1"/>
                <w:color w:val="B4B4B4"/>
                <w:w w:val="90"/>
              </w:rPr>
              <w:t>. . . . . . . . . . . . . . . . . . . . . . . . . . . . . . . . . . . . . . . . . . . . .</w:t>
            </w:r>
          </w:p>
        </w:tc>
        <w:tc>
          <w:tcPr>
            <w:tcW w:w="320" w:type="dxa"/>
            <w:vAlign w:val="bottom"/>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(317)</w:t>
            </w:r>
          </w:p>
        </w:tc>
        <w:tc>
          <w:tcPr>
            <w:tcW w:w="540" w:type="dxa"/>
            <w:vAlign w:val="bottom"/>
            <w:gridSpan w:val="2"/>
            <w:shd w:val="clear" w:color="auto" w:fill="E6E6E6"/>
          </w:tcPr>
          <w:p>
            <w:pPr>
              <w:jc w:val="right"/>
              <w:ind w:right="3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(336)</w:t>
            </w:r>
          </w:p>
        </w:tc>
        <w:tc>
          <w:tcPr>
            <w:tcW w:w="0" w:type="dxa"/>
            <w:vAlign w:val="bottom"/>
          </w:tcPr>
          <w:p>
            <w:pPr>
              <w:spacing w:after="0"/>
              <w:rPr>
                <w:sz w:val="1"/>
                <w:szCs w:val="1"/>
                <w:color w:val="auto"/>
              </w:rPr>
            </w:pPr>
          </w:p>
        </w:tc>
      </w:tr>
      <w:tr>
        <w:trPr>
          <w:trHeight w:val="293"/>
        </w:trPr>
        <w:tc>
          <w:tcPr>
            <w:tcW w:w="6320" w:type="dxa"/>
            <w:vAlign w:val="bottom"/>
          </w:tcPr>
          <w:p>
            <w:pPr>
              <w:jc w:val="right"/>
              <w:ind w:right="40"/>
              <w:spacing w:after="0"/>
              <w:rPr>
                <w:sz w:val="20"/>
                <w:szCs w:val="20"/>
                <w:color w:val="auto"/>
              </w:rPr>
            </w:pPr>
            <w:r>
              <w:rPr>
                <w:rFonts w:ascii="Arial" w:cs="Arial" w:eastAsia="Arial" w:hAnsi="Arial"/>
                <w:sz w:val="20"/>
                <w:szCs w:val="20"/>
                <w:color w:val="auto"/>
                <w:w w:val="90"/>
              </w:rPr>
              <w:t xml:space="preserve">Settlements </w:t>
            </w:r>
            <w:r>
              <w:rPr>
                <w:rFonts w:ascii="Arial" w:cs="Arial" w:eastAsia="Arial" w:hAnsi="Arial"/>
                <w:sz w:val="20"/>
                <w:szCs w:val="20"/>
                <w:color w:val="B4B4B4"/>
                <w:w w:val="90"/>
              </w:rPr>
              <w:t>. . . . . . . . . . . . . . . . . . . . . . . . . . . . . . . . . . . . . . . . . . . . . . . . . . . .</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315"/>
        </w:trPr>
        <w:tc>
          <w:tcPr>
            <w:tcW w:w="6320" w:type="dxa"/>
            <w:vAlign w:val="bottom"/>
            <w:tcBorders>
              <w:bottom w:val="single" w:sz="8" w:color="E6E6E6"/>
            </w:tcBorders>
            <w:shd w:val="clear" w:color="auto" w:fill="E6E6E6"/>
          </w:tcPr>
          <w:p>
            <w:pPr>
              <w:jc w:val="right"/>
              <w:ind w:right="40"/>
              <w:spacing w:after="0"/>
              <w:rPr>
                <w:sz w:val="20"/>
                <w:szCs w:val="20"/>
                <w:color w:val="auto"/>
              </w:rPr>
            </w:pPr>
            <w:r>
              <w:rPr>
                <w:rFonts w:ascii="Arial" w:cs="Arial" w:eastAsia="Arial" w:hAnsi="Arial"/>
                <w:sz w:val="20"/>
                <w:szCs w:val="20"/>
                <w:color w:val="auto"/>
                <w:w w:val="92"/>
              </w:rPr>
              <w:t xml:space="preserve">Total losses for the period included in earnings </w:t>
            </w:r>
            <w:r>
              <w:rPr>
                <w:rFonts w:ascii="Arial" w:cs="Arial" w:eastAsia="Arial" w:hAnsi="Arial"/>
                <w:sz w:val="20"/>
                <w:szCs w:val="20"/>
                <w:color w:val="B4B4B4"/>
                <w:w w:val="92"/>
              </w:rPr>
              <w:t>. . . . . . . . . . . . . . . . . . . . . . .</w:t>
            </w:r>
          </w:p>
        </w:tc>
        <w:tc>
          <w:tcPr>
            <w:tcW w:w="320" w:type="dxa"/>
            <w:vAlign w:val="bottom"/>
            <w:tcBorders>
              <w:bottom w:val="single" w:sz="8" w:color="auto"/>
            </w:tcBorders>
            <w:shd w:val="clear" w:color="auto" w:fill="E6E6E6"/>
          </w:tcPr>
          <w:p>
            <w:pPr>
              <w:spacing w:after="0"/>
              <w:rPr>
                <w:sz w:val="24"/>
                <w:szCs w:val="24"/>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42"/>
        </w:trPr>
        <w:tc>
          <w:tcPr>
            <w:tcW w:w="6320" w:type="dxa"/>
            <w:vAlign w:val="bottom"/>
          </w:tcPr>
          <w:p>
            <w:pPr>
              <w:jc w:val="right"/>
              <w:ind w:right="40"/>
              <w:spacing w:after="0"/>
              <w:rPr>
                <w:sz w:val="20"/>
                <w:szCs w:val="20"/>
                <w:color w:val="auto"/>
              </w:rPr>
            </w:pPr>
            <w:r>
              <w:rPr>
                <w:rFonts w:ascii="Arial" w:cs="Arial" w:eastAsia="Arial" w:hAnsi="Arial"/>
                <w:sz w:val="20"/>
                <w:szCs w:val="20"/>
                <w:b w:val="1"/>
                <w:bCs w:val="1"/>
                <w:color w:val="auto"/>
                <w:w w:val="90"/>
              </w:rPr>
              <w:t xml:space="preserve">Ending balance </w:t>
            </w:r>
            <w:r>
              <w:rPr>
                <w:rFonts w:ascii="Arial" w:cs="Arial" w:eastAsia="Arial" w:hAnsi="Arial"/>
                <w:sz w:val="20"/>
                <w:szCs w:val="20"/>
                <w:b w:val="1"/>
                <w:bCs w:val="1"/>
                <w:color w:val="B4B4B4"/>
                <w:w w:val="90"/>
              </w:rPr>
              <w:t>. . . . . . . . . . . . . . . . . . . . . . . . . . . . . . . . . . . . . . . . . . . . . . . .</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(352)</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(317)</w:t>
            </w:r>
          </w:p>
        </w:tc>
        <w:tc>
          <w:tcPr>
            <w:tcW w:w="0" w:type="dxa"/>
            <w:vAlign w:val="bottom"/>
          </w:tcPr>
          <w:p>
            <w:pPr>
              <w:spacing w:after="0"/>
              <w:rPr>
                <w:sz w:val="1"/>
                <w:szCs w:val="1"/>
                <w:color w:val="auto"/>
              </w:rPr>
            </w:pPr>
          </w:p>
        </w:tc>
      </w:tr>
      <w:tr>
        <w:trPr>
          <w:trHeight w:val="20"/>
        </w:trPr>
        <w:tc>
          <w:tcPr>
            <w:tcW w:w="6320" w:type="dxa"/>
            <w:vAlign w:val="bottom"/>
            <w:tcBorders>
              <w:bottom w:val="single" w:sz="8" w:color="E6E6E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20" w:type="dxa"/>
            <w:vAlign w:val="bottom"/>
            <w:shd w:val="clear" w:color="auto" w:fill="E6E6E6"/>
          </w:tcPr>
          <w:p>
            <w:pPr>
              <w:jc w:val="right"/>
              <w:ind w:right="120"/>
              <w:spacing w:after="0" w:line="192" w:lineRule="exact"/>
              <w:rPr>
                <w:sz w:val="20"/>
                <w:szCs w:val="20"/>
                <w:color w:val="auto"/>
              </w:rPr>
            </w:pPr>
            <w:r>
              <w:rPr>
                <w:rFonts w:ascii="Arial" w:cs="Arial" w:eastAsia="Arial" w:hAnsi="Arial"/>
                <w:sz w:val="20"/>
                <w:szCs w:val="20"/>
                <w:color w:val="auto"/>
                <w:w w:val="92"/>
              </w:rPr>
              <w:t>Change in unrealized losses included in earnings for derivatives and other</w:t>
            </w:r>
          </w:p>
        </w:tc>
        <w:tc>
          <w:tcPr>
            <w:tcW w:w="320" w:type="dxa"/>
            <w:vAlign w:val="bottom"/>
            <w:vMerge w:val="restart"/>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1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(33)</w:t>
            </w:r>
          </w:p>
        </w:tc>
        <w:tc>
          <w:tcPr>
            <w:tcW w:w="540" w:type="dxa"/>
            <w:vAlign w:val="bottom"/>
            <w:gridSpan w:val="2"/>
            <w:vMerge w:val="restart"/>
            <w:shd w:val="clear" w:color="auto" w:fill="E6E6E6"/>
          </w:tcPr>
          <w:p>
            <w:pPr>
              <w:jc w:val="right"/>
              <w:ind w:right="320"/>
              <w:spacing w:after="0"/>
              <w:rPr>
                <w:sz w:val="20"/>
                <w:szCs w:val="20"/>
                <w:color w:val="auto"/>
              </w:rPr>
            </w:pPr>
            <w:r>
              <w:rPr>
                <w:rFonts w:ascii="Arial" w:cs="Arial" w:eastAsia="Arial" w:hAnsi="Arial"/>
                <w:sz w:val="20"/>
                <w:szCs w:val="20"/>
                <w:color w:val="auto"/>
              </w:rPr>
              <w:t>$</w:t>
            </w:r>
          </w:p>
        </w:tc>
        <w:tc>
          <w:tcPr>
            <w:tcW w:w="14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73"/>
        </w:trPr>
        <w:tc>
          <w:tcPr>
            <w:tcW w:w="6320" w:type="dxa"/>
            <w:vAlign w:val="bottom"/>
            <w:shd w:val="clear" w:color="auto" w:fill="E6E6E6"/>
          </w:tcPr>
          <w:p>
            <w:pPr>
              <w:jc w:val="right"/>
              <w:ind w:right="40"/>
              <w:spacing w:after="0"/>
              <w:rPr>
                <w:sz w:val="20"/>
                <w:szCs w:val="20"/>
                <w:color w:val="auto"/>
              </w:rPr>
            </w:pPr>
            <w:r>
              <w:rPr>
                <w:rFonts w:ascii="Arial" w:cs="Arial" w:eastAsia="Arial" w:hAnsi="Arial"/>
                <w:sz w:val="20"/>
                <w:szCs w:val="20"/>
                <w:color w:val="auto"/>
                <w:w w:val="96"/>
              </w:rPr>
              <w:t xml:space="preserve">financial instruments held as of December 31, </w:t>
            </w:r>
            <w:r>
              <w:rPr>
                <w:rFonts w:ascii="Arial" w:cs="Arial" w:eastAsia="Arial" w:hAnsi="Arial"/>
                <w:sz w:val="20"/>
                <w:szCs w:val="20"/>
                <w:color w:val="B4B4B4"/>
                <w:w w:val="96"/>
              </w:rPr>
              <w:t>. . . . . . . . . . . . . . . . . . . . .</w:t>
            </w:r>
          </w:p>
        </w:tc>
        <w:tc>
          <w:tcPr>
            <w:tcW w:w="320" w:type="dxa"/>
            <w:vAlign w:val="bottom"/>
            <w:vMerge w:val="continue"/>
            <w:shd w:val="clear" w:color="auto" w:fill="E6E6E6"/>
          </w:tcPr>
          <w:p>
            <w:pPr>
              <w:spacing w:after="0"/>
              <w:rPr>
                <w:sz w:val="23"/>
                <w:szCs w:val="23"/>
                <w:color w:val="auto"/>
              </w:rPr>
            </w:pPr>
          </w:p>
        </w:tc>
        <w:tc>
          <w:tcPr>
            <w:tcW w:w="1620" w:type="dxa"/>
            <w:vAlign w:val="bottom"/>
            <w:vMerge w:val="continue"/>
            <w:shd w:val="clear" w:color="auto" w:fill="E6E6E6"/>
          </w:tcPr>
          <w:p>
            <w:pPr>
              <w:spacing w:after="0"/>
              <w:rPr>
                <w:sz w:val="23"/>
                <w:szCs w:val="23"/>
                <w:color w:val="auto"/>
              </w:rPr>
            </w:pPr>
          </w:p>
        </w:tc>
        <w:tc>
          <w:tcPr>
            <w:tcW w:w="540" w:type="dxa"/>
            <w:vAlign w:val="bottom"/>
            <w:gridSpan w:val="2"/>
            <w:vMerge w:val="continue"/>
            <w:shd w:val="clear" w:color="auto" w:fill="E6E6E6"/>
          </w:tcPr>
          <w:p>
            <w:pPr>
              <w:spacing w:after="0"/>
              <w:rPr>
                <w:sz w:val="23"/>
                <w:szCs w:val="23"/>
                <w:color w:val="auto"/>
              </w:rPr>
            </w:pPr>
          </w:p>
        </w:tc>
        <w:tc>
          <w:tcPr>
            <w:tcW w:w="14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-339090</wp:posOffset>
            </wp:positionV>
            <wp:extent cx="253047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9">
                      <a:extLst>
                        <a:ext uri="{28A0092B-C50C-407E-A947-70E740481C1C}"/>
                      </a:extLst>
                    </a:blip>
                    <a:srcRect/>
                    <a:stretch>
                      <a:fillRect/>
                    </a:stretch>
                  </pic:blipFill>
                  <pic:spPr bwMode="auto">
                    <a:xfrm>
                      <a:off x="0" y="0"/>
                      <a:ext cx="2530475" cy="50800"/>
                    </a:xfrm>
                    <a:prstGeom prst="rect">
                      <a:avLst/>
                    </a:prstGeom>
                    <a:noFill/>
                  </pic:spPr>
                </pic:pic>
              </a:graphicData>
            </a:graphic>
          </wp:anchor>
        </w:drawing>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Derivative and Financial Instruments Fair Value Measurements</w:t>
      </w:r>
    </w:p>
    <w:p>
      <w:pPr>
        <w:spacing w:after="0" w:line="198" w:lineRule="exact"/>
        <w:rPr>
          <w:sz w:val="20"/>
          <w:szCs w:val="20"/>
          <w:color w:val="auto"/>
        </w:rPr>
      </w:pPr>
    </w:p>
    <w:p>
      <w:pPr>
        <w:jc w:val="both"/>
        <w:ind w:left="100" w:right="20" w:firstLine="450"/>
        <w:spacing w:after="0" w:line="273" w:lineRule="auto"/>
        <w:rPr>
          <w:sz w:val="20"/>
          <w:szCs w:val="20"/>
          <w:color w:val="auto"/>
        </w:rPr>
      </w:pPr>
      <w:r>
        <w:rPr>
          <w:rFonts w:ascii="Arial" w:cs="Arial" w:eastAsia="Arial" w:hAnsi="Arial"/>
          <w:sz w:val="19"/>
          <w:szCs w:val="19"/>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2024, contracts valued with prices provided by models and other valuation techniques make up 5% of derivative assets, 100% of derivative liabilities and 100% of other financial instruments.</w:t>
      </w:r>
    </w:p>
    <w:p>
      <w:pPr>
        <w:spacing w:after="0" w:line="129" w:lineRule="exact"/>
        <w:rPr>
          <w:sz w:val="20"/>
          <w:szCs w:val="20"/>
          <w:color w:val="auto"/>
        </w:rPr>
      </w:pPr>
    </w:p>
    <w:p>
      <w:pPr>
        <w:jc w:val="both"/>
        <w:ind w:left="100" w:right="20" w:firstLine="450"/>
        <w:spacing w:after="0" w:line="257" w:lineRule="auto"/>
        <w:rPr>
          <w:sz w:val="20"/>
          <w:szCs w:val="20"/>
          <w:color w:val="auto"/>
        </w:rPr>
      </w:pPr>
      <w:r>
        <w:rPr>
          <w:rFonts w:ascii="Arial" w:cs="Arial" w:eastAsia="Arial" w:hAnsi="Arial"/>
          <w:sz w:val="20"/>
          <w:szCs w:val="20"/>
          <w:color w:val="auto"/>
        </w:rPr>
        <w:t>The Company’s significant positions classified as Level 3 relate to physical and financial energy-related commodity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42" w:lineRule="exact"/>
        <w:rPr>
          <w:sz w:val="20"/>
          <w:szCs w:val="20"/>
          <w:color w:val="auto"/>
        </w:rPr>
      </w:pPr>
    </w:p>
    <w:p>
      <w:pPr>
        <w:jc w:val="both"/>
        <w:ind w:left="100" w:right="20" w:firstLine="450"/>
        <w:spacing w:after="0" w:line="283" w:lineRule="auto"/>
        <w:rPr>
          <w:sz w:val="20"/>
          <w:szCs w:val="20"/>
          <w:color w:val="auto"/>
        </w:rPr>
      </w:pPr>
      <w:r>
        <w:rPr>
          <w:rFonts w:ascii="Arial" w:cs="Arial" w:eastAsia="Arial" w:hAnsi="Arial"/>
          <w:sz w:val="20"/>
          <w:szCs w:val="20"/>
          <w:color w:val="auto"/>
        </w:rPr>
        <w:t>The following tables quantify the significant unobservable inputs used in developing the fair value of the Company’s Level 3 positions:</w:t>
      </w:r>
    </w:p>
    <w:p>
      <w:pPr>
        <w:spacing w:after="0" w:line="107"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2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2024</w:t>
            </w: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Input/Range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Valuation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8"/>
              </w:rPr>
              <w:t>Assets</w:t>
            </w:r>
          </w:p>
        </w:tc>
        <w:tc>
          <w:tcPr>
            <w:tcW w:w="102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Liabilities</w:t>
            </w:r>
          </w:p>
        </w:tc>
        <w:tc>
          <w:tcPr>
            <w:tcW w:w="1340" w:type="dxa"/>
            <w:vAlign w:val="bottom"/>
            <w:vMerge w:val="continue"/>
          </w:tcPr>
          <w:p>
            <w:pPr>
              <w:spacing w:after="0"/>
              <w:rPr>
                <w:sz w:val="15"/>
                <w:szCs w:val="15"/>
                <w:color w:val="auto"/>
              </w:rPr>
            </w:pPr>
          </w:p>
        </w:tc>
        <w:tc>
          <w:tcPr>
            <w:tcW w:w="13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5"/>
                <w:szCs w:val="15"/>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260" w:type="dxa"/>
            <w:vAlign w:val="bottom"/>
          </w:tcPr>
          <w:p>
            <w:pPr>
              <w:spacing w:after="0"/>
              <w:rPr>
                <w:sz w:val="15"/>
                <w:szCs w:val="15"/>
                <w:color w:val="auto"/>
              </w:rPr>
            </w:pPr>
          </w:p>
        </w:tc>
        <w:tc>
          <w:tcPr>
            <w:tcW w:w="9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4"/>
              </w:rPr>
              <w:t>High</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Technique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(In millions)</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Long-term Power</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366</w:t>
            </w: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w w:val="91"/>
              </w:rPr>
              <w:t>Discounted Cash</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3"/>
              </w:rPr>
              <w:t>Forward Market</w:t>
            </w: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E6E6E6"/>
          </w:tcPr>
          <w:p>
            <w:pPr>
              <w:jc w:val="right"/>
              <w:ind w:right="10"/>
              <w:spacing w:after="0"/>
              <w:rPr>
                <w:sz w:val="20"/>
                <w:szCs w:val="20"/>
                <w:color w:val="auto"/>
              </w:rPr>
            </w:pPr>
            <w:r>
              <w:rPr>
                <w:rFonts w:ascii="Arial" w:cs="Arial" w:eastAsia="Arial" w:hAnsi="Arial"/>
                <w:sz w:val="18"/>
                <w:szCs w:val="18"/>
                <w:color w:val="auto"/>
              </w:rPr>
              <w:t>21.60</w:t>
            </w:r>
          </w:p>
        </w:tc>
        <w:tc>
          <w:tcPr>
            <w:tcW w:w="260" w:type="dxa"/>
            <w:vAlign w:val="bottom"/>
            <w:vMerge w:val="restart"/>
            <w:shd w:val="clear" w:color="auto" w:fill="E6E6E6"/>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80.82</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49"/>
        </w:trPr>
        <w:tc>
          <w:tcPr>
            <w:tcW w:w="20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80" w:type="dxa"/>
            <w:vAlign w:val="bottom"/>
            <w:vMerge w:val="continue"/>
            <w:shd w:val="clear" w:color="auto" w:fill="E6E6E6"/>
          </w:tcPr>
          <w:p>
            <w:pPr>
              <w:spacing w:after="0"/>
              <w:rPr>
                <w:sz w:val="21"/>
                <w:szCs w:val="21"/>
                <w:color w:val="auto"/>
              </w:rPr>
            </w:pPr>
          </w:p>
        </w:tc>
        <w:tc>
          <w:tcPr>
            <w:tcW w:w="780" w:type="dxa"/>
            <w:vAlign w:val="bottom"/>
            <w:vMerge w:val="continue"/>
            <w:shd w:val="clear" w:color="auto" w:fill="E6E6E6"/>
          </w:tcPr>
          <w:p>
            <w:pPr>
              <w:spacing w:after="0"/>
              <w:rPr>
                <w:sz w:val="21"/>
                <w:szCs w:val="21"/>
                <w:color w:val="auto"/>
              </w:rPr>
            </w:pPr>
          </w:p>
        </w:tc>
        <w:tc>
          <w:tcPr>
            <w:tcW w:w="220" w:type="dxa"/>
            <w:vAlign w:val="bottom"/>
            <w:vMerge w:val="continue"/>
            <w:shd w:val="clear" w:color="auto" w:fill="E6E6E6"/>
          </w:tcPr>
          <w:p>
            <w:pPr>
              <w:spacing w:after="0"/>
              <w:rPr>
                <w:sz w:val="21"/>
                <w:szCs w:val="21"/>
                <w:color w:val="auto"/>
              </w:rPr>
            </w:pPr>
          </w:p>
        </w:tc>
        <w:tc>
          <w:tcPr>
            <w:tcW w:w="800" w:type="dxa"/>
            <w:vAlign w:val="bottom"/>
            <w:vMerge w:val="continue"/>
            <w:shd w:val="clear" w:color="auto" w:fill="E6E6E6"/>
          </w:tcPr>
          <w:p>
            <w:pPr>
              <w:spacing w:after="0"/>
              <w:rPr>
                <w:sz w:val="21"/>
                <w:szCs w:val="21"/>
                <w:color w:val="auto"/>
              </w:rPr>
            </w:pP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Flow</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3"/>
              </w:rPr>
              <w:t>Price (per MWh)</w:t>
            </w:r>
          </w:p>
        </w:tc>
        <w:tc>
          <w:tcPr>
            <w:tcW w:w="160" w:type="dxa"/>
            <w:vAlign w:val="bottom"/>
            <w:vMerge w:val="continue"/>
            <w:shd w:val="clear" w:color="auto" w:fill="E6E6E6"/>
          </w:tcPr>
          <w:p>
            <w:pPr>
              <w:spacing w:after="0"/>
              <w:rPr>
                <w:sz w:val="21"/>
                <w:szCs w:val="21"/>
                <w:color w:val="auto"/>
              </w:rPr>
            </w:pPr>
          </w:p>
        </w:tc>
        <w:tc>
          <w:tcPr>
            <w:tcW w:w="1040" w:type="dxa"/>
            <w:vAlign w:val="bottom"/>
            <w:vMerge w:val="continue"/>
            <w:shd w:val="clear" w:color="auto" w:fill="E6E6E6"/>
          </w:tcPr>
          <w:p>
            <w:pPr>
              <w:spacing w:after="0"/>
              <w:rPr>
                <w:sz w:val="21"/>
                <w:szCs w:val="21"/>
                <w:color w:val="auto"/>
              </w:rPr>
            </w:pPr>
          </w:p>
        </w:tc>
        <w:tc>
          <w:tcPr>
            <w:tcW w:w="260" w:type="dxa"/>
            <w:vAlign w:val="bottom"/>
            <w:vMerge w:val="continue"/>
            <w:shd w:val="clear" w:color="auto" w:fill="E6E6E6"/>
          </w:tcPr>
          <w:p>
            <w:pPr>
              <w:spacing w:after="0"/>
              <w:rPr>
                <w:sz w:val="21"/>
                <w:szCs w:val="21"/>
                <w:color w:val="auto"/>
              </w:rPr>
            </w:pPr>
          </w:p>
        </w:tc>
        <w:tc>
          <w:tcPr>
            <w:tcW w:w="900" w:type="dxa"/>
            <w:vAlign w:val="bottom"/>
            <w:vMerge w:val="continue"/>
            <w:shd w:val="clear" w:color="auto" w:fill="E6E6E6"/>
          </w:tcPr>
          <w:p>
            <w:pPr>
              <w:spacing w:after="0"/>
              <w:rPr>
                <w:sz w:val="21"/>
                <w:szCs w:val="21"/>
                <w:color w:val="auto"/>
              </w:rPr>
            </w:pPr>
          </w:p>
        </w:tc>
        <w:tc>
          <w:tcPr>
            <w:tcW w:w="180" w:type="dxa"/>
            <w:vAlign w:val="bottom"/>
            <w:vMerge w:val="continue"/>
            <w:shd w:val="clear" w:color="auto" w:fill="E6E6E6"/>
          </w:tcPr>
          <w:p>
            <w:pPr>
              <w:spacing w:after="0"/>
              <w:rPr>
                <w:sz w:val="21"/>
                <w:szCs w:val="21"/>
                <w:color w:val="auto"/>
              </w:rPr>
            </w:pPr>
          </w:p>
        </w:tc>
        <w:tc>
          <w:tcPr>
            <w:tcW w:w="102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Option Model</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Forward Market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(19.30)</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1,011.79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35"/>
        </w:trPr>
        <w:tc>
          <w:tcPr>
            <w:tcW w:w="2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Heat Rate Call Option</w:t>
            </w: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Price (per MWh)</w:t>
            </w:r>
          </w:p>
        </w:tc>
        <w:tc>
          <w:tcPr>
            <w:tcW w:w="1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Forward Market</w:t>
            </w: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40" w:type="dxa"/>
            <w:vAlign w:val="bottom"/>
          </w:tcPr>
          <w:p>
            <w:pPr>
              <w:ind w:left="40"/>
              <w:spacing w:after="0" w:line="180" w:lineRule="exact"/>
              <w:rPr>
                <w:sz w:val="20"/>
                <w:szCs w:val="20"/>
                <w:color w:val="auto"/>
              </w:rPr>
            </w:pPr>
            <w:r>
              <w:rPr>
                <w:rFonts w:ascii="Arial" w:cs="Arial" w:eastAsia="Arial" w:hAnsi="Arial"/>
                <w:sz w:val="18"/>
                <w:szCs w:val="18"/>
                <w:b w:val="1"/>
                <w:bCs w:val="1"/>
                <w:color w:val="auto"/>
              </w:rPr>
              <w:t>Commodity Contracts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Option Model</w:t>
            </w:r>
          </w:p>
        </w:tc>
        <w:tc>
          <w:tcPr>
            <w:tcW w:w="1340" w:type="dxa"/>
            <w:vAlign w:val="bottom"/>
          </w:tcPr>
          <w:p>
            <w:pPr>
              <w:jc w:val="center"/>
              <w:spacing w:after="0" w:line="152" w:lineRule="exact"/>
              <w:rPr>
                <w:sz w:val="20"/>
                <w:szCs w:val="20"/>
                <w:color w:val="auto"/>
              </w:rPr>
            </w:pPr>
            <w:r>
              <w:rPr>
                <w:rFonts w:ascii="Arial" w:cs="Arial" w:eastAsia="Arial" w:hAnsi="Arial"/>
                <w:sz w:val="17"/>
                <w:szCs w:val="17"/>
                <w:color w:val="auto"/>
                <w:w w:val="94"/>
              </w:rPr>
              <w:t>Price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0.85</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10.55</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MMBtu)</w:t>
            </w:r>
          </w:p>
        </w:tc>
        <w:tc>
          <w:tcPr>
            <w:tcW w:w="1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80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Forecast annual</w:t>
            </w:r>
          </w:p>
        </w:tc>
        <w:tc>
          <w:tcPr>
            <w:tcW w:w="1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40" w:type="dxa"/>
            <w:vAlign w:val="bottom"/>
            <w:vMerge w:val="restart"/>
            <w:shd w:val="clear" w:color="auto" w:fill="E6E6E6"/>
          </w:tcPr>
          <w:p>
            <w:pPr>
              <w:ind w:left="40"/>
              <w:spacing w:after="0"/>
              <w:rPr>
                <w:sz w:val="20"/>
                <w:szCs w:val="20"/>
                <w:color w:val="auto"/>
              </w:rPr>
            </w:pPr>
            <w:r>
              <w:rPr>
                <w:rFonts w:ascii="Arial" w:cs="Arial" w:eastAsia="Arial" w:hAnsi="Arial"/>
                <w:sz w:val="18"/>
                <w:szCs w:val="18"/>
                <w:b w:val="1"/>
                <w:bCs w:val="1"/>
                <w:color w:val="auto"/>
              </w:rPr>
              <w:t>Other Financial</w:t>
            </w:r>
          </w:p>
        </w:tc>
        <w:tc>
          <w:tcPr>
            <w:tcW w:w="180" w:type="dxa"/>
            <w:vAlign w:val="bottom"/>
            <w:shd w:val="clear" w:color="auto" w:fill="E6E6E6"/>
          </w:tcPr>
          <w:p>
            <w:pPr>
              <w:spacing w:after="0"/>
              <w:rPr>
                <w:sz w:val="15"/>
                <w:szCs w:val="15"/>
                <w:color w:val="auto"/>
              </w:rPr>
            </w:pPr>
          </w:p>
        </w:tc>
        <w:tc>
          <w:tcPr>
            <w:tcW w:w="78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134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w w:val="91"/>
              </w:rPr>
              <w:t>Discounted Cash</w:t>
            </w:r>
          </w:p>
        </w:tc>
        <w:tc>
          <w:tcPr>
            <w:tcW w:w="1340" w:type="dxa"/>
            <w:vAlign w:val="bottom"/>
            <w:shd w:val="clear" w:color="auto" w:fill="E6E6E6"/>
          </w:tcPr>
          <w:p>
            <w:pPr>
              <w:jc w:val="center"/>
              <w:spacing w:after="0" w:line="180" w:lineRule="exact"/>
              <w:rPr>
                <w:sz w:val="20"/>
                <w:szCs w:val="20"/>
                <w:color w:val="auto"/>
              </w:rPr>
            </w:pPr>
            <w:r>
              <w:rPr>
                <w:rFonts w:ascii="Arial" w:cs="Arial" w:eastAsia="Arial" w:hAnsi="Arial"/>
                <w:sz w:val="18"/>
                <w:szCs w:val="18"/>
                <w:color w:val="auto"/>
                <w:w w:val="89"/>
              </w:rPr>
              <w:t>generation levels</w:t>
            </w:r>
          </w:p>
        </w:tc>
        <w:tc>
          <w:tcPr>
            <w:tcW w:w="16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10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vMerge w:val="continue"/>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6E6E6"/>
          </w:tcPr>
          <w:p>
            <w:pPr>
              <w:spacing w:after="0"/>
              <w:rPr>
                <w:sz w:val="15"/>
                <w:szCs w:val="15"/>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continue"/>
            <w:shd w:val="clear" w:color="auto" w:fill="E6E6E6"/>
          </w:tcPr>
          <w:p>
            <w:pPr>
              <w:spacing w:after="0"/>
              <w:rPr>
                <w:sz w:val="15"/>
                <w:szCs w:val="15"/>
                <w:color w:val="auto"/>
              </w:rPr>
            </w:pPr>
          </w:p>
        </w:tc>
        <w:tc>
          <w:tcPr>
            <w:tcW w:w="1340" w:type="dxa"/>
            <w:vAlign w:val="bottom"/>
            <w:shd w:val="clear" w:color="auto" w:fill="E6E6E6"/>
          </w:tcPr>
          <w:p>
            <w:pPr>
              <w:jc w:val="center"/>
              <w:spacing w:after="0" w:line="180" w:lineRule="exact"/>
              <w:rPr>
                <w:sz w:val="20"/>
                <w:szCs w:val="20"/>
                <w:color w:val="auto"/>
              </w:rPr>
            </w:pPr>
            <w:r>
              <w:rPr>
                <w:rFonts w:ascii="Arial" w:cs="Arial" w:eastAsia="Arial" w:hAnsi="Arial"/>
                <w:sz w:val="18"/>
                <w:szCs w:val="18"/>
                <w:color w:val="auto"/>
                <w:w w:val="92"/>
              </w:rPr>
              <w:t>of certain DG</w:t>
            </w:r>
          </w:p>
        </w:tc>
        <w:tc>
          <w:tcPr>
            <w:tcW w:w="160" w:type="dxa"/>
            <w:vAlign w:val="bottom"/>
            <w:shd w:val="clear" w:color="auto" w:fill="E6E6E6"/>
          </w:tcPr>
          <w:p>
            <w:pPr>
              <w:spacing w:after="0"/>
              <w:rPr>
                <w:sz w:val="15"/>
                <w:szCs w:val="15"/>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w w:val="92"/>
              </w:rPr>
              <w:t>59,425 MWh</w:t>
            </w:r>
          </w:p>
        </w:tc>
        <w:tc>
          <w:tcPr>
            <w:tcW w:w="1160" w:type="dxa"/>
            <w:vAlign w:val="bottom"/>
            <w:gridSpan w:val="2"/>
            <w:vMerge w:val="restart"/>
            <w:shd w:val="clear" w:color="auto" w:fill="E6E6E6"/>
          </w:tcPr>
          <w:p>
            <w:pPr>
              <w:jc w:val="center"/>
              <w:spacing w:after="0"/>
              <w:rPr>
                <w:sz w:val="20"/>
                <w:szCs w:val="20"/>
                <w:color w:val="auto"/>
              </w:rPr>
            </w:pPr>
            <w:r>
              <w:rPr>
                <w:rFonts w:ascii="Arial" w:cs="Arial" w:eastAsia="Arial" w:hAnsi="Arial"/>
                <w:sz w:val="18"/>
                <w:szCs w:val="18"/>
                <w:color w:val="auto"/>
                <w:w w:val="94"/>
              </w:rPr>
              <w:t>118,850 MWh</w:t>
            </w:r>
          </w:p>
        </w:tc>
        <w:tc>
          <w:tcPr>
            <w:tcW w:w="1200" w:type="dxa"/>
            <w:vAlign w:val="bottom"/>
            <w:gridSpan w:val="2"/>
            <w:vMerge w:val="restart"/>
            <w:shd w:val="clear" w:color="auto" w:fill="E6E6E6"/>
          </w:tcPr>
          <w:p>
            <w:pPr>
              <w:jc w:val="center"/>
              <w:spacing w:after="0"/>
              <w:rPr>
                <w:sz w:val="20"/>
                <w:szCs w:val="20"/>
                <w:color w:val="auto"/>
              </w:rPr>
            </w:pPr>
            <w:r>
              <w:rPr>
                <w:rFonts w:ascii="Arial" w:cs="Arial" w:eastAsia="Arial" w:hAnsi="Arial"/>
                <w:sz w:val="18"/>
                <w:szCs w:val="18"/>
                <w:color w:val="auto"/>
                <w:w w:val="94"/>
              </w:rPr>
              <w:t>111,091 MWh</w:t>
            </w:r>
          </w:p>
        </w:tc>
        <w:tc>
          <w:tcPr>
            <w:tcW w:w="0" w:type="dxa"/>
            <w:vAlign w:val="bottom"/>
          </w:tcPr>
          <w:p>
            <w:pPr>
              <w:spacing w:after="0"/>
              <w:rPr>
                <w:sz w:val="1"/>
                <w:szCs w:val="1"/>
                <w:color w:val="auto"/>
              </w:rPr>
            </w:pPr>
          </w:p>
        </w:tc>
      </w:tr>
      <w:tr>
        <w:trPr>
          <w:trHeight w:val="249"/>
        </w:trPr>
        <w:tc>
          <w:tcPr>
            <w:tcW w:w="20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Instruments</w:t>
            </w:r>
          </w:p>
        </w:tc>
        <w:tc>
          <w:tcPr>
            <w:tcW w:w="180" w:type="dxa"/>
            <w:vAlign w:val="bottom"/>
            <w:shd w:val="clear" w:color="auto" w:fill="E6E6E6"/>
          </w:tcPr>
          <w:p>
            <w:pPr>
              <w:spacing w:after="0"/>
              <w:rPr>
                <w:sz w:val="21"/>
                <w:szCs w:val="21"/>
                <w:color w:val="auto"/>
              </w:rPr>
            </w:pPr>
          </w:p>
        </w:tc>
        <w:tc>
          <w:tcPr>
            <w:tcW w:w="780" w:type="dxa"/>
            <w:vAlign w:val="bottom"/>
            <w:vMerge w:val="continue"/>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00" w:type="dxa"/>
            <w:vAlign w:val="bottom"/>
            <w:vMerge w:val="continue"/>
            <w:shd w:val="clear" w:color="auto" w:fill="E6E6E6"/>
          </w:tcPr>
          <w:p>
            <w:pPr>
              <w:spacing w:after="0"/>
              <w:rPr>
                <w:sz w:val="21"/>
                <w:szCs w:val="21"/>
                <w:color w:val="auto"/>
              </w:rPr>
            </w:pP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Flow</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4"/>
              </w:rPr>
              <w:t>solar facilities</w:t>
            </w:r>
          </w:p>
        </w:tc>
        <w:tc>
          <w:tcPr>
            <w:tcW w:w="160" w:type="dxa"/>
            <w:vAlign w:val="bottom"/>
            <w:shd w:val="clear" w:color="auto" w:fill="E6E6E6"/>
          </w:tcPr>
          <w:p>
            <w:pPr>
              <w:spacing w:after="0"/>
              <w:rPr>
                <w:sz w:val="21"/>
                <w:szCs w:val="21"/>
                <w:color w:val="auto"/>
              </w:rPr>
            </w:pPr>
          </w:p>
        </w:tc>
        <w:tc>
          <w:tcPr>
            <w:tcW w:w="1040" w:type="dxa"/>
            <w:vAlign w:val="bottom"/>
            <w:vMerge w:val="continue"/>
            <w:shd w:val="clear" w:color="auto" w:fill="E6E6E6"/>
          </w:tcPr>
          <w:p>
            <w:pPr>
              <w:spacing w:after="0"/>
              <w:rPr>
                <w:sz w:val="21"/>
                <w:szCs w:val="21"/>
                <w:color w:val="auto"/>
              </w:rPr>
            </w:pPr>
          </w:p>
        </w:tc>
        <w:tc>
          <w:tcPr>
            <w:tcW w:w="1160" w:type="dxa"/>
            <w:vAlign w:val="bottom"/>
            <w:gridSpan w:val="2"/>
            <w:vMerge w:val="continue"/>
            <w:shd w:val="clear" w:color="auto" w:fill="E6E6E6"/>
          </w:tcPr>
          <w:p>
            <w:pPr>
              <w:spacing w:after="0"/>
              <w:rPr>
                <w:sz w:val="21"/>
                <w:szCs w:val="21"/>
                <w:color w:val="auto"/>
              </w:rPr>
            </w:pPr>
          </w:p>
        </w:tc>
        <w:tc>
          <w:tcPr>
            <w:tcW w:w="1200" w:type="dxa"/>
            <w:vAlign w:val="bottom"/>
            <w:gridSpan w:val="2"/>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-932815</wp:posOffset>
                </wp:positionV>
                <wp:extent cx="1295400" cy="40957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0" cy="409575"/>
                        </a:xfrm>
                        <a:prstGeom prst="rect">
                          <a:avLst/>
                        </a:prstGeom>
                        <a:solidFill>
                          <a:srgbClr val="E6E6E6"/>
                        </a:solidFill>
                      </wps:spPr>
                      <wps:bodyPr/>
                    </wps:wsp>
                  </a:graphicData>
                </a:graphic>
              </wp:anchor>
            </w:drawing>
          </mc:Choice>
          <mc:Fallback>
            <w:pict>
              <v:rect id="Shape 145" o:spid="_x0000_s1170" style="position:absolute;margin-left:4.5pt;margin-top:-73.4499pt;width:102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ectPr>
          <w:pgSz w:w="11880" w:h="15480" w:orient="portrait"/>
          <w:cols w:equalWidth="0" w:num="1">
            <w:col w:w="10360"/>
          </w:cols>
          <w:pgMar w:left="7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105</w:t>
      </w:r>
    </w:p>
    <w:p>
      <w:pPr>
        <w:sectPr>
          <w:pgSz w:w="11880" w:h="15480" w:orient="portrait"/>
          <w:cols w:equalWidth="0" w:num="1">
            <w:col w:w="10360"/>
          </w:cols>
          <w:pgMar w:left="720" w:top="367" w:right="800" w:bottom="0" w:gutter="0" w:footer="0" w:header="0"/>
          <w:type w:val="continuous"/>
        </w:sectPr>
      </w:pPr>
    </w:p>
    <w:bookmarkStart w:id="107" w:name="page108"/>
    <w:bookmarkEnd w:id="107"/>
    <w:tbl>
      <w:tblPr>
        <w:tblLayout w:type="fixed"/>
        <w:tblInd w:w="10" w:type="dxa"/>
        <w:tblCellMar>
          <w:top w:w="0" w:type="dxa"/>
          <w:left w:w="0" w:type="dxa"/>
          <w:bottom w:w="0" w:type="dxa"/>
          <w:right w:w="0" w:type="dxa"/>
        </w:tblCellMar>
      </w:tblPr>
      <w:tr>
        <w:trPr>
          <w:trHeight w:val="243"/>
        </w:trPr>
        <w:tc>
          <w:tcPr>
            <w:tcW w:w="2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2023</w:t>
            </w: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Input/Range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Valuation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Assets</w:t>
            </w:r>
          </w:p>
        </w:tc>
        <w:tc>
          <w:tcPr>
            <w:tcW w:w="102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Liabilities</w:t>
            </w:r>
          </w:p>
        </w:tc>
        <w:tc>
          <w:tcPr>
            <w:tcW w:w="1340" w:type="dxa"/>
            <w:vAlign w:val="bottom"/>
            <w:vMerge w:val="continue"/>
          </w:tcPr>
          <w:p>
            <w:pPr>
              <w:spacing w:after="0"/>
              <w:rPr>
                <w:sz w:val="15"/>
                <w:szCs w:val="15"/>
                <w:color w:val="auto"/>
              </w:rPr>
            </w:pPr>
          </w:p>
        </w:tc>
        <w:tc>
          <w:tcPr>
            <w:tcW w:w="13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5"/>
                <w:szCs w:val="15"/>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260" w:type="dxa"/>
            <w:vAlign w:val="bottom"/>
          </w:tcPr>
          <w:p>
            <w:pPr>
              <w:spacing w:after="0"/>
              <w:rPr>
                <w:sz w:val="15"/>
                <w:szCs w:val="15"/>
                <w:color w:val="auto"/>
              </w:rPr>
            </w:pPr>
          </w:p>
        </w:tc>
        <w:tc>
          <w:tcPr>
            <w:tcW w:w="9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4"/>
              </w:rPr>
              <w:t>High</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Technique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(In millions)</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Long-term Power</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6E6E6"/>
          </w:tcPr>
          <w:p>
            <w:pPr>
              <w:ind w:left="5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325</w:t>
            </w: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w w:val="91"/>
              </w:rPr>
              <w:t>Discounted Cash</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3"/>
              </w:rPr>
              <w:t>Forward Market</w:t>
            </w: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E6E6E6"/>
          </w:tcPr>
          <w:p>
            <w:pPr>
              <w:jc w:val="right"/>
              <w:ind w:right="10"/>
              <w:spacing w:after="0"/>
              <w:rPr>
                <w:sz w:val="20"/>
                <w:szCs w:val="20"/>
                <w:color w:val="auto"/>
              </w:rPr>
            </w:pPr>
            <w:r>
              <w:rPr>
                <w:rFonts w:ascii="Arial" w:cs="Arial" w:eastAsia="Arial" w:hAnsi="Arial"/>
                <w:sz w:val="18"/>
                <w:szCs w:val="18"/>
                <w:color w:val="auto"/>
              </w:rPr>
              <w:t>18.18</w:t>
            </w:r>
          </w:p>
        </w:tc>
        <w:tc>
          <w:tcPr>
            <w:tcW w:w="260" w:type="dxa"/>
            <w:vAlign w:val="bottom"/>
            <w:vMerge w:val="restart"/>
            <w:shd w:val="clear" w:color="auto" w:fill="E6E6E6"/>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81.62</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9"/>
        </w:trPr>
        <w:tc>
          <w:tcPr>
            <w:tcW w:w="20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80" w:type="dxa"/>
            <w:vAlign w:val="bottom"/>
            <w:vMerge w:val="continue"/>
            <w:shd w:val="clear" w:color="auto" w:fill="E6E6E6"/>
          </w:tcPr>
          <w:p>
            <w:pPr>
              <w:spacing w:after="0"/>
              <w:rPr>
                <w:sz w:val="21"/>
                <w:szCs w:val="21"/>
                <w:color w:val="auto"/>
              </w:rPr>
            </w:pPr>
          </w:p>
        </w:tc>
        <w:tc>
          <w:tcPr>
            <w:tcW w:w="780" w:type="dxa"/>
            <w:vAlign w:val="bottom"/>
            <w:vMerge w:val="continue"/>
            <w:shd w:val="clear" w:color="auto" w:fill="E6E6E6"/>
          </w:tcPr>
          <w:p>
            <w:pPr>
              <w:spacing w:after="0"/>
              <w:rPr>
                <w:sz w:val="21"/>
                <w:szCs w:val="21"/>
                <w:color w:val="auto"/>
              </w:rPr>
            </w:pPr>
          </w:p>
        </w:tc>
        <w:tc>
          <w:tcPr>
            <w:tcW w:w="220" w:type="dxa"/>
            <w:vAlign w:val="bottom"/>
            <w:vMerge w:val="continue"/>
            <w:shd w:val="clear" w:color="auto" w:fill="E6E6E6"/>
          </w:tcPr>
          <w:p>
            <w:pPr>
              <w:spacing w:after="0"/>
              <w:rPr>
                <w:sz w:val="21"/>
                <w:szCs w:val="21"/>
                <w:color w:val="auto"/>
              </w:rPr>
            </w:pPr>
          </w:p>
        </w:tc>
        <w:tc>
          <w:tcPr>
            <w:tcW w:w="800" w:type="dxa"/>
            <w:vAlign w:val="bottom"/>
            <w:vMerge w:val="continue"/>
            <w:shd w:val="clear" w:color="auto" w:fill="E6E6E6"/>
          </w:tcPr>
          <w:p>
            <w:pPr>
              <w:spacing w:after="0"/>
              <w:rPr>
                <w:sz w:val="21"/>
                <w:szCs w:val="21"/>
                <w:color w:val="auto"/>
              </w:rPr>
            </w:pP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Flow</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3"/>
              </w:rPr>
              <w:t>Price (per MWh)</w:t>
            </w:r>
          </w:p>
        </w:tc>
        <w:tc>
          <w:tcPr>
            <w:tcW w:w="160" w:type="dxa"/>
            <w:vAlign w:val="bottom"/>
            <w:vMerge w:val="continue"/>
            <w:shd w:val="clear" w:color="auto" w:fill="E6E6E6"/>
          </w:tcPr>
          <w:p>
            <w:pPr>
              <w:spacing w:after="0"/>
              <w:rPr>
                <w:sz w:val="21"/>
                <w:szCs w:val="21"/>
                <w:color w:val="auto"/>
              </w:rPr>
            </w:pPr>
          </w:p>
        </w:tc>
        <w:tc>
          <w:tcPr>
            <w:tcW w:w="1040" w:type="dxa"/>
            <w:vAlign w:val="bottom"/>
            <w:vMerge w:val="continue"/>
            <w:shd w:val="clear" w:color="auto" w:fill="E6E6E6"/>
          </w:tcPr>
          <w:p>
            <w:pPr>
              <w:spacing w:after="0"/>
              <w:rPr>
                <w:sz w:val="21"/>
                <w:szCs w:val="21"/>
                <w:color w:val="auto"/>
              </w:rPr>
            </w:pPr>
          </w:p>
        </w:tc>
        <w:tc>
          <w:tcPr>
            <w:tcW w:w="260" w:type="dxa"/>
            <w:vAlign w:val="bottom"/>
            <w:vMerge w:val="continue"/>
            <w:shd w:val="clear" w:color="auto" w:fill="E6E6E6"/>
          </w:tcPr>
          <w:p>
            <w:pPr>
              <w:spacing w:after="0"/>
              <w:rPr>
                <w:sz w:val="21"/>
                <w:szCs w:val="21"/>
                <w:color w:val="auto"/>
              </w:rPr>
            </w:pPr>
          </w:p>
        </w:tc>
        <w:tc>
          <w:tcPr>
            <w:tcW w:w="900" w:type="dxa"/>
            <w:vAlign w:val="bottom"/>
            <w:vMerge w:val="continue"/>
            <w:shd w:val="clear" w:color="auto" w:fill="E6E6E6"/>
          </w:tcPr>
          <w:p>
            <w:pPr>
              <w:spacing w:after="0"/>
              <w:rPr>
                <w:sz w:val="21"/>
                <w:szCs w:val="21"/>
                <w:color w:val="auto"/>
              </w:rPr>
            </w:pPr>
          </w:p>
        </w:tc>
        <w:tc>
          <w:tcPr>
            <w:tcW w:w="180" w:type="dxa"/>
            <w:vAlign w:val="bottom"/>
            <w:vMerge w:val="continue"/>
            <w:shd w:val="clear" w:color="auto" w:fill="E6E6E6"/>
          </w:tcPr>
          <w:p>
            <w:pPr>
              <w:spacing w:after="0"/>
              <w:rPr>
                <w:sz w:val="21"/>
                <w:szCs w:val="21"/>
                <w:color w:val="auto"/>
              </w:rPr>
            </w:pPr>
          </w:p>
        </w:tc>
        <w:tc>
          <w:tcPr>
            <w:tcW w:w="102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Option Model</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Forward Market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(43.96)</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343.61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35"/>
        </w:trPr>
        <w:tc>
          <w:tcPr>
            <w:tcW w:w="2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Heat Rate Call Option</w:t>
            </w: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Price (per MWh)</w:t>
            </w:r>
          </w:p>
        </w:tc>
        <w:tc>
          <w:tcPr>
            <w:tcW w:w="1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Forward Market</w:t>
            </w: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40" w:type="dxa"/>
            <w:vAlign w:val="bottom"/>
          </w:tcPr>
          <w:p>
            <w:pPr>
              <w:ind w:left="40"/>
              <w:spacing w:after="0" w:line="180" w:lineRule="exact"/>
              <w:rPr>
                <w:sz w:val="20"/>
                <w:szCs w:val="20"/>
                <w:color w:val="auto"/>
              </w:rPr>
            </w:pPr>
            <w:r>
              <w:rPr>
                <w:rFonts w:ascii="Arial" w:cs="Arial" w:eastAsia="Arial" w:hAnsi="Arial"/>
                <w:sz w:val="18"/>
                <w:szCs w:val="18"/>
                <w:b w:val="1"/>
                <w:bCs w:val="1"/>
                <w:color w:val="auto"/>
              </w:rPr>
              <w:t>Commodity Contracts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Option Model</w:t>
            </w:r>
          </w:p>
        </w:tc>
        <w:tc>
          <w:tcPr>
            <w:tcW w:w="1340" w:type="dxa"/>
            <w:vAlign w:val="bottom"/>
          </w:tcPr>
          <w:p>
            <w:pPr>
              <w:jc w:val="center"/>
              <w:spacing w:after="0" w:line="152" w:lineRule="exact"/>
              <w:rPr>
                <w:sz w:val="20"/>
                <w:szCs w:val="20"/>
                <w:color w:val="auto"/>
              </w:rPr>
            </w:pPr>
            <w:r>
              <w:rPr>
                <w:rFonts w:ascii="Arial" w:cs="Arial" w:eastAsia="Arial" w:hAnsi="Arial"/>
                <w:sz w:val="17"/>
                <w:szCs w:val="17"/>
                <w:color w:val="auto"/>
                <w:w w:val="94"/>
              </w:rPr>
              <w:t>Price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1.25</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13.69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MMBtu)</w:t>
            </w:r>
          </w:p>
        </w:tc>
        <w:tc>
          <w:tcPr>
            <w:tcW w:w="1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80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8"/>
              </w:rPr>
              <w:t>Forecast annual</w:t>
            </w:r>
          </w:p>
        </w:tc>
        <w:tc>
          <w:tcPr>
            <w:tcW w:w="1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40" w:type="dxa"/>
            <w:vAlign w:val="bottom"/>
            <w:vMerge w:val="restart"/>
            <w:shd w:val="clear" w:color="auto" w:fill="E6E6E6"/>
          </w:tcPr>
          <w:p>
            <w:pPr>
              <w:ind w:left="40"/>
              <w:spacing w:after="0"/>
              <w:rPr>
                <w:sz w:val="20"/>
                <w:szCs w:val="20"/>
                <w:color w:val="auto"/>
              </w:rPr>
            </w:pPr>
            <w:r>
              <w:rPr>
                <w:rFonts w:ascii="Arial" w:cs="Arial" w:eastAsia="Arial" w:hAnsi="Arial"/>
                <w:sz w:val="18"/>
                <w:szCs w:val="18"/>
                <w:b w:val="1"/>
                <w:bCs w:val="1"/>
                <w:color w:val="auto"/>
              </w:rPr>
              <w:t>Other Financial</w:t>
            </w:r>
          </w:p>
        </w:tc>
        <w:tc>
          <w:tcPr>
            <w:tcW w:w="180" w:type="dxa"/>
            <w:vAlign w:val="bottom"/>
            <w:shd w:val="clear" w:color="auto" w:fill="E6E6E6"/>
          </w:tcPr>
          <w:p>
            <w:pPr>
              <w:spacing w:after="0"/>
              <w:rPr>
                <w:sz w:val="15"/>
                <w:szCs w:val="15"/>
                <w:color w:val="auto"/>
              </w:rPr>
            </w:pPr>
          </w:p>
        </w:tc>
        <w:tc>
          <w:tcPr>
            <w:tcW w:w="78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134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w w:val="91"/>
              </w:rPr>
              <w:t>Discounted Cash</w:t>
            </w:r>
          </w:p>
        </w:tc>
        <w:tc>
          <w:tcPr>
            <w:tcW w:w="1340" w:type="dxa"/>
            <w:vAlign w:val="bottom"/>
            <w:shd w:val="clear" w:color="auto" w:fill="E6E6E6"/>
          </w:tcPr>
          <w:p>
            <w:pPr>
              <w:jc w:val="center"/>
              <w:spacing w:after="0" w:line="180" w:lineRule="exact"/>
              <w:rPr>
                <w:sz w:val="20"/>
                <w:szCs w:val="20"/>
                <w:color w:val="auto"/>
              </w:rPr>
            </w:pPr>
            <w:r>
              <w:rPr>
                <w:rFonts w:ascii="Arial" w:cs="Arial" w:eastAsia="Arial" w:hAnsi="Arial"/>
                <w:sz w:val="18"/>
                <w:szCs w:val="18"/>
                <w:color w:val="auto"/>
                <w:w w:val="89"/>
              </w:rPr>
              <w:t>generation levels</w:t>
            </w:r>
          </w:p>
        </w:tc>
        <w:tc>
          <w:tcPr>
            <w:tcW w:w="16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10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vMerge w:val="continue"/>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ind w:left="5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E6E6E6"/>
          </w:tcPr>
          <w:p>
            <w:pPr>
              <w:spacing w:after="0"/>
              <w:rPr>
                <w:sz w:val="15"/>
                <w:szCs w:val="15"/>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continue"/>
            <w:shd w:val="clear" w:color="auto" w:fill="E6E6E6"/>
          </w:tcPr>
          <w:p>
            <w:pPr>
              <w:spacing w:after="0"/>
              <w:rPr>
                <w:sz w:val="15"/>
                <w:szCs w:val="15"/>
                <w:color w:val="auto"/>
              </w:rPr>
            </w:pPr>
          </w:p>
        </w:tc>
        <w:tc>
          <w:tcPr>
            <w:tcW w:w="1340" w:type="dxa"/>
            <w:vAlign w:val="bottom"/>
            <w:shd w:val="clear" w:color="auto" w:fill="E6E6E6"/>
          </w:tcPr>
          <w:p>
            <w:pPr>
              <w:jc w:val="center"/>
              <w:spacing w:after="0" w:line="180" w:lineRule="exact"/>
              <w:rPr>
                <w:sz w:val="20"/>
                <w:szCs w:val="20"/>
                <w:color w:val="auto"/>
              </w:rPr>
            </w:pPr>
            <w:r>
              <w:rPr>
                <w:rFonts w:ascii="Arial" w:cs="Arial" w:eastAsia="Arial" w:hAnsi="Arial"/>
                <w:sz w:val="18"/>
                <w:szCs w:val="18"/>
                <w:color w:val="auto"/>
                <w:w w:val="92"/>
              </w:rPr>
              <w:t>of certain DG</w:t>
            </w:r>
          </w:p>
        </w:tc>
        <w:tc>
          <w:tcPr>
            <w:tcW w:w="160" w:type="dxa"/>
            <w:vAlign w:val="bottom"/>
            <w:shd w:val="clear" w:color="auto" w:fill="E6E6E6"/>
          </w:tcPr>
          <w:p>
            <w:pPr>
              <w:spacing w:after="0"/>
              <w:rPr>
                <w:sz w:val="15"/>
                <w:szCs w:val="15"/>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w w:val="92"/>
              </w:rPr>
              <w:t>60,801 MWh</w:t>
            </w:r>
          </w:p>
        </w:tc>
        <w:tc>
          <w:tcPr>
            <w:tcW w:w="1160" w:type="dxa"/>
            <w:vAlign w:val="bottom"/>
            <w:gridSpan w:val="2"/>
            <w:vMerge w:val="restart"/>
            <w:shd w:val="clear" w:color="auto" w:fill="E6E6E6"/>
          </w:tcPr>
          <w:p>
            <w:pPr>
              <w:jc w:val="center"/>
              <w:spacing w:after="0"/>
              <w:rPr>
                <w:sz w:val="20"/>
                <w:szCs w:val="20"/>
                <w:color w:val="auto"/>
              </w:rPr>
            </w:pPr>
            <w:r>
              <w:rPr>
                <w:rFonts w:ascii="Arial" w:cs="Arial" w:eastAsia="Arial" w:hAnsi="Arial"/>
                <w:sz w:val="18"/>
                <w:szCs w:val="18"/>
                <w:color w:val="auto"/>
                <w:w w:val="94"/>
              </w:rPr>
              <w:t>121,602 MWh</w:t>
            </w:r>
          </w:p>
        </w:tc>
        <w:tc>
          <w:tcPr>
            <w:tcW w:w="1200" w:type="dxa"/>
            <w:vAlign w:val="bottom"/>
            <w:gridSpan w:val="2"/>
            <w:vMerge w:val="restart"/>
            <w:shd w:val="clear" w:color="auto" w:fill="E6E6E6"/>
          </w:tcPr>
          <w:p>
            <w:pPr>
              <w:jc w:val="center"/>
              <w:spacing w:after="0"/>
              <w:rPr>
                <w:sz w:val="20"/>
                <w:szCs w:val="20"/>
                <w:color w:val="auto"/>
              </w:rPr>
            </w:pPr>
            <w:r>
              <w:rPr>
                <w:rFonts w:ascii="Arial" w:cs="Arial" w:eastAsia="Arial" w:hAnsi="Arial"/>
                <w:sz w:val="18"/>
                <w:szCs w:val="18"/>
                <w:color w:val="auto"/>
                <w:w w:val="94"/>
              </w:rPr>
              <w:t>115,622 MWh</w:t>
            </w:r>
          </w:p>
        </w:tc>
        <w:tc>
          <w:tcPr>
            <w:tcW w:w="0" w:type="dxa"/>
            <w:vAlign w:val="bottom"/>
          </w:tcPr>
          <w:p>
            <w:pPr>
              <w:spacing w:after="0"/>
              <w:rPr>
                <w:sz w:val="1"/>
                <w:szCs w:val="1"/>
                <w:color w:val="auto"/>
              </w:rPr>
            </w:pPr>
          </w:p>
        </w:tc>
      </w:tr>
      <w:tr>
        <w:trPr>
          <w:trHeight w:val="249"/>
        </w:trPr>
        <w:tc>
          <w:tcPr>
            <w:tcW w:w="20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Instruments</w:t>
            </w:r>
          </w:p>
        </w:tc>
        <w:tc>
          <w:tcPr>
            <w:tcW w:w="180" w:type="dxa"/>
            <w:vAlign w:val="bottom"/>
            <w:shd w:val="clear" w:color="auto" w:fill="E6E6E6"/>
          </w:tcPr>
          <w:p>
            <w:pPr>
              <w:spacing w:after="0"/>
              <w:rPr>
                <w:sz w:val="21"/>
                <w:szCs w:val="21"/>
                <w:color w:val="auto"/>
              </w:rPr>
            </w:pPr>
          </w:p>
        </w:tc>
        <w:tc>
          <w:tcPr>
            <w:tcW w:w="780" w:type="dxa"/>
            <w:vAlign w:val="bottom"/>
            <w:vMerge w:val="continue"/>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00" w:type="dxa"/>
            <w:vAlign w:val="bottom"/>
            <w:vMerge w:val="continue"/>
            <w:shd w:val="clear" w:color="auto" w:fill="E6E6E6"/>
          </w:tcPr>
          <w:p>
            <w:pPr>
              <w:spacing w:after="0"/>
              <w:rPr>
                <w:sz w:val="21"/>
                <w:szCs w:val="21"/>
                <w:color w:val="auto"/>
              </w:rPr>
            </w:pP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Flow</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4"/>
              </w:rPr>
              <w:t>solar facilities</w:t>
            </w:r>
          </w:p>
        </w:tc>
        <w:tc>
          <w:tcPr>
            <w:tcW w:w="160" w:type="dxa"/>
            <w:vAlign w:val="bottom"/>
            <w:shd w:val="clear" w:color="auto" w:fill="E6E6E6"/>
          </w:tcPr>
          <w:p>
            <w:pPr>
              <w:spacing w:after="0"/>
              <w:rPr>
                <w:sz w:val="21"/>
                <w:szCs w:val="21"/>
                <w:color w:val="auto"/>
              </w:rPr>
            </w:pPr>
          </w:p>
        </w:tc>
        <w:tc>
          <w:tcPr>
            <w:tcW w:w="1040" w:type="dxa"/>
            <w:vAlign w:val="bottom"/>
            <w:vMerge w:val="continue"/>
            <w:shd w:val="clear" w:color="auto" w:fill="E6E6E6"/>
          </w:tcPr>
          <w:p>
            <w:pPr>
              <w:spacing w:after="0"/>
              <w:rPr>
                <w:sz w:val="21"/>
                <w:szCs w:val="21"/>
                <w:color w:val="auto"/>
              </w:rPr>
            </w:pPr>
          </w:p>
        </w:tc>
        <w:tc>
          <w:tcPr>
            <w:tcW w:w="1160" w:type="dxa"/>
            <w:vAlign w:val="bottom"/>
            <w:gridSpan w:val="2"/>
            <w:vMerge w:val="continue"/>
            <w:shd w:val="clear" w:color="auto" w:fill="E6E6E6"/>
          </w:tcPr>
          <w:p>
            <w:pPr>
              <w:spacing w:after="0"/>
              <w:rPr>
                <w:sz w:val="21"/>
                <w:szCs w:val="21"/>
                <w:color w:val="auto"/>
              </w:rPr>
            </w:pPr>
          </w:p>
        </w:tc>
        <w:tc>
          <w:tcPr>
            <w:tcW w:w="1200" w:type="dxa"/>
            <w:vAlign w:val="bottom"/>
            <w:gridSpan w:val="2"/>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10" w:firstLine="450"/>
        <w:spacing w:after="0" w:line="283" w:lineRule="auto"/>
        <w:rPr>
          <w:sz w:val="20"/>
          <w:szCs w:val="20"/>
          <w:color w:val="auto"/>
        </w:rPr>
      </w:pPr>
      <w:r>
        <w:rPr>
          <w:rFonts w:ascii="Arial" w:cs="Arial" w:eastAsia="Arial" w:hAnsi="Arial"/>
          <w:sz w:val="20"/>
          <w:szCs w:val="20"/>
          <w:color w:val="auto"/>
        </w:rPr>
        <w:t xml:space="preserve">The following table provides the impact on the fair value measurements to increases/(decreases) in significant unobservable inputs as of December 31, 2024 and </w:t>
      </w:r>
      <w:r>
        <w:rPr>
          <w:rFonts w:ascii="Arial" w:cs="Arial" w:eastAsia="Arial" w:hAnsi="Arial"/>
          <w:sz w:val="18"/>
          <w:szCs w:val="18"/>
          <w:color w:val="auto"/>
        </w:rPr>
        <w:t>2023</w:t>
      </w:r>
      <w:r>
        <w:rPr>
          <w:rFonts w:ascii="Arial" w:cs="Arial" w:eastAsia="Arial" w:hAnsi="Arial"/>
          <w:sz w:val="20"/>
          <w:szCs w:val="20"/>
          <w:color w:val="auto"/>
        </w:rPr>
        <w:t>:</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Type</w:t>
            </w:r>
          </w:p>
        </w:tc>
        <w:tc>
          <w:tcPr>
            <w:tcW w:w="266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1"/>
              </w:rPr>
              <w:t>Significant Observable Input</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9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4"/>
              </w:rPr>
              <w:t>Change In Input</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4"/>
              </w:rPr>
              <w:t>Impact on Fair Value</w:t>
            </w:r>
          </w:p>
        </w:tc>
        <w:tc>
          <w:tcPr>
            <w:tcW w:w="0" w:type="dxa"/>
            <w:vAlign w:val="bottom"/>
          </w:tcPr>
          <w:p>
            <w:pPr>
              <w:spacing w:after="0"/>
              <w:rPr>
                <w:sz w:val="1"/>
                <w:szCs w:val="1"/>
                <w:color w:val="auto"/>
              </w:rPr>
            </w:pPr>
          </w:p>
        </w:tc>
      </w:tr>
      <w:tr>
        <w:trPr>
          <w:trHeight w:val="239"/>
        </w:trPr>
        <w:tc>
          <w:tcPr>
            <w:tcW w:w="2400" w:type="dxa"/>
            <w:vAlign w:val="bottom"/>
            <w:tcBorders>
              <w:bottom w:val="single" w:sz="8" w:color="auto"/>
            </w:tcBorders>
            <w:vMerge w:val="continue"/>
          </w:tcPr>
          <w:p>
            <w:pPr>
              <w:spacing w:after="0"/>
              <w:rPr>
                <w:sz w:val="20"/>
                <w:szCs w:val="20"/>
                <w:color w:val="auto"/>
              </w:rPr>
            </w:pPr>
          </w:p>
        </w:tc>
        <w:tc>
          <w:tcPr>
            <w:tcW w:w="26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94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06"/>
        </w:trPr>
        <w:tc>
          <w:tcPr>
            <w:tcW w:w="2400" w:type="dxa"/>
            <w:vAlign w:val="bottom"/>
            <w:shd w:val="clear" w:color="auto" w:fill="E6E6E6"/>
          </w:tcPr>
          <w:p>
            <w:pPr>
              <w:ind w:left="40"/>
              <w:spacing w:after="0"/>
              <w:rPr>
                <w:sz w:val="20"/>
                <w:szCs w:val="20"/>
                <w:color w:val="auto"/>
              </w:rPr>
            </w:pPr>
            <w:r>
              <w:rPr>
                <w:rFonts w:ascii="Arial" w:cs="Arial" w:eastAsia="Arial" w:hAnsi="Arial"/>
                <w:sz w:val="18"/>
                <w:szCs w:val="18"/>
                <w:color w:val="auto"/>
              </w:rPr>
              <w:t>Energy-Related Commodity</w:t>
            </w:r>
          </w:p>
        </w:tc>
        <w:tc>
          <w:tcPr>
            <w:tcW w:w="2660" w:type="dxa"/>
            <w:vAlign w:val="bottom"/>
            <w:vMerge w:val="restart"/>
            <w:shd w:val="clear" w:color="auto" w:fill="E6E6E6"/>
          </w:tcPr>
          <w:p>
            <w:pPr>
              <w:jc w:val="center"/>
              <w:ind w:left="130"/>
              <w:spacing w:after="0"/>
              <w:rPr>
                <w:sz w:val="20"/>
                <w:szCs w:val="20"/>
                <w:color w:val="auto"/>
              </w:rPr>
            </w:pPr>
            <w:r>
              <w:rPr>
                <w:rFonts w:ascii="Arial" w:cs="Arial" w:eastAsia="Arial" w:hAnsi="Arial"/>
                <w:sz w:val="18"/>
                <w:szCs w:val="18"/>
                <w:color w:val="auto"/>
                <w:w w:val="91"/>
              </w:rPr>
              <w:t>Forward Market Price Power</w:t>
            </w:r>
          </w:p>
        </w:tc>
        <w:tc>
          <w:tcPr>
            <w:tcW w:w="940" w:type="dxa"/>
            <w:vAlign w:val="bottom"/>
            <w:vMerge w:val="restart"/>
            <w:shd w:val="clear" w:color="auto" w:fill="E6E6E6"/>
          </w:tcPr>
          <w:p>
            <w:pPr>
              <w:jc w:val="center"/>
              <w:ind w:right="10"/>
              <w:spacing w:after="0"/>
              <w:rPr>
                <w:sz w:val="20"/>
                <w:szCs w:val="20"/>
                <w:color w:val="auto"/>
              </w:rPr>
            </w:pPr>
            <w:r>
              <w:rPr>
                <w:rFonts w:ascii="Arial" w:cs="Arial" w:eastAsia="Arial" w:hAnsi="Arial"/>
                <w:sz w:val="18"/>
                <w:szCs w:val="18"/>
                <w:color w:val="auto"/>
                <w:w w:val="93"/>
              </w:rPr>
              <w:t>Sell</w:t>
            </w:r>
          </w:p>
        </w:tc>
        <w:tc>
          <w:tcPr>
            <w:tcW w:w="1940" w:type="dxa"/>
            <w:vAlign w:val="bottom"/>
            <w:vMerge w:val="restart"/>
            <w:shd w:val="clear" w:color="auto" w:fill="E6E6E6"/>
          </w:tcPr>
          <w:p>
            <w:pPr>
              <w:jc w:val="center"/>
              <w:ind w:right="50"/>
              <w:spacing w:after="0"/>
              <w:rPr>
                <w:sz w:val="20"/>
                <w:szCs w:val="20"/>
                <w:color w:val="auto"/>
              </w:rPr>
            </w:pPr>
            <w:r>
              <w:rPr>
                <w:rFonts w:ascii="Arial" w:cs="Arial" w:eastAsia="Arial" w:hAnsi="Arial"/>
                <w:sz w:val="18"/>
                <w:szCs w:val="18"/>
                <w:color w:val="auto"/>
                <w:w w:val="88"/>
              </w:rPr>
              <w:t>Increase/(Decrease)</w:t>
            </w:r>
          </w:p>
        </w:tc>
        <w:tc>
          <w:tcPr>
            <w:tcW w:w="232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49"/>
        </w:trPr>
        <w:tc>
          <w:tcPr>
            <w:tcW w:w="2400" w:type="dxa"/>
            <w:vAlign w:val="bottom"/>
            <w:shd w:val="clear" w:color="auto" w:fill="E6E6E6"/>
          </w:tcPr>
          <w:p>
            <w:pPr>
              <w:ind w:left="40"/>
              <w:spacing w:after="0"/>
              <w:rPr>
                <w:sz w:val="20"/>
                <w:szCs w:val="20"/>
                <w:color w:val="auto"/>
              </w:rPr>
            </w:pPr>
            <w:r>
              <w:rPr>
                <w:rFonts w:ascii="Arial" w:cs="Arial" w:eastAsia="Arial" w:hAnsi="Arial"/>
                <w:sz w:val="18"/>
                <w:szCs w:val="18"/>
                <w:color w:val="auto"/>
              </w:rPr>
              <w:t>Contracts</w:t>
            </w:r>
          </w:p>
        </w:tc>
        <w:tc>
          <w:tcPr>
            <w:tcW w:w="2660" w:type="dxa"/>
            <w:vAlign w:val="bottom"/>
            <w:vMerge w:val="continue"/>
            <w:shd w:val="clear" w:color="auto" w:fill="E6E6E6"/>
          </w:tcPr>
          <w:p>
            <w:pPr>
              <w:spacing w:after="0"/>
              <w:rPr>
                <w:sz w:val="21"/>
                <w:szCs w:val="21"/>
                <w:color w:val="auto"/>
              </w:rPr>
            </w:pPr>
          </w:p>
        </w:tc>
        <w:tc>
          <w:tcPr>
            <w:tcW w:w="940" w:type="dxa"/>
            <w:vAlign w:val="bottom"/>
            <w:vMerge w:val="continue"/>
            <w:shd w:val="clear" w:color="auto" w:fill="E6E6E6"/>
          </w:tcPr>
          <w:p>
            <w:pPr>
              <w:spacing w:after="0"/>
              <w:rPr>
                <w:sz w:val="21"/>
                <w:szCs w:val="21"/>
                <w:color w:val="auto"/>
              </w:rPr>
            </w:pPr>
          </w:p>
        </w:tc>
        <w:tc>
          <w:tcPr>
            <w:tcW w:w="1940" w:type="dxa"/>
            <w:vAlign w:val="bottom"/>
            <w:vMerge w:val="continue"/>
            <w:shd w:val="clear" w:color="auto" w:fill="E6E6E6"/>
          </w:tcPr>
          <w:p>
            <w:pPr>
              <w:spacing w:after="0"/>
              <w:rPr>
                <w:sz w:val="21"/>
                <w:szCs w:val="21"/>
                <w:color w:val="auto"/>
              </w:rPr>
            </w:pPr>
          </w:p>
        </w:tc>
        <w:tc>
          <w:tcPr>
            <w:tcW w:w="232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40"/>
              <w:spacing w:after="0"/>
              <w:rPr>
                <w:sz w:val="20"/>
                <w:szCs w:val="20"/>
                <w:color w:val="auto"/>
              </w:rPr>
            </w:pPr>
            <w:r>
              <w:rPr>
                <w:rFonts w:ascii="Arial" w:cs="Arial" w:eastAsia="Arial" w:hAnsi="Arial"/>
                <w:sz w:val="18"/>
                <w:szCs w:val="18"/>
                <w:color w:val="auto"/>
              </w:rPr>
              <w:t>Energy-Related Commodity</w:t>
            </w:r>
          </w:p>
        </w:tc>
        <w:tc>
          <w:tcPr>
            <w:tcW w:w="2660" w:type="dxa"/>
            <w:vAlign w:val="bottom"/>
            <w:vMerge w:val="restart"/>
          </w:tcPr>
          <w:p>
            <w:pPr>
              <w:jc w:val="center"/>
              <w:ind w:left="130"/>
              <w:spacing w:after="0"/>
              <w:rPr>
                <w:sz w:val="20"/>
                <w:szCs w:val="20"/>
                <w:color w:val="auto"/>
              </w:rPr>
            </w:pPr>
            <w:r>
              <w:rPr>
                <w:rFonts w:ascii="Arial" w:cs="Arial" w:eastAsia="Arial" w:hAnsi="Arial"/>
                <w:sz w:val="18"/>
                <w:szCs w:val="18"/>
                <w:color w:val="auto"/>
                <w:w w:val="91"/>
              </w:rPr>
              <w:t>Forward Market Price Gas</w:t>
            </w:r>
          </w:p>
        </w:tc>
        <w:tc>
          <w:tcPr>
            <w:tcW w:w="94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Sell</w:t>
            </w:r>
          </w:p>
        </w:tc>
        <w:tc>
          <w:tcPr>
            <w:tcW w:w="194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Increase/(Decrease)</w:t>
            </w:r>
          </w:p>
        </w:tc>
        <w:tc>
          <w:tcPr>
            <w:tcW w:w="2320" w:type="dxa"/>
            <w:vAlign w:val="bottom"/>
            <w:vMerge w:val="restart"/>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42"/>
        </w:trPr>
        <w:tc>
          <w:tcPr>
            <w:tcW w:w="24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6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940" w:type="dxa"/>
            <w:vAlign w:val="bottom"/>
            <w:vMerge w:val="continue"/>
          </w:tcPr>
          <w:p>
            <w:pPr>
              <w:spacing w:after="0"/>
              <w:rPr>
                <w:sz w:val="21"/>
                <w:szCs w:val="21"/>
                <w:color w:val="auto"/>
              </w:rPr>
            </w:pPr>
          </w:p>
        </w:tc>
        <w:tc>
          <w:tcPr>
            <w:tcW w:w="2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2400" w:type="dxa"/>
            <w:vAlign w:val="bottom"/>
            <w:shd w:val="clear" w:color="auto" w:fill="E6E6E6"/>
          </w:tcPr>
          <w:p>
            <w:pPr>
              <w:ind w:left="40"/>
              <w:spacing w:after="0"/>
              <w:rPr>
                <w:sz w:val="20"/>
                <w:szCs w:val="20"/>
                <w:color w:val="auto"/>
              </w:rPr>
            </w:pPr>
            <w:r>
              <w:rPr>
                <w:rFonts w:ascii="Arial" w:cs="Arial" w:eastAsia="Arial" w:hAnsi="Arial"/>
                <w:sz w:val="18"/>
                <w:szCs w:val="18"/>
                <w:color w:val="auto"/>
              </w:rPr>
              <w:t>Other Financial Instruments</w:t>
            </w:r>
          </w:p>
        </w:tc>
        <w:tc>
          <w:tcPr>
            <w:tcW w:w="2660" w:type="dxa"/>
            <w:vAlign w:val="bottom"/>
            <w:shd w:val="clear" w:color="auto" w:fill="E6E6E6"/>
          </w:tcPr>
          <w:p>
            <w:pPr>
              <w:jc w:val="center"/>
              <w:ind w:left="110"/>
              <w:spacing w:after="0"/>
              <w:rPr>
                <w:sz w:val="20"/>
                <w:szCs w:val="20"/>
                <w:color w:val="auto"/>
              </w:rPr>
            </w:pPr>
            <w:r>
              <w:rPr>
                <w:rFonts w:ascii="Arial" w:cs="Arial" w:eastAsia="Arial" w:hAnsi="Arial"/>
                <w:sz w:val="18"/>
                <w:szCs w:val="18"/>
                <w:color w:val="auto"/>
                <w:w w:val="89"/>
              </w:rPr>
              <w:t>Forecast Generation Levels</w:t>
            </w:r>
          </w:p>
        </w:tc>
        <w:tc>
          <w:tcPr>
            <w:tcW w:w="940" w:type="dxa"/>
            <w:vAlign w:val="bottom"/>
            <w:shd w:val="clear" w:color="auto" w:fill="E6E6E6"/>
          </w:tcPr>
          <w:p>
            <w:pPr>
              <w:jc w:val="center"/>
              <w:ind w:right="10"/>
              <w:spacing w:after="0"/>
              <w:rPr>
                <w:sz w:val="20"/>
                <w:szCs w:val="20"/>
                <w:color w:val="auto"/>
              </w:rPr>
            </w:pPr>
            <w:r>
              <w:rPr>
                <w:rFonts w:ascii="Arial" w:cs="Arial" w:eastAsia="Arial" w:hAnsi="Arial"/>
                <w:sz w:val="18"/>
                <w:szCs w:val="18"/>
                <w:color w:val="auto"/>
                <w:w w:val="93"/>
              </w:rPr>
              <w:t>Sell</w:t>
            </w:r>
          </w:p>
        </w:tc>
        <w:tc>
          <w:tcPr>
            <w:tcW w:w="1940" w:type="dxa"/>
            <w:vAlign w:val="bottom"/>
            <w:shd w:val="clear" w:color="auto" w:fill="E6E6E6"/>
          </w:tcPr>
          <w:p>
            <w:pPr>
              <w:jc w:val="center"/>
              <w:ind w:right="50"/>
              <w:spacing w:after="0"/>
              <w:rPr>
                <w:sz w:val="20"/>
                <w:szCs w:val="20"/>
                <w:color w:val="auto"/>
              </w:rPr>
            </w:pPr>
            <w:r>
              <w:rPr>
                <w:rFonts w:ascii="Arial" w:cs="Arial" w:eastAsia="Arial" w:hAnsi="Arial"/>
                <w:sz w:val="18"/>
                <w:szCs w:val="18"/>
                <w:color w:val="auto"/>
                <w:w w:val="88"/>
              </w:rPr>
              <w:t>Increase/(Decrease)</w:t>
            </w:r>
          </w:p>
        </w:tc>
        <w:tc>
          <w:tcPr>
            <w:tcW w:w="2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10" w:firstLine="450"/>
        <w:spacing w:after="0" w:line="286"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2024, the non-performance reserve was a $16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1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95" w:lineRule="exact"/>
        <w:rPr>
          <w:sz w:val="20"/>
          <w:szCs w:val="20"/>
          <w:color w:val="auto"/>
        </w:rPr>
      </w:pPr>
    </w:p>
    <w:p>
      <w:pPr>
        <w:jc w:val="both"/>
        <w:ind w:left="10" w:right="20" w:firstLine="450"/>
        <w:spacing w:after="0" w:line="295" w:lineRule="auto"/>
        <w:rPr>
          <w:sz w:val="20"/>
          <w:szCs w:val="20"/>
          <w:color w:val="auto"/>
        </w:rPr>
      </w:pPr>
      <w:r>
        <w:rPr>
          <w:rFonts w:ascii="Arial" w:cs="Arial" w:eastAsia="Arial" w:hAnsi="Arial"/>
          <w:sz w:val="17"/>
          <w:szCs w:val="17"/>
          <w:color w:val="auto"/>
        </w:rPr>
        <w:t xml:space="preserve">In addition to the credit risk discussion as disclosed in Note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2" w:lineRule="exact"/>
        <w:rPr>
          <w:sz w:val="20"/>
          <w:szCs w:val="20"/>
          <w:color w:val="auto"/>
        </w:rPr>
      </w:pPr>
    </w:p>
    <w:p>
      <w:pPr>
        <w:jc w:val="both"/>
        <w:ind w:left="10" w:right="20" w:hanging="10"/>
        <w:spacing w:after="0" w:line="257" w:lineRule="auto"/>
        <w:tabs>
          <w:tab w:leader="none" w:pos="310" w:val="left"/>
        </w:tabs>
        <w:numPr>
          <w:ilvl w:val="0"/>
          <w:numId w:val="60"/>
        </w:numPr>
        <w:rPr>
          <w:rFonts w:ascii="Arial" w:cs="Arial" w:eastAsia="Arial" w:hAnsi="Arial"/>
          <w:sz w:val="20"/>
          <w:szCs w:val="20"/>
          <w:color w:val="auto"/>
        </w:rPr>
      </w:pPr>
      <w:r>
        <w:rPr>
          <w:rFonts w:ascii="Arial" w:cs="Arial" w:eastAsia="Arial" w:hAnsi="Arial"/>
          <w:sz w:val="20"/>
          <w:szCs w:val="20"/>
          <w:color w:val="auto"/>
        </w:rPr>
        <w:t>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ectPr>
          <w:pgSz w:w="11880" w:h="15480" w:orient="portrait"/>
          <w:cols w:equalWidth="0" w:num="1">
            <w:col w:w="10270"/>
          </w:cols>
          <w:pgMar w:left="810" w:top="4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106</w:t>
      </w:r>
    </w:p>
    <w:p>
      <w:pPr>
        <w:sectPr>
          <w:pgSz w:w="11880" w:h="15480" w:orient="portrait"/>
          <w:cols w:equalWidth="0" w:num="1">
            <w:col w:w="10270"/>
          </w:cols>
          <w:pgMar w:left="810" w:top="476" w:right="800" w:bottom="0" w:gutter="0" w:footer="0" w:header="0"/>
          <w:type w:val="continuous"/>
        </w:sectPr>
      </w:pPr>
    </w:p>
    <w:bookmarkStart w:id="108" w:name="page109"/>
    <w:bookmarkEnd w:id="108"/>
    <w:p>
      <w:pPr>
        <w:jc w:val="both"/>
        <w:ind w:right="20" w:firstLine="450"/>
        <w:spacing w:after="0" w:line="269" w:lineRule="auto"/>
        <w:rPr>
          <w:sz w:val="20"/>
          <w:szCs w:val="20"/>
          <w:color w:val="auto"/>
        </w:rPr>
      </w:pPr>
      <w:r>
        <w:rPr>
          <w:rFonts w:ascii="Arial" w:cs="Arial" w:eastAsia="Arial" w:hAnsi="Arial"/>
          <w:sz w:val="19"/>
          <w:szCs w:val="19"/>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Accounting for Derivative Instruments and Hedging Activities</w:t>
      </w:r>
    </w:p>
    <w:p>
      <w:pPr>
        <w:spacing w:after="0" w:line="197" w:lineRule="exact"/>
        <w:rPr>
          <w:sz w:val="20"/>
          <w:szCs w:val="20"/>
          <w:color w:val="auto"/>
        </w:rPr>
      </w:pPr>
    </w:p>
    <w:p>
      <w:pPr>
        <w:jc w:val="both"/>
        <w:ind w:right="20" w:firstLine="450"/>
        <w:spacing w:after="0" w:line="255" w:lineRule="auto"/>
        <w:rPr>
          <w:sz w:val="20"/>
          <w:szCs w:val="20"/>
          <w:color w:val="auto"/>
        </w:rPr>
      </w:pPr>
      <w:r>
        <w:rPr>
          <w:rFonts w:ascii="Arial" w:cs="Arial" w:eastAsia="Arial" w:hAnsi="Arial"/>
          <w:sz w:val="20"/>
          <w:szCs w:val="20"/>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98"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The Company enters into interest rate swap agreements in order to hedge the variability of expected future cash interest payments. As of December 31, 2024, the Company had interest rate derivative instruments on non-recourse debt extending through 2033, a portion of which were designated as cash flow hedges. Under the interest rate swap agreements, the Company pays a fixed rate and the counterparties to the agreements pay a variable interest rate.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Commodity Contracts</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As of December 31, 2024, the Company had energy-related derivative instruments extending through 2033. At December 31, 2024, these contracts were not designated as cash flow or fair value hedges.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Volumetric Underlying Derivative Transactions</w:t>
      </w:r>
    </w:p>
    <w:p>
      <w:pPr>
        <w:spacing w:after="0" w:line="15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following table summarizes the net notional volume buy/(sell) of the Company’s open derivative transactions broken out by commodity: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1145"/>
              <w:spacing w:after="0"/>
              <w:rPr>
                <w:sz w:val="20"/>
                <w:szCs w:val="20"/>
                <w:color w:val="auto"/>
              </w:rPr>
            </w:pPr>
            <w:r>
              <w:rPr>
                <w:rFonts w:ascii="Arial" w:cs="Arial" w:eastAsia="Arial" w:hAnsi="Arial"/>
                <w:sz w:val="16"/>
                <w:szCs w:val="16"/>
                <w:b w:val="1"/>
                <w:bCs w:val="1"/>
                <w:color w:val="auto"/>
              </w:rPr>
              <w:t>Total Volume</w:t>
            </w:r>
          </w:p>
        </w:tc>
      </w:tr>
      <w:tr>
        <w:trPr>
          <w:trHeight w:val="220"/>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88"/>
              </w:rPr>
              <w:t>December 31, 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88"/>
              </w:rPr>
              <w:t>December 31, 2023</w:t>
            </w:r>
          </w:p>
        </w:tc>
      </w:tr>
      <w:tr>
        <w:trPr>
          <w:trHeight w:val="179"/>
        </w:trPr>
        <w:tc>
          <w:tcPr>
            <w:tcW w:w="40" w:type="dxa"/>
            <w:vAlign w:val="bottom"/>
          </w:tcPr>
          <w:p>
            <w:pPr>
              <w:spacing w:after="0"/>
              <w:rPr>
                <w:sz w:val="15"/>
                <w:szCs w:val="15"/>
                <w:color w:val="auto"/>
              </w:rPr>
            </w:pPr>
          </w:p>
        </w:tc>
        <w:tc>
          <w:tcPr>
            <w:tcW w:w="480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Commodity</w:t>
            </w:r>
          </w:p>
        </w:tc>
        <w:tc>
          <w:tcPr>
            <w:tcW w:w="200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Units</w:t>
            </w:r>
          </w:p>
        </w:tc>
        <w:tc>
          <w:tcPr>
            <w:tcW w:w="180" w:type="dxa"/>
            <w:vAlign w:val="bottom"/>
          </w:tcPr>
          <w:p>
            <w:pPr>
              <w:spacing w:after="0"/>
              <w:rPr>
                <w:sz w:val="15"/>
                <w:szCs w:val="15"/>
                <w:color w:val="auto"/>
              </w:rPr>
            </w:pPr>
          </w:p>
        </w:tc>
        <w:tc>
          <w:tcPr>
            <w:tcW w:w="3240" w:type="dxa"/>
            <w:vAlign w:val="bottom"/>
            <w:gridSpan w:val="4"/>
          </w:tcPr>
          <w:p>
            <w:pPr>
              <w:jc w:val="right"/>
              <w:ind w:right="1205"/>
              <w:spacing w:after="0" w:line="179" w:lineRule="exact"/>
              <w:rPr>
                <w:sz w:val="20"/>
                <w:szCs w:val="20"/>
                <w:color w:val="auto"/>
              </w:rPr>
            </w:pPr>
            <w:r>
              <w:rPr>
                <w:rFonts w:ascii="Arial" w:cs="Arial" w:eastAsia="Arial" w:hAnsi="Arial"/>
                <w:sz w:val="16"/>
                <w:szCs w:val="16"/>
                <w:b w:val="1"/>
                <w:bCs w:val="1"/>
                <w:color w:val="auto"/>
              </w:rPr>
              <w:t>(In millions)</w:t>
            </w:r>
          </w:p>
        </w:tc>
      </w:tr>
      <w:tr>
        <w:trPr>
          <w:trHeight w:val="31"/>
        </w:trPr>
        <w:tc>
          <w:tcPr>
            <w:tcW w:w="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0"/>
        </w:trPr>
        <w:tc>
          <w:tcPr>
            <w:tcW w:w="40" w:type="dxa"/>
            <w:vAlign w:val="bottom"/>
            <w:shd w:val="clear" w:color="auto" w:fill="E6E6E6"/>
          </w:tcPr>
          <w:p>
            <w:pPr>
              <w:spacing w:after="0"/>
              <w:rPr>
                <w:sz w:val="20"/>
                <w:szCs w:val="20"/>
                <w:color w:val="auto"/>
              </w:rPr>
            </w:pPr>
          </w:p>
        </w:tc>
        <w:tc>
          <w:tcPr>
            <w:tcW w:w="480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3"/>
              </w:rPr>
              <w:t xml:space="preserve">Power </w:t>
            </w:r>
            <w:r>
              <w:rPr>
                <w:rFonts w:ascii="Arial" w:cs="Arial" w:eastAsia="Arial" w:hAnsi="Arial"/>
                <w:sz w:val="20"/>
                <w:szCs w:val="20"/>
                <w:color w:val="B4B4B4"/>
                <w:w w:val="93"/>
              </w:rPr>
              <w:t>. . . . . . . . . . . . . . . . . . . . . . . . . . . . . . . . . . . . . . . . .</w:t>
            </w:r>
          </w:p>
        </w:tc>
        <w:tc>
          <w:tcPr>
            <w:tcW w:w="200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7"/>
              </w:rPr>
              <w:t xml:space="preserve">MWh </w:t>
            </w:r>
            <w:r>
              <w:rPr>
                <w:rFonts w:ascii="Arial" w:cs="Arial" w:eastAsia="Arial" w:hAnsi="Arial"/>
                <w:sz w:val="20"/>
                <w:szCs w:val="20"/>
                <w:color w:val="B4B4B4"/>
                <w:w w:val="97"/>
              </w:rPr>
              <w:t>. . . . . . . . . . . . . .</w:t>
            </w:r>
          </w:p>
        </w:tc>
        <w:tc>
          <w:tcPr>
            <w:tcW w:w="180" w:type="dxa"/>
            <w:vAlign w:val="bottom"/>
            <w:shd w:val="clear" w:color="auto" w:fill="E6E6E6"/>
          </w:tcPr>
          <w:p>
            <w:pPr>
              <w:spacing w:after="0"/>
              <w:rPr>
                <w:sz w:val="20"/>
                <w:szCs w:val="20"/>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w:t>
            </w:r>
          </w:p>
        </w:tc>
      </w:tr>
      <w:tr>
        <w:trPr>
          <w:trHeight w:val="240"/>
        </w:trPr>
        <w:tc>
          <w:tcPr>
            <w:tcW w:w="4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20"/>
                <w:szCs w:val="20"/>
                <w:color w:val="auto"/>
                <w:w w:val="92"/>
              </w:rPr>
              <w:t xml:space="preserve">Natural Gas </w:t>
            </w:r>
            <w:r>
              <w:rPr>
                <w:rFonts w:ascii="Arial" w:cs="Arial" w:eastAsia="Arial" w:hAnsi="Arial"/>
                <w:sz w:val="20"/>
                <w:szCs w:val="20"/>
                <w:color w:val="B4B4B4"/>
                <w:w w:val="92"/>
              </w:rPr>
              <w:t>. . . . . . . . . . . . . . . . . . . . . . . . . . . . . . . . . . . . .</w:t>
            </w:r>
          </w:p>
        </w:tc>
        <w:tc>
          <w:tcPr>
            <w:tcW w:w="2000" w:type="dxa"/>
            <w:vAlign w:val="bottom"/>
            <w:gridSpan w:val="2"/>
          </w:tcPr>
          <w:p>
            <w:pPr>
              <w:spacing w:after="0"/>
              <w:rPr>
                <w:sz w:val="20"/>
                <w:szCs w:val="20"/>
                <w:color w:val="auto"/>
              </w:rPr>
            </w:pPr>
            <w:r>
              <w:rPr>
                <w:rFonts w:ascii="Arial" w:cs="Arial" w:eastAsia="Arial" w:hAnsi="Arial"/>
                <w:sz w:val="20"/>
                <w:szCs w:val="20"/>
                <w:color w:val="auto"/>
              </w:rPr>
              <w:t xml:space="preserve">MMBtu </w:t>
            </w:r>
            <w:r>
              <w:rPr>
                <w:rFonts w:ascii="Arial" w:cs="Arial" w:eastAsia="Arial" w:hAnsi="Arial"/>
                <w:sz w:val="20"/>
                <w:szCs w:val="20"/>
                <w:color w:val="B4B4B4"/>
              </w:rPr>
              <w:t>. . . . . . . . . . . .</w:t>
            </w:r>
          </w:p>
        </w:tc>
        <w:tc>
          <w:tcPr>
            <w:tcW w:w="18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20"/>
                <w:szCs w:val="20"/>
                <w:color w:val="auto"/>
              </w:rPr>
              <w:t>17</w:t>
            </w:r>
          </w:p>
        </w:tc>
      </w:tr>
      <w:tr>
        <w:trPr>
          <w:trHeight w:val="240"/>
        </w:trPr>
        <w:tc>
          <w:tcPr>
            <w:tcW w:w="40" w:type="dxa"/>
            <w:vAlign w:val="bottom"/>
            <w:shd w:val="clear" w:color="auto" w:fill="E6E6E6"/>
          </w:tcPr>
          <w:p>
            <w:pPr>
              <w:spacing w:after="0"/>
              <w:rPr>
                <w:sz w:val="20"/>
                <w:szCs w:val="20"/>
                <w:color w:val="auto"/>
              </w:rPr>
            </w:pPr>
          </w:p>
        </w:tc>
        <w:tc>
          <w:tcPr>
            <w:tcW w:w="480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2"/>
              </w:rPr>
              <w:t xml:space="preserve">Interest  </w:t>
            </w:r>
            <w:r>
              <w:rPr>
                <w:rFonts w:ascii="Arial" w:cs="Arial" w:eastAsia="Arial" w:hAnsi="Arial"/>
                <w:sz w:val="20"/>
                <w:szCs w:val="20"/>
                <w:color w:val="B4B4B4"/>
                <w:w w:val="92"/>
              </w:rPr>
              <w:t>. . . . . . . . . . . . . . . . . . . . . . . . . . . . . . . . . . . . . . . .</w:t>
            </w:r>
          </w:p>
        </w:tc>
        <w:tc>
          <w:tcPr>
            <w:tcW w:w="200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8"/>
              </w:rPr>
              <w:t xml:space="preserve">Dollars  </w:t>
            </w:r>
            <w:r>
              <w:rPr>
                <w:rFonts w:ascii="Arial" w:cs="Arial" w:eastAsia="Arial" w:hAnsi="Arial"/>
                <w:sz w:val="20"/>
                <w:szCs w:val="20"/>
                <w:color w:val="B4B4B4"/>
                <w:w w:val="98"/>
              </w:rPr>
              <w:t>. . . . . . . . . . . .</w:t>
            </w: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1,769</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ind w:right="5"/>
              <w:spacing w:after="0"/>
              <w:rPr>
                <w:sz w:val="20"/>
                <w:szCs w:val="20"/>
                <w:color w:val="auto"/>
              </w:rPr>
            </w:pPr>
            <w:r>
              <w:rPr>
                <w:rFonts w:ascii="Arial" w:cs="Arial" w:eastAsia="Arial" w:hAnsi="Arial"/>
                <w:sz w:val="20"/>
                <w:szCs w:val="20"/>
                <w:color w:val="auto"/>
              </w:rPr>
              <w:t>2,467</w:t>
            </w:r>
          </w:p>
        </w:tc>
      </w:tr>
    </w:tbl>
    <w:p>
      <w:pPr>
        <w:spacing w:after="0" w:line="200" w:lineRule="exact"/>
        <w:rPr>
          <w:sz w:val="20"/>
          <w:szCs w:val="20"/>
          <w:color w:val="auto"/>
        </w:rPr>
      </w:pP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880" w:h="15480" w:orient="portrait"/>
          <w:cols w:equalWidth="0" w:num="1">
            <w:col w:w="10260"/>
          </w:cols>
          <w:pgMar w:left="820" w:top="367" w:right="80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7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following table summarizes the fair value within the derivative instrument valuation on the consolidated balance sheets: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80"/>
        </w:trPr>
        <w:tc>
          <w:tcPr>
            <w:tcW w:w="5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Derivative Assets</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6"/>
                <w:szCs w:val="16"/>
                <w:b w:val="1"/>
                <w:bCs w:val="1"/>
                <w:color w:val="auto"/>
                <w:w w:val="96"/>
              </w:rPr>
              <w:t>Derivative Liabilities</w:t>
            </w:r>
          </w:p>
        </w:tc>
        <w:tc>
          <w:tcPr>
            <w:tcW w:w="420" w:type="dxa"/>
            <w:vAlign w:val="bottom"/>
            <w:tcBorders>
              <w:bottom w:val="single" w:sz="8" w:color="auto"/>
            </w:tcBorders>
          </w:tcPr>
          <w:p>
            <w:pPr>
              <w:spacing w:after="0"/>
              <w:rPr>
                <w:sz w:val="24"/>
                <w:szCs w:val="24"/>
                <w:color w:val="auto"/>
              </w:rPr>
            </w:pPr>
          </w:p>
        </w:tc>
      </w:tr>
      <w:tr>
        <w:trPr>
          <w:trHeight w:val="186"/>
        </w:trPr>
        <w:tc>
          <w:tcPr>
            <w:tcW w:w="5320" w:type="dxa"/>
            <w:vAlign w:val="bottom"/>
          </w:tcPr>
          <w:p>
            <w:pPr>
              <w:spacing w:after="0"/>
              <w:rPr>
                <w:sz w:val="16"/>
                <w:szCs w:val="16"/>
                <w:color w:val="auto"/>
              </w:rPr>
            </w:pPr>
          </w:p>
        </w:tc>
        <w:tc>
          <w:tcPr>
            <w:tcW w:w="116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18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6"/>
                <w:szCs w:val="16"/>
                <w:color w:val="auto"/>
              </w:rPr>
            </w:pPr>
          </w:p>
        </w:tc>
        <w:tc>
          <w:tcPr>
            <w:tcW w:w="118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99"/>
              </w:rPr>
              <w:t>December 31,</w:t>
            </w:r>
          </w:p>
        </w:tc>
        <w:tc>
          <w:tcPr>
            <w:tcW w:w="8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9"/>
              </w:rPr>
              <w:t>December 31,</w:t>
            </w:r>
          </w:p>
        </w:tc>
      </w:tr>
      <w:tr>
        <w:trPr>
          <w:trHeight w:val="214"/>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37"/>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(In millions)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93"/>
        </w:trPr>
        <w:tc>
          <w:tcPr>
            <w:tcW w:w="532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Derivatives Designated as Cash Flow Hedges:</w:t>
            </w:r>
          </w:p>
        </w:tc>
        <w:tc>
          <w:tcPr>
            <w:tcW w:w="2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r>
      <w:tr>
        <w:trPr>
          <w:trHeight w:val="278"/>
        </w:trPr>
        <w:tc>
          <w:tcPr>
            <w:tcW w:w="5320" w:type="dxa"/>
            <w:vAlign w:val="bottom"/>
          </w:tcPr>
          <w:p>
            <w:pPr>
              <w:jc w:val="right"/>
              <w:spacing w:after="0"/>
              <w:rPr>
                <w:sz w:val="20"/>
                <w:szCs w:val="20"/>
                <w:color w:val="auto"/>
              </w:rPr>
            </w:pPr>
            <w:r>
              <w:rPr>
                <w:rFonts w:ascii="Arial" w:cs="Arial" w:eastAsia="Arial" w:hAnsi="Arial"/>
                <w:sz w:val="20"/>
                <w:szCs w:val="20"/>
                <w:color w:val="auto"/>
                <w:w w:val="93"/>
              </w:rPr>
              <w:t xml:space="preserve">Interest rate contracts current </w:t>
            </w:r>
            <w:r>
              <w:rPr>
                <w:rFonts w:ascii="Arial" w:cs="Arial" w:eastAsia="Arial" w:hAnsi="Arial"/>
                <w:sz w:val="20"/>
                <w:szCs w:val="20"/>
                <w:color w:val="B4B4B4"/>
                <w:w w:val="93"/>
              </w:rPr>
              <w:t>. . . . . . . . . . . . . . . . . . . . . . . . . . .</w:t>
            </w:r>
          </w:p>
        </w:tc>
        <w:tc>
          <w:tcPr>
            <w:tcW w:w="28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840" w:type="dxa"/>
            <w:vAlign w:val="bottom"/>
            <w:gridSpan w:val="2"/>
          </w:tcPr>
          <w:p>
            <w:pPr>
              <w:jc w:val="right"/>
              <w:ind w:right="513"/>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4"/>
              <w:spacing w:after="0"/>
              <w:rPr>
                <w:sz w:val="20"/>
                <w:szCs w:val="20"/>
                <w:color w:val="auto"/>
              </w:rPr>
            </w:pPr>
            <w:r>
              <w:rPr>
                <w:rFonts w:ascii="Arial" w:cs="Arial" w:eastAsia="Arial" w:hAnsi="Arial"/>
                <w:sz w:val="20"/>
                <w:szCs w:val="20"/>
                <w:color w:val="auto"/>
              </w:rPr>
              <w:t>7</w:t>
            </w:r>
          </w:p>
        </w:tc>
        <w:tc>
          <w:tcPr>
            <w:tcW w:w="480" w:type="dxa"/>
            <w:vAlign w:val="bottom"/>
            <w:gridSpan w:val="2"/>
          </w:tcPr>
          <w:p>
            <w:pPr>
              <w:jc w:val="right"/>
              <w:ind w:right="17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53"/>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5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Interest rate contracts long-term </w:t>
            </w:r>
            <w:r>
              <w:rPr>
                <w:rFonts w:ascii="Arial" w:cs="Arial" w:eastAsia="Arial" w:hAnsi="Arial"/>
                <w:sz w:val="20"/>
                <w:szCs w:val="20"/>
                <w:color w:val="B4B4B4"/>
                <w:w w:val="93"/>
              </w:rPr>
              <w:t>. . . . . . . . . . . . . . . . . . . . . . . . .</w:t>
            </w:r>
          </w:p>
        </w:tc>
        <w:tc>
          <w:tcPr>
            <w:tcW w:w="2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w:t>
            </w:r>
          </w:p>
        </w:tc>
        <w:tc>
          <w:tcPr>
            <w:tcW w:w="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20"/>
                <w:szCs w:val="20"/>
                <w:color w:val="auto"/>
              </w:rPr>
              <w:t>12</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r>
      <w:tr>
        <w:trPr>
          <w:trHeight w:val="247"/>
        </w:trPr>
        <w:tc>
          <w:tcPr>
            <w:tcW w:w="5320" w:type="dxa"/>
            <w:vAlign w:val="bottom"/>
          </w:tcPr>
          <w:p>
            <w:pPr>
              <w:jc w:val="right"/>
              <w:spacing w:after="0"/>
              <w:rPr>
                <w:sz w:val="20"/>
                <w:szCs w:val="20"/>
                <w:color w:val="auto"/>
              </w:rPr>
            </w:pPr>
            <w:r>
              <w:rPr>
                <w:rFonts w:ascii="Arial" w:cs="Arial" w:eastAsia="Arial" w:hAnsi="Arial"/>
                <w:sz w:val="20"/>
                <w:szCs w:val="20"/>
                <w:b w:val="1"/>
                <w:bCs w:val="1"/>
                <w:color w:val="B4B4B4"/>
                <w:w w:val="96"/>
              </w:rPr>
              <w:t>. . . . . . . . .</w:t>
            </w:r>
            <w:r>
              <w:rPr>
                <w:rFonts w:ascii="Arial" w:cs="Arial" w:eastAsia="Arial" w:hAnsi="Arial"/>
                <w:sz w:val="20"/>
                <w:szCs w:val="20"/>
                <w:b w:val="1"/>
                <w:bCs w:val="1"/>
                <w:color w:val="000000"/>
                <w:w w:val="96"/>
              </w:rPr>
              <w:t>TotalDerivativesDesignatedasCashFlowHedges</w:t>
            </w:r>
          </w:p>
        </w:tc>
        <w:tc>
          <w:tcPr>
            <w:tcW w:w="28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w:t>
            </w:r>
          </w:p>
        </w:tc>
        <w:tc>
          <w:tcPr>
            <w:tcW w:w="840" w:type="dxa"/>
            <w:vAlign w:val="bottom"/>
            <w:gridSpan w:val="2"/>
          </w:tcPr>
          <w:p>
            <w:pPr>
              <w:jc w:val="right"/>
              <w:ind w:right="513"/>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4"/>
              <w:spacing w:after="0"/>
              <w:rPr>
                <w:sz w:val="20"/>
                <w:szCs w:val="20"/>
                <w:color w:val="auto"/>
              </w:rPr>
            </w:pPr>
            <w:r>
              <w:rPr>
                <w:rFonts w:ascii="Arial" w:cs="Arial" w:eastAsia="Arial" w:hAnsi="Arial"/>
                <w:sz w:val="20"/>
                <w:szCs w:val="20"/>
                <w:color w:val="auto"/>
              </w:rPr>
              <w:t>19</w:t>
            </w:r>
          </w:p>
        </w:tc>
        <w:tc>
          <w:tcPr>
            <w:tcW w:w="480" w:type="dxa"/>
            <w:vAlign w:val="bottom"/>
            <w:gridSpan w:val="2"/>
          </w:tcPr>
          <w:p>
            <w:pPr>
              <w:jc w:val="right"/>
              <w:ind w:right="17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53"/>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75"/>
        </w:trPr>
        <w:tc>
          <w:tcPr>
            <w:tcW w:w="532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Derivatives Not Designated as Cash Flow Hedges:</w:t>
            </w:r>
          </w:p>
        </w:tc>
        <w:tc>
          <w:tcPr>
            <w:tcW w:w="280" w:type="dxa"/>
            <w:vAlign w:val="bottom"/>
            <w:tcBorders>
              <w:top w:val="single" w:sz="8" w:color="auto"/>
            </w:tcBorders>
            <w:shd w:val="clear" w:color="auto" w:fill="E6E6E6"/>
          </w:tcPr>
          <w:p>
            <w:pPr>
              <w:spacing w:after="0"/>
              <w:rPr>
                <w:sz w:val="23"/>
                <w:szCs w:val="23"/>
                <w:color w:val="auto"/>
              </w:rPr>
            </w:pPr>
          </w:p>
        </w:tc>
        <w:tc>
          <w:tcPr>
            <w:tcW w:w="8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780" w:type="dxa"/>
            <w:vAlign w:val="bottom"/>
            <w:tcBorders>
              <w:top w:val="single" w:sz="8" w:color="auto"/>
            </w:tcBorders>
            <w:shd w:val="clear" w:color="auto" w:fill="E6E6E6"/>
          </w:tcPr>
          <w:p>
            <w:pPr>
              <w:spacing w:after="0"/>
              <w:rPr>
                <w:sz w:val="23"/>
                <w:szCs w:val="23"/>
                <w:color w:val="auto"/>
              </w:rPr>
            </w:pPr>
          </w:p>
        </w:tc>
        <w:tc>
          <w:tcPr>
            <w:tcW w:w="420" w:type="dxa"/>
            <w:vAlign w:val="bottom"/>
            <w:tcBorders>
              <w:top w:val="single" w:sz="8" w:color="auto"/>
            </w:tcBorders>
            <w:shd w:val="clear" w:color="auto" w:fill="E6E6E6"/>
          </w:tcPr>
          <w:p>
            <w:pPr>
              <w:spacing w:after="0"/>
              <w:rPr>
                <w:sz w:val="23"/>
                <w:szCs w:val="23"/>
                <w:color w:val="auto"/>
              </w:rPr>
            </w:pPr>
          </w:p>
        </w:tc>
      </w:tr>
      <w:tr>
        <w:trPr>
          <w:trHeight w:val="278"/>
        </w:trPr>
        <w:tc>
          <w:tcPr>
            <w:tcW w:w="5320" w:type="dxa"/>
            <w:vAlign w:val="bottom"/>
          </w:tcPr>
          <w:p>
            <w:pPr>
              <w:jc w:val="right"/>
              <w:spacing w:after="0"/>
              <w:rPr>
                <w:sz w:val="20"/>
                <w:szCs w:val="20"/>
                <w:color w:val="auto"/>
              </w:rPr>
            </w:pPr>
            <w:r>
              <w:rPr>
                <w:rFonts w:ascii="Arial" w:cs="Arial" w:eastAsia="Arial" w:hAnsi="Arial"/>
                <w:sz w:val="20"/>
                <w:szCs w:val="20"/>
                <w:color w:val="auto"/>
                <w:w w:val="93"/>
              </w:rPr>
              <w:t xml:space="preserve">Interest rate contracts current </w:t>
            </w:r>
            <w:r>
              <w:rPr>
                <w:rFonts w:ascii="Arial" w:cs="Arial" w:eastAsia="Arial" w:hAnsi="Arial"/>
                <w:sz w:val="20"/>
                <w:szCs w:val="20"/>
                <w:color w:val="B4B4B4"/>
                <w:w w:val="93"/>
              </w:rPr>
              <w:t>. . . . . . . . . . . . . . . . . . . . . . . . . . .</w:t>
            </w:r>
          </w:p>
        </w:tc>
        <w:tc>
          <w:tcPr>
            <w:tcW w:w="28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30</w:t>
            </w:r>
          </w:p>
        </w:tc>
        <w:tc>
          <w:tcPr>
            <w:tcW w:w="840" w:type="dxa"/>
            <w:vAlign w:val="bottom"/>
            <w:gridSpan w:val="2"/>
          </w:tcPr>
          <w:p>
            <w:pPr>
              <w:jc w:val="right"/>
              <w:ind w:right="513"/>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4"/>
              <w:spacing w:after="0"/>
              <w:rPr>
                <w:sz w:val="20"/>
                <w:szCs w:val="20"/>
                <w:color w:val="auto"/>
              </w:rPr>
            </w:pPr>
            <w:r>
              <w:rPr>
                <w:rFonts w:ascii="Arial" w:cs="Arial" w:eastAsia="Arial" w:hAnsi="Arial"/>
                <w:sz w:val="20"/>
                <w:szCs w:val="20"/>
                <w:color w:val="auto"/>
              </w:rPr>
              <w:t>33</w:t>
            </w:r>
          </w:p>
        </w:tc>
        <w:tc>
          <w:tcPr>
            <w:tcW w:w="480" w:type="dxa"/>
            <w:vAlign w:val="bottom"/>
            <w:gridSpan w:val="2"/>
          </w:tcPr>
          <w:p>
            <w:pPr>
              <w:jc w:val="right"/>
              <w:ind w:right="17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53"/>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53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3"/>
              </w:rPr>
              <w:t xml:space="preserve">Interest rate contracts long-term </w:t>
            </w:r>
            <w:r>
              <w:rPr>
                <w:rFonts w:ascii="Arial" w:cs="Arial" w:eastAsia="Arial" w:hAnsi="Arial"/>
                <w:sz w:val="20"/>
                <w:szCs w:val="20"/>
                <w:color w:val="B4B4B4"/>
                <w:w w:val="93"/>
              </w:rPr>
              <w:t>. . . . . . . . . . . . . . . . . . . . . . . . .</w:t>
            </w:r>
          </w:p>
        </w:tc>
        <w:tc>
          <w:tcPr>
            <w:tcW w:w="28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109</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69</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78"/>
        </w:trPr>
        <w:tc>
          <w:tcPr>
            <w:tcW w:w="5320" w:type="dxa"/>
            <w:vAlign w:val="bottom"/>
          </w:tcPr>
          <w:p>
            <w:pPr>
              <w:jc w:val="right"/>
              <w:spacing w:after="0"/>
              <w:rPr>
                <w:sz w:val="20"/>
                <w:szCs w:val="20"/>
                <w:color w:val="auto"/>
              </w:rPr>
            </w:pPr>
            <w:r>
              <w:rPr>
                <w:rFonts w:ascii="Arial" w:cs="Arial" w:eastAsia="Arial" w:hAnsi="Arial"/>
                <w:sz w:val="20"/>
                <w:szCs w:val="20"/>
                <w:color w:val="auto"/>
                <w:w w:val="94"/>
              </w:rPr>
              <w:t xml:space="preserve">Energy-related commodity contracts current </w:t>
            </w:r>
            <w:r>
              <w:rPr>
                <w:rFonts w:ascii="Arial" w:cs="Arial" w:eastAsia="Arial" w:hAnsi="Arial"/>
                <w:sz w:val="20"/>
                <w:szCs w:val="20"/>
                <w:color w:val="B4B4B4"/>
                <w:w w:val="94"/>
              </w:rPr>
              <w:t>. . . . . . . . . . . . . . .</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00"/>
        </w:trPr>
        <w:tc>
          <w:tcPr>
            <w:tcW w:w="5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5"/>
              </w:rPr>
              <w:t xml:space="preserve">Energy-related commodity contracts long-term  </w:t>
            </w:r>
            <w:r>
              <w:rPr>
                <w:rFonts w:ascii="Arial" w:cs="Arial" w:eastAsia="Arial" w:hAnsi="Arial"/>
                <w:sz w:val="20"/>
                <w:szCs w:val="20"/>
                <w:color w:val="B4B4B4"/>
                <w:w w:val="95"/>
              </w:rPr>
              <w:t>. . . . . . . . . . . .</w:t>
            </w:r>
          </w:p>
        </w:tc>
        <w:tc>
          <w:tcPr>
            <w:tcW w:w="2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20"/>
                <w:szCs w:val="20"/>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315</w:t>
            </w:r>
          </w:p>
        </w:tc>
        <w:tc>
          <w:tcPr>
            <w:tcW w:w="8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279</w:t>
            </w:r>
          </w:p>
        </w:tc>
      </w:tr>
      <w:tr>
        <w:trPr>
          <w:trHeight w:val="247"/>
        </w:trPr>
        <w:tc>
          <w:tcPr>
            <w:tcW w:w="532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B4B4B4"/>
                <w:w w:val="98"/>
              </w:rPr>
              <w:t>. . . . .</w:t>
            </w:r>
            <w:r>
              <w:rPr>
                <w:rFonts w:ascii="Arial" w:cs="Arial" w:eastAsia="Arial" w:hAnsi="Arial"/>
                <w:sz w:val="20"/>
                <w:szCs w:val="20"/>
                <w:b w:val="1"/>
                <w:bCs w:val="1"/>
                <w:color w:val="000000"/>
                <w:w w:val="98"/>
              </w:rPr>
              <w:t>TotalDerivativesNotDesignatedasCashFlowHedges</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c>
          <w:tcPr>
            <w:tcW w:w="80" w:type="dxa"/>
            <w:vAlign w:val="bottom"/>
            <w:tcBorders>
              <w:bottom w:val="single" w:sz="8" w:color="E6E6E6"/>
            </w:tcBorders>
          </w:tcPr>
          <w:p>
            <w:pPr>
              <w:spacing w:after="0"/>
              <w:rPr>
                <w:sz w:val="21"/>
                <w:szCs w:val="21"/>
                <w:color w:val="auto"/>
              </w:rPr>
            </w:pPr>
          </w:p>
        </w:tc>
        <w:tc>
          <w:tcPr>
            <w:tcW w:w="760" w:type="dxa"/>
            <w:vAlign w:val="bottom"/>
            <w:tcBorders>
              <w:bottom w:val="single" w:sz="8" w:color="auto"/>
            </w:tcBorders>
          </w:tcPr>
          <w:p>
            <w:pPr>
              <w:jc w:val="right"/>
              <w:ind w:right="513"/>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w w:val="89"/>
              </w:rPr>
              <w:t>104</w:t>
            </w:r>
          </w:p>
        </w:tc>
        <w:tc>
          <w:tcPr>
            <w:tcW w:w="6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80" w:type="dxa"/>
            <w:vAlign w:val="bottom"/>
            <w:tcBorders>
              <w:bottom w:val="single" w:sz="8" w:color="E6E6E6"/>
            </w:tcBorders>
          </w:tcPr>
          <w:p>
            <w:pPr>
              <w:spacing w:after="0"/>
              <w:rPr>
                <w:sz w:val="21"/>
                <w:szCs w:val="21"/>
                <w:color w:val="auto"/>
              </w:rPr>
            </w:pPr>
          </w:p>
        </w:tc>
        <w:tc>
          <w:tcPr>
            <w:tcW w:w="780" w:type="dxa"/>
            <w:vAlign w:val="bottom"/>
            <w:tcBorders>
              <w:bottom w:val="single" w:sz="8" w:color="auto"/>
            </w:tcBorders>
          </w:tcPr>
          <w:p>
            <w:pPr>
              <w:jc w:val="right"/>
              <w:ind w:right="553"/>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330</w:t>
            </w:r>
          </w:p>
        </w:tc>
      </w:tr>
      <w:tr>
        <w:trPr>
          <w:trHeight w:val="265"/>
        </w:trPr>
        <w:tc>
          <w:tcPr>
            <w:tcW w:w="532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3"/>
              </w:rPr>
              <w:t>. . . . . . . . . . . . . . . . . . . . . . . . . . . . . . . . . . . . .</w:t>
            </w:r>
            <w:r>
              <w:rPr>
                <w:rFonts w:ascii="Arial" w:cs="Arial" w:eastAsia="Arial" w:hAnsi="Arial"/>
                <w:sz w:val="20"/>
                <w:szCs w:val="20"/>
                <w:b w:val="1"/>
                <w:bCs w:val="1"/>
                <w:color w:val="000000"/>
                <w:w w:val="93"/>
              </w:rPr>
              <w:t>TotalDerivatives</w:t>
            </w:r>
          </w:p>
        </w:tc>
        <w:tc>
          <w:tcPr>
            <w:tcW w:w="280" w:type="dxa"/>
            <w:vAlign w:val="bottom"/>
            <w:shd w:val="clear" w:color="auto" w:fill="E6E6E6"/>
          </w:tcPr>
          <w:p>
            <w:pPr>
              <w:jc w:val="right"/>
              <w:ind w:right="43"/>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w:t>
            </w:r>
          </w:p>
        </w:tc>
        <w:tc>
          <w:tcPr>
            <w:tcW w:w="840" w:type="dxa"/>
            <w:vAlign w:val="bottom"/>
            <w:gridSpan w:val="2"/>
            <w:shd w:val="clear" w:color="auto" w:fill="E6E6E6"/>
          </w:tcPr>
          <w:p>
            <w:pPr>
              <w:jc w:val="right"/>
              <w:ind w:right="513"/>
              <w:spacing w:after="0"/>
              <w:rPr>
                <w:sz w:val="20"/>
                <w:szCs w:val="20"/>
                <w:color w:val="auto"/>
              </w:rPr>
            </w:pPr>
            <w:r>
              <w:rPr>
                <w:rFonts w:ascii="Arial" w:cs="Arial" w:eastAsia="Arial" w:hAnsi="Arial"/>
                <w:sz w:val="20"/>
                <w:szCs w:val="20"/>
                <w:color w:val="auto"/>
              </w:rPr>
              <w:t>$</w:t>
            </w:r>
          </w:p>
        </w:tc>
        <w:tc>
          <w:tcPr>
            <w:tcW w:w="42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w w:val="89"/>
              </w:rPr>
              <w:t>123</w:t>
            </w:r>
          </w:p>
        </w:tc>
        <w:tc>
          <w:tcPr>
            <w:tcW w:w="480" w:type="dxa"/>
            <w:vAlign w:val="bottom"/>
            <w:gridSpan w:val="2"/>
            <w:shd w:val="clear" w:color="auto" w:fill="E6E6E6"/>
          </w:tcPr>
          <w:p>
            <w:pPr>
              <w:jc w:val="right"/>
              <w:ind w:right="17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860" w:type="dxa"/>
            <w:vAlign w:val="bottom"/>
            <w:gridSpan w:val="2"/>
            <w:shd w:val="clear" w:color="auto" w:fill="E6E6E6"/>
          </w:tcPr>
          <w:p>
            <w:pPr>
              <w:jc w:val="right"/>
              <w:ind w:right="553"/>
              <w:spacing w:after="0"/>
              <w:rPr>
                <w:sz w:val="20"/>
                <w:szCs w:val="20"/>
                <w:color w:val="auto"/>
              </w:rPr>
            </w:pPr>
            <w:r>
              <w:rPr>
                <w:rFonts w:ascii="Arial" w:cs="Arial" w:eastAsia="Arial" w:hAnsi="Arial"/>
                <w:sz w:val="20"/>
                <w:szCs w:val="20"/>
                <w:color w:val="auto"/>
              </w:rPr>
              <w:t>$</w:t>
            </w:r>
          </w:p>
        </w:tc>
        <w:tc>
          <w:tcPr>
            <w:tcW w:w="4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332</w:t>
            </w:r>
          </w:p>
        </w:tc>
      </w:tr>
      <w:tr>
        <w:trPr>
          <w:trHeight w:val="20"/>
        </w:trPr>
        <w:tc>
          <w:tcPr>
            <w:tcW w:w="532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-43815</wp:posOffset>
            </wp:positionV>
            <wp:extent cx="315912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0">
                      <a:extLst>
                        <a:ext uri="{28A0092B-C50C-407E-A947-70E740481C1C}"/>
                      </a:extLst>
                    </a:blip>
                    <a:srcRect/>
                    <a:stretch>
                      <a:fillRect/>
                    </a:stretch>
                  </pic:blipFill>
                  <pic:spPr bwMode="auto">
                    <a:xfrm>
                      <a:off x="0" y="0"/>
                      <a:ext cx="3159125" cy="50800"/>
                    </a:xfrm>
                    <a:prstGeom prst="rect">
                      <a:avLst/>
                    </a:prstGeom>
                    <a:noFill/>
                  </pic:spPr>
                </pic:pic>
              </a:graphicData>
            </a:graphic>
          </wp:anchor>
        </w:drawing>
      </w:r>
    </w:p>
    <w:p>
      <w:pPr>
        <w:spacing w:after="0" w:line="167"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9"/>
          <w:szCs w:val="19"/>
          <w:color w:val="auto"/>
        </w:rPr>
        <w:t>The Company has elected to present derivative assets and liabilities on the balance sheet on a trade-by-trade basis and does not offset amounts at the counterparty level. As of December 31, 2024 and 2023, the amount of outstanding collateral paid or received was immaterial. The following tables summarize the offsetting of derivatives by counterparty: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7"/>
          </w:tcPr>
          <w:p>
            <w:pPr>
              <w:jc w:val="right"/>
              <w:ind w:right="923"/>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86"/>
        </w:trPr>
        <w:tc>
          <w:tcPr>
            <w:tcW w:w="38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As of December 31, 2024</w:t>
            </w:r>
          </w:p>
        </w:tc>
        <w:tc>
          <w:tcPr>
            <w:tcW w:w="160" w:type="dxa"/>
            <w:vAlign w:val="bottom"/>
          </w:tcPr>
          <w:p>
            <w:pPr>
              <w:spacing w:after="0"/>
              <w:rPr>
                <w:sz w:val="16"/>
                <w:szCs w:val="16"/>
                <w:color w:val="auto"/>
              </w:rPr>
            </w:pPr>
          </w:p>
        </w:tc>
        <w:tc>
          <w:tcPr>
            <w:tcW w:w="2300" w:type="dxa"/>
            <w:vAlign w:val="bottom"/>
          </w:tcPr>
          <w:p>
            <w:pPr>
              <w:jc w:val="center"/>
              <w:ind w:right="86"/>
              <w:spacing w:after="0"/>
              <w:rPr>
                <w:sz w:val="20"/>
                <w:szCs w:val="20"/>
                <w:color w:val="auto"/>
              </w:rPr>
            </w:pPr>
            <w:r>
              <w:rPr>
                <w:rFonts w:ascii="Arial" w:cs="Arial" w:eastAsia="Arial" w:hAnsi="Arial"/>
                <w:sz w:val="16"/>
                <w:szCs w:val="16"/>
                <w:b w:val="1"/>
                <w:bCs w:val="1"/>
                <w:color w:val="auto"/>
                <w:w w:val="87"/>
              </w:rPr>
              <w:t>Gross Amounts of Recognized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Derivative Instruments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vMerge w:val="restart"/>
          </w:tcPr>
          <w:p>
            <w:pPr>
              <w:jc w:val="right"/>
              <w:ind w:right="323"/>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3840" w:type="dxa"/>
            <w:vAlign w:val="bottom"/>
            <w:tcBorders>
              <w:bottom w:val="single" w:sz="8" w:color="E6E6E6"/>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8"/>
              </w:rPr>
              <w:t>Assets/Liabilities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4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Energy-related commodity contracts</w:t>
            </w:r>
          </w:p>
        </w:tc>
        <w:tc>
          <w:tcPr>
            <w:tcW w:w="160" w:type="dxa"/>
            <w:vAlign w:val="bottom"/>
            <w:shd w:val="clear" w:color="auto" w:fill="E6E6E6"/>
          </w:tcPr>
          <w:p>
            <w:pPr>
              <w:spacing w:after="0"/>
              <w:rPr>
                <w:sz w:val="23"/>
                <w:szCs w:val="23"/>
                <w:color w:val="auto"/>
              </w:rPr>
            </w:pPr>
          </w:p>
        </w:tc>
        <w:tc>
          <w:tcPr>
            <w:tcW w:w="23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96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(In millions)</w:t>
            </w:r>
          </w:p>
        </w:tc>
        <w:tc>
          <w:tcPr>
            <w:tcW w:w="6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4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840" w:type="dxa"/>
            <w:vAlign w:val="bottom"/>
          </w:tcPr>
          <w:p>
            <w:pPr>
              <w:jc w:val="right"/>
              <w:spacing w:after="0"/>
              <w:rPr>
                <w:sz w:val="20"/>
                <w:szCs w:val="20"/>
                <w:color w:val="auto"/>
              </w:rPr>
            </w:pPr>
            <w:r>
              <w:rPr>
                <w:rFonts w:ascii="Arial" w:cs="Arial" w:eastAsia="Arial" w:hAnsi="Arial"/>
                <w:sz w:val="20"/>
                <w:szCs w:val="20"/>
                <w:color w:val="auto"/>
                <w:w w:val="97"/>
              </w:rPr>
              <w:t xml:space="preserve">Derivative assets </w:t>
            </w:r>
            <w:r>
              <w:rPr>
                <w:rFonts w:ascii="Arial" w:cs="Arial" w:eastAsia="Arial" w:hAnsi="Arial"/>
                <w:sz w:val="20"/>
                <w:szCs w:val="20"/>
                <w:color w:val="B4B4B4"/>
                <w:w w:val="97"/>
              </w:rPr>
              <w:t>.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300" w:type="dxa"/>
            <w:vAlign w:val="bottom"/>
          </w:tcPr>
          <w:p>
            <w:pPr>
              <w:jc w:val="right"/>
              <w:ind w:right="6"/>
              <w:spacing w:after="0"/>
              <w:rPr>
                <w:sz w:val="20"/>
                <w:szCs w:val="20"/>
                <w:color w:val="auto"/>
              </w:rPr>
            </w:pPr>
            <w:r>
              <w:rPr>
                <w:rFonts w:ascii="Arial" w:cs="Arial" w:eastAsia="Arial" w:hAnsi="Arial"/>
                <w:sz w:val="20"/>
                <w:szCs w:val="20"/>
                <w:color w:val="auto"/>
              </w:rPr>
              <w:t>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3"/>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300"/>
        </w:trPr>
        <w:tc>
          <w:tcPr>
            <w:tcW w:w="3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 xml:space="preserve">Derivative liabilities </w:t>
            </w:r>
            <w:r>
              <w:rPr>
                <w:rFonts w:ascii="Arial" w:cs="Arial" w:eastAsia="Arial" w:hAnsi="Arial"/>
                <w:sz w:val="20"/>
                <w:szCs w:val="20"/>
                <w:color w:val="B4B4B4"/>
              </w:rPr>
              <w:t>.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2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96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47"/>
        </w:trPr>
        <w:tc>
          <w:tcPr>
            <w:tcW w:w="3840" w:type="dxa"/>
            <w:vAlign w:val="bottom"/>
          </w:tcPr>
          <w:p>
            <w:pPr>
              <w:jc w:val="right"/>
              <w:spacing w:after="0"/>
              <w:rPr>
                <w:sz w:val="20"/>
                <w:szCs w:val="20"/>
                <w:color w:val="auto"/>
              </w:rPr>
            </w:pPr>
            <w:r>
              <w:rPr>
                <w:rFonts w:ascii="Arial" w:cs="Arial" w:eastAsia="Arial" w:hAnsi="Arial"/>
                <w:sz w:val="20"/>
                <w:szCs w:val="20"/>
                <w:b w:val="1"/>
                <w:bCs w:val="1"/>
                <w:color w:val="auto"/>
                <w:w w:val="91"/>
              </w:rPr>
              <w:t xml:space="preserve">Total energy-related commodity contracts </w:t>
            </w:r>
            <w:r>
              <w:rPr>
                <w:rFonts w:ascii="Arial" w:cs="Arial" w:eastAsia="Arial" w:hAnsi="Arial"/>
                <w:sz w:val="20"/>
                <w:szCs w:val="20"/>
                <w:b w:val="1"/>
                <w:bCs w:val="1"/>
                <w:color w:val="B4B4B4"/>
                <w:w w:val="91"/>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300" w:type="dxa"/>
            <w:vAlign w:val="bottom"/>
          </w:tcPr>
          <w:p>
            <w:pPr>
              <w:jc w:val="right"/>
              <w:spacing w:after="0"/>
              <w:rPr>
                <w:sz w:val="20"/>
                <w:szCs w:val="20"/>
                <w:color w:val="auto"/>
              </w:rPr>
            </w:pPr>
            <w:r>
              <w:rPr>
                <w:rFonts w:ascii="Arial" w:cs="Arial" w:eastAsia="Arial" w:hAnsi="Arial"/>
                <w:sz w:val="20"/>
                <w:szCs w:val="20"/>
                <w:color w:val="auto"/>
              </w:rPr>
              <w:t>(362)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(362)</w:t>
            </w:r>
          </w:p>
        </w:tc>
        <w:tc>
          <w:tcPr>
            <w:tcW w:w="0" w:type="dxa"/>
            <w:vAlign w:val="bottom"/>
          </w:tcPr>
          <w:p>
            <w:pPr>
              <w:spacing w:after="0"/>
              <w:rPr>
                <w:sz w:val="1"/>
                <w:szCs w:val="1"/>
                <w:color w:val="auto"/>
              </w:rPr>
            </w:pPr>
          </w:p>
        </w:tc>
      </w:tr>
      <w:tr>
        <w:trPr>
          <w:trHeight w:val="275"/>
        </w:trPr>
        <w:tc>
          <w:tcPr>
            <w:tcW w:w="384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Interest rate contracts</w:t>
            </w:r>
          </w:p>
        </w:tc>
        <w:tc>
          <w:tcPr>
            <w:tcW w:w="160" w:type="dxa"/>
            <w:vAlign w:val="bottom"/>
            <w:tcBorders>
              <w:top w:val="single" w:sz="8" w:color="auto"/>
            </w:tcBorders>
            <w:shd w:val="clear" w:color="auto" w:fill="E6E6E6"/>
          </w:tcPr>
          <w:p>
            <w:pPr>
              <w:spacing w:after="0"/>
              <w:rPr>
                <w:sz w:val="23"/>
                <w:szCs w:val="23"/>
                <w:color w:val="auto"/>
              </w:rPr>
            </w:pPr>
          </w:p>
        </w:tc>
        <w:tc>
          <w:tcPr>
            <w:tcW w:w="23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19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140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7"/>
              </w:rPr>
              <w:t xml:space="preserve">Derivative assets </w:t>
            </w:r>
            <w:r>
              <w:rPr>
                <w:rFonts w:ascii="Arial" w:cs="Arial" w:eastAsia="Arial" w:hAnsi="Arial"/>
                <w:sz w:val="20"/>
                <w:szCs w:val="20"/>
                <w:color w:val="B4B4B4"/>
                <w:w w:val="97"/>
              </w:rPr>
              <w:t>. . . . . . . . . . . . . . . . . . . .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color w:val="auto"/>
              </w:rPr>
              <w:t>166</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166</w:t>
            </w:r>
          </w:p>
        </w:tc>
        <w:tc>
          <w:tcPr>
            <w:tcW w:w="0" w:type="dxa"/>
            <w:vAlign w:val="bottom"/>
          </w:tcPr>
          <w:p>
            <w:pPr>
              <w:spacing w:after="0"/>
              <w:rPr>
                <w:sz w:val="1"/>
                <w:szCs w:val="1"/>
                <w:color w:val="auto"/>
              </w:rPr>
            </w:pPr>
          </w:p>
        </w:tc>
      </w:tr>
      <w:tr>
        <w:trPr>
          <w:trHeight w:val="283"/>
        </w:trPr>
        <w:tc>
          <w:tcPr>
            <w:tcW w:w="3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B4B4B4"/>
                <w:w w:val="97"/>
              </w:rPr>
              <w:t>. . . . . . . . . . . . .</w:t>
            </w:r>
            <w:r>
              <w:rPr>
                <w:rFonts w:ascii="Arial" w:cs="Arial" w:eastAsia="Arial" w:hAnsi="Arial"/>
                <w:sz w:val="20"/>
                <w:szCs w:val="20"/>
                <w:b w:val="1"/>
                <w:bCs w:val="1"/>
                <w:color w:val="000000"/>
                <w:w w:val="97"/>
              </w:rPr>
              <w:t>Totalinterestratecontracts</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166</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166</w:t>
            </w:r>
          </w:p>
        </w:tc>
        <w:tc>
          <w:tcPr>
            <w:tcW w:w="0" w:type="dxa"/>
            <w:vAlign w:val="bottom"/>
          </w:tcPr>
          <w:p>
            <w:pPr>
              <w:spacing w:after="0"/>
              <w:rPr>
                <w:sz w:val="1"/>
                <w:szCs w:val="1"/>
                <w:color w:val="auto"/>
              </w:rPr>
            </w:pPr>
          </w:p>
        </w:tc>
      </w:tr>
      <w:tr>
        <w:trPr>
          <w:trHeight w:val="227"/>
        </w:trPr>
        <w:tc>
          <w:tcPr>
            <w:tcW w:w="3840" w:type="dxa"/>
            <w:vAlign w:val="bottom"/>
          </w:tcPr>
          <w:p>
            <w:pPr>
              <w:jc w:val="right"/>
              <w:spacing w:after="0" w:line="227" w:lineRule="exact"/>
              <w:rPr>
                <w:sz w:val="20"/>
                <w:szCs w:val="20"/>
                <w:color w:val="auto"/>
              </w:rPr>
            </w:pPr>
            <w:r>
              <w:rPr>
                <w:rFonts w:ascii="Arial" w:cs="Arial" w:eastAsia="Arial" w:hAnsi="Arial"/>
                <w:sz w:val="20"/>
                <w:szCs w:val="20"/>
                <w:b w:val="1"/>
                <w:bCs w:val="1"/>
                <w:color w:val="B4B4B4"/>
                <w:w w:val="95"/>
              </w:rPr>
              <w:t>. . . . . . . . . . . . .</w:t>
            </w:r>
            <w:r>
              <w:rPr>
                <w:rFonts w:ascii="Arial" w:cs="Arial" w:eastAsia="Arial" w:hAnsi="Arial"/>
                <w:sz w:val="20"/>
                <w:szCs w:val="20"/>
                <w:b w:val="1"/>
                <w:bCs w:val="1"/>
                <w:color w:val="000000"/>
                <w:w w:val="95"/>
              </w:rPr>
              <w:t>Totalderivativeinstruments</w:t>
            </w:r>
          </w:p>
        </w:tc>
        <w:tc>
          <w:tcPr>
            <w:tcW w:w="1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(196)</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ind w:right="5"/>
              <w:spacing w:after="0" w:line="227"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20"/>
              <w:spacing w:after="0" w:line="227"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7"/>
          </w:tcPr>
          <w:p>
            <w:pPr>
              <w:jc w:val="right"/>
              <w:ind w:right="923"/>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86"/>
        </w:trPr>
        <w:tc>
          <w:tcPr>
            <w:tcW w:w="38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As of December 31, 2023</w:t>
            </w:r>
          </w:p>
        </w:tc>
        <w:tc>
          <w:tcPr>
            <w:tcW w:w="160" w:type="dxa"/>
            <w:vAlign w:val="bottom"/>
          </w:tcPr>
          <w:p>
            <w:pPr>
              <w:spacing w:after="0"/>
              <w:rPr>
                <w:sz w:val="16"/>
                <w:szCs w:val="16"/>
                <w:color w:val="auto"/>
              </w:rPr>
            </w:pPr>
          </w:p>
        </w:tc>
        <w:tc>
          <w:tcPr>
            <w:tcW w:w="2300" w:type="dxa"/>
            <w:vAlign w:val="bottom"/>
          </w:tcPr>
          <w:p>
            <w:pPr>
              <w:jc w:val="center"/>
              <w:ind w:right="86"/>
              <w:spacing w:after="0"/>
              <w:rPr>
                <w:sz w:val="20"/>
                <w:szCs w:val="20"/>
                <w:color w:val="auto"/>
              </w:rPr>
            </w:pPr>
            <w:r>
              <w:rPr>
                <w:rFonts w:ascii="Arial" w:cs="Arial" w:eastAsia="Arial" w:hAnsi="Arial"/>
                <w:sz w:val="16"/>
                <w:szCs w:val="16"/>
                <w:b w:val="1"/>
                <w:bCs w:val="1"/>
                <w:color w:val="auto"/>
                <w:w w:val="87"/>
              </w:rPr>
              <w:t>Gross Amounts of Recognized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Derivative Instruments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vMerge w:val="restart"/>
          </w:tcPr>
          <w:p>
            <w:pPr>
              <w:jc w:val="right"/>
              <w:ind w:right="323"/>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3840" w:type="dxa"/>
            <w:vAlign w:val="bottom"/>
            <w:tcBorders>
              <w:bottom w:val="single" w:sz="8" w:color="E6E6E6"/>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8"/>
              </w:rPr>
              <w:t>Assets/Liabilities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4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Energy-related commodity contracts</w:t>
            </w:r>
          </w:p>
        </w:tc>
        <w:tc>
          <w:tcPr>
            <w:tcW w:w="160" w:type="dxa"/>
            <w:vAlign w:val="bottom"/>
            <w:shd w:val="clear" w:color="auto" w:fill="E6E6E6"/>
          </w:tcPr>
          <w:p>
            <w:pPr>
              <w:spacing w:after="0"/>
              <w:rPr>
                <w:sz w:val="23"/>
                <w:szCs w:val="23"/>
                <w:color w:val="auto"/>
              </w:rPr>
            </w:pPr>
          </w:p>
        </w:tc>
        <w:tc>
          <w:tcPr>
            <w:tcW w:w="23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96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(In millions)</w:t>
            </w:r>
          </w:p>
        </w:tc>
        <w:tc>
          <w:tcPr>
            <w:tcW w:w="6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4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840" w:type="dxa"/>
            <w:vAlign w:val="bottom"/>
          </w:tcPr>
          <w:p>
            <w:pPr>
              <w:jc w:val="right"/>
              <w:spacing w:after="0"/>
              <w:rPr>
                <w:sz w:val="20"/>
                <w:szCs w:val="20"/>
                <w:color w:val="auto"/>
              </w:rPr>
            </w:pPr>
            <w:r>
              <w:rPr>
                <w:rFonts w:ascii="Arial" w:cs="Arial" w:eastAsia="Arial" w:hAnsi="Arial"/>
                <w:sz w:val="20"/>
                <w:szCs w:val="20"/>
                <w:color w:val="auto"/>
                <w:w w:val="97"/>
              </w:rPr>
              <w:t xml:space="preserve">Derivative assets </w:t>
            </w:r>
            <w:r>
              <w:rPr>
                <w:rFonts w:ascii="Arial" w:cs="Arial" w:eastAsia="Arial" w:hAnsi="Arial"/>
                <w:sz w:val="20"/>
                <w:szCs w:val="20"/>
                <w:color w:val="B4B4B4"/>
                <w:w w:val="97"/>
              </w:rPr>
              <w:t>.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300" w:type="dxa"/>
            <w:vAlign w:val="bottom"/>
          </w:tcPr>
          <w:p>
            <w:pPr>
              <w:jc w:val="right"/>
              <w:ind w:right="6"/>
              <w:spacing w:after="0"/>
              <w:rPr>
                <w:sz w:val="20"/>
                <w:szCs w:val="20"/>
                <w:color w:val="auto"/>
              </w:rPr>
            </w:pPr>
            <w:r>
              <w:rPr>
                <w:rFonts w:ascii="Arial" w:cs="Arial" w:eastAsia="Arial" w:hAnsi="Arial"/>
                <w:sz w:val="20"/>
                <w:szCs w:val="20"/>
                <w:color w:val="auto"/>
              </w:rPr>
              <w:t>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3"/>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00"/>
        </w:trPr>
        <w:tc>
          <w:tcPr>
            <w:tcW w:w="3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 xml:space="preserve">Derivative liabilities </w:t>
            </w:r>
            <w:r>
              <w:rPr>
                <w:rFonts w:ascii="Arial" w:cs="Arial" w:eastAsia="Arial" w:hAnsi="Arial"/>
                <w:sz w:val="20"/>
                <w:szCs w:val="20"/>
                <w:color w:val="B4B4B4"/>
              </w:rPr>
              <w:t>.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2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96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46"/>
        </w:trPr>
        <w:tc>
          <w:tcPr>
            <w:tcW w:w="3840" w:type="dxa"/>
            <w:vAlign w:val="bottom"/>
          </w:tcPr>
          <w:p>
            <w:pPr>
              <w:jc w:val="right"/>
              <w:spacing w:after="0"/>
              <w:rPr>
                <w:sz w:val="20"/>
                <w:szCs w:val="20"/>
                <w:color w:val="auto"/>
              </w:rPr>
            </w:pPr>
            <w:r>
              <w:rPr>
                <w:rFonts w:ascii="Arial" w:cs="Arial" w:eastAsia="Arial" w:hAnsi="Arial"/>
                <w:sz w:val="20"/>
                <w:szCs w:val="20"/>
                <w:b w:val="1"/>
                <w:bCs w:val="1"/>
                <w:color w:val="auto"/>
                <w:w w:val="91"/>
              </w:rPr>
              <w:t xml:space="preserve">Total energy-related commodity contracts </w:t>
            </w:r>
            <w:r>
              <w:rPr>
                <w:rFonts w:ascii="Arial" w:cs="Arial" w:eastAsia="Arial" w:hAnsi="Arial"/>
                <w:sz w:val="20"/>
                <w:szCs w:val="20"/>
                <w:b w:val="1"/>
                <w:bCs w:val="1"/>
                <w:color w:val="B4B4B4"/>
                <w:w w:val="91"/>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300" w:type="dxa"/>
            <w:vAlign w:val="bottom"/>
          </w:tcPr>
          <w:p>
            <w:pPr>
              <w:jc w:val="right"/>
              <w:spacing w:after="0"/>
              <w:rPr>
                <w:sz w:val="20"/>
                <w:szCs w:val="20"/>
                <w:color w:val="auto"/>
              </w:rPr>
            </w:pPr>
            <w:r>
              <w:rPr>
                <w:rFonts w:ascii="Arial" w:cs="Arial" w:eastAsia="Arial" w:hAnsi="Arial"/>
                <w:sz w:val="20"/>
                <w:szCs w:val="20"/>
                <w:color w:val="auto"/>
              </w:rPr>
              <w:t>(328)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(328)</w:t>
            </w:r>
          </w:p>
        </w:tc>
        <w:tc>
          <w:tcPr>
            <w:tcW w:w="0" w:type="dxa"/>
            <w:vAlign w:val="bottom"/>
          </w:tcPr>
          <w:p>
            <w:pPr>
              <w:spacing w:after="0"/>
              <w:rPr>
                <w:sz w:val="1"/>
                <w:szCs w:val="1"/>
                <w:color w:val="auto"/>
              </w:rPr>
            </w:pPr>
          </w:p>
        </w:tc>
      </w:tr>
      <w:tr>
        <w:trPr>
          <w:trHeight w:val="275"/>
        </w:trPr>
        <w:tc>
          <w:tcPr>
            <w:tcW w:w="384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Interest rate contracts</w:t>
            </w:r>
          </w:p>
        </w:tc>
        <w:tc>
          <w:tcPr>
            <w:tcW w:w="160" w:type="dxa"/>
            <w:vAlign w:val="bottom"/>
            <w:tcBorders>
              <w:top w:val="single" w:sz="8" w:color="auto"/>
            </w:tcBorders>
            <w:shd w:val="clear" w:color="auto" w:fill="E6E6E6"/>
          </w:tcPr>
          <w:p>
            <w:pPr>
              <w:spacing w:after="0"/>
              <w:rPr>
                <w:sz w:val="23"/>
                <w:szCs w:val="23"/>
                <w:color w:val="auto"/>
              </w:rPr>
            </w:pPr>
          </w:p>
        </w:tc>
        <w:tc>
          <w:tcPr>
            <w:tcW w:w="23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19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140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840" w:type="dxa"/>
            <w:vAlign w:val="bottom"/>
          </w:tcPr>
          <w:p>
            <w:pPr>
              <w:jc w:val="right"/>
              <w:spacing w:after="0"/>
              <w:rPr>
                <w:sz w:val="20"/>
                <w:szCs w:val="20"/>
                <w:color w:val="auto"/>
              </w:rPr>
            </w:pPr>
            <w:r>
              <w:rPr>
                <w:rFonts w:ascii="Arial" w:cs="Arial" w:eastAsia="Arial" w:hAnsi="Arial"/>
                <w:sz w:val="20"/>
                <w:szCs w:val="20"/>
                <w:color w:val="auto"/>
                <w:w w:val="97"/>
              </w:rPr>
              <w:t xml:space="preserve">Derivative assets </w:t>
            </w:r>
            <w:r>
              <w:rPr>
                <w:rFonts w:ascii="Arial" w:cs="Arial" w:eastAsia="Arial" w:hAnsi="Arial"/>
                <w:sz w:val="20"/>
                <w:szCs w:val="20"/>
                <w:color w:val="B4B4B4"/>
                <w:w w:val="97"/>
              </w:rPr>
              <w:t>.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300" w:type="dxa"/>
            <w:vAlign w:val="bottom"/>
          </w:tcPr>
          <w:p>
            <w:pPr>
              <w:jc w:val="right"/>
              <w:ind w:right="6"/>
              <w:spacing w:after="0"/>
              <w:rPr>
                <w:sz w:val="20"/>
                <w:szCs w:val="20"/>
                <w:color w:val="auto"/>
              </w:rPr>
            </w:pPr>
            <w:r>
              <w:rPr>
                <w:rFonts w:ascii="Arial" w:cs="Arial" w:eastAsia="Arial" w:hAnsi="Arial"/>
                <w:sz w:val="20"/>
                <w:szCs w:val="20"/>
                <w:color w:val="auto"/>
              </w:rPr>
              <w:t>121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tcPr>
          <w:p>
            <w:pPr>
              <w:jc w:val="right"/>
              <w:spacing w:after="0"/>
              <w:rPr>
                <w:sz w:val="20"/>
                <w:szCs w:val="20"/>
                <w:color w:val="auto"/>
              </w:rPr>
            </w:pPr>
            <w:r>
              <w:rPr>
                <w:rFonts w:ascii="Arial" w:cs="Arial" w:eastAsia="Arial" w:hAnsi="Arial"/>
                <w:sz w:val="20"/>
                <w:szCs w:val="20"/>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3"/>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300"/>
        </w:trPr>
        <w:tc>
          <w:tcPr>
            <w:tcW w:w="3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 xml:space="preserve">Derivative liabilities </w:t>
            </w:r>
            <w:r>
              <w:rPr>
                <w:rFonts w:ascii="Arial" w:cs="Arial" w:eastAsia="Arial" w:hAnsi="Arial"/>
                <w:sz w:val="20"/>
                <w:szCs w:val="20"/>
                <w:color w:val="B4B4B4"/>
              </w:rPr>
              <w:t>.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2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96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20"/>
                <w:szCs w:val="20"/>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40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384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B4B4B4"/>
                <w:w w:val="97"/>
              </w:rPr>
              <w:t>. . . . . . . . . . . . .</w:t>
            </w:r>
            <w:r>
              <w:rPr>
                <w:rFonts w:ascii="Arial" w:cs="Arial" w:eastAsia="Arial" w:hAnsi="Arial"/>
                <w:sz w:val="20"/>
                <w:szCs w:val="20"/>
                <w:b w:val="1"/>
                <w:bCs w:val="1"/>
                <w:color w:val="000000"/>
                <w:w w:val="97"/>
              </w:rPr>
              <w:t>Totalinterestratecontracts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color w:val="auto"/>
              </w:rPr>
              <w:t>119</w:t>
            </w:r>
          </w:p>
        </w:tc>
        <w:tc>
          <w:tcPr>
            <w:tcW w:w="6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65"/>
        </w:trPr>
        <w:tc>
          <w:tcPr>
            <w:tcW w:w="384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5"/>
              </w:rPr>
              <w:t>. . . . . . . . . . . . .</w:t>
            </w:r>
            <w:r>
              <w:rPr>
                <w:rFonts w:ascii="Arial" w:cs="Arial" w:eastAsia="Arial" w:hAnsi="Arial"/>
                <w:sz w:val="20"/>
                <w:szCs w:val="20"/>
                <w:b w:val="1"/>
                <w:bCs w:val="1"/>
                <w:color w:val="000000"/>
                <w:w w:val="95"/>
              </w:rPr>
              <w:t>Totalderivativeinstruments</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(209)</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60" w:type="dxa"/>
            <w:vAlign w:val="bottom"/>
            <w:shd w:val="clear" w:color="auto" w:fill="E6E6E6"/>
          </w:tcPr>
          <w:p>
            <w:pPr>
              <w:jc w:val="right"/>
              <w:ind w:right="5"/>
              <w:spacing w:after="0"/>
              <w:rPr>
                <w:sz w:val="20"/>
                <w:szCs w:val="20"/>
                <w:color w:val="auto"/>
              </w:rPr>
            </w:pPr>
            <w:r>
              <w:rPr>
                <w:rFonts w:ascii="Arial" w:cs="Arial" w:eastAsia="Arial" w:hAnsi="Arial"/>
                <w:sz w:val="20"/>
                <w:szCs w:val="20"/>
                <w:color w:val="auto"/>
              </w:rPr>
              <w:t>—</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0"/>
        </w:trPr>
        <w:tc>
          <w:tcPr>
            <w:tcW w:w="384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-2269490</wp:posOffset>
            </wp:positionV>
            <wp:extent cx="410210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1">
                      <a:extLst>
                        <a:ext uri="{28A0092B-C50C-407E-A947-70E740481C1C}"/>
                      </a:extLst>
                    </a:blip>
                    <a:srcRect/>
                    <a:stretch>
                      <a:fillRect/>
                    </a:stretch>
                  </pic:blipFill>
                  <pic:spPr bwMode="auto">
                    <a:xfrm>
                      <a:off x="0" y="0"/>
                      <a:ext cx="4102100" cy="50800"/>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-43815</wp:posOffset>
            </wp:positionV>
            <wp:extent cx="41021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2">
                      <a:extLst>
                        <a:ext uri="{28A0092B-C50C-407E-A947-70E740481C1C}"/>
                      </a:extLst>
                    </a:blip>
                    <a:srcRect/>
                    <a:stretch>
                      <a:fillRect/>
                    </a:stretch>
                  </pic:blipFill>
                  <pic:spPr bwMode="auto">
                    <a:xfrm>
                      <a:off x="0" y="0"/>
                      <a:ext cx="4102100" cy="50800"/>
                    </a:xfrm>
                    <a:prstGeom prst="rect">
                      <a:avLst/>
                    </a:prstGeom>
                    <a:noFill/>
                  </pic:spPr>
                </pic:pic>
              </a:graphicData>
            </a:graphic>
          </wp:anchor>
        </w:drawing>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880" w:h="15480" w:orient="portrait"/>
          <w:cols w:equalWidth="0" w:num="1">
            <w:col w:w="10260"/>
          </w:cols>
          <w:pgMar w:left="820" w:top="360" w:right="80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i w:val="1"/>
          <w:iCs w:val="1"/>
          <w:color w:val="auto"/>
        </w:rPr>
        <w:t>Accumulated Other Comprehensive Income (Loss)</w:t>
      </w:r>
    </w:p>
    <w:p>
      <w:pPr>
        <w:spacing w:after="0" w:line="198"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The following table summarizes the effects on the Company’s accumulated OCI (OCL) balance attributable to interest rate swaps designated as cash flow hedge derivatives, net of tax:</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90"/>
              </w:rPr>
              <w:t>Year ended December 31,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63"/>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70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2"/>
              </w:rPr>
              <w:t xml:space="preserve">Accumulated OCI (OCL) beginning balance  </w:t>
            </w:r>
            <w:r>
              <w:rPr>
                <w:rFonts w:ascii="Arial" w:cs="Arial" w:eastAsia="Arial" w:hAnsi="Arial"/>
                <w:sz w:val="20"/>
                <w:szCs w:val="20"/>
                <w:color w:val="B4B4B4"/>
                <w:w w:val="92"/>
              </w:rPr>
              <w:t>. . . . . . . . . . . . . . . . . . . . . . . . . . . . . . . . .</w:t>
            </w:r>
          </w:p>
        </w:tc>
        <w:tc>
          <w:tcPr>
            <w:tcW w:w="700" w:type="dxa"/>
            <w:vAlign w:val="bottom"/>
            <w:shd w:val="clear" w:color="auto" w:fill="E6E6E6"/>
          </w:tcPr>
          <w:p>
            <w:pPr>
              <w:jc w:val="right"/>
              <w:ind w:right="445"/>
              <w:spacing w:after="0"/>
              <w:rPr>
                <w:sz w:val="20"/>
                <w:szCs w:val="20"/>
                <w:color w:val="auto"/>
              </w:rPr>
            </w:pPr>
            <w:r>
              <w:rPr>
                <w:rFonts w:ascii="Arial" w:cs="Arial" w:eastAsia="Arial" w:hAnsi="Arial"/>
                <w:sz w:val="20"/>
                <w:szCs w:val="20"/>
                <w:color w:val="auto"/>
              </w:rPr>
              <w:t>$</w:t>
            </w:r>
          </w:p>
        </w:tc>
        <w:tc>
          <w:tcPr>
            <w:tcW w:w="3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18</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22"/>
        </w:trPr>
        <w:tc>
          <w:tcPr>
            <w:tcW w:w="7040" w:type="dxa"/>
            <w:vAlign w:val="bottom"/>
          </w:tcPr>
          <w:p>
            <w:pPr>
              <w:ind w:left="180"/>
              <w:spacing w:after="0" w:line="222" w:lineRule="exact"/>
              <w:rPr>
                <w:sz w:val="20"/>
                <w:szCs w:val="20"/>
                <w:color w:val="auto"/>
              </w:rPr>
            </w:pPr>
            <w:r>
              <w:rPr>
                <w:rFonts w:ascii="Arial" w:cs="Arial" w:eastAsia="Arial" w:hAnsi="Arial"/>
                <w:sz w:val="20"/>
                <w:szCs w:val="20"/>
                <w:color w:val="auto"/>
              </w:rPr>
              <w:t>Reclassified from accumulated OCI (OCL) to income due to realization of</w:t>
            </w:r>
          </w:p>
        </w:tc>
        <w:tc>
          <w:tcPr>
            <w:tcW w:w="700" w:type="dxa"/>
            <w:vAlign w:val="bottom"/>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7"/>
        </w:trPr>
        <w:tc>
          <w:tcPr>
            <w:tcW w:w="7040" w:type="dxa"/>
            <w:vAlign w:val="bottom"/>
          </w:tcPr>
          <w:p>
            <w:pPr>
              <w:jc w:val="right"/>
              <w:spacing w:after="0"/>
              <w:rPr>
                <w:sz w:val="20"/>
                <w:szCs w:val="20"/>
                <w:color w:val="auto"/>
              </w:rPr>
            </w:pPr>
            <w:r>
              <w:rPr>
                <w:rFonts w:ascii="Arial" w:cs="Arial" w:eastAsia="Arial" w:hAnsi="Arial"/>
                <w:sz w:val="20"/>
                <w:szCs w:val="20"/>
                <w:color w:val="auto"/>
                <w:w w:val="95"/>
              </w:rPr>
              <w:t xml:space="preserve">previously deferred amounts </w:t>
            </w:r>
            <w:r>
              <w:rPr>
                <w:rFonts w:ascii="Arial" w:cs="Arial" w:eastAsia="Arial" w:hAnsi="Arial"/>
                <w:sz w:val="20"/>
                <w:szCs w:val="20"/>
                <w:color w:val="B4B4B4"/>
                <w:w w:val="95"/>
              </w:rPr>
              <w:t>. . . . . . . . . . . . . . . . . . . . . . . . . . . . . . . . . . . . . . . . . . .</w:t>
            </w:r>
          </w:p>
        </w:tc>
        <w:tc>
          <w:tcPr>
            <w:tcW w:w="70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0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4"/>
              </w:rPr>
              <w:t xml:space="preserve">Capistrano Wind Portfolio Acquisition </w:t>
            </w:r>
            <w:r>
              <w:rPr>
                <w:rFonts w:ascii="Arial" w:cs="Arial" w:eastAsia="Arial" w:hAnsi="Arial"/>
                <w:sz w:val="26"/>
                <w:szCs w:val="26"/>
                <w:color w:val="auto"/>
                <w:w w:val="94"/>
                <w:vertAlign w:val="superscript"/>
              </w:rPr>
              <w:t>(a)</w:t>
            </w:r>
            <w:r>
              <w:rPr>
                <w:rFonts w:ascii="Arial" w:cs="Arial" w:eastAsia="Arial" w:hAnsi="Arial"/>
                <w:sz w:val="20"/>
                <w:szCs w:val="20"/>
                <w:color w:val="auto"/>
                <w:w w:val="94"/>
              </w:rPr>
              <w:t xml:space="preserve">  </w:t>
            </w:r>
            <w:r>
              <w:rPr>
                <w:rFonts w:ascii="Arial" w:cs="Arial" w:eastAsia="Arial" w:hAnsi="Arial"/>
                <w:sz w:val="20"/>
                <w:szCs w:val="20"/>
                <w:color w:val="B4B4B4"/>
                <w:w w:val="94"/>
              </w:rPr>
              <w:t>. . . . . . . . . . . . . . . . . . . . . . . . . . . . . . . . . .</w:t>
            </w:r>
          </w:p>
        </w:tc>
        <w:tc>
          <w:tcPr>
            <w:tcW w:w="700" w:type="dxa"/>
            <w:vAlign w:val="bottom"/>
            <w:shd w:val="clear" w:color="auto" w:fill="E6E6E6"/>
          </w:tcPr>
          <w:p>
            <w:pPr>
              <w:spacing w:after="0"/>
              <w:rPr>
                <w:sz w:val="24"/>
                <w:szCs w:val="24"/>
                <w:color w:val="auto"/>
              </w:rPr>
            </w:pPr>
          </w:p>
        </w:tc>
        <w:tc>
          <w:tcPr>
            <w:tcW w:w="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0"/>
        </w:trPr>
        <w:tc>
          <w:tcPr>
            <w:tcW w:w="70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Mark-to-market of cash flow hedge accounting contracts </w:t>
            </w:r>
            <w:r>
              <w:rPr>
                <w:rFonts w:ascii="Arial" w:cs="Arial" w:eastAsia="Arial" w:hAnsi="Arial"/>
                <w:sz w:val="20"/>
                <w:szCs w:val="20"/>
                <w:color w:val="B4B4B4"/>
                <w:w w:val="93"/>
              </w:rPr>
              <w:t>. . . . . . . . . . . . . . . . . . . . . .</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12"/>
        </w:trPr>
        <w:tc>
          <w:tcPr>
            <w:tcW w:w="7040" w:type="dxa"/>
            <w:vAlign w:val="bottom"/>
            <w:shd w:val="clear" w:color="auto" w:fill="E6E6E6"/>
          </w:tcPr>
          <w:p>
            <w:pPr>
              <w:ind w:left="40"/>
              <w:spacing w:after="0" w:line="212" w:lineRule="exact"/>
              <w:rPr>
                <w:sz w:val="20"/>
                <w:szCs w:val="20"/>
                <w:color w:val="auto"/>
              </w:rPr>
            </w:pPr>
            <w:r>
              <w:rPr>
                <w:rFonts w:ascii="Arial" w:cs="Arial" w:eastAsia="Arial" w:hAnsi="Arial"/>
                <w:sz w:val="20"/>
                <w:szCs w:val="20"/>
                <w:color w:val="auto"/>
                <w:w w:val="99"/>
              </w:rPr>
              <w:t>Accumulated OCI ending balance, net of income tax expense of $1, $2 and $3,</w:t>
            </w:r>
          </w:p>
        </w:tc>
        <w:tc>
          <w:tcPr>
            <w:tcW w:w="700" w:type="dxa"/>
            <w:vAlign w:val="bottom"/>
            <w:shd w:val="clear" w:color="auto" w:fill="E6E6E6"/>
          </w:tcPr>
          <w:p>
            <w:pPr>
              <w:spacing w:after="0"/>
              <w:rPr>
                <w:sz w:val="18"/>
                <w:szCs w:val="18"/>
                <w:color w:val="auto"/>
              </w:rPr>
            </w:pPr>
          </w:p>
        </w:tc>
        <w:tc>
          <w:tcPr>
            <w:tcW w:w="3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14</w:t>
            </w:r>
          </w:p>
        </w:tc>
        <w:tc>
          <w:tcPr>
            <w:tcW w:w="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18</w:t>
            </w:r>
          </w:p>
        </w:tc>
        <w:tc>
          <w:tcPr>
            <w:tcW w:w="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00" w:type="dxa"/>
            <w:vAlign w:val="bottom"/>
            <w:vMerge w:val="restart"/>
            <w:shd w:val="clear" w:color="auto" w:fill="E6E6E6"/>
          </w:tcPr>
          <w:p>
            <w:pPr>
              <w:jc w:val="right"/>
              <w:ind w:right="3"/>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63"/>
        </w:trPr>
        <w:tc>
          <w:tcPr>
            <w:tcW w:w="7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respectively  </w:t>
            </w:r>
            <w:r>
              <w:rPr>
                <w:rFonts w:ascii="Arial" w:cs="Arial" w:eastAsia="Arial" w:hAnsi="Arial"/>
                <w:sz w:val="20"/>
                <w:szCs w:val="20"/>
                <w:color w:val="B4B4B4"/>
                <w:w w:val="93"/>
              </w:rPr>
              <w:t>. . . . . . . . . . . . . . . . . . . . . . . . . . . . . . . . . . . . . . . . . . . . . . . . . . . . . . . . .</w:t>
            </w:r>
          </w:p>
        </w:tc>
        <w:tc>
          <w:tcPr>
            <w:tcW w:w="700" w:type="dxa"/>
            <w:vAlign w:val="bottom"/>
            <w:tcBorders>
              <w:bottom w:val="single" w:sz="8" w:color="auto"/>
            </w:tcBorders>
            <w:shd w:val="clear" w:color="auto" w:fill="E6E6E6"/>
          </w:tcPr>
          <w:p>
            <w:pPr>
              <w:spacing w:after="0"/>
              <w:rPr>
                <w:sz w:val="22"/>
                <w:szCs w:val="22"/>
                <w:color w:val="auto"/>
              </w:rPr>
            </w:pPr>
          </w:p>
        </w:tc>
        <w:tc>
          <w:tcPr>
            <w:tcW w:w="3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70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E6E6E6"/>
              <w:bottom w:val="single" w:sz="8" w:color="E6E6E6"/>
            </w:tcBorders>
            <w:vMerge w:val="restart"/>
          </w:tcPr>
          <w:p>
            <w:pPr>
              <w:ind w:left="40"/>
              <w:spacing w:after="0"/>
              <w:rPr>
                <w:sz w:val="20"/>
                <w:szCs w:val="20"/>
                <w:color w:val="auto"/>
              </w:rPr>
            </w:pPr>
            <w:r>
              <w:rPr>
                <w:rFonts w:ascii="Arial" w:cs="Arial" w:eastAsia="Arial" w:hAnsi="Arial"/>
                <w:sz w:val="20"/>
                <w:szCs w:val="20"/>
                <w:color w:val="auto"/>
              </w:rPr>
              <w:t>Accumulated OCI attributable to noncontrolling interests</w:t>
            </w:r>
          </w:p>
        </w:tc>
        <w:tc>
          <w:tcPr>
            <w:tcW w:w="700" w:type="dxa"/>
            <w:vAlign w:val="bottom"/>
            <w:tcBorders>
              <w:top w:val="single" w:sz="8" w:color="E6E6E6"/>
              <w:bottom w:val="single" w:sz="8" w:color="auto"/>
            </w:tcBorders>
          </w:tcPr>
          <w:p>
            <w:pPr>
              <w:spacing w:after="0" w:line="20" w:lineRule="exact"/>
              <w:rPr>
                <w:sz w:val="1"/>
                <w:szCs w:val="1"/>
                <w:color w:val="auto"/>
              </w:rPr>
            </w:pPr>
          </w:p>
        </w:tc>
        <w:tc>
          <w:tcPr>
            <w:tcW w:w="3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7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E6E6E6"/>
              <w:bottom w:val="single" w:sz="8" w:color="auto"/>
            </w:tcBorders>
          </w:tcPr>
          <w:p>
            <w:pPr>
              <w:spacing w:after="0" w:line="20" w:lineRule="exact"/>
              <w:rPr>
                <w:sz w:val="1"/>
                <w:szCs w:val="1"/>
                <w:color w:val="auto"/>
              </w:rPr>
            </w:pPr>
          </w:p>
        </w:tc>
        <w:tc>
          <w:tcPr>
            <w:tcW w:w="70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40" w:type="dxa"/>
            <w:vAlign w:val="bottom"/>
            <w:tcBorders>
              <w:bottom w:val="single" w:sz="8" w:color="E6E6E6"/>
            </w:tcBorders>
            <w:vMerge w:val="continue"/>
          </w:tcPr>
          <w:p>
            <w:pPr>
              <w:jc w:val="right"/>
              <w:spacing w:after="0" w:line="177" w:lineRule="exact"/>
              <w:rPr>
                <w:sz w:val="20"/>
                <w:szCs w:val="20"/>
                <w:color w:val="auto"/>
              </w:rPr>
            </w:pPr>
            <w:r>
              <w:rPr>
                <w:rFonts w:ascii="Arial" w:cs="Arial" w:eastAsia="Arial" w:hAnsi="Arial"/>
                <w:sz w:val="20"/>
                <w:szCs w:val="20"/>
                <w:color w:val="B4B4B4"/>
              </w:rPr>
              <w:t>. . . . . . . . . . . . . . . . . . . . . . . .</w:t>
            </w: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11</w:t>
            </w: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0"/>
        </w:trPr>
        <w:tc>
          <w:tcPr>
            <w:tcW w:w="70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Accumulated OCI attributable to Clearway Energy, Inc. </w:t>
            </w:r>
            <w:r>
              <w:rPr>
                <w:rFonts w:ascii="Arial" w:cs="Arial" w:eastAsia="Arial" w:hAnsi="Arial"/>
                <w:sz w:val="20"/>
                <w:szCs w:val="20"/>
                <w:color w:val="B4B4B4"/>
                <w:w w:val="91"/>
              </w:rPr>
              <w:t>. . . . . . . . . . . . . . . . . . . . . . . . .</w:t>
            </w:r>
          </w:p>
        </w:tc>
        <w:tc>
          <w:tcPr>
            <w:tcW w:w="700" w:type="dxa"/>
            <w:vAlign w:val="bottom"/>
            <w:shd w:val="clear" w:color="auto" w:fill="E6E6E6"/>
          </w:tcPr>
          <w:p>
            <w:pPr>
              <w:jc w:val="right"/>
              <w:ind w:right="445"/>
              <w:spacing w:after="0"/>
              <w:rPr>
                <w:sz w:val="20"/>
                <w:szCs w:val="20"/>
                <w:color w:val="auto"/>
              </w:rPr>
            </w:pPr>
            <w:r>
              <w:rPr>
                <w:rFonts w:ascii="Arial" w:cs="Arial" w:eastAsia="Arial" w:hAnsi="Arial"/>
                <w:sz w:val="20"/>
                <w:szCs w:val="20"/>
                <w:color w:val="auto"/>
              </w:rPr>
              <w:t>$</w:t>
            </w:r>
          </w:p>
        </w:tc>
        <w:tc>
          <w:tcPr>
            <w:tcW w:w="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0"/>
        </w:trPr>
        <w:tc>
          <w:tcPr>
            <w:tcW w:w="7040" w:type="dxa"/>
            <w:vAlign w:val="bottom"/>
            <w:tcBorders>
              <w:top w:val="single" w:sz="8" w:color="E6E6E6"/>
              <w:bottom w:val="single" w:sz="8" w:color="E6E6E6"/>
            </w:tcBorders>
            <w:vMerge w:val="restart"/>
          </w:tcPr>
          <w:p>
            <w:pPr>
              <w:ind w:left="180"/>
              <w:spacing w:after="0" w:line="212" w:lineRule="exact"/>
              <w:rPr>
                <w:sz w:val="20"/>
                <w:szCs w:val="20"/>
                <w:color w:val="auto"/>
              </w:rPr>
            </w:pPr>
            <w:r>
              <w:rPr>
                <w:rFonts w:ascii="Arial" w:cs="Arial" w:eastAsia="Arial" w:hAnsi="Arial"/>
                <w:sz w:val="20"/>
                <w:szCs w:val="20"/>
                <w:color w:val="auto"/>
                <w:w w:val="93"/>
              </w:rPr>
              <w:t>Income expected to be realized from OCI during the next 12 months, net of income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40" w:type="dxa"/>
            <w:vAlign w:val="bottom"/>
            <w:vMerge w:val="continue"/>
          </w:tcPr>
          <w:p>
            <w:pPr>
              <w:spacing w:after="0"/>
              <w:rPr>
                <w:sz w:val="14"/>
                <w:szCs w:val="14"/>
                <w:color w:val="auto"/>
              </w:rPr>
            </w:pPr>
          </w:p>
        </w:tc>
        <w:tc>
          <w:tcPr>
            <w:tcW w:w="700" w:type="dxa"/>
            <w:vAlign w:val="bottom"/>
            <w:vMerge w:val="restart"/>
          </w:tcPr>
          <w:p>
            <w:pPr>
              <w:jc w:val="right"/>
              <w:ind w:right="445"/>
              <w:spacing w:after="0"/>
              <w:rPr>
                <w:sz w:val="20"/>
                <w:szCs w:val="20"/>
                <w:color w:val="auto"/>
              </w:rPr>
            </w:pPr>
            <w:r>
              <w:rPr>
                <w:rFonts w:ascii="Arial" w:cs="Arial" w:eastAsia="Arial" w:hAnsi="Arial"/>
                <w:sz w:val="20"/>
                <w:szCs w:val="20"/>
                <w:color w:val="auto"/>
              </w:rPr>
              <w:t>$</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7040" w:type="dxa"/>
            <w:vAlign w:val="bottom"/>
          </w:tcPr>
          <w:p>
            <w:pPr>
              <w:jc w:val="right"/>
              <w:spacing w:after="0"/>
              <w:rPr>
                <w:sz w:val="20"/>
                <w:szCs w:val="20"/>
                <w:color w:val="auto"/>
              </w:rPr>
            </w:pPr>
            <w:r>
              <w:rPr>
                <w:rFonts w:ascii="Arial" w:cs="Arial" w:eastAsia="Arial" w:hAnsi="Arial"/>
                <w:sz w:val="20"/>
                <w:szCs w:val="20"/>
                <w:color w:val="auto"/>
                <w:w w:val="94"/>
              </w:rPr>
              <w:t xml:space="preserve">tax expense of $1 </w:t>
            </w:r>
            <w:r>
              <w:rPr>
                <w:rFonts w:ascii="Arial" w:cs="Arial" w:eastAsia="Arial" w:hAnsi="Arial"/>
                <w:sz w:val="20"/>
                <w:szCs w:val="20"/>
                <w:color w:val="B4B4B4"/>
                <w:w w:val="94"/>
              </w:rPr>
              <w:t>. . . . . . . . . . . . . . . . . . . . . . . . . . . . . . . . . . . . . . . . . . . . . . . . . . . .</w:t>
            </w:r>
          </w:p>
        </w:tc>
        <w:tc>
          <w:tcPr>
            <w:tcW w:w="70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-712470</wp:posOffset>
            </wp:positionV>
            <wp:extent cx="206375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3">
                      <a:extLst>
                        <a:ext uri="{28A0092B-C50C-407E-A947-70E740481C1C}"/>
                      </a:extLst>
                    </a:blip>
                    <a:srcRect/>
                    <a:stretch>
                      <a:fillRect/>
                    </a:stretch>
                  </pic:blipFill>
                  <pic:spPr bwMode="auto">
                    <a:xfrm>
                      <a:off x="0" y="0"/>
                      <a:ext cx="2063750" cy="5080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-331470</wp:posOffset>
            </wp:positionV>
            <wp:extent cx="206375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4">
                      <a:extLst>
                        <a:ext uri="{28A0092B-C50C-407E-A947-70E740481C1C}"/>
                      </a:extLst>
                    </a:blip>
                    <a:srcRect/>
                    <a:stretch>
                      <a:fillRect/>
                    </a:stretch>
                  </pic:blipFill>
                  <pic:spPr bwMode="auto">
                    <a:xfrm>
                      <a:off x="0" y="0"/>
                      <a:ext cx="206375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112395</wp:posOffset>
            </wp:positionV>
            <wp:extent cx="126682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5">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6" w:lineRule="exact"/>
        <w:rPr>
          <w:sz w:val="20"/>
          <w:szCs w:val="20"/>
          <w:color w:val="auto"/>
        </w:rPr>
      </w:pPr>
    </w:p>
    <w:p>
      <w:pPr>
        <w:ind w:left="260" w:hanging="180"/>
        <w:spacing w:after="0"/>
        <w:tabs>
          <w:tab w:leader="none" w:pos="26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Represents $4 million attributable to Clearway Energy, Inc. and $3 million attributable to noncontrolling interests.</w:t>
      </w:r>
    </w:p>
    <w:p>
      <w:pPr>
        <w:spacing w:after="0" w:line="165" w:lineRule="exact"/>
        <w:rPr>
          <w:sz w:val="20"/>
          <w:szCs w:val="20"/>
          <w:color w:val="auto"/>
        </w:rPr>
      </w:pPr>
    </w:p>
    <w:p>
      <w:pPr>
        <w:ind w:right="2020" w:firstLine="450"/>
        <w:spacing w:after="0" w:line="438" w:lineRule="auto"/>
        <w:rPr>
          <w:sz w:val="20"/>
          <w:szCs w:val="20"/>
          <w:color w:val="auto"/>
        </w:rPr>
      </w:pPr>
      <w:r>
        <w:rPr>
          <w:rFonts w:ascii="Arial" w:cs="Arial" w:eastAsia="Arial" w:hAnsi="Arial"/>
          <w:sz w:val="20"/>
          <w:szCs w:val="20"/>
          <w:color w:val="auto"/>
        </w:rPr>
        <w:t xml:space="preserve">Amounts reclassified from accumulated OCI (OCL) into income are recorded to interest expense. </w:t>
      </w:r>
      <w:r>
        <w:rPr>
          <w:rFonts w:ascii="Arial" w:cs="Arial" w:eastAsia="Arial" w:hAnsi="Arial"/>
          <w:sz w:val="20"/>
          <w:szCs w:val="20"/>
          <w:b w:val="1"/>
          <w:bCs w:val="1"/>
          <w:i w:val="1"/>
          <w:iCs w:val="1"/>
          <w:color w:val="auto"/>
        </w:rPr>
        <w:t>Impact of Derivative Instruments on the Consolidated Statements of Income</w:t>
      </w:r>
    </w:p>
    <w:p>
      <w:pPr>
        <w:spacing w:after="0" w:line="1" w:lineRule="exact"/>
        <w:rPr>
          <w:sz w:val="20"/>
          <w:szCs w:val="20"/>
          <w:color w:val="auto"/>
        </w:rPr>
      </w:pPr>
    </w:p>
    <w:p>
      <w:pPr>
        <w:ind w:right="20" w:firstLine="450"/>
        <w:spacing w:after="0" w:line="283" w:lineRule="auto"/>
        <w:rPr>
          <w:sz w:val="20"/>
          <w:szCs w:val="20"/>
          <w:color w:val="auto"/>
        </w:rPr>
      </w:pPr>
      <w:r>
        <w:rPr>
          <w:rFonts w:ascii="Arial" w:cs="Arial" w:eastAsia="Arial" w:hAnsi="Arial"/>
          <w:sz w:val="20"/>
          <w:szCs w:val="20"/>
          <w:color w:val="auto"/>
        </w:rPr>
        <w:t>Mark-to-market gains/(losses) related to the Company’s derivatives are recorded in the consolidated statements of income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0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165"/>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70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Interest Rate Contracts (Interest expense) </w:t>
            </w:r>
            <w:r>
              <w:rPr>
                <w:rFonts w:ascii="Arial" w:cs="Arial" w:eastAsia="Arial" w:hAnsi="Arial"/>
                <w:sz w:val="20"/>
                <w:szCs w:val="20"/>
                <w:color w:val="B4B4B4"/>
                <w:w w:val="90"/>
              </w:rPr>
              <w:t>. . . . . . . . . . . . . . . . . . . . . . . . . . . . . . . . . . . .</w:t>
            </w:r>
          </w:p>
        </w:tc>
        <w:tc>
          <w:tcPr>
            <w:tcW w:w="680" w:type="dxa"/>
            <w:vAlign w:val="bottom"/>
            <w:shd w:val="clear" w:color="auto" w:fill="E6E6E6"/>
          </w:tcPr>
          <w:p>
            <w:pPr>
              <w:jc w:val="right"/>
              <w:ind w:right="430"/>
              <w:spacing w:after="0"/>
              <w:rPr>
                <w:sz w:val="20"/>
                <w:szCs w:val="20"/>
                <w:color w:val="auto"/>
              </w:rPr>
            </w:pPr>
            <w:r>
              <w:rPr>
                <w:rFonts w:ascii="Arial" w:cs="Arial" w:eastAsia="Arial" w:hAnsi="Arial"/>
                <w:sz w:val="20"/>
                <w:szCs w:val="20"/>
                <w:color w:val="auto"/>
              </w:rPr>
              <w:t>$</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22"/>
        </w:trPr>
        <w:tc>
          <w:tcPr>
            <w:tcW w:w="7040" w:type="dxa"/>
            <w:vAlign w:val="bottom"/>
          </w:tcPr>
          <w:p>
            <w:pPr>
              <w:ind w:left="40"/>
              <w:spacing w:after="0" w:line="222" w:lineRule="exact"/>
              <w:rPr>
                <w:sz w:val="20"/>
                <w:szCs w:val="20"/>
                <w:color w:val="auto"/>
              </w:rPr>
            </w:pPr>
            <w:r>
              <w:rPr>
                <w:rFonts w:ascii="Arial" w:cs="Arial" w:eastAsia="Arial" w:hAnsi="Arial"/>
                <w:sz w:val="20"/>
                <w:szCs w:val="20"/>
                <w:color w:val="auto"/>
              </w:rPr>
              <w:t>Energy-Related Commodity Contracts (Mark-to-market for economic hedging</w:t>
            </w:r>
          </w:p>
        </w:tc>
        <w:tc>
          <w:tcPr>
            <w:tcW w:w="68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w w:val="84"/>
              </w:rPr>
              <w:t>(32)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(174)</w:t>
            </w:r>
          </w:p>
        </w:tc>
        <w:tc>
          <w:tcPr>
            <w:tcW w:w="0" w:type="dxa"/>
            <w:vAlign w:val="bottom"/>
          </w:tcPr>
          <w:p>
            <w:pPr>
              <w:spacing w:after="0"/>
              <w:rPr>
                <w:sz w:val="1"/>
                <w:szCs w:val="1"/>
                <w:color w:val="auto"/>
              </w:rPr>
            </w:pPr>
          </w:p>
        </w:tc>
      </w:tr>
      <w:tr>
        <w:trPr>
          <w:trHeight w:val="273"/>
        </w:trPr>
        <w:tc>
          <w:tcPr>
            <w:tcW w:w="7040" w:type="dxa"/>
            <w:vAlign w:val="bottom"/>
          </w:tcPr>
          <w:p>
            <w:pPr>
              <w:ind w:left="220"/>
              <w:spacing w:after="0" w:line="273" w:lineRule="exact"/>
              <w:rPr>
                <w:sz w:val="20"/>
                <w:szCs w:val="20"/>
                <w:color w:val="auto"/>
              </w:rPr>
            </w:pPr>
            <w:r>
              <w:rPr>
                <w:rFonts w:ascii="Arial" w:cs="Arial" w:eastAsia="Arial" w:hAnsi="Arial"/>
                <w:sz w:val="20"/>
                <w:szCs w:val="20"/>
                <w:color w:val="auto"/>
                <w:w w:val="90"/>
              </w:rPr>
              <w:t xml:space="preserve">activities included in Total operating revenues) </w:t>
            </w:r>
            <w:r>
              <w:rPr>
                <w:rFonts w:ascii="Arial" w:cs="Arial" w:eastAsia="Arial" w:hAnsi="Arial"/>
                <w:sz w:val="26"/>
                <w:szCs w:val="26"/>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w:t>
            </w:r>
          </w:p>
        </w:tc>
        <w:tc>
          <w:tcPr>
            <w:tcW w:w="680" w:type="dxa"/>
            <w:vAlign w:val="bottom"/>
          </w:tcPr>
          <w:p>
            <w:pPr>
              <w:spacing w:after="0"/>
              <w:rPr>
                <w:sz w:val="23"/>
                <w:szCs w:val="23"/>
                <w:color w:val="auto"/>
              </w:rPr>
            </w:pPr>
          </w:p>
        </w:tc>
        <w:tc>
          <w:tcPr>
            <w:tcW w:w="3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040" w:type="dxa"/>
            <w:vAlign w:val="bottom"/>
            <w:shd w:val="clear" w:color="auto" w:fill="E6E6E6"/>
          </w:tcPr>
          <w:p>
            <w:pPr>
              <w:ind w:left="40"/>
              <w:spacing w:after="0" w:line="222" w:lineRule="exact"/>
              <w:rPr>
                <w:sz w:val="20"/>
                <w:szCs w:val="20"/>
                <w:color w:val="auto"/>
              </w:rPr>
            </w:pPr>
            <w:r>
              <w:rPr>
                <w:rFonts w:ascii="Arial" w:cs="Arial" w:eastAsia="Arial" w:hAnsi="Arial"/>
                <w:sz w:val="20"/>
                <w:szCs w:val="20"/>
                <w:color w:val="auto"/>
              </w:rPr>
              <w:t>Energy-Related Commodity Contracts (Mark-to-market for economic hedging</w:t>
            </w:r>
          </w:p>
        </w:tc>
        <w:tc>
          <w:tcPr>
            <w:tcW w:w="680" w:type="dxa"/>
            <w:vAlign w:val="bottom"/>
            <w:shd w:val="clear" w:color="auto" w:fill="E6E6E6"/>
          </w:tcPr>
          <w:p>
            <w:pPr>
              <w:spacing w:after="0"/>
              <w:rPr>
                <w:sz w:val="19"/>
                <w:szCs w:val="19"/>
                <w:color w:val="auto"/>
              </w:rPr>
            </w:pPr>
          </w:p>
        </w:tc>
        <w:tc>
          <w:tcPr>
            <w:tcW w:w="3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700" w:type="dxa"/>
            <w:vAlign w:val="bottom"/>
            <w:vMerge w:val="restart"/>
            <w:shd w:val="clear" w:color="auto" w:fill="E6E6E6"/>
          </w:tcPr>
          <w:p>
            <w:pPr>
              <w:jc w:val="right"/>
              <w:ind w:right="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7040" w:type="dxa"/>
            <w:vAlign w:val="bottom"/>
            <w:shd w:val="clear" w:color="auto" w:fill="E6E6E6"/>
          </w:tcPr>
          <w:p>
            <w:pPr>
              <w:ind w:left="220"/>
              <w:spacing w:after="0" w:line="273" w:lineRule="exact"/>
              <w:rPr>
                <w:sz w:val="20"/>
                <w:szCs w:val="20"/>
                <w:color w:val="auto"/>
              </w:rPr>
            </w:pPr>
            <w:r>
              <w:rPr>
                <w:rFonts w:ascii="Arial" w:cs="Arial" w:eastAsia="Arial" w:hAnsi="Arial"/>
                <w:sz w:val="20"/>
                <w:szCs w:val="20"/>
                <w:color w:val="auto"/>
                <w:w w:val="91"/>
              </w:rPr>
              <w:t xml:space="preserve">activities included in Cost of operations) </w:t>
            </w:r>
            <w:r>
              <w:rPr>
                <w:rFonts w:ascii="Arial" w:cs="Arial" w:eastAsia="Arial" w:hAnsi="Arial"/>
                <w:sz w:val="26"/>
                <w:szCs w:val="26"/>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4B4B4"/>
                <w:w w:val="91"/>
              </w:rPr>
              <w:t>. . . . . . . . . . . . . . . . . . . . . . . . . . . . . . . . .</w:t>
            </w:r>
          </w:p>
        </w:tc>
        <w:tc>
          <w:tcPr>
            <w:tcW w:w="680" w:type="dxa"/>
            <w:vAlign w:val="bottom"/>
            <w:shd w:val="clear" w:color="auto" w:fill="E6E6E6"/>
          </w:tcPr>
          <w:p>
            <w:pPr>
              <w:spacing w:after="0"/>
              <w:rPr>
                <w:sz w:val="23"/>
                <w:szCs w:val="23"/>
                <w:color w:val="auto"/>
              </w:rPr>
            </w:pPr>
          </w:p>
        </w:tc>
        <w:tc>
          <w:tcPr>
            <w:tcW w:w="3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126682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32" w:lineRule="exact"/>
        <w:rPr>
          <w:sz w:val="20"/>
          <w:szCs w:val="20"/>
          <w:color w:val="auto"/>
        </w:rPr>
      </w:pPr>
    </w:p>
    <w:p>
      <w:pPr>
        <w:ind w:left="80"/>
        <w:spacing w:after="0" w:line="209" w:lineRule="auto"/>
        <w:tabs>
          <w:tab w:leader="none" w:pos="305" w:val="left"/>
        </w:tabs>
        <w:numPr>
          <w:ilvl w:val="0"/>
          <w:numId w:val="62"/>
        </w:numPr>
        <w:rPr>
          <w:rFonts w:ascii="Arial" w:cs="Arial" w:eastAsia="Arial" w:hAnsi="Arial"/>
          <w:sz w:val="26"/>
          <w:szCs w:val="26"/>
          <w:color w:val="auto"/>
          <w:vertAlign w:val="superscript"/>
        </w:rPr>
      </w:pPr>
      <w:r>
        <w:rPr>
          <w:rFonts w:ascii="Arial" w:cs="Arial" w:eastAsia="Arial" w:hAnsi="Arial"/>
          <w:sz w:val="16"/>
          <w:szCs w:val="16"/>
          <w:color w:val="auto"/>
        </w:rPr>
        <w:t>Relates to long-term energy-related commodity contracts at Elbow Creek, Mesquite Star, Mt. Storm, Langford and Mesquite Sky and heat rate call option energy-related commodity contracts at El Segundo, Marsh Landing and Walnut Creek.</w:t>
      </w:r>
    </w:p>
    <w:p>
      <w:pPr>
        <w:ind w:left="300" w:hanging="220"/>
        <w:spacing w:after="0" w:line="224" w:lineRule="auto"/>
        <w:tabs>
          <w:tab w:leader="none" w:pos="300" w:val="left"/>
        </w:tabs>
        <w:numPr>
          <w:ilvl w:val="0"/>
          <w:numId w:val="62"/>
        </w:numPr>
        <w:rPr>
          <w:rFonts w:ascii="Arial" w:cs="Arial" w:eastAsia="Arial" w:hAnsi="Arial"/>
          <w:sz w:val="26"/>
          <w:szCs w:val="26"/>
          <w:color w:val="auto"/>
          <w:vertAlign w:val="superscript"/>
        </w:rPr>
      </w:pPr>
      <w:r>
        <w:rPr>
          <w:rFonts w:ascii="Arial" w:cs="Arial" w:eastAsia="Arial" w:hAnsi="Arial"/>
          <w:sz w:val="16"/>
          <w:szCs w:val="16"/>
          <w:color w:val="auto"/>
        </w:rPr>
        <w:t>Relates to long-term backbone transportation service energy-related commodity contracts at El Segundo and Walnut Creek.</w:t>
      </w:r>
    </w:p>
    <w:p>
      <w:pPr>
        <w:spacing w:after="0" w:line="168" w:lineRule="exact"/>
        <w:rPr>
          <w:sz w:val="20"/>
          <w:szCs w:val="20"/>
          <w:color w:val="auto"/>
        </w:rPr>
      </w:pPr>
    </w:p>
    <w:p>
      <w:pPr>
        <w:ind w:right="1520" w:firstLine="450"/>
        <w:spacing w:after="0" w:line="469" w:lineRule="auto"/>
        <w:rPr>
          <w:sz w:val="20"/>
          <w:szCs w:val="20"/>
          <w:color w:val="auto"/>
        </w:rPr>
      </w:pPr>
      <w:r>
        <w:rPr>
          <w:rFonts w:ascii="Arial" w:cs="Arial" w:eastAsia="Arial" w:hAnsi="Arial"/>
          <w:sz w:val="20"/>
          <w:szCs w:val="20"/>
          <w:color w:val="auto"/>
        </w:rPr>
        <w:t xml:space="preserve">See Note 6,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a discussion regarding concentration of credit risk. </w:t>
      </w:r>
      <w:r>
        <w:rPr>
          <w:rFonts w:ascii="Arial" w:cs="Arial" w:eastAsia="Arial" w:hAnsi="Arial"/>
          <w:sz w:val="20"/>
          <w:szCs w:val="20"/>
          <w:b w:val="1"/>
          <w:bCs w:val="1"/>
          <w:color w:val="auto"/>
        </w:rPr>
        <w:t>Note 8 — Intangible Assets</w:t>
      </w:r>
    </w:p>
    <w:p>
      <w:pPr>
        <w:spacing w:after="0" w:line="1" w:lineRule="exact"/>
        <w:rPr>
          <w:sz w:val="20"/>
          <w:szCs w:val="20"/>
          <w:color w:val="auto"/>
        </w:rPr>
      </w:pPr>
    </w:p>
    <w:p>
      <w:pPr>
        <w:ind w:right="20" w:firstLine="450"/>
        <w:spacing w:after="0" w:line="281" w:lineRule="auto"/>
        <w:rPr>
          <w:sz w:val="20"/>
          <w:szCs w:val="20"/>
          <w:color w:val="auto"/>
        </w:rPr>
      </w:pPr>
      <w:r>
        <w:rPr>
          <w:rFonts w:ascii="Arial" w:cs="Arial" w:eastAsia="Arial" w:hAnsi="Arial"/>
          <w:sz w:val="20"/>
          <w:szCs w:val="20"/>
          <w:b w:val="1"/>
          <w:bCs w:val="1"/>
          <w:i w:val="1"/>
          <w:iCs w:val="1"/>
          <w:color w:val="auto"/>
        </w:rPr>
        <w:t xml:space="preserve">Intangible Assets </w:t>
      </w:r>
      <w:r>
        <w:rPr>
          <w:rFonts w:ascii="Arial" w:cs="Arial" w:eastAsia="Arial" w:hAnsi="Arial"/>
          <w:sz w:val="20"/>
          <w:szCs w:val="20"/>
          <w:color w:val="auto"/>
        </w:rPr>
        <w:t>— The Company’s intangible assets as of December 31, 2024 and 2023 primarily reflect intangible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established from its business acquisitions and are comprised of the following:</w:t>
      </w:r>
    </w:p>
    <w:p>
      <w:pPr>
        <w:spacing w:after="0" w:line="1" w:lineRule="exact"/>
        <w:rPr>
          <w:sz w:val="20"/>
          <w:szCs w:val="20"/>
          <w:color w:val="auto"/>
        </w:rPr>
      </w:pPr>
    </w:p>
    <w:p>
      <w:pPr>
        <w:jc w:val="both"/>
        <w:ind w:left="720" w:hanging="370"/>
        <w:spacing w:after="0" w:line="301" w:lineRule="auto"/>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PPAs </w:t>
      </w:r>
      <w:r>
        <w:rPr>
          <w:rFonts w:ascii="Arial" w:cs="Arial" w:eastAsia="Arial" w:hAnsi="Arial"/>
          <w:sz w:val="18"/>
          <w:szCs w:val="18"/>
          <w:color w:val="auto"/>
        </w:rPr>
        <w:t>— Established predominantly with the acquisitions of the Alta Wind Portfolio, Tapestry, Laredo Ridge,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Carlsbad Energy Center, Agua Caliente, the Utah Solar Portfolio and the Capistrano Wind Portfolio. These represent the fair value of the PPAs acquired. These are amortized on a straight-line basis, over the term of the PPA.</w:t>
      </w:r>
    </w:p>
    <w:p>
      <w:pPr>
        <w:spacing w:after="0" w:line="1" w:lineRule="exact"/>
        <w:rPr>
          <w:rFonts w:ascii="Arial" w:cs="Arial" w:eastAsia="Arial" w:hAnsi="Arial"/>
          <w:sz w:val="18"/>
          <w:szCs w:val="18"/>
          <w:b w:val="1"/>
          <w:bCs w:val="1"/>
          <w:i w:val="1"/>
          <w:iCs w:val="1"/>
          <w:color w:val="auto"/>
        </w:rPr>
      </w:pPr>
    </w:p>
    <w:p>
      <w:pPr>
        <w:jc w:val="both"/>
        <w:ind w:left="720" w:right="20" w:hanging="370"/>
        <w:spacing w:after="0" w:line="272" w:lineRule="auto"/>
        <w:tabs>
          <w:tab w:leader="none" w:pos="720" w:val="left"/>
        </w:tabs>
        <w:numPr>
          <w:ilvl w:val="0"/>
          <w:numId w:val="6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Leasehold Rights </w:t>
      </w:r>
      <w:r>
        <w:rPr>
          <w:rFonts w:ascii="Arial" w:cs="Arial" w:eastAsia="Arial" w:hAnsi="Arial"/>
          <w:sz w:val="19"/>
          <w:szCs w:val="19"/>
          <w:color w:val="auto"/>
        </w:rPr>
        <w:t>— Established with the acquisition of the Alta Wind Portfolio, this represents the fair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contractual rights to receive royalty payments equal to a percentage of PPA revenue from certain facilities. These are amortized as a reduction to operating revenue on a straight-line basis over the term of the PPAs.</w:t>
      </w:r>
    </w:p>
    <w:p>
      <w:pPr>
        <w:spacing w:after="0" w:line="1" w:lineRule="exact"/>
        <w:rPr>
          <w:rFonts w:ascii="Arial" w:cs="Arial" w:eastAsia="Arial" w:hAnsi="Arial"/>
          <w:sz w:val="19"/>
          <w:szCs w:val="19"/>
          <w:color w:val="auto"/>
        </w:rPr>
      </w:pPr>
    </w:p>
    <w:p>
      <w:pPr>
        <w:jc w:val="both"/>
        <w:ind w:left="720" w:right="20" w:hanging="370"/>
        <w:spacing w:after="0" w:line="231"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Emission Allowances </w:t>
      </w:r>
      <w:r>
        <w:rPr>
          <w:rFonts w:ascii="Arial" w:cs="Arial" w:eastAsia="Arial" w:hAnsi="Arial"/>
          <w:sz w:val="20"/>
          <w:szCs w:val="20"/>
          <w:color w:val="auto"/>
        </w:rPr>
        <w:t>— These intangibles primarily consist of SO</w:t>
      </w:r>
      <w:r>
        <w:rPr>
          <w:rFonts w:ascii="Arial" w:cs="Arial" w:eastAsia="Arial" w:hAnsi="Arial"/>
          <w:sz w:val="26"/>
          <w:szCs w:val="26"/>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NO</w:t>
      </w:r>
      <w:r>
        <w:rPr>
          <w:rFonts w:ascii="Arial" w:cs="Arial" w:eastAsia="Arial" w:hAnsi="Arial"/>
          <w:sz w:val="16"/>
          <w:szCs w:val="16"/>
          <w:color w:val="auto"/>
        </w:rPr>
        <w:t>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emission allowances established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 Segundo, Walnut Creek and Carlsbad Energy Center acquisitions. These emission allowances are held-for-use and are amortized to cost of operations, with NO</w:t>
      </w:r>
      <w:r>
        <w:rPr>
          <w:rFonts w:ascii="Arial" w:cs="Arial" w:eastAsia="Arial" w:hAnsi="Arial"/>
          <w:sz w:val="16"/>
          <w:szCs w:val="16"/>
          <w:color w:val="auto"/>
        </w:rPr>
        <w:t>x</w:t>
      </w:r>
      <w:r>
        <w:rPr>
          <w:rFonts w:ascii="Arial" w:cs="Arial" w:eastAsia="Arial" w:hAnsi="Arial"/>
          <w:sz w:val="20"/>
          <w:szCs w:val="20"/>
          <w:color w:val="auto"/>
        </w:rPr>
        <w:t xml:space="preserve"> allowances amortized on a straight-line basis and SO</w:t>
      </w:r>
      <w:r>
        <w:rPr>
          <w:rFonts w:ascii="Arial" w:cs="Arial" w:eastAsia="Arial" w:hAnsi="Arial"/>
          <w:sz w:val="26"/>
          <w:szCs w:val="26"/>
          <w:color w:val="auto"/>
          <w:vertAlign w:val="subscript"/>
        </w:rPr>
        <w:t>2</w:t>
      </w:r>
      <w:r>
        <w:rPr>
          <w:rFonts w:ascii="Arial" w:cs="Arial" w:eastAsia="Arial" w:hAnsi="Arial"/>
          <w:sz w:val="20"/>
          <w:szCs w:val="20"/>
          <w:color w:val="auto"/>
        </w:rPr>
        <w:t xml:space="preserve"> allowances amortized based on units of production.</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880" w:h="15480" w:orient="portrait"/>
          <w:cols w:equalWidth="0" w:num="1">
            <w:col w:w="10260"/>
          </w:cols>
          <w:pgMar w:left="820" w:top="359" w:right="800" w:bottom="0" w:gutter="0" w:footer="0" w:header="0"/>
          <w:type w:val="continuous"/>
        </w:sectPr>
      </w:pPr>
    </w:p>
    <w:bookmarkStart w:id="111" w:name="page112"/>
    <w:bookmarkEnd w:id="111"/>
    <w:p>
      <w:pPr>
        <w:jc w:val="both"/>
        <w:ind w:left="720" w:right="20" w:hanging="370"/>
        <w:spacing w:after="0" w:line="276" w:lineRule="auto"/>
        <w:tabs>
          <w:tab w:leader="none" w:pos="720" w:val="left"/>
        </w:tabs>
        <w:numPr>
          <w:ilvl w:val="0"/>
          <w:numId w:val="6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w:t>
      </w:r>
      <w:r>
        <w:rPr>
          <w:rFonts w:ascii="Arial" w:cs="Arial" w:eastAsia="Arial" w:hAnsi="Arial"/>
          <w:sz w:val="19"/>
          <w:szCs w:val="19"/>
          <w:color w:val="auto"/>
        </w:rPr>
        <w:t>— Consists of a) the acquisition date fair value of the contractual rights to a ground lease for South Trent and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utilize certain interconnection facilities for Blythe as well as land rights acquired in connection with the acquisition of Elbow Creek; b) development rights related to certain solar business acquisitions; c) purchased software for certain solar facilities; d) RECs acquired in connection with the acquisition of the Utah Solar Portfolio; and e) favorable land leases acquired in connection with the acquisition of the Utah Star Portfolio.</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tables summarize the components of intangible assets subject to amortization: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 ended December 31, 2024</w:t>
            </w:r>
          </w:p>
        </w:tc>
        <w:tc>
          <w:tcPr>
            <w:tcW w:w="260" w:type="dxa"/>
            <w:vAlign w:val="bottom"/>
          </w:tcPr>
          <w:p>
            <w:pPr>
              <w:spacing w:after="0"/>
              <w:rPr>
                <w:sz w:val="16"/>
                <w:szCs w:val="16"/>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PPAs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Leasehold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Emission</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3"/>
              <w:spacing w:after="0" w:line="174" w:lineRule="exact"/>
              <w:rPr>
                <w:sz w:val="20"/>
                <w:szCs w:val="20"/>
                <w:color w:val="auto"/>
              </w:rPr>
            </w:pPr>
            <w:r>
              <w:rPr>
                <w:rFonts w:ascii="Arial" w:cs="Arial" w:eastAsia="Arial" w:hAnsi="Arial"/>
                <w:sz w:val="16"/>
                <w:szCs w:val="16"/>
                <w:b w:val="1"/>
                <w:bCs w:val="1"/>
                <w:color w:val="auto"/>
                <w:w w:val="88"/>
              </w:rPr>
              <w:t>Rights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3"/>
              <w:spacing w:after="0" w:line="174" w:lineRule="exact"/>
              <w:rPr>
                <w:sz w:val="20"/>
                <w:szCs w:val="20"/>
                <w:color w:val="auto"/>
              </w:rPr>
            </w:pPr>
            <w:r>
              <w:rPr>
                <w:rFonts w:ascii="Arial" w:cs="Arial" w:eastAsia="Arial" w:hAnsi="Arial"/>
                <w:sz w:val="16"/>
                <w:szCs w:val="16"/>
                <w:b w:val="1"/>
                <w:bCs w:val="1"/>
                <w:color w:val="auto"/>
                <w:w w:val="86"/>
              </w:rPr>
              <w:t>Allowances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8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shd w:val="clear" w:color="auto" w:fill="E6E6E6"/>
          </w:tcPr>
          <w:p>
            <w:pPr>
              <w:spacing w:after="0"/>
              <w:rPr>
                <w:sz w:val="24"/>
                <w:szCs w:val="24"/>
                <w:color w:val="auto"/>
              </w:rPr>
            </w:pPr>
          </w:p>
        </w:tc>
        <w:tc>
          <w:tcPr>
            <w:tcW w:w="392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0"/>
              </w:rPr>
              <w:t xml:space="preserve">January 1, 2024 </w:t>
            </w:r>
            <w:r>
              <w:rPr>
                <w:rFonts w:ascii="Arial" w:cs="Arial" w:eastAsia="Arial" w:hAnsi="Arial"/>
                <w:sz w:val="18"/>
                <w:szCs w:val="18"/>
                <w:color w:val="B4B4B4"/>
                <w:w w:val="90"/>
              </w:rPr>
              <w:t>. . . . . . . . . . . . . . . . . . . . . . . . . . . . . .</w:t>
            </w:r>
          </w:p>
        </w:tc>
        <w:tc>
          <w:tcPr>
            <w:tcW w:w="260" w:type="dxa"/>
            <w:vAlign w:val="bottom"/>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3,265</w:t>
            </w:r>
          </w:p>
        </w:tc>
        <w:tc>
          <w:tcPr>
            <w:tcW w:w="2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90"/>
        </w:trPr>
        <w:tc>
          <w:tcPr>
            <w:tcW w:w="3960" w:type="dxa"/>
            <w:vAlign w:val="bottom"/>
            <w:tcBorders>
              <w:bottom w:val="single" w:sz="8" w:color="E6E6E6"/>
            </w:tcBorders>
            <w:gridSpan w:val="3"/>
          </w:tcPr>
          <w:p>
            <w:pPr>
              <w:ind w:left="40"/>
              <w:spacing w:after="0"/>
              <w:rPr>
                <w:sz w:val="20"/>
                <w:szCs w:val="20"/>
                <w:color w:val="auto"/>
              </w:rPr>
            </w:pPr>
            <w:r>
              <w:rPr>
                <w:rFonts w:ascii="Arial" w:cs="Arial" w:eastAsia="Arial" w:hAnsi="Arial"/>
                <w:sz w:val="18"/>
                <w:szCs w:val="18"/>
                <w:color w:val="auto"/>
                <w:w w:val="91"/>
              </w:rPr>
              <w:t xml:space="preserve">Other </w:t>
            </w:r>
            <w:r>
              <w:rPr>
                <w:rFonts w:ascii="Arial" w:cs="Arial" w:eastAsia="Arial" w:hAnsi="Arial"/>
                <w:sz w:val="18"/>
                <w:szCs w:val="18"/>
                <w:color w:val="B4B4B4"/>
                <w:w w:val="91"/>
              </w:rPr>
              <w:t>. . . . . . . . . . . . . . . . . . . . . . . . . . . . . . . . . . . . . .</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40" w:type="dxa"/>
            <w:vAlign w:val="bottom"/>
            <w:shd w:val="clear" w:color="auto" w:fill="E6E6E6"/>
          </w:tcPr>
          <w:p>
            <w:pPr>
              <w:spacing w:after="0"/>
              <w:rPr>
                <w:sz w:val="24"/>
                <w:szCs w:val="24"/>
                <w:color w:val="auto"/>
              </w:rPr>
            </w:pPr>
          </w:p>
        </w:tc>
        <w:tc>
          <w:tcPr>
            <w:tcW w:w="4180" w:type="dxa"/>
            <w:vAlign w:val="bottom"/>
            <w:gridSpan w:val="3"/>
            <w:shd w:val="clear" w:color="auto" w:fill="E6E6E6"/>
          </w:tcPr>
          <w:p>
            <w:pPr>
              <w:spacing w:after="0"/>
              <w:rPr>
                <w:sz w:val="20"/>
                <w:szCs w:val="20"/>
                <w:color w:val="auto"/>
              </w:rPr>
            </w:pPr>
            <w:r>
              <w:rPr>
                <w:rFonts w:ascii="Arial" w:cs="Arial" w:eastAsia="Arial" w:hAnsi="Arial"/>
                <w:sz w:val="18"/>
                <w:szCs w:val="18"/>
                <w:color w:val="auto"/>
                <w:w w:val="97"/>
              </w:rPr>
              <w:t xml:space="preserve">December 31, 2024 </w:t>
            </w:r>
            <w:r>
              <w:rPr>
                <w:rFonts w:ascii="Arial" w:cs="Arial" w:eastAsia="Arial" w:hAnsi="Arial"/>
                <w:sz w:val="18"/>
                <w:szCs w:val="18"/>
                <w:color w:val="B4B4B4"/>
                <w:w w:val="97"/>
              </w:rPr>
              <w:t>. . . . . . . . . . . . . . . . . . . . . . . . . . .</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3,265</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90"/>
        </w:trPr>
        <w:tc>
          <w:tcPr>
            <w:tcW w:w="40" w:type="dxa"/>
            <w:vAlign w:val="bottom"/>
            <w:tcBorders>
              <w:bottom w:val="single" w:sz="8" w:color="E6E6E6"/>
            </w:tcBorders>
          </w:tcPr>
          <w:p>
            <w:pPr>
              <w:spacing w:after="0"/>
              <w:rPr>
                <w:sz w:val="24"/>
                <w:szCs w:val="24"/>
                <w:color w:val="auto"/>
              </w:rPr>
            </w:pPr>
          </w:p>
        </w:tc>
        <w:tc>
          <w:tcPr>
            <w:tcW w:w="3920" w:type="dxa"/>
            <w:vAlign w:val="bottom"/>
            <w:tcBorders>
              <w:bottom w:val="single" w:sz="8" w:color="E6E6E6"/>
            </w:tcBorders>
            <w:gridSpan w:val="2"/>
          </w:tcPr>
          <w:p>
            <w:pPr>
              <w:ind w:left="180"/>
              <w:spacing w:after="0"/>
              <w:rPr>
                <w:sz w:val="20"/>
                <w:szCs w:val="20"/>
                <w:color w:val="auto"/>
              </w:rPr>
            </w:pPr>
            <w:r>
              <w:rPr>
                <w:rFonts w:ascii="Arial" w:cs="Arial" w:eastAsia="Arial" w:hAnsi="Arial"/>
                <w:sz w:val="18"/>
                <w:szCs w:val="18"/>
                <w:color w:val="auto"/>
                <w:w w:val="92"/>
              </w:rPr>
              <w:t xml:space="preserve">Less accumulated amortization  </w:t>
            </w:r>
            <w:r>
              <w:rPr>
                <w:rFonts w:ascii="Arial" w:cs="Arial" w:eastAsia="Arial" w:hAnsi="Arial"/>
                <w:sz w:val="18"/>
                <w:szCs w:val="18"/>
                <w:color w:val="B4B4B4"/>
                <w:w w:val="92"/>
              </w:rPr>
              <w:t>. . . . . . . . . . . . . . .</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80"/>
        </w:trPr>
        <w:tc>
          <w:tcPr>
            <w:tcW w:w="3960" w:type="dxa"/>
            <w:vAlign w:val="bottom"/>
            <w:gridSpan w:val="3"/>
            <w:shd w:val="clear" w:color="auto" w:fill="E6E6E6"/>
          </w:tcPr>
          <w:p>
            <w:pPr>
              <w:ind w:left="40"/>
              <w:spacing w:after="0"/>
              <w:rPr>
                <w:sz w:val="20"/>
                <w:szCs w:val="20"/>
                <w:color w:val="auto"/>
              </w:rPr>
            </w:pPr>
            <w:r>
              <w:rPr>
                <w:rFonts w:ascii="Arial" w:cs="Arial" w:eastAsia="Arial" w:hAnsi="Arial"/>
                <w:sz w:val="18"/>
                <w:szCs w:val="18"/>
                <w:color w:val="auto"/>
                <w:w w:val="92"/>
              </w:rPr>
              <w:t xml:space="preserve">Net carrying amount </w:t>
            </w:r>
            <w:r>
              <w:rPr>
                <w:rFonts w:ascii="Arial" w:cs="Arial" w:eastAsia="Arial" w:hAnsi="Arial"/>
                <w:sz w:val="18"/>
                <w:szCs w:val="18"/>
                <w:color w:val="B4B4B4"/>
                <w:w w:val="92"/>
              </w:rPr>
              <w:t>. . . . . . . . . . . . . . . . . . . . . . . . . .</w:t>
            </w:r>
          </w:p>
        </w:tc>
        <w:tc>
          <w:tcPr>
            <w:tcW w:w="260" w:type="dxa"/>
            <w:vAlign w:val="bottom"/>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2,125</w:t>
            </w:r>
          </w:p>
        </w:tc>
        <w:tc>
          <w:tcPr>
            <w:tcW w:w="2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40" w:type="dxa"/>
            <w:vAlign w:val="bottom"/>
            <w:tcBorders>
              <w:top w:val="single" w:sz="8" w:color="E6E6E6"/>
            </w:tcBorders>
          </w:tcPr>
          <w:p>
            <w:pPr>
              <w:spacing w:after="0" w:line="20" w:lineRule="exact"/>
              <w:rPr>
                <w:sz w:val="1"/>
                <w:szCs w:val="1"/>
                <w:color w:val="auto"/>
              </w:rPr>
            </w:pPr>
          </w:p>
        </w:tc>
        <w:tc>
          <w:tcPr>
            <w:tcW w:w="2120" w:type="dxa"/>
            <w:vAlign w:val="bottom"/>
            <w:tcBorders>
              <w:top w:val="single" w:sz="8" w:color="E6E6E6"/>
            </w:tcBorders>
          </w:tcPr>
          <w:p>
            <w:pPr>
              <w:spacing w:after="0" w:line="20" w:lineRule="exact"/>
              <w:rPr>
                <w:sz w:val="1"/>
                <w:szCs w:val="1"/>
                <w:color w:val="auto"/>
              </w:rPr>
            </w:pPr>
          </w:p>
        </w:tc>
        <w:tc>
          <w:tcPr>
            <w:tcW w:w="180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 ended December 31, 2023</w:t>
            </w:r>
          </w:p>
        </w:tc>
        <w:tc>
          <w:tcPr>
            <w:tcW w:w="260" w:type="dxa"/>
            <w:vAlign w:val="bottom"/>
          </w:tcPr>
          <w:p>
            <w:pPr>
              <w:spacing w:after="0"/>
              <w:rPr>
                <w:sz w:val="24"/>
                <w:szCs w:val="24"/>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PPAs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Leasehold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Emission</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3"/>
              <w:spacing w:after="0" w:line="174" w:lineRule="exact"/>
              <w:rPr>
                <w:sz w:val="20"/>
                <w:szCs w:val="20"/>
                <w:color w:val="auto"/>
              </w:rPr>
            </w:pPr>
            <w:r>
              <w:rPr>
                <w:rFonts w:ascii="Arial" w:cs="Arial" w:eastAsia="Arial" w:hAnsi="Arial"/>
                <w:sz w:val="16"/>
                <w:szCs w:val="16"/>
                <w:b w:val="1"/>
                <w:bCs w:val="1"/>
                <w:color w:val="auto"/>
                <w:w w:val="88"/>
              </w:rPr>
              <w:t>Rights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3"/>
              <w:spacing w:after="0" w:line="174" w:lineRule="exact"/>
              <w:rPr>
                <w:sz w:val="20"/>
                <w:szCs w:val="20"/>
                <w:color w:val="auto"/>
              </w:rPr>
            </w:pPr>
            <w:r>
              <w:rPr>
                <w:rFonts w:ascii="Arial" w:cs="Arial" w:eastAsia="Arial" w:hAnsi="Arial"/>
                <w:sz w:val="16"/>
                <w:szCs w:val="16"/>
                <w:b w:val="1"/>
                <w:bCs w:val="1"/>
                <w:color w:val="auto"/>
                <w:w w:val="86"/>
              </w:rPr>
              <w:t>Allowances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8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40" w:type="dxa"/>
            <w:vAlign w:val="bottom"/>
            <w:vMerge w:val="continue"/>
          </w:tcPr>
          <w:p>
            <w:pPr>
              <w:spacing w:after="0"/>
              <w:rPr>
                <w:sz w:val="23"/>
                <w:szCs w:val="23"/>
                <w:color w:val="auto"/>
              </w:rPr>
            </w:pPr>
          </w:p>
        </w:tc>
        <w:tc>
          <w:tcPr>
            <w:tcW w:w="2120" w:type="dxa"/>
            <w:vAlign w:val="bottom"/>
            <w:vMerge w:val="continue"/>
          </w:tcPr>
          <w:p>
            <w:pPr>
              <w:spacing w:after="0"/>
              <w:rPr>
                <w:sz w:val="23"/>
                <w:szCs w:val="23"/>
                <w:color w:val="auto"/>
              </w:rPr>
            </w:pPr>
          </w:p>
        </w:tc>
        <w:tc>
          <w:tcPr>
            <w:tcW w:w="18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shd w:val="clear" w:color="auto" w:fill="E6E6E6"/>
          </w:tcPr>
          <w:p>
            <w:pPr>
              <w:spacing w:after="0"/>
              <w:rPr>
                <w:sz w:val="24"/>
                <w:szCs w:val="24"/>
                <w:color w:val="auto"/>
              </w:rPr>
            </w:pPr>
          </w:p>
        </w:tc>
        <w:tc>
          <w:tcPr>
            <w:tcW w:w="392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0"/>
              </w:rPr>
              <w:t xml:space="preserve">January 1, 2023 </w:t>
            </w:r>
            <w:r>
              <w:rPr>
                <w:rFonts w:ascii="Arial" w:cs="Arial" w:eastAsia="Arial" w:hAnsi="Arial"/>
                <w:sz w:val="18"/>
                <w:szCs w:val="18"/>
                <w:color w:val="B4B4B4"/>
                <w:w w:val="90"/>
              </w:rPr>
              <w:t>. . . . . . . . . . . . . . . . . . . . . . . . . . . . . .</w:t>
            </w:r>
          </w:p>
        </w:tc>
        <w:tc>
          <w:tcPr>
            <w:tcW w:w="260" w:type="dxa"/>
            <w:vAlign w:val="bottom"/>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3,321</w:t>
            </w:r>
          </w:p>
        </w:tc>
        <w:tc>
          <w:tcPr>
            <w:tcW w:w="2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78"/>
        </w:trPr>
        <w:tc>
          <w:tcPr>
            <w:tcW w:w="3960" w:type="dxa"/>
            <w:vAlign w:val="bottom"/>
            <w:gridSpan w:val="3"/>
          </w:tcPr>
          <w:p>
            <w:pPr>
              <w:ind w:left="40"/>
              <w:spacing w:after="0"/>
              <w:rPr>
                <w:sz w:val="20"/>
                <w:szCs w:val="20"/>
                <w:color w:val="auto"/>
              </w:rPr>
            </w:pPr>
            <w:r>
              <w:rPr>
                <w:rFonts w:ascii="Arial" w:cs="Arial" w:eastAsia="Arial" w:hAnsi="Arial"/>
                <w:sz w:val="18"/>
                <w:szCs w:val="18"/>
                <w:color w:val="auto"/>
                <w:w w:val="93"/>
              </w:rPr>
              <w:t xml:space="preserve">Walnut Creek PPA expiration  </w:t>
            </w:r>
            <w:r>
              <w:rPr>
                <w:rFonts w:ascii="Arial" w:cs="Arial" w:eastAsia="Arial" w:hAnsi="Arial"/>
                <w:sz w:val="18"/>
                <w:szCs w:val="18"/>
                <w:color w:val="B4B4B4"/>
                <w:w w:val="93"/>
              </w:rPr>
              <w:t>. . . . . . . . . . . . . . . . . .</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0"/>
        </w:trPr>
        <w:tc>
          <w:tcPr>
            <w:tcW w:w="396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18"/>
                <w:szCs w:val="18"/>
                <w:color w:val="auto"/>
                <w:w w:val="91"/>
              </w:rPr>
              <w:t xml:space="preserve">Other </w:t>
            </w:r>
            <w:r>
              <w:rPr>
                <w:rFonts w:ascii="Arial" w:cs="Arial" w:eastAsia="Arial" w:hAnsi="Arial"/>
                <w:sz w:val="18"/>
                <w:szCs w:val="18"/>
                <w:color w:val="B4B4B4"/>
                <w:w w:val="91"/>
              </w:rPr>
              <w:t>. . . . . . . . . . . . . . . . . . . . . . . .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December 31, 2023 </w:t>
            </w:r>
            <w:r>
              <w:rPr>
                <w:rFonts w:ascii="Arial" w:cs="Arial" w:eastAsia="Arial" w:hAnsi="Arial"/>
                <w:sz w:val="18"/>
                <w:szCs w:val="18"/>
                <w:color w:val="B4B4B4"/>
              </w:rPr>
              <w:t>. . . . . . . .</w:t>
            </w: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20" w:type="dxa"/>
            <w:vAlign w:val="bottom"/>
            <w:gridSpan w:val="2"/>
            <w:vMerge w:val="continue"/>
          </w:tcPr>
          <w:p>
            <w:pPr>
              <w:ind w:left="2200"/>
              <w:spacing w:after="0" w:line="189" w:lineRule="exact"/>
              <w:rPr>
                <w:sz w:val="20"/>
                <w:szCs w:val="20"/>
                <w:color w:val="auto"/>
              </w:rPr>
            </w:pPr>
            <w:r>
              <w:rPr>
                <w:rFonts w:ascii="Arial" w:cs="Arial" w:eastAsia="Arial" w:hAnsi="Arial"/>
                <w:sz w:val="18"/>
                <w:szCs w:val="18"/>
                <w:color w:val="B4B4B4"/>
                <w:w w:val="91"/>
              </w:rPr>
              <w:t>. . . . . . . . . . . . . . . . . . .</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82"/>
        </w:trPr>
        <w:tc>
          <w:tcPr>
            <w:tcW w:w="40" w:type="dxa"/>
            <w:vAlign w:val="bottom"/>
            <w:tcBorders>
              <w:bottom w:val="single" w:sz="8" w:color="E6E6E6"/>
            </w:tcBorders>
            <w:shd w:val="clear" w:color="auto" w:fill="E6E6E6"/>
          </w:tcPr>
          <w:p>
            <w:pPr>
              <w:spacing w:after="0"/>
              <w:rPr>
                <w:sz w:val="24"/>
                <w:szCs w:val="24"/>
                <w:color w:val="auto"/>
              </w:rPr>
            </w:pPr>
          </w:p>
        </w:tc>
        <w:tc>
          <w:tcPr>
            <w:tcW w:w="392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18"/>
                <w:szCs w:val="18"/>
                <w:color w:val="auto"/>
                <w:w w:val="92"/>
              </w:rPr>
              <w:t xml:space="preserve">Less accumulated amortization  </w:t>
            </w:r>
            <w:r>
              <w:rPr>
                <w:rFonts w:ascii="Arial" w:cs="Arial" w:eastAsia="Arial" w:hAnsi="Arial"/>
                <w:sz w:val="18"/>
                <w:szCs w:val="18"/>
                <w:color w:val="B4B4B4"/>
                <w:w w:val="92"/>
              </w:rPr>
              <w:t>.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(962)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5"/>
        </w:trPr>
        <w:tc>
          <w:tcPr>
            <w:tcW w:w="3960" w:type="dxa"/>
            <w:vAlign w:val="bottom"/>
            <w:gridSpan w:val="3"/>
          </w:tcPr>
          <w:p>
            <w:pPr>
              <w:ind w:left="40"/>
              <w:spacing w:after="0"/>
              <w:rPr>
                <w:sz w:val="20"/>
                <w:szCs w:val="20"/>
                <w:color w:val="auto"/>
              </w:rPr>
            </w:pPr>
            <w:r>
              <w:rPr>
                <w:rFonts w:ascii="Arial" w:cs="Arial" w:eastAsia="Arial" w:hAnsi="Arial"/>
                <w:sz w:val="18"/>
                <w:szCs w:val="18"/>
                <w:color w:val="auto"/>
                <w:w w:val="92"/>
              </w:rPr>
              <w:t xml:space="preserve">Net carrying amount </w:t>
            </w:r>
            <w:r>
              <w:rPr>
                <w:rFonts w:ascii="Arial" w:cs="Arial" w:eastAsia="Arial" w:hAnsi="Arial"/>
                <w:sz w:val="18"/>
                <w:szCs w:val="18"/>
                <w:color w:val="B4B4B4"/>
                <w:w w:val="92"/>
              </w:rPr>
              <w:t>. . . . . . . . . . . . . . . . . . . . . . . . . .</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-1755140</wp:posOffset>
            </wp:positionV>
            <wp:extent cx="402590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7">
                      <a:extLst>
                        <a:ext uri="{28A0092B-C50C-407E-A947-70E740481C1C}"/>
                      </a:extLst>
                    </a:blip>
                    <a:srcRect/>
                    <a:stretch>
                      <a:fillRect/>
                    </a:stretch>
                  </pic:blipFill>
                  <pic:spPr bwMode="auto">
                    <a:xfrm>
                      <a:off x="0" y="0"/>
                      <a:ext cx="4025900" cy="508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-43815</wp:posOffset>
            </wp:positionV>
            <wp:extent cx="402590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8">
                      <a:extLst>
                        <a:ext uri="{28A0092B-C50C-407E-A947-70E740481C1C}"/>
                      </a:extLst>
                    </a:blip>
                    <a:srcRect/>
                    <a:stretch>
                      <a:fillRect/>
                    </a:stretch>
                  </pic:blipFill>
                  <pic:spPr bwMode="auto">
                    <a:xfrm>
                      <a:off x="0" y="0"/>
                      <a:ext cx="4025900" cy="50800"/>
                    </a:xfrm>
                    <a:prstGeom prst="rect">
                      <a:avLst/>
                    </a:prstGeom>
                    <a:noFill/>
                  </pic:spPr>
                </pic:pic>
              </a:graphicData>
            </a:graphic>
          </wp:anchor>
        </w:drawing>
      </w:r>
    </w:p>
    <w:p>
      <w:pPr>
        <w:spacing w:after="0" w:line="167" w:lineRule="exact"/>
        <w:rPr>
          <w:sz w:val="20"/>
          <w:szCs w:val="20"/>
          <w:color w:val="auto"/>
        </w:rPr>
      </w:pPr>
    </w:p>
    <w:p>
      <w:pPr>
        <w:jc w:val="both"/>
        <w:ind w:right="20" w:firstLine="450"/>
        <w:spacing w:after="0" w:line="294" w:lineRule="auto"/>
        <w:rPr>
          <w:sz w:val="20"/>
          <w:szCs w:val="20"/>
          <w:color w:val="auto"/>
        </w:rPr>
      </w:pPr>
      <w:r>
        <w:rPr>
          <w:rFonts w:ascii="Arial" w:cs="Arial" w:eastAsia="Arial" w:hAnsi="Arial"/>
          <w:sz w:val="18"/>
          <w:szCs w:val="18"/>
          <w:color w:val="auto"/>
        </w:rPr>
        <w:t>The Company recorded amortization expense of $184 million, $186 million and $174 million during the years ended December 31, 2024, 2023 and 2022, respectively. Of these amounts, $178 million, $181 million and $168 million during the years ended December 31, 2024, 2023 and 2022, respectively, were related to the amortization of intangible assets for PPAs and were recorded to contract amortization expense, which reduced operating revenues in the consolidated statements of income. The Company estimates the future amortization expense for its intangibles for the next five years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280" w:type="dxa"/>
            <w:vAlign w:val="bottom"/>
          </w:tcPr>
          <w:p>
            <w:pPr>
              <w:jc w:val="right"/>
              <w:spacing w:after="0"/>
              <w:rPr>
                <w:sz w:val="20"/>
                <w:szCs w:val="20"/>
                <w:color w:val="auto"/>
              </w:rPr>
            </w:pPr>
            <w:r>
              <w:rPr>
                <w:rFonts w:ascii="Arial" w:cs="Arial" w:eastAsia="Arial" w:hAnsi="Arial"/>
                <w:sz w:val="18"/>
                <w:szCs w:val="18"/>
                <w:color w:val="B4B4B4"/>
                <w:w w:val="91"/>
              </w:rPr>
              <w:t>. . . . . . . . . . . . . . . . . . . . . . . . . . . . . . . . . . . . . . . . . . . . . . . . . . . . . . . . . . . . . . . . . . . . . . . . . . . . . . . . . . . . . .</w:t>
            </w:r>
            <w:r>
              <w:rPr>
                <w:rFonts w:ascii="Arial" w:cs="Arial" w:eastAsia="Arial" w:hAnsi="Arial"/>
                <w:sz w:val="18"/>
                <w:szCs w:val="18"/>
                <w:color w:val="000000"/>
                <w:w w:val="91"/>
              </w:rPr>
              <w:t>2025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40"/>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2026 </w:t>
            </w:r>
            <w:r>
              <w:rPr>
                <w:rFonts w:ascii="Arial" w:cs="Arial" w:eastAsia="Arial" w:hAnsi="Arial"/>
                <w:sz w:val="18"/>
                <w:szCs w:val="18"/>
                <w:color w:val="B4B4B4"/>
                <w:w w:val="91"/>
              </w:rPr>
              <w:t>. . . . . . . . . . . . . . . . . . . . . . . . . . . . . . . . . . . . . . . . . . . . . . . . . . . . . . . . . . . . . . . . . . . . . . . . . . . . . . . . . . . . . .</w:t>
            </w:r>
          </w:p>
        </w:tc>
        <w:tc>
          <w:tcPr>
            <w:tcW w:w="320" w:type="dxa"/>
            <w:vAlign w:val="bottom"/>
            <w:shd w:val="clear" w:color="auto" w:fill="E6E6E6"/>
          </w:tcPr>
          <w:p>
            <w:pPr>
              <w:spacing w:after="0"/>
              <w:rPr>
                <w:sz w:val="20"/>
                <w:szCs w:val="20"/>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185</w:t>
            </w:r>
          </w:p>
        </w:tc>
      </w:tr>
      <w:tr>
        <w:trPr>
          <w:trHeight w:val="238"/>
        </w:trPr>
        <w:tc>
          <w:tcPr>
            <w:tcW w:w="8280" w:type="dxa"/>
            <w:vAlign w:val="bottom"/>
          </w:tcPr>
          <w:p>
            <w:pPr>
              <w:jc w:val="right"/>
              <w:spacing w:after="0"/>
              <w:rPr>
                <w:sz w:val="20"/>
                <w:szCs w:val="20"/>
                <w:color w:val="auto"/>
              </w:rPr>
            </w:pPr>
            <w:r>
              <w:rPr>
                <w:rFonts w:ascii="Arial" w:cs="Arial" w:eastAsia="Arial" w:hAnsi="Arial"/>
                <w:sz w:val="18"/>
                <w:szCs w:val="18"/>
                <w:color w:val="auto"/>
                <w:w w:val="91"/>
              </w:rPr>
              <w:t xml:space="preserve">2027 </w:t>
            </w:r>
            <w:r>
              <w:rPr>
                <w:rFonts w:ascii="Arial" w:cs="Arial" w:eastAsia="Arial" w:hAnsi="Arial"/>
                <w:sz w:val="18"/>
                <w:szCs w:val="18"/>
                <w:color w:val="B4B4B4"/>
                <w:w w:val="91"/>
              </w:rPr>
              <w:t>. . . . . . . . . . . . . . . . . . . . . . . . . . . . . . . . . . . . . . . . . . . . . . . . . . . . . . . . . . . . . . . . . . . . . . . . . . . . . . . . . . . . . .</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42"/>
        </w:trPr>
        <w:tc>
          <w:tcPr>
            <w:tcW w:w="82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2028 </w:t>
            </w:r>
            <w:r>
              <w:rPr>
                <w:rFonts w:ascii="Arial" w:cs="Arial" w:eastAsia="Arial" w:hAnsi="Arial"/>
                <w:sz w:val="18"/>
                <w:szCs w:val="18"/>
                <w:color w:val="B4B4B4"/>
                <w:w w:val="91"/>
              </w:rPr>
              <w:t>. . . . . . . . . . . . . . . . . . . . . . . . . . . . . . . . . . . . . . . . . . . . . . . . . . . . . . . . . . . . . . . . . . . . . . . . . . . . . . . . . . . . . .</w:t>
            </w:r>
          </w:p>
        </w:tc>
        <w:tc>
          <w:tcPr>
            <w:tcW w:w="320" w:type="dxa"/>
            <w:vAlign w:val="bottom"/>
            <w:shd w:val="clear" w:color="auto" w:fill="E6E6E6"/>
          </w:tcPr>
          <w:p>
            <w:pPr>
              <w:spacing w:after="0"/>
              <w:rPr>
                <w:sz w:val="21"/>
                <w:szCs w:val="21"/>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185</w:t>
            </w:r>
          </w:p>
        </w:tc>
      </w:tr>
      <w:tr>
        <w:trPr>
          <w:trHeight w:val="235"/>
        </w:trPr>
        <w:tc>
          <w:tcPr>
            <w:tcW w:w="8280" w:type="dxa"/>
            <w:vAlign w:val="bottom"/>
          </w:tcPr>
          <w:p>
            <w:pPr>
              <w:jc w:val="right"/>
              <w:spacing w:after="0"/>
              <w:rPr>
                <w:sz w:val="20"/>
                <w:szCs w:val="20"/>
                <w:color w:val="auto"/>
              </w:rPr>
            </w:pPr>
            <w:r>
              <w:rPr>
                <w:rFonts w:ascii="Arial" w:cs="Arial" w:eastAsia="Arial" w:hAnsi="Arial"/>
                <w:sz w:val="18"/>
                <w:szCs w:val="18"/>
                <w:color w:val="auto"/>
                <w:w w:val="91"/>
              </w:rPr>
              <w:t xml:space="preserve">2029 </w:t>
            </w:r>
            <w:r>
              <w:rPr>
                <w:rFonts w:ascii="Arial" w:cs="Arial" w:eastAsia="Arial" w:hAnsi="Arial"/>
                <w:sz w:val="18"/>
                <w:szCs w:val="18"/>
                <w:color w:val="B4B4B4"/>
                <w:w w:val="91"/>
              </w:rPr>
              <w:t>. . . . . . . . . . . . . . . . . . . . . . . . . . . . . . . . . . . . . . . . . . . . . . . . . . . . . . . . . . . . . . . . . . . . . . . . . . . . . . . . . . . . . .</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880" w:h="15480" w:orient="portrait"/>
          <w:cols w:equalWidth="0" w:num="1">
            <w:col w:w="10260"/>
          </w:cols>
          <w:pgMar w:left="820" w:top="364" w:right="800"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Note 9 — Asset Impairments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Impairment Losses</w:t>
      </w:r>
    </w:p>
    <w:p>
      <w:pPr>
        <w:spacing w:after="0" w:line="198"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8"/>
          <w:szCs w:val="18"/>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facilities within the Renewables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2022 Impairment Losses</w:t>
      </w:r>
    </w:p>
    <w:p>
      <w:pPr>
        <w:spacing w:after="0" w:line="198" w:lineRule="exact"/>
        <w:rPr>
          <w:sz w:val="20"/>
          <w:szCs w:val="20"/>
          <w:color w:val="auto"/>
        </w:rPr>
      </w:pPr>
    </w:p>
    <w:p>
      <w:pPr>
        <w:jc w:val="both"/>
        <w:ind w:firstLine="541"/>
        <w:spacing w:after="0" w:line="255" w:lineRule="auto"/>
        <w:rPr>
          <w:sz w:val="20"/>
          <w:szCs w:val="20"/>
          <w:color w:val="auto"/>
        </w:rPr>
      </w:pPr>
      <w:r>
        <w:rPr>
          <w:rFonts w:ascii="Arial" w:cs="Arial" w:eastAsia="Arial" w:hAnsi="Arial"/>
          <w:sz w:val="20"/>
          <w:szCs w:val="20"/>
          <w:color w:val="auto"/>
        </w:rPr>
        <w:t>The impairment analysis indicated that the projected future cash flows for certain facilities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ectPr>
          <w:pgSz w:w="11880" w:h="15480" w:orient="portrait"/>
          <w:cols w:equalWidth="0" w:num="1">
            <w:col w:w="10240"/>
          </w:cols>
          <w:pgMar w:left="820" w:top="3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880" w:h="15480" w:orient="portrait"/>
          <w:cols w:equalWidth="0" w:num="1">
            <w:col w:w="10240"/>
          </w:cols>
          <w:pgMar w:left="820" w:top="360" w:right="82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Note 10 — Long-term Debt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borrowings, including short-term and long-term portions,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30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Interest rate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91"/>
              <w:spacing w:after="0"/>
              <w:rPr>
                <w:sz w:val="20"/>
                <w:szCs w:val="20"/>
                <w:color w:val="auto"/>
              </w:rPr>
            </w:pPr>
            <w:r>
              <w:rPr>
                <w:rFonts w:ascii="Arial" w:cs="Arial" w:eastAsia="Arial" w:hAnsi="Arial"/>
                <w:sz w:val="16"/>
                <w:szCs w:val="16"/>
                <w:b w:val="1"/>
                <w:bCs w:val="1"/>
                <w:color w:val="auto"/>
                <w:w w:val="92"/>
              </w:rPr>
              <w:t>Letters of Credit</w:t>
            </w: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91"/>
              <w:spacing w:after="0" w:line="160" w:lineRule="exact"/>
              <w:rPr>
                <w:sz w:val="20"/>
                <w:szCs w:val="20"/>
                <w:color w:val="auto"/>
              </w:rPr>
            </w:pPr>
            <w:r>
              <w:rPr>
                <w:rFonts w:ascii="Arial" w:cs="Arial" w:eastAsia="Arial" w:hAnsi="Arial"/>
                <w:sz w:val="16"/>
                <w:szCs w:val="16"/>
                <w:b w:val="1"/>
                <w:bCs w:val="1"/>
                <w:color w:val="auto"/>
                <w:w w:val="90"/>
              </w:rPr>
              <w:t>Outstanding at</w:t>
            </w: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1"/>
                <w:szCs w:val="11"/>
                <w:color w:val="auto"/>
              </w:rPr>
            </w:pPr>
          </w:p>
        </w:tc>
        <w:tc>
          <w:tcPr>
            <w:tcW w:w="1300" w:type="dxa"/>
            <w:vAlign w:val="bottom"/>
          </w:tcPr>
          <w:p>
            <w:pPr>
              <w:jc w:val="right"/>
              <w:ind w:right="452"/>
              <w:spacing w:after="0"/>
              <w:rPr>
                <w:sz w:val="20"/>
                <w:szCs w:val="20"/>
                <w:color w:val="auto"/>
              </w:rPr>
            </w:pPr>
            <w:r>
              <w:rPr>
                <w:rFonts w:ascii="Arial" w:cs="Arial" w:eastAsia="Arial" w:hAnsi="Arial"/>
                <w:sz w:val="10"/>
                <w:szCs w:val="10"/>
                <w:b w:val="1"/>
                <w:bCs w:val="1"/>
                <w:color w:val="auto"/>
              </w:rPr>
              <w:t>(a)(b)</w:t>
            </w:r>
          </w:p>
        </w:tc>
        <w:tc>
          <w:tcPr>
            <w:tcW w:w="8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December 31, 2024</w:t>
            </w:r>
          </w:p>
        </w:tc>
        <w:tc>
          <w:tcPr>
            <w:tcW w:w="0" w:type="dxa"/>
            <w:vAlign w:val="bottom"/>
          </w:tcPr>
          <w:p>
            <w:pPr>
              <w:spacing w:after="0"/>
              <w:rPr>
                <w:sz w:val="1"/>
                <w:szCs w:val="1"/>
                <w:color w:val="auto"/>
              </w:rPr>
            </w:pPr>
          </w:p>
        </w:tc>
      </w:tr>
      <w:tr>
        <w:trPr>
          <w:trHeight w:val="78"/>
        </w:trPr>
        <w:tc>
          <w:tcPr>
            <w:tcW w:w="19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6"/>
          </w:tcPr>
          <w:p>
            <w:pPr>
              <w:jc w:val="right"/>
              <w:ind w:right="932"/>
              <w:spacing w:after="0"/>
              <w:rPr>
                <w:sz w:val="20"/>
                <w:szCs w:val="20"/>
                <w:color w:val="auto"/>
              </w:rPr>
            </w:pPr>
            <w:r>
              <w:rPr>
                <w:rFonts w:ascii="Arial" w:cs="Arial" w:eastAsia="Arial" w:hAnsi="Arial"/>
                <w:sz w:val="16"/>
                <w:szCs w:val="16"/>
                <w:b w:val="1"/>
                <w:bCs w:val="1"/>
                <w:color w:val="auto"/>
              </w:rPr>
              <w:t>(In millions, except rates)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60" w:type="dxa"/>
            <w:vAlign w:val="bottom"/>
            <w:gridSpan w:val="2"/>
            <w:shd w:val="clear" w:color="auto" w:fill="E6E6E6"/>
          </w:tcPr>
          <w:p>
            <w:pPr>
              <w:ind w:left="40"/>
              <w:spacing w:after="0"/>
              <w:rPr>
                <w:sz w:val="20"/>
                <w:szCs w:val="20"/>
                <w:color w:val="auto"/>
              </w:rPr>
            </w:pPr>
            <w:r>
              <w:rPr>
                <w:rFonts w:ascii="Arial" w:cs="Arial" w:eastAsia="Arial" w:hAnsi="Arial"/>
                <w:sz w:val="18"/>
                <w:szCs w:val="18"/>
                <w:color w:val="auto"/>
                <w:w w:val="91"/>
              </w:rPr>
              <w:t xml:space="preserve">2028 Senior Notes  </w:t>
            </w:r>
            <w:r>
              <w:rPr>
                <w:rFonts w:ascii="Arial" w:cs="Arial" w:eastAsia="Arial" w:hAnsi="Arial"/>
                <w:sz w:val="18"/>
                <w:szCs w:val="18"/>
                <w:color w:val="B4B4B4"/>
                <w:w w:val="91"/>
              </w:rPr>
              <w:t>. . . . . . . . . . . . . . . . . . . . . . . . . . . . . . . . . . . . .</w:t>
            </w:r>
          </w:p>
        </w:tc>
        <w:tc>
          <w:tcPr>
            <w:tcW w:w="28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850</w:t>
            </w:r>
          </w:p>
        </w:tc>
        <w:tc>
          <w:tcPr>
            <w:tcW w:w="360" w:type="dxa"/>
            <w:vAlign w:val="bottom"/>
            <w:gridSpan w:val="2"/>
            <w:shd w:val="clear" w:color="auto" w:fill="E6E6E6"/>
          </w:tcPr>
          <w:p>
            <w:pPr>
              <w:jc w:val="right"/>
              <w:ind w:right="55"/>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40" w:type="dxa"/>
            <w:vAlign w:val="bottom"/>
            <w:gridSpan w:val="3"/>
          </w:tcPr>
          <w:p>
            <w:pPr>
              <w:ind w:left="40"/>
              <w:spacing w:after="0"/>
              <w:rPr>
                <w:sz w:val="20"/>
                <w:szCs w:val="20"/>
                <w:color w:val="auto"/>
              </w:rPr>
            </w:pPr>
            <w:r>
              <w:rPr>
                <w:rFonts w:ascii="Arial" w:cs="Arial" w:eastAsia="Arial" w:hAnsi="Arial"/>
                <w:sz w:val="18"/>
                <w:szCs w:val="18"/>
                <w:color w:val="auto"/>
                <w:w w:val="96"/>
              </w:rPr>
              <w:t xml:space="preserve">2031 Senior Notes  </w:t>
            </w:r>
            <w:r>
              <w:rPr>
                <w:rFonts w:ascii="Arial" w:cs="Arial" w:eastAsia="Arial" w:hAnsi="Arial"/>
                <w:sz w:val="18"/>
                <w:szCs w:val="18"/>
                <w:color w:val="B4B4B4"/>
                <w:w w:val="96"/>
              </w:rPr>
              <w:t>.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40" w:type="dxa"/>
            <w:vAlign w:val="bottom"/>
            <w:gridSpan w:val="3"/>
            <w:shd w:val="clear" w:color="auto" w:fill="E6E6E6"/>
          </w:tcPr>
          <w:p>
            <w:pPr>
              <w:jc w:val="right"/>
              <w:ind w:right="253"/>
              <w:spacing w:after="0"/>
              <w:rPr>
                <w:sz w:val="20"/>
                <w:szCs w:val="20"/>
                <w:color w:val="auto"/>
              </w:rPr>
            </w:pPr>
            <w:r>
              <w:rPr>
                <w:rFonts w:ascii="Arial" w:cs="Arial" w:eastAsia="Arial" w:hAnsi="Arial"/>
                <w:sz w:val="18"/>
                <w:szCs w:val="18"/>
                <w:color w:val="auto"/>
                <w:w w:val="91"/>
              </w:rPr>
              <w:t xml:space="preserve">2032 Senior Notes  </w:t>
            </w:r>
            <w:r>
              <w:rPr>
                <w:rFonts w:ascii="Arial" w:cs="Arial" w:eastAsia="Arial" w:hAnsi="Arial"/>
                <w:sz w:val="18"/>
                <w:szCs w:val="18"/>
                <w:color w:val="B4B4B4"/>
                <w:w w:val="91"/>
              </w:rPr>
              <w:t>. . . .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40"/>
              <w:spacing w:after="0" w:line="171" w:lineRule="exact"/>
              <w:rPr>
                <w:sz w:val="20"/>
                <w:szCs w:val="20"/>
                <w:color w:val="auto"/>
              </w:rPr>
            </w:pPr>
            <w:r>
              <w:rPr>
                <w:rFonts w:ascii="Arial" w:cs="Arial" w:eastAsia="Arial" w:hAnsi="Arial"/>
                <w:sz w:val="18"/>
                <w:szCs w:val="18"/>
                <w:color w:val="auto"/>
              </w:rPr>
              <w:t>Clearway Energy LLC and Clearway Energy Operating LLC</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S+1.500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9"/>
        </w:trPr>
        <w:tc>
          <w:tcPr>
            <w:tcW w:w="4860" w:type="dxa"/>
            <w:vAlign w:val="bottom"/>
            <w:gridSpan w:val="2"/>
          </w:tcPr>
          <w:p>
            <w:pPr>
              <w:jc w:val="right"/>
              <w:ind w:right="60"/>
              <w:spacing w:after="0" w:line="248" w:lineRule="exact"/>
              <w:rPr>
                <w:sz w:val="20"/>
                <w:szCs w:val="20"/>
                <w:color w:val="auto"/>
              </w:rPr>
            </w:pPr>
            <w:r>
              <w:rPr>
                <w:rFonts w:ascii="Arial" w:cs="Arial" w:eastAsia="Arial" w:hAnsi="Arial"/>
                <w:sz w:val="18"/>
                <w:szCs w:val="18"/>
                <w:color w:val="auto"/>
                <w:w w:val="95"/>
              </w:rPr>
              <w:t xml:space="preserve">Revolving Credit Facility, due 2028 </w:t>
            </w:r>
            <w:r>
              <w:rPr>
                <w:rFonts w:ascii="Arial" w:cs="Arial" w:eastAsia="Arial" w:hAnsi="Arial"/>
                <w:sz w:val="23"/>
                <w:szCs w:val="23"/>
                <w:color w:val="auto"/>
                <w:w w:val="95"/>
                <w:vertAlign w:val="superscript"/>
              </w:rPr>
              <w:t>(b)</w:t>
            </w:r>
            <w:r>
              <w:rPr>
                <w:rFonts w:ascii="Arial" w:cs="Arial" w:eastAsia="Arial" w:hAnsi="Arial"/>
                <w:sz w:val="18"/>
                <w:szCs w:val="18"/>
                <w:color w:val="auto"/>
                <w:w w:val="95"/>
              </w:rPr>
              <w:t xml:space="preserve"> </w:t>
            </w:r>
            <w:r>
              <w:rPr>
                <w:rFonts w:ascii="Arial" w:cs="Arial" w:eastAsia="Arial" w:hAnsi="Arial"/>
                <w:sz w:val="18"/>
                <w:szCs w:val="18"/>
                <w:color w:val="B4B4B4"/>
                <w:w w:val="95"/>
              </w:rPr>
              <w:t>. . . . . . . . . . . . . . . . . . . .</w:t>
            </w:r>
          </w:p>
        </w:tc>
        <w:tc>
          <w:tcPr>
            <w:tcW w:w="2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60" w:type="dxa"/>
            <w:vAlign w:val="bottom"/>
            <w:gridSpan w:val="2"/>
            <w:shd w:val="clear" w:color="auto" w:fill="E6E6E6"/>
          </w:tcPr>
          <w:p>
            <w:pPr>
              <w:ind w:left="40"/>
              <w:spacing w:after="0"/>
              <w:rPr>
                <w:sz w:val="20"/>
                <w:szCs w:val="20"/>
                <w:color w:val="auto"/>
              </w:rPr>
            </w:pPr>
            <w:r>
              <w:rPr>
                <w:rFonts w:ascii="Arial" w:cs="Arial" w:eastAsia="Arial" w:hAnsi="Arial"/>
                <w:sz w:val="18"/>
                <w:szCs w:val="18"/>
                <w:b w:val="1"/>
                <w:bCs w:val="1"/>
                <w:color w:val="auto"/>
              </w:rPr>
              <w:t>Non-recourse facility level debt:</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8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xml:space="preserve">Agua Caliente Solar LLC, due 2037  </w:t>
            </w:r>
            <w:r>
              <w:rPr>
                <w:rFonts w:ascii="Arial" w:cs="Arial" w:eastAsia="Arial" w:hAnsi="Arial"/>
                <w:sz w:val="18"/>
                <w:szCs w:val="18"/>
                <w:color w:val="B4B4B4"/>
                <w:w w:val="91"/>
              </w:rPr>
              <w:t>.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2.395-3.633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8"/>
        </w:trPr>
        <w:tc>
          <w:tcPr>
            <w:tcW w:w="486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w w:val="93"/>
              </w:rPr>
              <w:t xml:space="preserve">Alta Wind Asset Management LLC, due 2031 </w:t>
            </w:r>
            <w:r>
              <w:rPr>
                <w:rFonts w:ascii="Arial" w:cs="Arial" w:eastAsia="Arial" w:hAnsi="Arial"/>
                <w:sz w:val="18"/>
                <w:szCs w:val="18"/>
                <w:color w:val="B4B4B4"/>
                <w:w w:val="93"/>
              </w:rPr>
              <w:t>.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S+2.775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Alta Wind I-V lease financing arrangements, due 2034 and 2035 </w:t>
            </w:r>
            <w:r>
              <w:rPr>
                <w:rFonts w:ascii="Arial" w:cs="Arial" w:eastAsia="Arial" w:hAnsi="Arial"/>
                <w:sz w:val="18"/>
                <w:szCs w:val="18"/>
                <w:color w:val="B4B4B4"/>
                <w:w w:val="91"/>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5.696-7.015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9"/>
        </w:trPr>
        <w:tc>
          <w:tcPr>
            <w:tcW w:w="48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3"/>
              </w:rPr>
              <w:t xml:space="preserve">Alta Wind Realty Investments LLC, due 2031  </w:t>
            </w:r>
            <w:r>
              <w:rPr>
                <w:rFonts w:ascii="Arial" w:cs="Arial" w:eastAsia="Arial" w:hAnsi="Arial"/>
                <w:sz w:val="18"/>
                <w:szCs w:val="18"/>
                <w:color w:val="B4B4B4"/>
                <w:w w:val="93"/>
              </w:rPr>
              <w:t>.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140" w:type="dxa"/>
            <w:vAlign w:val="bottom"/>
            <w:gridSpan w:val="3"/>
          </w:tcPr>
          <w:p>
            <w:pPr>
              <w:jc w:val="right"/>
              <w:ind w:right="253"/>
              <w:spacing w:after="0"/>
              <w:rPr>
                <w:sz w:val="20"/>
                <w:szCs w:val="20"/>
                <w:color w:val="auto"/>
              </w:rPr>
            </w:pPr>
            <w:r>
              <w:rPr>
                <w:rFonts w:ascii="Arial" w:cs="Arial" w:eastAsia="Arial" w:hAnsi="Arial"/>
                <w:sz w:val="18"/>
                <w:szCs w:val="18"/>
                <w:color w:val="auto"/>
                <w:w w:val="91"/>
              </w:rPr>
              <w:t xml:space="preserve">Borrego, due 2038  </w:t>
            </w:r>
            <w:r>
              <w:rPr>
                <w:rFonts w:ascii="Arial" w:cs="Arial" w:eastAsia="Arial" w:hAnsi="Arial"/>
                <w:sz w:val="18"/>
                <w:szCs w:val="18"/>
                <w:color w:val="B4B4B4"/>
                <w:w w:val="91"/>
              </w:rPr>
              <w:t>.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9"/>
        </w:trPr>
        <w:tc>
          <w:tcPr>
            <w:tcW w:w="5140" w:type="dxa"/>
            <w:vAlign w:val="bottom"/>
            <w:gridSpan w:val="3"/>
            <w:shd w:val="clear" w:color="auto" w:fill="E6E6E6"/>
          </w:tcPr>
          <w:p>
            <w:pPr>
              <w:jc w:val="right"/>
              <w:ind w:right="253"/>
              <w:spacing w:after="0" w:line="259" w:lineRule="exact"/>
              <w:rPr>
                <w:sz w:val="20"/>
                <w:szCs w:val="20"/>
                <w:color w:val="auto"/>
              </w:rPr>
            </w:pPr>
            <w:r>
              <w:rPr>
                <w:rFonts w:ascii="Arial" w:cs="Arial" w:eastAsia="Arial" w:hAnsi="Arial"/>
                <w:sz w:val="18"/>
                <w:szCs w:val="18"/>
                <w:color w:val="auto"/>
                <w:w w:val="90"/>
              </w:rPr>
              <w:t xml:space="preserve">Broken Bow, due 2031 </w:t>
            </w:r>
            <w:r>
              <w:rPr>
                <w:rFonts w:ascii="Arial" w:cs="Arial" w:eastAsia="Arial" w:hAnsi="Arial"/>
                <w:sz w:val="23"/>
                <w:szCs w:val="23"/>
                <w:color w:val="auto"/>
                <w:w w:val="90"/>
                <w:vertAlign w:val="superscript"/>
              </w:rPr>
              <w:t>(d)</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Buckthorn Solar, due 2025 </w:t>
            </w:r>
            <w:r>
              <w:rPr>
                <w:rFonts w:ascii="Arial" w:cs="Arial" w:eastAsia="Arial" w:hAnsi="Arial"/>
                <w:sz w:val="18"/>
                <w:szCs w:val="18"/>
                <w:color w:val="B4B4B4"/>
                <w:w w:val="91"/>
              </w:rPr>
              <w:t>. . . . . .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S+2.100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9"/>
        </w:trPr>
        <w:tc>
          <w:tcPr>
            <w:tcW w:w="4860" w:type="dxa"/>
            <w:vAlign w:val="bottom"/>
            <w:gridSpan w:val="2"/>
            <w:shd w:val="clear" w:color="auto" w:fill="E6E6E6"/>
          </w:tcPr>
          <w:p>
            <w:pPr>
              <w:jc w:val="right"/>
              <w:ind w:right="60"/>
              <w:spacing w:after="0" w:line="259" w:lineRule="exact"/>
              <w:rPr>
                <w:sz w:val="20"/>
                <w:szCs w:val="20"/>
                <w:color w:val="auto"/>
              </w:rPr>
            </w:pPr>
            <w:r>
              <w:rPr>
                <w:rFonts w:ascii="Arial" w:cs="Arial" w:eastAsia="Arial" w:hAnsi="Arial"/>
                <w:sz w:val="18"/>
                <w:szCs w:val="18"/>
                <w:color w:val="auto"/>
                <w:w w:val="91"/>
              </w:rPr>
              <w:t xml:space="preserve">Capistrano Portfolio Holdco LLC, due 2033 </w:t>
            </w:r>
            <w:r>
              <w:rPr>
                <w:rFonts w:ascii="Arial" w:cs="Arial" w:eastAsia="Arial" w:hAnsi="Arial"/>
                <w:sz w:val="23"/>
                <w:szCs w:val="23"/>
                <w:color w:val="auto"/>
                <w:w w:val="91"/>
                <w:vertAlign w:val="superscript"/>
              </w:rPr>
              <w:t>(d)</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S+1.625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1"/>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xml:space="preserve">Carlsbad Energy Holdings LLC, due 2027  </w:t>
            </w:r>
            <w:r>
              <w:rPr>
                <w:rFonts w:ascii="Arial" w:cs="Arial" w:eastAsia="Arial" w:hAnsi="Arial"/>
                <w:sz w:val="18"/>
                <w:szCs w:val="18"/>
                <w:color w:val="B4B4B4"/>
                <w:w w:val="92"/>
              </w:rPr>
              <w:t>.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S+1.900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9"/>
        </w:trPr>
        <w:tc>
          <w:tcPr>
            <w:tcW w:w="486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w w:val="92"/>
              </w:rPr>
              <w:t xml:space="preserve">Carlsbad Energy Holdings LLC, due 2038  </w:t>
            </w:r>
            <w:r>
              <w:rPr>
                <w:rFonts w:ascii="Arial" w:cs="Arial" w:eastAsia="Arial" w:hAnsi="Arial"/>
                <w:sz w:val="18"/>
                <w:szCs w:val="18"/>
                <w:color w:val="B4B4B4"/>
                <w:w w:val="92"/>
              </w:rPr>
              <w:t>.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407</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4.120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Carlsbad Holdco, LLC, due 2038 </w:t>
            </w:r>
            <w:r>
              <w:rPr>
                <w:rFonts w:ascii="Arial" w:cs="Arial" w:eastAsia="Arial" w:hAnsi="Arial"/>
                <w:sz w:val="18"/>
                <w:szCs w:val="18"/>
                <w:color w:val="B4B4B4"/>
                <w:w w:val="91"/>
              </w:rPr>
              <w:t>.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9"/>
        </w:trPr>
        <w:tc>
          <w:tcPr>
            <w:tcW w:w="5140" w:type="dxa"/>
            <w:vAlign w:val="bottom"/>
            <w:gridSpan w:val="3"/>
            <w:shd w:val="clear" w:color="auto" w:fill="E6E6E6"/>
          </w:tcPr>
          <w:p>
            <w:pPr>
              <w:jc w:val="right"/>
              <w:ind w:right="253"/>
              <w:spacing w:after="0"/>
              <w:rPr>
                <w:sz w:val="20"/>
                <w:szCs w:val="20"/>
                <w:color w:val="auto"/>
              </w:rPr>
            </w:pPr>
            <w:r>
              <w:rPr>
                <w:rFonts w:ascii="Arial" w:cs="Arial" w:eastAsia="Arial" w:hAnsi="Arial"/>
                <w:sz w:val="18"/>
                <w:szCs w:val="18"/>
                <w:color w:val="auto"/>
                <w:w w:val="90"/>
              </w:rPr>
              <w:t xml:space="preserve">Cedar Creek, due 2029 </w:t>
            </w:r>
            <w:r>
              <w:rPr>
                <w:rFonts w:ascii="Arial" w:cs="Arial" w:eastAsia="Arial" w:hAnsi="Arial"/>
                <w:sz w:val="18"/>
                <w:szCs w:val="18"/>
                <w:color w:val="B4B4B4"/>
                <w:w w:val="90"/>
              </w:rPr>
              <w:t>.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S+1.625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2"/>
        </w:trPr>
        <w:tc>
          <w:tcPr>
            <w:tcW w:w="5140" w:type="dxa"/>
            <w:vAlign w:val="bottom"/>
            <w:gridSpan w:val="3"/>
          </w:tcPr>
          <w:p>
            <w:pPr>
              <w:jc w:val="right"/>
              <w:ind w:right="273"/>
              <w:spacing w:after="0"/>
              <w:rPr>
                <w:sz w:val="20"/>
                <w:szCs w:val="20"/>
                <w:color w:val="auto"/>
              </w:rPr>
            </w:pPr>
            <w:r>
              <w:rPr>
                <w:rFonts w:ascii="Arial" w:cs="Arial" w:eastAsia="Arial" w:hAnsi="Arial"/>
                <w:sz w:val="18"/>
                <w:szCs w:val="18"/>
                <w:color w:val="auto"/>
                <w:w w:val="91"/>
              </w:rPr>
              <w:t xml:space="preserve">Cedro Hill, due 2029  </w:t>
            </w:r>
            <w:r>
              <w:rPr>
                <w:rFonts w:ascii="Arial" w:cs="Arial" w:eastAsia="Arial" w:hAnsi="Arial"/>
                <w:sz w:val="18"/>
                <w:szCs w:val="18"/>
                <w:color w:val="B4B4B4"/>
                <w:w w:val="91"/>
              </w:rPr>
              <w:t>.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8"/>
        </w:trPr>
        <w:tc>
          <w:tcPr>
            <w:tcW w:w="4860" w:type="dxa"/>
            <w:vAlign w:val="bottom"/>
            <w:gridSpan w:val="2"/>
            <w:shd w:val="clear" w:color="auto" w:fill="E6E6E6"/>
          </w:tcPr>
          <w:p>
            <w:pPr>
              <w:jc w:val="right"/>
              <w:ind w:right="60"/>
              <w:spacing w:after="0" w:line="258" w:lineRule="exact"/>
              <w:rPr>
                <w:sz w:val="20"/>
                <w:szCs w:val="20"/>
                <w:color w:val="auto"/>
              </w:rPr>
            </w:pPr>
            <w:r>
              <w:rPr>
                <w:rFonts w:ascii="Arial" w:cs="Arial" w:eastAsia="Arial" w:hAnsi="Arial"/>
                <w:sz w:val="18"/>
                <w:szCs w:val="18"/>
                <w:color w:val="auto"/>
                <w:w w:val="91"/>
              </w:rPr>
              <w:t xml:space="preserve">Crofton Bluffs, due 2031 </w:t>
            </w:r>
            <w:r>
              <w:rPr>
                <w:rFonts w:ascii="Arial" w:cs="Arial" w:eastAsia="Arial" w:hAnsi="Arial"/>
                <w:sz w:val="23"/>
                <w:szCs w:val="23"/>
                <w:color w:val="auto"/>
                <w:w w:val="91"/>
                <w:vertAlign w:val="superscript"/>
              </w:rPr>
              <w:t>(d)</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140" w:type="dxa"/>
            <w:vAlign w:val="bottom"/>
            <w:gridSpan w:val="3"/>
          </w:tcPr>
          <w:p>
            <w:pPr>
              <w:jc w:val="right"/>
              <w:ind w:right="253"/>
              <w:spacing w:after="0"/>
              <w:rPr>
                <w:sz w:val="20"/>
                <w:szCs w:val="20"/>
                <w:color w:val="auto"/>
              </w:rPr>
            </w:pPr>
            <w:r>
              <w:rPr>
                <w:rFonts w:ascii="Arial" w:cs="Arial" w:eastAsia="Arial" w:hAnsi="Arial"/>
                <w:sz w:val="18"/>
                <w:szCs w:val="18"/>
                <w:color w:val="auto"/>
                <w:w w:val="90"/>
              </w:rPr>
              <w:t xml:space="preserve">CVSR, due 2037 </w:t>
            </w:r>
            <w:r>
              <w:rPr>
                <w:rFonts w:ascii="Arial" w:cs="Arial" w:eastAsia="Arial" w:hAnsi="Arial"/>
                <w:sz w:val="18"/>
                <w:szCs w:val="18"/>
                <w:color w:val="B4B4B4"/>
                <w:w w:val="90"/>
              </w:rPr>
              <w:t>. . .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2.339-3.775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48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2"/>
              </w:rPr>
              <w:t xml:space="preserve">CVSR Holdco Notes, due 2037 </w:t>
            </w:r>
            <w:r>
              <w:rPr>
                <w:rFonts w:ascii="Arial" w:cs="Arial" w:eastAsia="Arial" w:hAnsi="Arial"/>
                <w:sz w:val="18"/>
                <w:szCs w:val="18"/>
                <w:color w:val="B4B4B4"/>
                <w:w w:val="92"/>
              </w:rPr>
              <w:t>. .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4.680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2"/>
        </w:trPr>
        <w:tc>
          <w:tcPr>
            <w:tcW w:w="5140" w:type="dxa"/>
            <w:vAlign w:val="bottom"/>
            <w:gridSpan w:val="3"/>
          </w:tcPr>
          <w:p>
            <w:pPr>
              <w:jc w:val="right"/>
              <w:ind w:right="253"/>
              <w:spacing w:after="0"/>
              <w:rPr>
                <w:sz w:val="20"/>
                <w:szCs w:val="20"/>
                <w:color w:val="auto"/>
              </w:rPr>
            </w:pPr>
            <w:r>
              <w:rPr>
                <w:rFonts w:ascii="Arial" w:cs="Arial" w:eastAsia="Arial" w:hAnsi="Arial"/>
                <w:sz w:val="18"/>
                <w:szCs w:val="18"/>
                <w:color w:val="auto"/>
                <w:w w:val="91"/>
              </w:rPr>
              <w:t xml:space="preserve">Daggett 2, due 2028 </w:t>
            </w:r>
            <w:r>
              <w:rPr>
                <w:rFonts w:ascii="Arial" w:cs="Arial" w:eastAsia="Arial" w:hAnsi="Arial"/>
                <w:sz w:val="18"/>
                <w:szCs w:val="18"/>
                <w:color w:val="B4B4B4"/>
                <w:w w:val="91"/>
              </w:rPr>
              <w:t>.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8"/>
        </w:trPr>
        <w:tc>
          <w:tcPr>
            <w:tcW w:w="5140" w:type="dxa"/>
            <w:vAlign w:val="bottom"/>
            <w:gridSpan w:val="3"/>
            <w:shd w:val="clear" w:color="auto" w:fill="E6E6E6"/>
          </w:tcPr>
          <w:p>
            <w:pPr>
              <w:jc w:val="right"/>
              <w:ind w:right="253"/>
              <w:spacing w:after="0"/>
              <w:rPr>
                <w:sz w:val="20"/>
                <w:szCs w:val="20"/>
                <w:color w:val="auto"/>
              </w:rPr>
            </w:pPr>
            <w:r>
              <w:rPr>
                <w:rFonts w:ascii="Arial" w:cs="Arial" w:eastAsia="Arial" w:hAnsi="Arial"/>
                <w:sz w:val="18"/>
                <w:szCs w:val="18"/>
                <w:color w:val="auto"/>
                <w:w w:val="91"/>
              </w:rPr>
              <w:t xml:space="preserve">Daggett 3, due 2028 </w:t>
            </w:r>
            <w:r>
              <w:rPr>
                <w:rFonts w:ascii="Arial" w:cs="Arial" w:eastAsia="Arial" w:hAnsi="Arial"/>
                <w:sz w:val="18"/>
                <w:szCs w:val="18"/>
                <w:color w:val="B4B4B4"/>
                <w:w w:val="91"/>
              </w:rPr>
              <w:t>. . .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S+1.762</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1"/>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Dan’s Mountain, due 2025 </w:t>
            </w:r>
            <w:r>
              <w:rPr>
                <w:rFonts w:ascii="Arial" w:cs="Arial" w:eastAsia="Arial" w:hAnsi="Arial"/>
                <w:sz w:val="18"/>
                <w:szCs w:val="18"/>
                <w:color w:val="B4B4B4"/>
                <w:w w:val="91"/>
              </w:rPr>
              <w:t>. . . . . .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S+1.250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9"/>
        </w:trPr>
        <w:tc>
          <w:tcPr>
            <w:tcW w:w="486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w w:val="92"/>
              </w:rPr>
              <w:t xml:space="preserve">DG-CS Master Borrower LLC, due 2040  </w:t>
            </w:r>
            <w:r>
              <w:rPr>
                <w:rFonts w:ascii="Arial" w:cs="Arial" w:eastAsia="Arial" w:hAnsi="Arial"/>
                <w:sz w:val="18"/>
                <w:szCs w:val="18"/>
                <w:color w:val="B4B4B4"/>
                <w:w w:val="92"/>
              </w:rPr>
              <w:t>.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385</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3.510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4"/>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xml:space="preserve">Mililani Class B Member Holdco LLC, due 2028 </w:t>
            </w:r>
            <w:r>
              <w:rPr>
                <w:rFonts w:ascii="Arial" w:cs="Arial" w:eastAsia="Arial" w:hAnsi="Arial"/>
                <w:sz w:val="18"/>
                <w:szCs w:val="18"/>
                <w:color w:val="B4B4B4"/>
                <w:w w:val="94"/>
              </w:rPr>
              <w:t>.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S+1.600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6"/>
        </w:trPr>
        <w:tc>
          <w:tcPr>
            <w:tcW w:w="48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3"/>
              </w:rPr>
              <w:t xml:space="preserve">Natural Gas Holdco LC Facility, due 2027 </w:t>
            </w:r>
            <w:r>
              <w:rPr>
                <w:rFonts w:ascii="Arial" w:cs="Arial" w:eastAsia="Arial" w:hAnsi="Arial"/>
                <w:sz w:val="18"/>
                <w:szCs w:val="18"/>
                <w:color w:val="B4B4B4"/>
                <w:w w:val="93"/>
              </w:rPr>
              <w:t>.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S+1.750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4"/>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xml:space="preserve">NIMH Solar, due 2031 and 2033 </w:t>
            </w:r>
            <w:r>
              <w:rPr>
                <w:rFonts w:ascii="Arial" w:cs="Arial" w:eastAsia="Arial" w:hAnsi="Arial"/>
                <w:sz w:val="18"/>
                <w:szCs w:val="18"/>
                <w:color w:val="B4B4B4"/>
                <w:w w:val="92"/>
              </w:rPr>
              <w:t>. . . .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S+2.000-2.125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48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2"/>
              </w:rPr>
              <w:t xml:space="preserve">Oahu Solar Holdings LLC, due 2026 </w:t>
            </w:r>
            <w:r>
              <w:rPr>
                <w:rFonts w:ascii="Arial" w:cs="Arial" w:eastAsia="Arial" w:hAnsi="Arial"/>
                <w:sz w:val="18"/>
                <w:szCs w:val="18"/>
                <w:color w:val="B4B4B4"/>
                <w:w w:val="92"/>
              </w:rPr>
              <w:t>.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S+1.775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5"/>
        </w:trPr>
        <w:tc>
          <w:tcPr>
            <w:tcW w:w="48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xml:space="preserve">Rosie Class B LLC, due 2029  </w:t>
            </w:r>
            <w:r>
              <w:rPr>
                <w:rFonts w:ascii="Arial" w:cs="Arial" w:eastAsia="Arial" w:hAnsi="Arial"/>
                <w:sz w:val="18"/>
                <w:szCs w:val="18"/>
                <w:color w:val="B4B4B4"/>
                <w:w w:val="91"/>
              </w:rPr>
              <w:t>. . . . . .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5"/>
        </w:trPr>
        <w:tc>
          <w:tcPr>
            <w:tcW w:w="4860" w:type="dxa"/>
            <w:vAlign w:val="bottom"/>
            <w:gridSpan w:val="2"/>
            <w:shd w:val="clear" w:color="auto" w:fill="E6E6E6"/>
          </w:tcPr>
          <w:p>
            <w:pPr>
              <w:jc w:val="right"/>
              <w:ind w:right="60"/>
              <w:spacing w:after="0" w:line="255" w:lineRule="exact"/>
              <w:rPr>
                <w:sz w:val="20"/>
                <w:szCs w:val="20"/>
                <w:color w:val="auto"/>
              </w:rPr>
            </w:pPr>
            <w:r>
              <w:rPr>
                <w:rFonts w:ascii="Arial" w:cs="Arial" w:eastAsia="Arial" w:hAnsi="Arial"/>
                <w:sz w:val="18"/>
                <w:szCs w:val="18"/>
                <w:color w:val="auto"/>
                <w:w w:val="89"/>
              </w:rPr>
              <w:t xml:space="preserve">Texas Solar Nova 1, due 2028 </w:t>
            </w:r>
            <w:r>
              <w:rPr>
                <w:rFonts w:ascii="Arial" w:cs="Arial" w:eastAsia="Arial" w:hAnsi="Arial"/>
                <w:sz w:val="23"/>
                <w:szCs w:val="23"/>
                <w:color w:val="auto"/>
                <w:w w:val="89"/>
                <w:vertAlign w:val="superscript"/>
              </w:rPr>
              <w:t>(c)</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860" w:type="dxa"/>
            <w:vAlign w:val="bottom"/>
            <w:gridSpan w:val="2"/>
          </w:tcPr>
          <w:p>
            <w:pPr>
              <w:jc w:val="right"/>
              <w:ind w:right="60"/>
              <w:spacing w:after="0" w:line="255" w:lineRule="exact"/>
              <w:rPr>
                <w:sz w:val="20"/>
                <w:szCs w:val="20"/>
                <w:color w:val="auto"/>
              </w:rPr>
            </w:pPr>
            <w:r>
              <w:rPr>
                <w:rFonts w:ascii="Arial" w:cs="Arial" w:eastAsia="Arial" w:hAnsi="Arial"/>
                <w:sz w:val="18"/>
                <w:szCs w:val="18"/>
                <w:color w:val="auto"/>
                <w:w w:val="91"/>
              </w:rPr>
              <w:t xml:space="preserve">TSN1 Class B Member LLC, due 2029 </w:t>
            </w:r>
            <w:r>
              <w:rPr>
                <w:rFonts w:ascii="Arial" w:cs="Arial" w:eastAsia="Arial" w:hAnsi="Arial"/>
                <w:sz w:val="23"/>
                <w:szCs w:val="23"/>
                <w:color w:val="auto"/>
                <w:w w:val="91"/>
                <w:vertAlign w:val="superscript"/>
              </w:rPr>
              <w:t>(c)</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5"/>
        </w:trPr>
        <w:tc>
          <w:tcPr>
            <w:tcW w:w="48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0"/>
              </w:rPr>
              <w:t xml:space="preserve">Utah Solar Holdings, due 2036 </w:t>
            </w:r>
            <w:r>
              <w:rPr>
                <w:rFonts w:ascii="Arial" w:cs="Arial" w:eastAsia="Arial" w:hAnsi="Arial"/>
                <w:sz w:val="18"/>
                <w:szCs w:val="18"/>
                <w:color w:val="B4B4B4"/>
                <w:w w:val="90"/>
              </w:rPr>
              <w:t>. . .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242</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5"/>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xml:space="preserve">Viento Funding II, LLC, due 2029  </w:t>
            </w:r>
            <w:r>
              <w:rPr>
                <w:rFonts w:ascii="Arial" w:cs="Arial" w:eastAsia="Arial" w:hAnsi="Arial"/>
                <w:sz w:val="18"/>
                <w:szCs w:val="18"/>
                <w:color w:val="B4B4B4"/>
                <w:w w:val="93"/>
              </w:rPr>
              <w:t>. .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S+1.475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5"/>
        </w:trPr>
        <w:tc>
          <w:tcPr>
            <w:tcW w:w="486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w w:val="91"/>
              </w:rPr>
              <w:t xml:space="preserve">Victory Pass and Arica, due 2024  </w:t>
            </w:r>
            <w:r>
              <w:rPr>
                <w:rFonts w:ascii="Arial" w:cs="Arial" w:eastAsia="Arial" w:hAnsi="Arial"/>
                <w:sz w:val="18"/>
                <w:szCs w:val="18"/>
                <w:color w:val="B4B4B4"/>
                <w:w w:val="91"/>
              </w:rPr>
              <w:t>.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140" w:type="dxa"/>
            <w:vAlign w:val="bottom"/>
            <w:gridSpan w:val="3"/>
          </w:tcPr>
          <w:p>
            <w:pPr>
              <w:jc w:val="right"/>
              <w:ind w:right="253"/>
              <w:spacing w:after="0"/>
              <w:rPr>
                <w:sz w:val="20"/>
                <w:szCs w:val="20"/>
                <w:color w:val="auto"/>
              </w:rPr>
            </w:pPr>
            <w:r>
              <w:rPr>
                <w:rFonts w:ascii="Arial" w:cs="Arial" w:eastAsia="Arial" w:hAnsi="Arial"/>
                <w:sz w:val="18"/>
                <w:szCs w:val="18"/>
                <w:color w:val="auto"/>
                <w:w w:val="90"/>
              </w:rPr>
              <w:t xml:space="preserve">Other </w:t>
            </w:r>
            <w:r>
              <w:rPr>
                <w:rFonts w:ascii="Arial" w:cs="Arial" w:eastAsia="Arial" w:hAnsi="Arial"/>
                <w:sz w:val="18"/>
                <w:szCs w:val="18"/>
                <w:color w:val="B4B4B4"/>
                <w:w w:val="90"/>
              </w:rPr>
              <w:t>. . . . . . . . . . . .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5"/>
        </w:trPr>
        <w:tc>
          <w:tcPr>
            <w:tcW w:w="4860" w:type="dxa"/>
            <w:vAlign w:val="bottom"/>
            <w:tcBorders>
              <w:top w:val="single" w:sz="8" w:color="E6E6E6"/>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8"/>
                <w:szCs w:val="18"/>
                <w:color w:val="B4B4B4"/>
                <w:w w:val="98"/>
              </w:rPr>
              <w:t>. . . . . . . . . . . . . . . . . . .</w:t>
            </w:r>
            <w:r>
              <w:rPr>
                <w:rFonts w:ascii="Arial" w:cs="Arial" w:eastAsia="Arial" w:hAnsi="Arial"/>
                <w:sz w:val="18"/>
                <w:szCs w:val="18"/>
                <w:color w:val="000000"/>
                <w:w w:val="98"/>
              </w:rPr>
              <w:t>Subtotalnon-recoursefacility-leveldebt</w:t>
            </w:r>
          </w:p>
        </w:tc>
        <w:tc>
          <w:tcPr>
            <w:tcW w:w="280" w:type="dxa"/>
            <w:vAlign w:val="bottom"/>
            <w:tcBorders>
              <w:top w:val="single" w:sz="8" w:color="auto"/>
              <w:bottom w:val="single" w:sz="8" w:color="auto"/>
            </w:tcBorders>
            <w:shd w:val="clear" w:color="auto" w:fill="E6E6E6"/>
          </w:tcPr>
          <w:p>
            <w:pPr>
              <w:spacing w:after="0"/>
              <w:rPr>
                <w:sz w:val="22"/>
                <w:szCs w:val="22"/>
                <w:color w:val="auto"/>
              </w:rPr>
            </w:pP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5,110</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280" w:type="dxa"/>
            <w:vAlign w:val="bottom"/>
            <w:tcBorders>
              <w:top w:val="single" w:sz="8" w:color="auto"/>
              <w:bottom w:val="single" w:sz="8" w:color="auto"/>
            </w:tcBorders>
            <w:shd w:val="clear" w:color="auto" w:fill="E6E6E6"/>
          </w:tcPr>
          <w:p>
            <w:pPr>
              <w:spacing w:after="0"/>
              <w:rPr>
                <w:sz w:val="22"/>
                <w:szCs w:val="22"/>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5,974</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1300" w:type="dxa"/>
            <w:vAlign w:val="bottom"/>
            <w:tcBorders>
              <w:top w:val="single" w:sz="8" w:color="E6E6E6"/>
              <w:bottom w:val="single" w:sz="8" w:color="E6E6E6"/>
            </w:tcBorders>
            <w:shd w:val="clear" w:color="auto" w:fill="E6E6E6"/>
          </w:tcPr>
          <w:p>
            <w:pPr>
              <w:spacing w:after="0"/>
              <w:rPr>
                <w:sz w:val="22"/>
                <w:szCs w:val="22"/>
                <w:color w:val="auto"/>
              </w:rPr>
            </w:pP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E6E6E6"/>
              <w:bottom w:val="single" w:sz="8" w:color="E6E6E6"/>
            </w:tcBorders>
            <w:shd w:val="clear" w:color="auto" w:fill="E6E6E6"/>
          </w:tcPr>
          <w:p>
            <w:pPr>
              <w:spacing w:after="0"/>
              <w:rPr>
                <w:sz w:val="22"/>
                <w:szCs w:val="22"/>
                <w:color w:val="auto"/>
              </w:rPr>
            </w:pPr>
          </w:p>
        </w:tc>
        <w:tc>
          <w:tcPr>
            <w:tcW w:w="1400" w:type="dxa"/>
            <w:vAlign w:val="bottom"/>
            <w:tcBorders>
              <w:top w:val="single" w:sz="8" w:color="E6E6E6"/>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40" w:type="dxa"/>
            <w:vAlign w:val="bottom"/>
            <w:gridSpan w:val="3"/>
          </w:tcPr>
          <w:p>
            <w:pPr>
              <w:jc w:val="right"/>
              <w:ind w:right="253"/>
              <w:spacing w:after="0"/>
              <w:rPr>
                <w:sz w:val="20"/>
                <w:szCs w:val="20"/>
                <w:color w:val="auto"/>
              </w:rPr>
            </w:pPr>
            <w:r>
              <w:rPr>
                <w:rFonts w:ascii="Arial" w:cs="Arial" w:eastAsia="Arial" w:hAnsi="Arial"/>
                <w:sz w:val="18"/>
                <w:szCs w:val="18"/>
                <w:color w:val="B4B4B4"/>
              </w:rPr>
              <w:t>. . . . . . . . . . . . . . . . . . . . . . . . . . . . . . . . . . . . . . . .</w:t>
            </w:r>
            <w:r>
              <w:rPr>
                <w:rFonts w:ascii="Arial" w:cs="Arial" w:eastAsia="Arial" w:hAnsi="Arial"/>
                <w:sz w:val="18"/>
                <w:szCs w:val="18"/>
                <w:color w:val="000000"/>
              </w:rPr>
              <w:t>Totaldebt</w:t>
            </w:r>
          </w:p>
        </w:tc>
        <w:tc>
          <w:tcPr>
            <w:tcW w:w="860" w:type="dxa"/>
            <w:vAlign w:val="bottom"/>
          </w:tcPr>
          <w:p>
            <w:pPr>
              <w:jc w:val="right"/>
              <w:spacing w:after="0"/>
              <w:rPr>
                <w:sz w:val="20"/>
                <w:szCs w:val="20"/>
                <w:color w:val="auto"/>
              </w:rPr>
            </w:pPr>
            <w:r>
              <w:rPr>
                <w:rFonts w:ascii="Arial" w:cs="Arial" w:eastAsia="Arial" w:hAnsi="Arial"/>
                <w:sz w:val="18"/>
                <w:szCs w:val="18"/>
                <w:color w:val="auto"/>
              </w:rPr>
              <w:t>7,235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140" w:type="dxa"/>
            <w:vAlign w:val="bottom"/>
            <w:gridSpan w:val="3"/>
            <w:shd w:val="clear" w:color="auto" w:fill="E6E6E6"/>
          </w:tcPr>
          <w:p>
            <w:pPr>
              <w:jc w:val="right"/>
              <w:ind w:right="253"/>
              <w:spacing w:after="0"/>
              <w:rPr>
                <w:sz w:val="20"/>
                <w:szCs w:val="20"/>
                <w:color w:val="auto"/>
              </w:rPr>
            </w:pPr>
            <w:r>
              <w:rPr>
                <w:rFonts w:ascii="Arial" w:cs="Arial" w:eastAsia="Arial" w:hAnsi="Arial"/>
                <w:sz w:val="18"/>
                <w:szCs w:val="18"/>
                <w:color w:val="auto"/>
                <w:w w:val="91"/>
              </w:rPr>
              <w:t xml:space="preserve">Less current maturities </w:t>
            </w:r>
            <w:r>
              <w:rPr>
                <w:rFonts w:ascii="Arial" w:cs="Arial" w:eastAsia="Arial" w:hAnsi="Arial"/>
                <w:sz w:val="18"/>
                <w:szCs w:val="18"/>
                <w:color w:val="B4B4B4"/>
                <w:w w:val="91"/>
              </w:rPr>
              <w:t>.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8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 xml:space="preserve">Less net debt issuance costs </w:t>
            </w:r>
            <w:r>
              <w:rPr>
                <w:rFonts w:ascii="Arial" w:cs="Arial" w:eastAsia="Arial" w:hAnsi="Arial"/>
                <w:sz w:val="18"/>
                <w:szCs w:val="18"/>
                <w:color w:val="B4B4B4"/>
                <w:w w:val="89"/>
              </w:rPr>
              <w:t>. . . . .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140" w:type="dxa"/>
            <w:vAlign w:val="bottom"/>
            <w:gridSpan w:val="3"/>
            <w:shd w:val="clear" w:color="auto" w:fill="E6E6E6"/>
          </w:tcPr>
          <w:p>
            <w:pPr>
              <w:jc w:val="right"/>
              <w:ind w:right="273"/>
              <w:spacing w:after="0" w:line="253" w:lineRule="exact"/>
              <w:rPr>
                <w:sz w:val="20"/>
                <w:szCs w:val="20"/>
                <w:color w:val="auto"/>
              </w:rPr>
            </w:pPr>
            <w:r>
              <w:rPr>
                <w:rFonts w:ascii="Arial" w:cs="Arial" w:eastAsia="Arial" w:hAnsi="Arial"/>
                <w:sz w:val="18"/>
                <w:szCs w:val="18"/>
                <w:color w:val="auto"/>
                <w:w w:val="90"/>
              </w:rPr>
              <w:t xml:space="preserve">Add premiums </w:t>
            </w:r>
            <w:r>
              <w:rPr>
                <w:rFonts w:ascii="Arial" w:cs="Arial" w:eastAsia="Arial" w:hAnsi="Arial"/>
                <w:sz w:val="23"/>
                <w:szCs w:val="23"/>
                <w:color w:val="auto"/>
                <w:w w:val="90"/>
                <w:vertAlign w:val="superscript"/>
              </w:rPr>
              <w:t>(e)</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3"/>
                <w:szCs w:val="23"/>
                <w:color w:val="auto"/>
              </w:rPr>
            </w:pPr>
          </w:p>
        </w:tc>
        <w:tc>
          <w:tcPr>
            <w:tcW w:w="13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4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860" w:type="dxa"/>
            <w:vAlign w:val="bottom"/>
            <w:tcBorders>
              <w:top w:val="single" w:sz="8" w:color="E6E6E6"/>
            </w:tcBorders>
            <w:gridSpan w:val="2"/>
          </w:tcPr>
          <w:p>
            <w:pPr>
              <w:jc w:val="right"/>
              <w:ind w:right="60"/>
              <w:spacing w:after="0" w:line="195" w:lineRule="exact"/>
              <w:rPr>
                <w:sz w:val="20"/>
                <w:szCs w:val="20"/>
                <w:color w:val="auto"/>
              </w:rPr>
            </w:pPr>
            <w:r>
              <w:rPr>
                <w:rFonts w:ascii="Arial" w:cs="Arial" w:eastAsia="Arial" w:hAnsi="Arial"/>
                <w:sz w:val="18"/>
                <w:szCs w:val="18"/>
                <w:color w:val="B4B4B4"/>
                <w:w w:val="98"/>
              </w:rPr>
              <w:t>. . . . . . . . . . . . . . . . . . . . . . . . . . . . . . . . . .</w:t>
            </w:r>
            <w:r>
              <w:rPr>
                <w:rFonts w:ascii="Arial" w:cs="Arial" w:eastAsia="Arial" w:hAnsi="Arial"/>
                <w:sz w:val="18"/>
                <w:szCs w:val="18"/>
                <w:color w:val="000000"/>
                <w:w w:val="98"/>
              </w:rPr>
              <w:t>Totallong-termdebt</w:t>
            </w:r>
          </w:p>
        </w:tc>
        <w:tc>
          <w:tcPr>
            <w:tcW w:w="280" w:type="dxa"/>
            <w:vAlign w:val="bottom"/>
            <w:tcBorders>
              <w:top w:val="single" w:sz="8" w:color="auto"/>
              <w:bottom w:val="single" w:sz="8" w:color="auto"/>
            </w:tcBorders>
          </w:tcPr>
          <w:p>
            <w:pPr>
              <w:jc w:val="right"/>
              <w:ind w:right="53"/>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6,750</w:t>
            </w:r>
          </w:p>
        </w:tc>
        <w:tc>
          <w:tcPr>
            <w:tcW w:w="80" w:type="dxa"/>
            <w:vAlign w:val="bottom"/>
            <w:tcBorders>
              <w:top w:val="single" w:sz="8" w:color="E6E6E6"/>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55"/>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7,479</w:t>
            </w:r>
          </w:p>
        </w:tc>
        <w:tc>
          <w:tcPr>
            <w:tcW w:w="80" w:type="dxa"/>
            <w:vAlign w:val="bottom"/>
            <w:tcBorders>
              <w:top w:val="single" w:sz="8" w:color="E6E6E6"/>
            </w:tcBorders>
          </w:tcPr>
          <w:p>
            <w:pPr>
              <w:spacing w:after="0"/>
              <w:rPr>
                <w:sz w:val="16"/>
                <w:szCs w:val="16"/>
                <w:color w:val="auto"/>
              </w:rPr>
            </w:pPr>
          </w:p>
        </w:tc>
        <w:tc>
          <w:tcPr>
            <w:tcW w:w="1300" w:type="dxa"/>
            <w:vAlign w:val="bottom"/>
            <w:tcBorders>
              <w:top w:val="single" w:sz="8" w:color="E6E6E6"/>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160" w:type="dxa"/>
            <w:vAlign w:val="bottom"/>
            <w:tcBorders>
              <w:top w:val="single" w:sz="8" w:color="E6E6E6"/>
            </w:tcBorders>
          </w:tcPr>
          <w:p>
            <w:pPr>
              <w:spacing w:after="0"/>
              <w:rPr>
                <w:sz w:val="16"/>
                <w:szCs w:val="16"/>
                <w:color w:val="auto"/>
              </w:rPr>
            </w:pPr>
          </w:p>
        </w:tc>
        <w:tc>
          <w:tcPr>
            <w:tcW w:w="140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8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-142240</wp:posOffset>
            </wp:positionV>
            <wp:extent cx="153987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9">
                      <a:extLst>
                        <a:ext uri="{28A0092B-C50C-407E-A947-70E740481C1C}"/>
                      </a:extLst>
                    </a:blip>
                    <a:srcRect/>
                    <a:stretch>
                      <a:fillRect/>
                    </a:stretch>
                  </pic:blipFill>
                  <pic:spPr bwMode="auto">
                    <a:xfrm>
                      <a:off x="0" y="0"/>
                      <a:ext cx="1539875" cy="50800"/>
                    </a:xfrm>
                    <a:prstGeom prst="rect">
                      <a:avLst/>
                    </a:prstGeom>
                    <a:noFill/>
                  </pic:spPr>
                </pic:pic>
              </a:graphicData>
            </a:graphic>
          </wp:anchor>
        </w:drawing>
      </w:r>
    </w:p>
    <w:p>
      <w:pPr>
        <w:ind w:left="280" w:hanging="200"/>
        <w:spacing w:after="0"/>
        <w:tabs>
          <w:tab w:leader="none" w:pos="2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As of December 31, 2024, S+ equals SOFR plus x%.</w:t>
      </w:r>
    </w:p>
    <w:p>
      <w:pPr>
        <w:spacing w:after="0" w:line="2" w:lineRule="exact"/>
        <w:rPr>
          <w:rFonts w:ascii="Arial" w:cs="Arial" w:eastAsia="Arial" w:hAnsi="Arial"/>
          <w:sz w:val="21"/>
          <w:szCs w:val="21"/>
          <w:color w:val="auto"/>
          <w:vertAlign w:val="superscript"/>
        </w:rPr>
      </w:pPr>
    </w:p>
    <w:p>
      <w:pPr>
        <w:ind w:left="280" w:hanging="200"/>
        <w:spacing w:after="0" w:line="207" w:lineRule="auto"/>
        <w:tabs>
          <w:tab w:leader="none" w:pos="2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Applicable rate is determined by the borrower leverage ratio, as defined in the credit agreement, and only applies to outstanding borrowings.</w:t>
      </w:r>
    </w:p>
    <w:p>
      <w:pPr>
        <w:spacing w:after="0" w:line="3" w:lineRule="exact"/>
        <w:rPr>
          <w:rFonts w:ascii="Arial" w:cs="Arial" w:eastAsia="Arial" w:hAnsi="Arial"/>
          <w:sz w:val="21"/>
          <w:szCs w:val="21"/>
          <w:color w:val="auto"/>
          <w:vertAlign w:val="superscript"/>
        </w:rPr>
      </w:pPr>
    </w:p>
    <w:p>
      <w:pPr>
        <w:ind w:left="80" w:right="60"/>
        <w:spacing w:after="0" w:line="226" w:lineRule="auto"/>
        <w:tabs>
          <w:tab w:leader="none" w:pos="275"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On March 15, 2024, Texas Solar Nova 1’s financing agreement was amended to merge the facility-level debt of Texas Solar Nova 1 and Texas Solar Nova 2 as a combined term loan under TSN1 Class B Member LLC.</w:t>
      </w:r>
    </w:p>
    <w:p>
      <w:pPr>
        <w:spacing w:after="0" w:line="3" w:lineRule="exact"/>
        <w:rPr>
          <w:rFonts w:ascii="Arial" w:cs="Arial" w:eastAsia="Arial" w:hAnsi="Arial"/>
          <w:sz w:val="21"/>
          <w:szCs w:val="21"/>
          <w:color w:val="auto"/>
          <w:vertAlign w:val="superscript"/>
        </w:rPr>
      </w:pPr>
    </w:p>
    <w:p>
      <w:pPr>
        <w:ind w:left="80" w:right="280"/>
        <w:spacing w:after="0" w:line="226" w:lineRule="auto"/>
        <w:tabs>
          <w:tab w:leader="none" w:pos="281"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On October 23, 2024, the outstanding debt of Broken Bow and Crofton Bluffs was paid off utilizing the proceeds from the Capistrano Portfolio Holdco LLC term loan that was issued on the same day.</w:t>
      </w:r>
    </w:p>
    <w:p>
      <w:pPr>
        <w:ind w:left="280" w:hanging="200"/>
        <w:spacing w:after="0" w:line="210" w:lineRule="auto"/>
        <w:tabs>
          <w:tab w:leader="none" w:pos="2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Premiums relate to the 2028 Senior Notes.</w:t>
      </w:r>
    </w:p>
    <w:p>
      <w:pPr>
        <w:sectPr>
          <w:pgSz w:w="11880" w:h="15480" w:orient="portrait"/>
          <w:cols w:equalWidth="0" w:num="1">
            <w:col w:w="10260"/>
          </w:cols>
          <w:pgMar w:left="820" w:top="360" w:right="800" w:bottom="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880" w:h="15480" w:orient="portrait"/>
          <w:cols w:equalWidth="0" w:num="1">
            <w:col w:w="10260"/>
          </w:cols>
          <w:pgMar w:left="820" w:top="360" w:right="800" w:bottom="0" w:gutter="0" w:footer="0" w:header="0"/>
          <w:type w:val="continuous"/>
        </w:sectPr>
      </w:pPr>
    </w:p>
    <w:bookmarkStart w:id="114" w:name="page115"/>
    <w:bookmarkEnd w:id="114"/>
    <w:p>
      <w:pPr>
        <w:jc w:val="both"/>
        <w:ind w:firstLine="450"/>
        <w:spacing w:after="0" w:line="270" w:lineRule="auto"/>
        <w:rPr>
          <w:sz w:val="20"/>
          <w:szCs w:val="20"/>
          <w:color w:val="auto"/>
        </w:rPr>
      </w:pPr>
      <w:r>
        <w:rPr>
          <w:rFonts w:ascii="Arial" w:cs="Arial" w:eastAsia="Arial" w:hAnsi="Arial"/>
          <w:sz w:val="19"/>
          <w:szCs w:val="19"/>
          <w:color w:val="auto"/>
        </w:rPr>
        <w:t>The financing arrangements listed above contain certain covenants, including financial covenants that the Company is required to be in compliance with during the term of the respective arrangement. Under the facility-level financing arrangements, each facility is permitted to pay distributions out of available cash as long as certain conditions are satisfied, including that no default under the applicable arrangements has occurred and that each facility is otherwise in compliance with all relevant conditions under the financing agreements, including meeting required financial ratios, where applicable. The Company’s facility-level financing arrangements are non-recourse to the Company, thus, each facility pledges its underlying assets as collateral, and if a facility is in default of its financing arrangement, then the related lender could demand repayment of the facility or enforce their security interests with respect to the pledged collateral.</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December 31, 2024, the Company was in compliance with all of the required covenants.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Clearway Energy LLC and Clearway Energy Operating LLC Revolving Credit Facility</w:t>
      </w:r>
    </w:p>
    <w:p>
      <w:pPr>
        <w:spacing w:after="0" w:line="198" w:lineRule="exact"/>
        <w:rPr>
          <w:sz w:val="20"/>
          <w:szCs w:val="20"/>
          <w:color w:val="auto"/>
        </w:rPr>
      </w:pPr>
    </w:p>
    <w:p>
      <w:pPr>
        <w:jc w:val="both"/>
        <w:ind w:right="20" w:firstLine="450"/>
        <w:spacing w:after="0" w:line="29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Facility-level Debt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Cedro Hill Repowering</w:t>
      </w:r>
    </w:p>
    <w:p>
      <w:pPr>
        <w:spacing w:after="0" w:line="193"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9"/>
          <w:szCs w:val="19"/>
          <w:color w:val="auto"/>
        </w:rPr>
        <w:t>On December 12, 2023, the Company entered into a financing agreement for non-recourse debt for a total commitment of $254 million, which consists of construction loans, a tax equity bridge loan and a cash equity bridge loan, related to the repowering of the Cedro Hill wind facility. The Company’s initial borrowing of $165 million was utilized to repay the $72 million of outstanding principal under the original financing agreement, to pay $55 million to Clearway Renew for the future delivery of equipment, which was included in other non-current assets on the Company’s consolidated balance sheet, to pay $27 million to a third party for the future delivery of equipment, which was included in other non-current assets on the Company’s consolidated balance sheet, to pay a $4 million development services fee to Clearway Renew, to pay for $4 million in debt issuance costs that were deferred and to pay for $3 million in capital expenditures. During 2024, the $82 million of equipment was delivered, and therefore, is now included in property, plant and equipment, net on the Company’s consolidated balance sheet as of December 31, 2024.</w:t>
      </w:r>
    </w:p>
    <w:p>
      <w:pPr>
        <w:spacing w:after="0" w:line="140"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as further described in Note 5, </w:t>
      </w:r>
      <w:r>
        <w:rPr>
          <w:rFonts w:ascii="Arial" w:cs="Arial" w:eastAsia="Arial" w:hAnsi="Arial"/>
          <w:sz w:val="18"/>
          <w:szCs w:val="18"/>
          <w:b w:val="1"/>
          <w:bCs w:val="1"/>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 The tax equity proceeds were utilized, along with $54 million in construction loan proceeds, to repay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$138 million tax equity bridge loan, the $16 million cash equity bridge loan, to fund $38 million in construction completion and related reserves, which is included in restricted cash on the Company’s consolidated balance sheet, to pay $11 million in construction invoices and to pay $4 million in associated fees with the remaining $26 million distributed to CEG. Also at substantial completion, the outstanding construction loans were converted to a term loan in the amount of $99 million. Under the new financing agreement, the Company borrowed $88 million during 2024.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Dan’s Mountain</w:t>
      </w:r>
    </w:p>
    <w:p>
      <w:pPr>
        <w:spacing w:after="0" w:line="190"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8"/>
          <w:szCs w:val="18"/>
          <w:color w:val="auto"/>
        </w:rPr>
        <w:t xml:space="preserve">On November 18, 2024, as part of the acquisition of Dan’s Mountain, as further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xml:space="preserve"> the Company assumed the facility’s financing agreement, which included a $77 million cash equity bridge loan and a $49 million tax equity bridge loan, offset by $1 million in unamortized debt issuance costs. A partial payment of $7 million was made on the cash equity bridge loan at acquisition date utilizing all of the proceeds from the Company, which were contributed back to the Company by CEG. The tax equity bridge loan and the remaining cash equity bridge loan will be repaid with the final proceeds received from the tax equity investor and the Company’s additional purchase price upon Dan’s Mountain reaching substantial completion, which is expected to occur in the first half of 2025, along with the $18 million that was contributed into escrow by the tax equity investor at acquisition date, which is included in restricted cash on the Company’s consolidated balance sheet. Subsequent to the acquisition, the Company borrowed an additional $24 million in tax equity bridge loans.</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880" w:h="15480" w:orient="portrait"/>
          <w:cols w:equalWidth="0" w:num="1">
            <w:col w:w="10260"/>
          </w:cols>
          <w:pgMar w:left="820" w:top="367" w:right="800" w:bottom="0" w:gutter="0" w:footer="0" w:header="0"/>
          <w:type w:val="continuous"/>
        </w:sectPr>
      </w:pPr>
    </w:p>
    <w:bookmarkStart w:id="115" w:name="page116"/>
    <w:bookmarkEnd w:id="115"/>
    <w:p>
      <w:pPr>
        <w:ind w:left="440"/>
        <w:spacing w:after="0"/>
        <w:rPr>
          <w:sz w:val="20"/>
          <w:szCs w:val="20"/>
          <w:color w:val="auto"/>
        </w:rPr>
      </w:pPr>
      <w:r>
        <w:rPr>
          <w:rFonts w:ascii="Arial" w:cs="Arial" w:eastAsia="Arial" w:hAnsi="Arial"/>
          <w:sz w:val="20"/>
          <w:szCs w:val="20"/>
          <w:b w:val="1"/>
          <w:bCs w:val="1"/>
          <w:i w:val="1"/>
          <w:iCs w:val="1"/>
          <w:color w:val="auto"/>
        </w:rPr>
        <w:t>Capistrano Portfolio Holdco LLC</w:t>
      </w:r>
    </w:p>
    <w:p>
      <w:pPr>
        <w:spacing w:after="0" w:line="193"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Company utilized the proceeds from the term loan to pay off the existing debt in the amount of $63 million related to Broken Bow and Crofton Bluffs and to pay related financing costs.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Natural Gas Holdco LC Facility</w:t>
      </w:r>
    </w:p>
    <w:p>
      <w:pPr>
        <w:spacing w:after="0" w:line="19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20"/>
          <w:szCs w:val="20"/>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The letter of credit facility has an initial term of three years and the option for two additional one-year extensions.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Rosamond Central (Rosie Class B LLC)</w:t>
      </w:r>
    </w:p>
    <w:p>
      <w:pPr>
        <w:spacing w:after="0" w:line="193"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On June 30, 2023, Rosie Class B LLC, the indirect owner of the Rosamond Central solar facility, amended its financing agreement to provide for (i) a refinanced term loan in the amount of $77 million, (ii) construction loans up to $115 million, (iii) tax equity bridge loans up to $188 million, (iv) an increase to the letter of credit sublimit to $41 million and (v) an extension of the maturity date of the term loan and construction loans to June 13, 2029.</w:t>
      </w:r>
    </w:p>
    <w:p>
      <w:pPr>
        <w:spacing w:after="0" w:line="140" w:lineRule="exact"/>
        <w:rPr>
          <w:sz w:val="20"/>
          <w:szCs w:val="20"/>
          <w:color w:val="auto"/>
        </w:rPr>
      </w:pPr>
    </w:p>
    <w:p>
      <w:pPr>
        <w:jc w:val="both"/>
        <w:ind w:right="20" w:firstLine="450"/>
        <w:spacing w:after="0" w:line="279" w:lineRule="auto"/>
        <w:rPr>
          <w:sz w:val="20"/>
          <w:szCs w:val="20"/>
          <w:color w:val="auto"/>
        </w:rPr>
      </w:pPr>
      <w:r>
        <w:rPr>
          <w:rFonts w:ascii="Arial" w:cs="Arial" w:eastAsia="Arial" w:hAnsi="Arial"/>
          <w:sz w:val="19"/>
          <w:szCs w:val="19"/>
          <w:color w:val="auto"/>
        </w:rPr>
        <w:t xml:space="preserve">On July 3, 2023, Rosie Class B LLC issued a loan to Clearway Renew, utilizing a portion of the loan proceeds under the amended financing agreement, in order to finance the construction of the BESS facility. On December 1, 2023, the Rosamond Central solar facility acquired the BESS facility from Clearway Renew for initial cash consideration of $70 million, as further discussed in Note 3,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and Clearway Renew utilized the funds to partially repay the loan.</w:t>
      </w:r>
    </w:p>
    <w:p>
      <w:pPr>
        <w:spacing w:after="0" w:line="124"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9"/>
          <w:szCs w:val="19"/>
          <w:color w:val="auto"/>
        </w:rPr>
        <w:t xml:space="preserve">On June 13, 2024, when the Rosamond Central BESS facility reached substantial completion, Clearway Renew repaid the $184 million outstanding loan balance owed to Rosie Class B LLC utilizing the additional purchase price of $279 million paid by the Company, as further described in Note 3,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 Additionally, on June 13, 2024, the outstanding construction loans were converted to a term loan in the amount of $115 million. Under the amended financing agreement, the Company borrowed $271 million during 2023 and $30 million during 2024.</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NIMH Solar</w:t>
      </w:r>
    </w:p>
    <w:p>
      <w:pPr>
        <w:spacing w:after="0" w:line="193"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obligations under the new financing 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Victory Pass and Arica</w:t>
      </w:r>
    </w:p>
    <w:p>
      <w:pPr>
        <w:spacing w:after="0" w:line="190" w:lineRule="exact"/>
        <w:rPr>
          <w:sz w:val="20"/>
          <w:szCs w:val="20"/>
          <w:color w:val="auto"/>
        </w:rPr>
      </w:pPr>
    </w:p>
    <w:p>
      <w:pPr>
        <w:jc w:val="both"/>
        <w:ind w:right="20" w:firstLine="450"/>
        <w:spacing w:after="0" w:line="276" w:lineRule="auto"/>
        <w:rPr>
          <w:sz w:val="20"/>
          <w:szCs w:val="20"/>
          <w:color w:val="auto"/>
        </w:rPr>
      </w:pPr>
      <w:r>
        <w:rPr>
          <w:rFonts w:ascii="Arial" w:cs="Arial" w:eastAsia="Arial" w:hAnsi="Arial"/>
          <w:sz w:val="19"/>
          <w:szCs w:val="19"/>
          <w:color w:val="auto"/>
        </w:rPr>
        <w:t xml:space="preserve">On October 31, 2023, as part of the acquisition of Victory Pass and Arica, as further described in Note 3,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xml:space="preserve"> the Company assumed the facility’s financing agreement, which included a $483 million cash equity bridge loan and a $385 million tax equity bridge loan, offset by $4 million in unamortized debt issuance costs. A partial payment of $133 million was made on the cash equity bridge loan at acquisition date utilizing all of the proceeds from the Company, which were contributed back to the Company by CEG, and the contribution from the cash equity investor.</w:t>
      </w:r>
    </w:p>
    <w:p>
      <w:pPr>
        <w:spacing w:after="0" w:line="127" w:lineRule="exact"/>
        <w:rPr>
          <w:sz w:val="20"/>
          <w:szCs w:val="20"/>
          <w:color w:val="auto"/>
        </w:rPr>
      </w:pPr>
    </w:p>
    <w:p>
      <w:pPr>
        <w:jc w:val="both"/>
        <w:ind w:right="20" w:firstLine="450"/>
        <w:spacing w:after="0" w:line="271" w:lineRule="auto"/>
        <w:rPr>
          <w:sz w:val="20"/>
          <w:szCs w:val="20"/>
          <w:color w:val="auto"/>
        </w:rPr>
      </w:pPr>
      <w:r>
        <w:rPr>
          <w:rFonts w:ascii="Arial" w:cs="Arial" w:eastAsia="Arial" w:hAnsi="Arial"/>
          <w:sz w:val="19"/>
          <w:szCs w:val="19"/>
          <w:color w:val="auto"/>
        </w:rPr>
        <w:t xml:space="preserve">On May 1, 2024, when the facilities reached substantial completion, the Company paid $165 million to Clearway Renew as additional purchase price, as further described in Note 3,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Subsequent to the acquisition, the Company borrowed an additional $22 million during 2023 and $62 million during 2024.</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880" w:h="15480" w:orient="portrait"/>
          <w:cols w:equalWidth="0" w:num="1">
            <w:col w:w="10260"/>
          </w:cols>
          <w:pgMar w:left="820" w:top="364" w:right="800" w:bottom="0" w:gutter="0" w:footer="0" w:header="0"/>
          <w:type w:val="continuous"/>
        </w:sectPr>
      </w:pPr>
    </w:p>
    <w:bookmarkStart w:id="116" w:name="page117"/>
    <w:bookmarkEnd w:id="116"/>
    <w:p>
      <w:pPr>
        <w:ind w:left="440"/>
        <w:spacing w:after="0"/>
        <w:rPr>
          <w:sz w:val="20"/>
          <w:szCs w:val="20"/>
          <w:color w:val="auto"/>
        </w:rPr>
      </w:pPr>
      <w:r>
        <w:rPr>
          <w:rFonts w:ascii="Arial" w:cs="Arial" w:eastAsia="Arial" w:hAnsi="Arial"/>
          <w:sz w:val="20"/>
          <w:szCs w:val="20"/>
          <w:b w:val="1"/>
          <w:bCs w:val="1"/>
          <w:i w:val="1"/>
          <w:iCs w:val="1"/>
          <w:color w:val="auto"/>
        </w:rPr>
        <w:t>Cedar Creek</w:t>
      </w:r>
    </w:p>
    <w:p>
      <w:pPr>
        <w:spacing w:after="0" w:line="190"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8"/>
          <w:szCs w:val="18"/>
          <w:color w:val="auto"/>
        </w:rPr>
        <w:t xml:space="preserve">On April 16, 2024, as part of the acquisition of Cedar Creek, as further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to the Company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Texas Solar Nova 1 and Texas Solar Nova 2</w:t>
      </w:r>
    </w:p>
    <w:p>
      <w:pPr>
        <w:spacing w:after="0" w:line="190" w:lineRule="exact"/>
        <w:rPr>
          <w:sz w:val="20"/>
          <w:szCs w:val="20"/>
          <w:color w:val="auto"/>
        </w:rPr>
      </w:pPr>
    </w:p>
    <w:p>
      <w:pPr>
        <w:jc w:val="both"/>
        <w:ind w:right="20" w:firstLine="450"/>
        <w:spacing w:after="0" w:line="286" w:lineRule="auto"/>
        <w:rPr>
          <w:sz w:val="20"/>
          <w:szCs w:val="20"/>
          <w:color w:val="auto"/>
        </w:rPr>
      </w:pPr>
      <w:r>
        <w:rPr>
          <w:rFonts w:ascii="Arial" w:cs="Arial" w:eastAsia="Arial" w:hAnsi="Arial"/>
          <w:sz w:val="18"/>
          <w:szCs w:val="18"/>
          <w:color w:val="auto"/>
        </w:rPr>
        <w:t xml:space="preserve">On December 28, 2023, as part of the acquisition of Texas Solar Nova 1, as further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the Company assumed the facility’s financing agreement, which included a $90 million construction loan, $109 million cash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cash equity investor, to repay the $109 million cash equity bridge loan, to repay the $151 million tax equity bridge loan, to fund $18 million in construction completion reserves, which was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120" w:lineRule="exact"/>
        <w:rPr>
          <w:sz w:val="20"/>
          <w:szCs w:val="20"/>
          <w:color w:val="auto"/>
        </w:rPr>
      </w:pPr>
    </w:p>
    <w:p>
      <w:pPr>
        <w:jc w:val="both"/>
        <w:ind w:right="20" w:firstLine="450"/>
        <w:spacing w:after="0" w:line="291" w:lineRule="auto"/>
        <w:rPr>
          <w:sz w:val="20"/>
          <w:szCs w:val="20"/>
          <w:color w:val="auto"/>
        </w:rPr>
      </w:pPr>
      <w:r>
        <w:rPr>
          <w:rFonts w:ascii="Arial" w:cs="Arial" w:eastAsia="Arial" w:hAnsi="Arial"/>
          <w:sz w:val="18"/>
          <w:szCs w:val="18"/>
          <w:color w:val="auto"/>
        </w:rPr>
        <w:t xml:space="preserve">On March 15, 2024, as part of the acquisition of Texas Solar Nova 2, as further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is included in restricted cash on the Company’s consolidated balance sheet, and to pay $4 million in associated fees.</w:t>
      </w:r>
    </w:p>
    <w:p>
      <w:pPr>
        <w:spacing w:after="0" w:line="11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Additionally, on March 15, 2024, Texas Solar Nova 1’s financing agreement was amended to merge the Texas Solar Nova 1 and Texas Solar Nova 2 term loans as a combined term loan under TSN1 Class B Member LLC.</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Daggett 2</w:t>
      </w:r>
    </w:p>
    <w:p>
      <w:pPr>
        <w:spacing w:after="0" w:line="190"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9"/>
          <w:szCs w:val="19"/>
          <w:color w:val="auto"/>
        </w:rPr>
        <w:t xml:space="preserve">On August 30, 2023, as part of the acquisition of Daggett 2, as further described in Note 3, </w:t>
      </w: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 the Company assumed the facility’s financing agreement, which included a $107 million construction loan and a $204 million tax equity bridge loan, offset by $3 million in unamortized debt issuance costs. On December 22, 2023, when the facility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which was included in restricted cash on the Company’s consolidated balance sheet, and to pay $1 million in associated fees with the remaining $91 million distributed to CEG. Subsequent to the acquisition, the Company borrowed an additional $49 million in construction loans and the total outstanding construction loans were converted to a term loan in the amount of $156 million on December 22, 2023.</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Daggett 3</w:t>
      </w:r>
    </w:p>
    <w:p>
      <w:pPr>
        <w:spacing w:after="0" w:line="190" w:lineRule="exact"/>
        <w:rPr>
          <w:sz w:val="20"/>
          <w:szCs w:val="20"/>
          <w:color w:val="auto"/>
        </w:rPr>
      </w:pPr>
    </w:p>
    <w:p>
      <w:pPr>
        <w:jc w:val="both"/>
        <w:ind w:right="20" w:firstLine="450"/>
        <w:spacing w:after="0" w:line="284" w:lineRule="auto"/>
        <w:rPr>
          <w:sz w:val="20"/>
          <w:szCs w:val="20"/>
          <w:color w:val="auto"/>
        </w:rPr>
      </w:pPr>
      <w:r>
        <w:rPr>
          <w:rFonts w:ascii="Arial" w:cs="Arial" w:eastAsia="Arial" w:hAnsi="Arial"/>
          <w:sz w:val="18"/>
          <w:szCs w:val="18"/>
          <w:color w:val="auto"/>
        </w:rPr>
        <w:t xml:space="preserve">On February 17, 2023, as part of the acquisition of Daggett 3, as further described in Note 3, </w:t>
      </w: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the Company assumed the facility’s financing agreement, which included a $181 million construction loan, a $229 million tax equity bridge loan and a $75 million cash equity bridge loan, offset by $5 million in unamortized debt issuance costs. The cash equity bridge loan was repaid at acquisition date, along with $8 million in associated fees, utilizing all of the proceeds from the Company, which were contributed back to the Company by CEG, and the contribution from the cash equity investor. On December 1, 2023, when the facility reached substantial completion, the tax equity investor contributed an additional $252 million, which was utilized along with the $69 million in escrow, to repay the $229 million tax equity bridge loan, to fund $40 million in construction completion reserves, which was included in restricted cash on the Company’s consolidated balance sheet, and to pay $7 million in associated fees with the remaining $45 million distributed to CEG. Subsequent to the acquisition, the Company borrowed an additional $36 million in construction loans and the total outstanding construction loans were converted to a term loan in the amount of $217 million on December 1, 2023.</w:t>
      </w:r>
    </w:p>
    <w:p>
      <w:pPr>
        <w:sectPr>
          <w:pgSz w:w="11880" w:h="15480" w:orient="portrait"/>
          <w:cols w:equalWidth="0" w:num="1">
            <w:col w:w="10260"/>
          </w:cols>
          <w:pgMar w:left="820" w:top="3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880" w:h="15480" w:orient="portrait"/>
          <w:cols w:equalWidth="0" w:num="1">
            <w:col w:w="10260"/>
          </w:cols>
          <w:pgMar w:left="820" w:top="364" w:right="80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i w:val="1"/>
          <w:iCs w:val="1"/>
          <w:color w:val="auto"/>
        </w:rPr>
        <w:t xml:space="preserve">Interest Rate Swaps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Facility Financings</w:t>
      </w:r>
    </w:p>
    <w:p>
      <w:pPr>
        <w:spacing w:after="0" w:line="198"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Many of the Company’s subsidiaries entered into interest rate swaps, intended to hedge the risks associated with interest rates on non-recourse facility level debt. These swaps amortize in proportion to their respective loans and are floating for a fixed rate where the subsidiary pays its counterparty the equivalent of a fixed interest payment on a predetermined notional amount and will receive quarterly the equivalent of a floating interest payment based on the same notional amount. All interest rate swap payments by the subsidiary and its counterparty are made quarterly and the SOFR is determined in advance of each interest period.</w:t>
      </w:r>
    </w:p>
    <w:p>
      <w:pPr>
        <w:spacing w:after="0" w:line="142"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following table summarizes the swaps, some of which are forward starting as indicated, related to the Company’s facility level debt: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Fixed</w:t>
            </w:r>
          </w:p>
        </w:tc>
        <w:tc>
          <w:tcPr>
            <w:tcW w:w="80" w:type="dxa"/>
            <w:vAlign w:val="bottom"/>
          </w:tcPr>
          <w:p>
            <w:pPr>
              <w:spacing w:after="0"/>
              <w:rPr>
                <w:sz w:val="17"/>
                <w:szCs w:val="17"/>
                <w:color w:val="auto"/>
              </w:rPr>
            </w:pPr>
          </w:p>
        </w:tc>
        <w:tc>
          <w:tcPr>
            <w:tcW w:w="11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Floating</w:t>
            </w:r>
          </w:p>
        </w:tc>
        <w:tc>
          <w:tcPr>
            <w:tcW w:w="8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Notional Amount</w:t>
            </w: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70"/>
              <w:spacing w:after="0" w:line="180" w:lineRule="exact"/>
              <w:rPr>
                <w:sz w:val="20"/>
                <w:szCs w:val="20"/>
                <w:color w:val="auto"/>
              </w:rPr>
            </w:pPr>
            <w:r>
              <w:rPr>
                <w:rFonts w:ascii="Arial" w:cs="Arial" w:eastAsia="Arial" w:hAnsi="Arial"/>
                <w:sz w:val="18"/>
                <w:szCs w:val="18"/>
                <w:b w:val="1"/>
                <w:bCs w:val="1"/>
                <w:color w:val="auto"/>
                <w:w w:val="91"/>
              </w:rPr>
              <w:t>at December 31,</w:t>
            </w:r>
          </w:p>
        </w:tc>
        <w:tc>
          <w:tcPr>
            <w:tcW w:w="60" w:type="dxa"/>
            <w:vAlign w:val="bottom"/>
          </w:tcPr>
          <w:p>
            <w:pPr>
              <w:spacing w:after="0"/>
              <w:rPr>
                <w:sz w:val="15"/>
                <w:szCs w:val="15"/>
                <w:color w:val="auto"/>
              </w:rPr>
            </w:pPr>
          </w:p>
        </w:tc>
        <w:tc>
          <w:tcPr>
            <w:tcW w:w="16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Effective Date</w:t>
            </w:r>
          </w:p>
        </w:tc>
        <w:tc>
          <w:tcPr>
            <w:tcW w:w="60" w:type="dxa"/>
            <w:vAlign w:val="bottom"/>
          </w:tcPr>
          <w:p>
            <w:pPr>
              <w:spacing w:after="0"/>
              <w:rPr>
                <w:sz w:val="15"/>
                <w:szCs w:val="15"/>
                <w:color w:val="auto"/>
              </w:rPr>
            </w:pPr>
          </w:p>
        </w:tc>
        <w:tc>
          <w:tcPr>
            <w:tcW w:w="16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Maturity Date</w:t>
            </w:r>
          </w:p>
        </w:tc>
        <w:tc>
          <w:tcPr>
            <w:tcW w:w="0" w:type="dxa"/>
            <w:vAlign w:val="bottom"/>
          </w:tcPr>
          <w:p>
            <w:pPr>
              <w:spacing w:after="0"/>
              <w:rPr>
                <w:sz w:val="1"/>
                <w:szCs w:val="1"/>
                <w:color w:val="auto"/>
              </w:rPr>
            </w:pPr>
          </w:p>
        </w:tc>
      </w:tr>
      <w:tr>
        <w:trPr>
          <w:trHeight w:val="239"/>
        </w:trPr>
        <w:tc>
          <w:tcPr>
            <w:tcW w:w="2340" w:type="dxa"/>
            <w:vAlign w:val="bottom"/>
            <w:tcBorders>
              <w:bottom w:val="single" w:sz="8" w:color="E6E6E6"/>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Principal</w:t>
            </w:r>
          </w:p>
        </w:tc>
        <w:tc>
          <w:tcPr>
            <w:tcW w:w="6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80" w:type="dxa"/>
            <w:vAlign w:val="bottom"/>
            <w:tcBorders>
              <w:bottom w:val="single" w:sz="8" w:color="E6E6E6"/>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Interest Rate</w:t>
            </w:r>
          </w:p>
        </w:tc>
        <w:tc>
          <w:tcPr>
            <w:tcW w:w="80" w:type="dxa"/>
            <w:vAlign w:val="bottom"/>
            <w:tcBorders>
              <w:bottom w:val="single" w:sz="8" w:color="E6E6E6"/>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2024 (In millions)</w:t>
            </w:r>
          </w:p>
        </w:tc>
        <w:tc>
          <w:tcPr>
            <w:tcW w:w="60" w:type="dxa"/>
            <w:vAlign w:val="bottom"/>
            <w:tcBorders>
              <w:bottom w:val="single" w:sz="8" w:color="E6E6E6"/>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4"/>
              </w:rPr>
              <w:t xml:space="preserve">Avra Valley </w:t>
            </w:r>
            <w:r>
              <w:rPr>
                <w:rFonts w:ascii="Arial" w:cs="Arial" w:eastAsia="Arial" w:hAnsi="Arial"/>
                <w:sz w:val="18"/>
                <w:szCs w:val="18"/>
                <w:color w:val="B4B4B4"/>
                <w:w w:val="94"/>
              </w:rPr>
              <w:t>.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2.20 %</w:t>
            </w:r>
          </w:p>
        </w:tc>
        <w:tc>
          <w:tcPr>
            <w:tcW w:w="80" w:type="dxa"/>
            <w:vAlign w:val="bottom"/>
            <w:shd w:val="clear" w:color="auto" w:fill="E6E6E6"/>
          </w:tcPr>
          <w:p>
            <w:pPr>
              <w:spacing w:after="0"/>
              <w:rPr>
                <w:sz w:val="23"/>
                <w:szCs w:val="23"/>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E6E6E6"/>
          </w:tcPr>
          <w:p>
            <w:pPr>
              <w:spacing w:after="0"/>
              <w:rPr>
                <w:sz w:val="23"/>
                <w:szCs w:val="23"/>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March 31, 2023</w:t>
            </w:r>
          </w:p>
        </w:tc>
        <w:tc>
          <w:tcPr>
            <w:tcW w:w="60" w:type="dxa"/>
            <w:vAlign w:val="bottom"/>
            <w:shd w:val="clear" w:color="auto" w:fill="E6E6E6"/>
          </w:tcPr>
          <w:p>
            <w:pPr>
              <w:spacing w:after="0"/>
              <w:rPr>
                <w:sz w:val="23"/>
                <w:szCs w:val="23"/>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January 31, 2031</w:t>
            </w:r>
          </w:p>
        </w:tc>
        <w:tc>
          <w:tcPr>
            <w:tcW w:w="0" w:type="dxa"/>
            <w:vAlign w:val="bottom"/>
          </w:tcPr>
          <w:p>
            <w:pPr>
              <w:spacing w:after="0"/>
              <w:rPr>
                <w:sz w:val="1"/>
                <w:szCs w:val="1"/>
                <w:color w:val="auto"/>
              </w:rPr>
            </w:pPr>
          </w:p>
        </w:tc>
      </w:tr>
      <w:tr>
        <w:trPr>
          <w:trHeight w:val="216"/>
        </w:trPr>
        <w:tc>
          <w:tcPr>
            <w:tcW w:w="2340" w:type="dxa"/>
            <w:vAlign w:val="bottom"/>
          </w:tcPr>
          <w:p>
            <w:pPr>
              <w:jc w:val="right"/>
              <w:ind w:right="1010"/>
              <w:spacing w:after="0"/>
              <w:rPr>
                <w:sz w:val="20"/>
                <w:szCs w:val="20"/>
                <w:color w:val="auto"/>
              </w:rPr>
            </w:pPr>
            <w:r>
              <w:rPr>
                <w:rFonts w:ascii="Arial" w:cs="Arial" w:eastAsia="Arial" w:hAnsi="Arial"/>
                <w:sz w:val="18"/>
                <w:szCs w:val="18"/>
                <w:color w:val="auto"/>
                <w:w w:val="95"/>
              </w:rPr>
              <w:t>Alta Wind Asset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Pr>
          <w:p>
            <w:pPr>
              <w:spacing w:after="0"/>
              <w:rPr>
                <w:sz w:val="18"/>
                <w:szCs w:val="18"/>
                <w:color w:val="auto"/>
              </w:rPr>
            </w:pPr>
          </w:p>
        </w:tc>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May 22, 2013</w:t>
            </w:r>
          </w:p>
        </w:tc>
        <w:tc>
          <w:tcPr>
            <w:tcW w:w="6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May 15, 2031</w:t>
            </w:r>
          </w:p>
        </w:tc>
        <w:tc>
          <w:tcPr>
            <w:tcW w:w="0" w:type="dxa"/>
            <w:vAlign w:val="bottom"/>
          </w:tcPr>
          <w:p>
            <w:pPr>
              <w:spacing w:after="0"/>
              <w:rPr>
                <w:sz w:val="1"/>
                <w:szCs w:val="1"/>
                <w:color w:val="auto"/>
              </w:rPr>
            </w:pPr>
          </w:p>
        </w:tc>
      </w:tr>
      <w:tr>
        <w:trPr>
          <w:trHeight w:val="242"/>
        </w:trPr>
        <w:tc>
          <w:tcPr>
            <w:tcW w:w="2340" w:type="dxa"/>
            <w:vAlign w:val="bottom"/>
          </w:tcPr>
          <w:p>
            <w:pPr>
              <w:jc w:val="right"/>
              <w:ind w:right="50"/>
              <w:spacing w:after="0"/>
              <w:rPr>
                <w:sz w:val="20"/>
                <w:szCs w:val="20"/>
                <w:color w:val="auto"/>
              </w:rPr>
            </w:pPr>
            <w:r>
              <w:rPr>
                <w:rFonts w:ascii="Arial" w:cs="Arial" w:eastAsia="Arial" w:hAnsi="Arial"/>
                <w:sz w:val="18"/>
                <w:szCs w:val="18"/>
                <w:color w:val="auto"/>
              </w:rPr>
              <w:t xml:space="preserve">Management </w:t>
            </w:r>
            <w:r>
              <w:rPr>
                <w:rFonts w:ascii="Arial" w:cs="Arial" w:eastAsia="Arial" w:hAnsi="Arial"/>
                <w:sz w:val="18"/>
                <w:szCs w:val="18"/>
                <w:color w:val="B4B4B4"/>
              </w:rPr>
              <w:t>. . . . . . . . . . .</w:t>
            </w:r>
          </w:p>
        </w:tc>
        <w:tc>
          <w:tcPr>
            <w:tcW w:w="840" w:type="dxa"/>
            <w:vAlign w:val="bottom"/>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5"/>
              </w:rPr>
              <w:t xml:space="preserve">Buckthorn Solar </w:t>
            </w:r>
            <w:r>
              <w:rPr>
                <w:rFonts w:ascii="Arial" w:cs="Arial" w:eastAsia="Arial" w:hAnsi="Arial"/>
                <w:sz w:val="18"/>
                <w:szCs w:val="18"/>
                <w:color w:val="B4B4B4"/>
                <w:w w:val="95"/>
              </w:rPr>
              <w:t>.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80 %</w:t>
            </w:r>
          </w:p>
        </w:tc>
        <w:tc>
          <w:tcPr>
            <w:tcW w:w="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E6E6E6"/>
          </w:tcPr>
          <w:p>
            <w:pPr>
              <w:spacing w:after="0"/>
              <w:rPr>
                <w:sz w:val="22"/>
                <w:szCs w:val="22"/>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February 28, 2018</w:t>
            </w:r>
          </w:p>
        </w:tc>
        <w:tc>
          <w:tcPr>
            <w:tcW w:w="60" w:type="dxa"/>
            <w:vAlign w:val="bottom"/>
            <w:shd w:val="clear" w:color="auto" w:fill="E6E6E6"/>
          </w:tcPr>
          <w:p>
            <w:pPr>
              <w:spacing w:after="0"/>
              <w:rPr>
                <w:sz w:val="22"/>
                <w:szCs w:val="22"/>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December 31, 2041</w:t>
            </w:r>
          </w:p>
        </w:tc>
        <w:tc>
          <w:tcPr>
            <w:tcW w:w="0" w:type="dxa"/>
            <w:vAlign w:val="bottom"/>
          </w:tcPr>
          <w:p>
            <w:pPr>
              <w:spacing w:after="0"/>
              <w:rPr>
                <w:sz w:val="1"/>
                <w:szCs w:val="1"/>
                <w:color w:val="auto"/>
              </w:rPr>
            </w:pPr>
          </w:p>
        </w:tc>
      </w:tr>
      <w:tr>
        <w:trPr>
          <w:trHeight w:val="27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5"/>
              </w:rPr>
              <w:t xml:space="preserve">Capistrano Portfolio Holdco </w:t>
            </w:r>
            <w:r>
              <w:rPr>
                <w:rFonts w:ascii="Arial" w:cs="Arial" w:eastAsia="Arial" w:hAnsi="Arial"/>
                <w:sz w:val="18"/>
                <w:szCs w:val="18"/>
                <w:color w:val="B4B4B4"/>
                <w:w w:val="95"/>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October 23, 2024</w:t>
            </w:r>
          </w:p>
        </w:tc>
        <w:tc>
          <w:tcPr>
            <w:tcW w:w="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w w:val="94"/>
              </w:rPr>
              <w:t>September 28, 2033</w:t>
            </w: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5"/>
              </w:rPr>
              <w:t xml:space="preserve">Carlsbad Energy Holdings </w:t>
            </w:r>
            <w:r>
              <w:rPr>
                <w:rFonts w:ascii="Arial" w:cs="Arial" w:eastAsia="Arial" w:hAnsi="Arial"/>
                <w:sz w:val="18"/>
                <w:szCs w:val="18"/>
                <w:color w:val="B4B4B4"/>
                <w:w w:val="95"/>
              </w:rPr>
              <w:t>.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E6E6E6"/>
          </w:tcPr>
          <w:p>
            <w:pPr>
              <w:spacing w:after="0"/>
              <w:rPr>
                <w:sz w:val="22"/>
                <w:szCs w:val="22"/>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shd w:val="clear" w:color="auto" w:fill="E6E6E6"/>
          </w:tcPr>
          <w:p>
            <w:pPr>
              <w:spacing w:after="0"/>
              <w:rPr>
                <w:sz w:val="22"/>
                <w:szCs w:val="22"/>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September 30, 2027</w:t>
            </w:r>
          </w:p>
        </w:tc>
        <w:tc>
          <w:tcPr>
            <w:tcW w:w="0" w:type="dxa"/>
            <w:vAlign w:val="bottom"/>
          </w:tcPr>
          <w:p>
            <w:pPr>
              <w:spacing w:after="0"/>
              <w:rPr>
                <w:sz w:val="1"/>
                <w:szCs w:val="1"/>
                <w:color w:val="auto"/>
              </w:rPr>
            </w:pPr>
          </w:p>
        </w:tc>
      </w:tr>
      <w:tr>
        <w:trPr>
          <w:trHeight w:val="27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1"/>
              </w:rPr>
              <w:t xml:space="preserve">Cedar Creek  </w:t>
            </w:r>
            <w:r>
              <w:rPr>
                <w:rFonts w:ascii="Arial" w:cs="Arial" w:eastAsia="Arial" w:hAnsi="Arial"/>
                <w:sz w:val="18"/>
                <w:szCs w:val="18"/>
                <w:color w:val="B4B4B4"/>
                <w:w w:val="91"/>
              </w:rPr>
              <w:t>. .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3.02 %</w:t>
            </w:r>
          </w:p>
        </w:tc>
        <w:tc>
          <w:tcPr>
            <w:tcW w:w="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April 30, 2024</w:t>
            </w:r>
          </w:p>
        </w:tc>
        <w:tc>
          <w:tcPr>
            <w:tcW w:w="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March 31, 2049</w:t>
            </w:r>
          </w:p>
        </w:tc>
        <w:tc>
          <w:tcPr>
            <w:tcW w:w="0" w:type="dxa"/>
            <w:vAlign w:val="bottom"/>
          </w:tcPr>
          <w:p>
            <w:pPr>
              <w:spacing w:after="0"/>
              <w:rPr>
                <w:sz w:val="1"/>
                <w:szCs w:val="1"/>
                <w:color w:val="auto"/>
              </w:rPr>
            </w:pPr>
          </w:p>
        </w:tc>
      </w:tr>
      <w:tr>
        <w:trPr>
          <w:trHeight w:val="29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5"/>
              </w:rPr>
              <w:t xml:space="preserve">Cedro Hill </w:t>
            </w:r>
            <w:r>
              <w:rPr>
                <w:rFonts w:ascii="Arial" w:cs="Arial" w:eastAsia="Arial" w:hAnsi="Arial"/>
                <w:sz w:val="18"/>
                <w:szCs w:val="18"/>
                <w:color w:val="B4B4B4"/>
                <w:w w:val="95"/>
              </w:rPr>
              <w:t>.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85 %</w:t>
            </w:r>
          </w:p>
        </w:tc>
        <w:tc>
          <w:tcPr>
            <w:tcW w:w="6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4"/>
                <w:szCs w:val="24"/>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E6E6E6"/>
          </w:tcPr>
          <w:p>
            <w:pPr>
              <w:spacing w:after="0"/>
              <w:rPr>
                <w:sz w:val="24"/>
                <w:szCs w:val="24"/>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shd w:val="clear" w:color="auto" w:fill="E6E6E6"/>
          </w:tcPr>
          <w:p>
            <w:pPr>
              <w:spacing w:after="0"/>
              <w:rPr>
                <w:sz w:val="24"/>
                <w:szCs w:val="24"/>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September 30, 2044</w:t>
            </w:r>
          </w:p>
        </w:tc>
        <w:tc>
          <w:tcPr>
            <w:tcW w:w="0" w:type="dxa"/>
            <w:vAlign w:val="bottom"/>
          </w:tcPr>
          <w:p>
            <w:pPr>
              <w:spacing w:after="0"/>
              <w:rPr>
                <w:sz w:val="1"/>
                <w:szCs w:val="1"/>
                <w:color w:val="auto"/>
              </w:rPr>
            </w:pPr>
          </w:p>
        </w:tc>
      </w:tr>
      <w:tr>
        <w:trPr>
          <w:trHeight w:val="24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1"/>
              </w:rPr>
              <w:t xml:space="preserve">Daggett 2 </w:t>
            </w:r>
            <w:r>
              <w:rPr>
                <w:rFonts w:ascii="Arial" w:cs="Arial" w:eastAsia="Arial" w:hAnsi="Arial"/>
                <w:sz w:val="18"/>
                <w:szCs w:val="18"/>
                <w:color w:val="B4B4B4"/>
                <w:w w:val="91"/>
              </w:rPr>
              <w:t>. . . . .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89 %</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March 29, 2024</w:t>
            </w:r>
          </w:p>
        </w:tc>
        <w:tc>
          <w:tcPr>
            <w:tcW w:w="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March 31, 2043</w:t>
            </w: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1"/>
              </w:rPr>
              <w:t xml:space="preserve">Daggett 3 </w:t>
            </w:r>
            <w:r>
              <w:rPr>
                <w:rFonts w:ascii="Arial" w:cs="Arial" w:eastAsia="Arial" w:hAnsi="Arial"/>
                <w:sz w:val="18"/>
                <w:szCs w:val="18"/>
                <w:color w:val="B4B4B4"/>
                <w:w w:val="91"/>
              </w:rPr>
              <w:t>.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85 %</w:t>
            </w:r>
          </w:p>
        </w:tc>
        <w:tc>
          <w:tcPr>
            <w:tcW w:w="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E6E6E6"/>
          </w:tcPr>
          <w:p>
            <w:pPr>
              <w:spacing w:after="0"/>
              <w:rPr>
                <w:sz w:val="22"/>
                <w:szCs w:val="22"/>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shd w:val="clear" w:color="auto" w:fill="E6E6E6"/>
          </w:tcPr>
          <w:p>
            <w:pPr>
              <w:spacing w:after="0"/>
              <w:rPr>
                <w:sz w:val="22"/>
                <w:szCs w:val="22"/>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September 30, 2043</w:t>
            </w:r>
          </w:p>
        </w:tc>
        <w:tc>
          <w:tcPr>
            <w:tcW w:w="0" w:type="dxa"/>
            <w:vAlign w:val="bottom"/>
          </w:tcPr>
          <w:p>
            <w:pPr>
              <w:spacing w:after="0"/>
              <w:rPr>
                <w:sz w:val="1"/>
                <w:szCs w:val="1"/>
                <w:color w:val="auto"/>
              </w:rPr>
            </w:pPr>
          </w:p>
        </w:tc>
      </w:tr>
      <w:tr>
        <w:trPr>
          <w:trHeight w:val="24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4"/>
              </w:rPr>
              <w:t xml:space="preserve">Dan’s Mountain  </w:t>
            </w:r>
            <w:r>
              <w:rPr>
                <w:rFonts w:ascii="Arial" w:cs="Arial" w:eastAsia="Arial" w:hAnsi="Arial"/>
                <w:sz w:val="18"/>
                <w:szCs w:val="18"/>
                <w:color w:val="B4B4B4"/>
                <w:w w:val="94"/>
              </w:rPr>
              <w:t>.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93 %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4.97 %</w:t>
            </w:r>
          </w:p>
        </w:tc>
        <w:tc>
          <w:tcPr>
            <w:tcW w:w="8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March 29, 2024</w:t>
            </w:r>
          </w:p>
        </w:tc>
        <w:tc>
          <w:tcPr>
            <w:tcW w:w="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February 28, 2025</w:t>
            </w: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89"/>
              </w:rPr>
              <w:t xml:space="preserve">Kansas South </w:t>
            </w:r>
            <w:r>
              <w:rPr>
                <w:rFonts w:ascii="Arial" w:cs="Arial" w:eastAsia="Arial" w:hAnsi="Arial"/>
                <w:sz w:val="18"/>
                <w:szCs w:val="18"/>
                <w:color w:val="B4B4B4"/>
                <w:w w:val="89"/>
              </w:rPr>
              <w:t>.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1.93 %</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E6E6E6"/>
          </w:tcPr>
          <w:p>
            <w:pPr>
              <w:spacing w:after="0"/>
              <w:rPr>
                <w:sz w:val="22"/>
                <w:szCs w:val="22"/>
                <w:color w:val="auto"/>
              </w:rPr>
            </w:pPr>
          </w:p>
        </w:tc>
        <w:tc>
          <w:tcPr>
            <w:tcW w:w="33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June 28, 2013   December 31, 2030</w:t>
            </w:r>
          </w:p>
        </w:tc>
        <w:tc>
          <w:tcPr>
            <w:tcW w:w="0" w:type="dxa"/>
            <w:vAlign w:val="bottom"/>
          </w:tcPr>
          <w:p>
            <w:pPr>
              <w:spacing w:after="0"/>
              <w:rPr>
                <w:sz w:val="1"/>
                <w:szCs w:val="1"/>
                <w:color w:val="auto"/>
              </w:rPr>
            </w:pPr>
          </w:p>
        </w:tc>
      </w:tr>
      <w:tr>
        <w:trPr>
          <w:trHeight w:val="24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5"/>
              </w:rPr>
              <w:t xml:space="preserve">Mililani Class B  </w:t>
            </w:r>
            <w:r>
              <w:rPr>
                <w:rFonts w:ascii="Arial" w:cs="Arial" w:eastAsia="Arial" w:hAnsi="Arial"/>
                <w:sz w:val="18"/>
                <w:szCs w:val="18"/>
                <w:color w:val="B4B4B4"/>
                <w:w w:val="95"/>
              </w:rPr>
              <w:t>.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97 %</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5"/>
              </w:rPr>
              <w:t xml:space="preserve">NIMH Solar  </w:t>
            </w:r>
            <w:r>
              <w:rPr>
                <w:rFonts w:ascii="Arial" w:cs="Arial" w:eastAsia="Arial" w:hAnsi="Arial"/>
                <w:sz w:val="18"/>
                <w:szCs w:val="18"/>
                <w:color w:val="B4B4B4"/>
                <w:w w:val="95"/>
              </w:rPr>
              <w:t>.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3.25 %</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E6E6E6"/>
          </w:tcPr>
          <w:p>
            <w:pPr>
              <w:spacing w:after="0"/>
              <w:rPr>
                <w:sz w:val="22"/>
                <w:szCs w:val="22"/>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June 11, 2024</w:t>
            </w:r>
          </w:p>
        </w:tc>
        <w:tc>
          <w:tcPr>
            <w:tcW w:w="60" w:type="dxa"/>
            <w:vAlign w:val="bottom"/>
            <w:shd w:val="clear" w:color="auto" w:fill="E6E6E6"/>
          </w:tcPr>
          <w:p>
            <w:pPr>
              <w:spacing w:after="0"/>
              <w:rPr>
                <w:sz w:val="22"/>
                <w:szCs w:val="22"/>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January 31, 2033</w:t>
            </w:r>
          </w:p>
        </w:tc>
        <w:tc>
          <w:tcPr>
            <w:tcW w:w="0" w:type="dxa"/>
            <w:vAlign w:val="bottom"/>
          </w:tcPr>
          <w:p>
            <w:pPr>
              <w:spacing w:after="0"/>
              <w:rPr>
                <w:sz w:val="1"/>
                <w:szCs w:val="1"/>
                <w:color w:val="auto"/>
              </w:rPr>
            </w:pPr>
          </w:p>
        </w:tc>
      </w:tr>
      <w:tr>
        <w:trPr>
          <w:trHeight w:val="24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2"/>
              </w:rPr>
              <w:t xml:space="preserve">Oahu Solar  </w:t>
            </w:r>
            <w:r>
              <w:rPr>
                <w:rFonts w:ascii="Arial" w:cs="Arial" w:eastAsia="Arial" w:hAnsi="Arial"/>
                <w:sz w:val="18"/>
                <w:szCs w:val="18"/>
                <w:color w:val="B4B4B4"/>
                <w:w w:val="92"/>
              </w:rPr>
              <w:t>. . .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2.47 %</w:t>
            </w:r>
          </w:p>
        </w:tc>
        <w:tc>
          <w:tcPr>
            <w:tcW w:w="8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November 30, 2019</w:t>
            </w:r>
          </w:p>
        </w:tc>
        <w:tc>
          <w:tcPr>
            <w:tcW w:w="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October 31, 2040</w:t>
            </w: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3"/>
              </w:rPr>
              <w:t xml:space="preserve">Rosie Class B </w:t>
            </w:r>
            <w:r>
              <w:rPr>
                <w:rFonts w:ascii="Arial" w:cs="Arial" w:eastAsia="Arial" w:hAnsi="Arial"/>
                <w:sz w:val="18"/>
                <w:szCs w:val="18"/>
                <w:color w:val="B4B4B4"/>
                <w:w w:val="93"/>
              </w:rPr>
              <w:t>.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94 %</w:t>
            </w:r>
          </w:p>
        </w:tc>
        <w:tc>
          <w:tcPr>
            <w:tcW w:w="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E6E6E6"/>
          </w:tcPr>
          <w:p>
            <w:pPr>
              <w:spacing w:after="0"/>
              <w:rPr>
                <w:sz w:val="22"/>
                <w:szCs w:val="22"/>
                <w:color w:val="auto"/>
              </w:rPr>
            </w:pPr>
          </w:p>
        </w:tc>
        <w:tc>
          <w:tcPr>
            <w:tcW w:w="1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shd w:val="clear" w:color="auto" w:fill="E6E6E6"/>
          </w:tcPr>
          <w:p>
            <w:pPr>
              <w:spacing w:after="0"/>
              <w:rPr>
                <w:sz w:val="22"/>
                <w:szCs w:val="22"/>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48"/>
        </w:trPr>
        <w:tc>
          <w:tcPr>
            <w:tcW w:w="2340" w:type="dxa"/>
            <w:vAlign w:val="bottom"/>
          </w:tcPr>
          <w:p>
            <w:pPr>
              <w:jc w:val="right"/>
              <w:ind w:right="50"/>
              <w:spacing w:after="0"/>
              <w:rPr>
                <w:sz w:val="20"/>
                <w:szCs w:val="20"/>
                <w:color w:val="auto"/>
              </w:rPr>
            </w:pPr>
            <w:r>
              <w:rPr>
                <w:rFonts w:ascii="Arial" w:cs="Arial" w:eastAsia="Arial" w:hAnsi="Arial"/>
                <w:sz w:val="18"/>
                <w:szCs w:val="18"/>
                <w:color w:val="auto"/>
                <w:w w:val="93"/>
              </w:rPr>
              <w:t xml:space="preserve">South Trent </w:t>
            </w:r>
            <w:r>
              <w:rPr>
                <w:rFonts w:ascii="Arial" w:cs="Arial" w:eastAsia="Arial" w:hAnsi="Arial"/>
                <w:sz w:val="18"/>
                <w:szCs w:val="18"/>
                <w:color w:val="B4B4B4"/>
                <w:w w:val="93"/>
              </w:rPr>
              <w:t>. . .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62"/>
        </w:trPr>
        <w:tc>
          <w:tcPr>
            <w:tcW w:w="23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w w:val="93"/>
              </w:rPr>
              <w:t xml:space="preserve">TSN1 Class B </w:t>
            </w:r>
            <w:r>
              <w:rPr>
                <w:rFonts w:ascii="Arial" w:cs="Arial" w:eastAsia="Arial" w:hAnsi="Arial"/>
                <w:sz w:val="18"/>
                <w:szCs w:val="18"/>
                <w:color w:val="B4B4B4"/>
                <w:w w:val="93"/>
              </w:rPr>
              <w:t>.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96 %</w:t>
            </w:r>
          </w:p>
        </w:tc>
        <w:tc>
          <w:tcPr>
            <w:tcW w:w="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14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E6E6E6"/>
          </w:tcPr>
          <w:p>
            <w:pPr>
              <w:spacing w:after="0"/>
              <w:rPr>
                <w:sz w:val="22"/>
                <w:szCs w:val="22"/>
                <w:color w:val="auto"/>
              </w:rPr>
            </w:pPr>
          </w:p>
        </w:tc>
        <w:tc>
          <w:tcPr>
            <w:tcW w:w="33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March 29, 2024   September 30, 2043</w:t>
            </w:r>
          </w:p>
        </w:tc>
        <w:tc>
          <w:tcPr>
            <w:tcW w:w="0" w:type="dxa"/>
            <w:vAlign w:val="bottom"/>
          </w:tcPr>
          <w:p>
            <w:pPr>
              <w:spacing w:after="0"/>
              <w:rPr>
                <w:sz w:val="1"/>
                <w:szCs w:val="1"/>
                <w:color w:val="auto"/>
              </w:rPr>
            </w:pPr>
          </w:p>
        </w:tc>
      </w:tr>
      <w:tr>
        <w:trPr>
          <w:trHeight w:val="245"/>
        </w:trPr>
        <w:tc>
          <w:tcPr>
            <w:tcW w:w="2340" w:type="dxa"/>
            <w:vAlign w:val="bottom"/>
            <w:tcBorders>
              <w:bottom w:val="single" w:sz="8" w:color="E6E6E6"/>
            </w:tcBorders>
          </w:tcPr>
          <w:p>
            <w:pPr>
              <w:jc w:val="right"/>
              <w:ind w:right="50"/>
              <w:spacing w:after="0"/>
              <w:rPr>
                <w:sz w:val="20"/>
                <w:szCs w:val="20"/>
                <w:color w:val="auto"/>
              </w:rPr>
            </w:pPr>
            <w:r>
              <w:rPr>
                <w:rFonts w:ascii="Arial" w:cs="Arial" w:eastAsia="Arial" w:hAnsi="Arial"/>
                <w:sz w:val="18"/>
                <w:szCs w:val="18"/>
                <w:color w:val="auto"/>
                <w:w w:val="96"/>
              </w:rPr>
              <w:t xml:space="preserve">Viento Funding II </w:t>
            </w:r>
            <w:r>
              <w:rPr>
                <w:rFonts w:ascii="Arial" w:cs="Arial" w:eastAsia="Arial" w:hAnsi="Arial"/>
                <w:sz w:val="18"/>
                <w:szCs w:val="18"/>
                <w:color w:val="B4B4B4"/>
                <w:w w:val="96"/>
              </w:rPr>
              <w:t>. . . . . . . . .</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90 %</w:t>
            </w:r>
          </w:p>
        </w:tc>
        <w:tc>
          <w:tcPr>
            <w:tcW w:w="800" w:type="dxa"/>
            <w:vAlign w:val="bottom"/>
            <w:tcBorders>
              <w:bottom w:val="single" w:sz="8" w:color="E6E6E6"/>
            </w:tcBorders>
            <w:gridSpan w:val="2"/>
          </w:tcPr>
          <w:p>
            <w:pPr>
              <w:jc w:val="right"/>
              <w:spacing w:after="0"/>
              <w:rPr>
                <w:sz w:val="20"/>
                <w:szCs w:val="20"/>
                <w:color w:val="auto"/>
              </w:rPr>
            </w:pPr>
            <w:r>
              <w:rPr>
                <w:rFonts w:ascii="Arial" w:cs="Arial" w:eastAsia="Arial" w:hAnsi="Arial"/>
                <w:sz w:val="18"/>
                <w:szCs w:val="18"/>
                <w:color w:val="auto"/>
              </w:rPr>
              <w:t>2.53 %</w:t>
            </w:r>
          </w:p>
        </w:tc>
        <w:tc>
          <w:tcPr>
            <w:tcW w:w="80" w:type="dxa"/>
            <w:vAlign w:val="bottom"/>
            <w:tcBorders>
              <w:bottom w:val="single" w:sz="8" w:color="E6E6E6"/>
            </w:tcBorders>
          </w:tcPr>
          <w:p>
            <w:pPr>
              <w:spacing w:after="0"/>
              <w:rPr>
                <w:sz w:val="21"/>
                <w:szCs w:val="21"/>
                <w:color w:val="auto"/>
              </w:rPr>
            </w:pPr>
          </w:p>
        </w:tc>
        <w:tc>
          <w:tcPr>
            <w:tcW w:w="114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SOFR</w:t>
            </w:r>
          </w:p>
        </w:tc>
        <w:tc>
          <w:tcPr>
            <w:tcW w:w="8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60" w:type="dxa"/>
            <w:vAlign w:val="bottom"/>
            <w:tcBorders>
              <w:bottom w:val="single" w:sz="8" w:color="E6E6E6"/>
            </w:tcBorders>
          </w:tcPr>
          <w:p>
            <w:pPr>
              <w:spacing w:after="0"/>
              <w:rPr>
                <w:sz w:val="21"/>
                <w:szCs w:val="21"/>
                <w:color w:val="auto"/>
              </w:rPr>
            </w:pPr>
          </w:p>
        </w:tc>
        <w:tc>
          <w:tcPr>
            <w:tcW w:w="16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Borders>
              <w:bottom w:val="single" w:sz="8" w:color="E6E6E6"/>
            </w:tcBorders>
          </w:tcPr>
          <w:p>
            <w:pPr>
              <w:spacing w:after="0"/>
              <w:rPr>
                <w:sz w:val="21"/>
                <w:szCs w:val="21"/>
                <w:color w:val="auto"/>
              </w:rPr>
            </w:pPr>
          </w:p>
        </w:tc>
        <w:tc>
          <w:tcPr>
            <w:tcW w:w="162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7"/>
              </w:rPr>
              <w:t>December 31, 2032</w:t>
            </w:r>
          </w:p>
        </w:tc>
        <w:tc>
          <w:tcPr>
            <w:tcW w:w="0" w:type="dxa"/>
            <w:vAlign w:val="bottom"/>
          </w:tcPr>
          <w:p>
            <w:pPr>
              <w:spacing w:after="0"/>
              <w:rPr>
                <w:sz w:val="1"/>
                <w:szCs w:val="1"/>
                <w:color w:val="auto"/>
              </w:rPr>
            </w:pPr>
          </w:p>
        </w:tc>
      </w:tr>
      <w:tr>
        <w:trPr>
          <w:trHeight w:val="240"/>
        </w:trPr>
        <w:tc>
          <w:tcPr>
            <w:tcW w:w="234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B4B4B4"/>
                <w:w w:val="96"/>
              </w:rPr>
              <w:t>. . . . . . . . . . . . . . . . . . .</w:t>
            </w:r>
            <w:r>
              <w:rPr>
                <w:rFonts w:ascii="Arial" w:cs="Arial" w:eastAsia="Arial" w:hAnsi="Arial"/>
                <w:sz w:val="18"/>
                <w:szCs w:val="18"/>
                <w:color w:val="000000"/>
                <w:w w:val="96"/>
              </w:rPr>
              <w:t>Total</w:t>
            </w:r>
          </w:p>
        </w:tc>
        <w:tc>
          <w:tcPr>
            <w:tcW w:w="84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740" w:type="dxa"/>
            <w:vAlign w:val="bottom"/>
            <w:tcBorders>
              <w:bottom w:val="single" w:sz="8" w:color="E6E6E6"/>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140" w:type="dxa"/>
            <w:vAlign w:val="bottom"/>
            <w:tcBorders>
              <w:bottom w:val="single" w:sz="8" w:color="E6E6E6"/>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1,769</w:t>
            </w:r>
          </w:p>
        </w:tc>
        <w:tc>
          <w:tcPr>
            <w:tcW w:w="60" w:type="dxa"/>
            <w:vAlign w:val="bottom"/>
            <w:tcBorders>
              <w:bottom w:val="single" w:sz="8" w:color="E6E6E6"/>
            </w:tcBorders>
            <w:shd w:val="clear" w:color="auto" w:fill="E6E6E6"/>
          </w:tcPr>
          <w:p>
            <w:pPr>
              <w:spacing w:after="0"/>
              <w:rPr>
                <w:sz w:val="20"/>
                <w:szCs w:val="20"/>
                <w:color w:val="auto"/>
              </w:rPr>
            </w:pPr>
          </w:p>
        </w:tc>
        <w:tc>
          <w:tcPr>
            <w:tcW w:w="168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162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E6E6E6"/>
            </w:tcBorders>
          </w:tcPr>
          <w:p>
            <w:pPr>
              <w:spacing w:after="0" w:line="20" w:lineRule="exact"/>
              <w:rPr>
                <w:sz w:val="1"/>
                <w:szCs w:val="1"/>
                <w:color w:val="auto"/>
              </w:rPr>
            </w:pPr>
          </w:p>
        </w:tc>
        <w:tc>
          <w:tcPr>
            <w:tcW w:w="840" w:type="dxa"/>
            <w:vAlign w:val="bottom"/>
            <w:tcBorders>
              <w:top w:val="single" w:sz="8" w:color="E6E6E6"/>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14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E6E6E6"/>
              <w:bottom w:val="single" w:sz="8" w:color="auto"/>
            </w:tcBorders>
          </w:tcPr>
          <w:p>
            <w:pPr>
              <w:spacing w:after="0" w:line="20" w:lineRule="exact"/>
              <w:rPr>
                <w:sz w:val="1"/>
                <w:szCs w:val="1"/>
                <w:color w:val="auto"/>
              </w:rPr>
            </w:pPr>
          </w:p>
        </w:tc>
        <w:tc>
          <w:tcPr>
            <w:tcW w:w="142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80" w:type="dxa"/>
            <w:vAlign w:val="bottom"/>
            <w:tcBorders>
              <w:top w:val="single" w:sz="8" w:color="E6E6E6"/>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2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-43815</wp:posOffset>
            </wp:positionV>
            <wp:extent cx="101600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0">
                      <a:extLst>
                        <a:ext uri="{28A0092B-C50C-407E-A947-70E740481C1C}"/>
                      </a:extLst>
                    </a:blip>
                    <a:srcRect/>
                    <a:stretch>
                      <a:fillRect/>
                    </a:stretch>
                  </pic:blipFill>
                  <pic:spPr bwMode="auto">
                    <a:xfrm>
                      <a:off x="0" y="0"/>
                      <a:ext cx="1016000" cy="5080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Annual Maturities</w:t>
      </w:r>
    </w:p>
    <w:p>
      <w:pPr>
        <w:spacing w:after="0" w:line="198" w:lineRule="exact"/>
        <w:rPr>
          <w:sz w:val="20"/>
          <w:szCs w:val="20"/>
          <w:color w:val="auto"/>
        </w:rPr>
      </w:pPr>
    </w:p>
    <w:p>
      <w:pPr>
        <w:jc w:val="both"/>
        <w:ind w:right="20" w:firstLine="495"/>
        <w:spacing w:after="0" w:line="283" w:lineRule="auto"/>
        <w:rPr>
          <w:sz w:val="20"/>
          <w:szCs w:val="20"/>
          <w:color w:val="auto"/>
        </w:rPr>
      </w:pPr>
      <w:r>
        <w:rPr>
          <w:rFonts w:ascii="Arial" w:cs="Arial" w:eastAsia="Arial" w:hAnsi="Arial"/>
          <w:sz w:val="20"/>
          <w:szCs w:val="20"/>
          <w:color w:val="auto"/>
        </w:rPr>
        <w:t>Annual payments based on the maturities of the Company’s debt, for the years ending after December 31, 2024,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4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(In millions)</w:t>
            </w:r>
          </w:p>
        </w:tc>
      </w:tr>
      <w:tr>
        <w:trPr>
          <w:trHeight w:val="275"/>
        </w:trPr>
        <w:tc>
          <w:tcPr>
            <w:tcW w:w="8340" w:type="dxa"/>
            <w:vAlign w:val="bottom"/>
            <w:shd w:val="clear" w:color="auto" w:fill="E6E6E6"/>
          </w:tcPr>
          <w:p>
            <w:pPr>
              <w:ind w:left="40"/>
              <w:spacing w:after="0"/>
              <w:rPr>
                <w:sz w:val="20"/>
                <w:szCs w:val="20"/>
                <w:color w:val="auto"/>
              </w:rPr>
            </w:pPr>
            <w:r>
              <w:rPr>
                <w:rFonts w:ascii="Arial" w:cs="Arial" w:eastAsia="Arial" w:hAnsi="Arial"/>
                <w:sz w:val="18"/>
                <w:szCs w:val="18"/>
                <w:color w:val="auto"/>
                <w:w w:val="90"/>
              </w:rPr>
              <w:t xml:space="preserve">2025 </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 . . . . . . . . . . . . . . . . . . . . . . . . . . . . . . . . . . . . . . . . . . . . . . . . . . . . . . . . . . . . . . . . . .</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555</w:t>
            </w:r>
          </w:p>
        </w:tc>
      </w:tr>
      <w:tr>
        <w:trPr>
          <w:trHeight w:val="278"/>
        </w:trPr>
        <w:tc>
          <w:tcPr>
            <w:tcW w:w="8340" w:type="dxa"/>
            <w:vAlign w:val="bottom"/>
          </w:tcPr>
          <w:p>
            <w:pPr>
              <w:ind w:left="40"/>
              <w:spacing w:after="0"/>
              <w:rPr>
                <w:sz w:val="20"/>
                <w:szCs w:val="20"/>
                <w:color w:val="auto"/>
              </w:rPr>
            </w:pPr>
            <w:r>
              <w:rPr>
                <w:rFonts w:ascii="Arial" w:cs="Arial" w:eastAsia="Arial" w:hAnsi="Arial"/>
                <w:sz w:val="18"/>
                <w:szCs w:val="18"/>
                <w:color w:val="auto"/>
                <w:w w:val="90"/>
              </w:rPr>
              <w:t xml:space="preserve">2026 </w:t>
            </w:r>
            <w:r>
              <w:rPr>
                <w:rFonts w:ascii="Arial" w:cs="Arial" w:eastAsia="Arial" w:hAnsi="Arial"/>
                <w:sz w:val="18"/>
                <w:szCs w:val="18"/>
                <w:color w:val="B4B4B4"/>
                <w:w w:val="90"/>
              </w:rPr>
              <w:t>. . . . . . . . . . . . . . . . . . . . . . . . . . . . . . . . . . . . . . . . . . . . . . . . . . . . . . . . . . . . . . . . . . . . . . . . . . . . . . . . . . . . . . .</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92"/>
        </w:trPr>
        <w:tc>
          <w:tcPr>
            <w:tcW w:w="8340" w:type="dxa"/>
            <w:vAlign w:val="bottom"/>
            <w:shd w:val="clear" w:color="auto" w:fill="E6E6E6"/>
          </w:tcPr>
          <w:p>
            <w:pPr>
              <w:ind w:left="40"/>
              <w:spacing w:after="0"/>
              <w:rPr>
                <w:sz w:val="20"/>
                <w:szCs w:val="20"/>
                <w:color w:val="auto"/>
              </w:rPr>
            </w:pPr>
            <w:r>
              <w:rPr>
                <w:rFonts w:ascii="Arial" w:cs="Arial" w:eastAsia="Arial" w:hAnsi="Arial"/>
                <w:sz w:val="18"/>
                <w:szCs w:val="18"/>
                <w:color w:val="auto"/>
                <w:w w:val="90"/>
              </w:rPr>
              <w:t xml:space="preserve">2027 </w:t>
            </w:r>
            <w:r>
              <w:rPr>
                <w:rFonts w:ascii="Arial" w:cs="Arial" w:eastAsia="Arial" w:hAnsi="Arial"/>
                <w:sz w:val="18"/>
                <w:szCs w:val="18"/>
                <w:color w:val="B4B4B4"/>
                <w:w w:val="90"/>
              </w:rPr>
              <w:t>. . . . . . . . . . . . . . . . . . . . . . . . . . . . . . . . . . . . . . . . . . . . . . . . . . . . . . . . . . . . . . . . . . . . . . . . . . . . . . . . . . . . . . .</w:t>
            </w:r>
          </w:p>
        </w:tc>
        <w:tc>
          <w:tcPr>
            <w:tcW w:w="30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333</w:t>
            </w:r>
          </w:p>
        </w:tc>
      </w:tr>
      <w:tr>
        <w:trPr>
          <w:trHeight w:val="278"/>
        </w:trPr>
        <w:tc>
          <w:tcPr>
            <w:tcW w:w="8340" w:type="dxa"/>
            <w:vAlign w:val="bottom"/>
          </w:tcPr>
          <w:p>
            <w:pPr>
              <w:ind w:left="40"/>
              <w:spacing w:after="0"/>
              <w:rPr>
                <w:sz w:val="20"/>
                <w:szCs w:val="20"/>
                <w:color w:val="auto"/>
              </w:rPr>
            </w:pPr>
            <w:r>
              <w:rPr>
                <w:rFonts w:ascii="Arial" w:cs="Arial" w:eastAsia="Arial" w:hAnsi="Arial"/>
                <w:sz w:val="18"/>
                <w:szCs w:val="18"/>
                <w:color w:val="auto"/>
                <w:w w:val="90"/>
              </w:rPr>
              <w:t xml:space="preserve">2028 </w:t>
            </w:r>
            <w:r>
              <w:rPr>
                <w:rFonts w:ascii="Arial" w:cs="Arial" w:eastAsia="Arial" w:hAnsi="Arial"/>
                <w:sz w:val="18"/>
                <w:szCs w:val="18"/>
                <w:color w:val="B4B4B4"/>
                <w:w w:val="90"/>
              </w:rPr>
              <w:t>. . . . . . . . . . . . . . . . . . . . . . . . . . . . . . . . . . . . . . . . . . . . . . . . . . . . . . . . . . . . . . . . . . . . . . . . . . . . . . . . . . . . . . .</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92"/>
        </w:trPr>
        <w:tc>
          <w:tcPr>
            <w:tcW w:w="8340" w:type="dxa"/>
            <w:vAlign w:val="bottom"/>
            <w:shd w:val="clear" w:color="auto" w:fill="E6E6E6"/>
          </w:tcPr>
          <w:p>
            <w:pPr>
              <w:ind w:left="40"/>
              <w:spacing w:after="0"/>
              <w:rPr>
                <w:sz w:val="20"/>
                <w:szCs w:val="20"/>
                <w:color w:val="auto"/>
              </w:rPr>
            </w:pPr>
            <w:r>
              <w:rPr>
                <w:rFonts w:ascii="Arial" w:cs="Arial" w:eastAsia="Arial" w:hAnsi="Arial"/>
                <w:sz w:val="18"/>
                <w:szCs w:val="18"/>
                <w:color w:val="auto"/>
                <w:w w:val="90"/>
              </w:rPr>
              <w:t xml:space="preserve">2029 </w:t>
            </w:r>
            <w:r>
              <w:rPr>
                <w:rFonts w:ascii="Arial" w:cs="Arial" w:eastAsia="Arial" w:hAnsi="Arial"/>
                <w:sz w:val="18"/>
                <w:szCs w:val="18"/>
                <w:color w:val="B4B4B4"/>
                <w:w w:val="90"/>
              </w:rPr>
              <w:t>. . . . . . . . . . . . . . . . . . . . . . . . . . . . . . . . . . . . . . . . . . . . . . . . . . . . . . . . . . . . . . . . . . . . . . . . . . . . . . . . . . . . . . .</w:t>
            </w:r>
          </w:p>
        </w:tc>
        <w:tc>
          <w:tcPr>
            <w:tcW w:w="30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821</w:t>
            </w:r>
          </w:p>
        </w:tc>
      </w:tr>
      <w:tr>
        <w:trPr>
          <w:trHeight w:val="275"/>
        </w:trPr>
        <w:tc>
          <w:tcPr>
            <w:tcW w:w="834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w w:val="91"/>
              </w:rPr>
              <w:t xml:space="preserve">Thereafter  </w:t>
            </w:r>
            <w:r>
              <w:rPr>
                <w:rFonts w:ascii="Arial" w:cs="Arial" w:eastAsia="Arial" w:hAnsi="Arial"/>
                <w:sz w:val="18"/>
                <w:szCs w:val="18"/>
                <w:color w:val="B4B4B4"/>
                <w:w w:val="91"/>
              </w:rPr>
              <w:t>. . . . . . . . . . . . . . . . . . . . . . . . . . . . . . . . . . . . . . . . . . . . . . . . . . . . . . . . . . . . . . . . . . . . . . . . . . . . . . . . . .</w:t>
            </w: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r>
      <w:tr>
        <w:trPr>
          <w:trHeight w:val="270"/>
        </w:trPr>
        <w:tc>
          <w:tcPr>
            <w:tcW w:w="83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w w:val="90"/>
              </w:rPr>
              <w:t xml:space="preserve">Total </w:t>
            </w:r>
            <w:r>
              <w:rPr>
                <w:rFonts w:ascii="Arial" w:cs="Arial" w:eastAsia="Arial" w:hAnsi="Arial"/>
                <w:sz w:val="18"/>
                <w:szCs w:val="18"/>
                <w:color w:val="B4B4B4"/>
                <w:w w:val="90"/>
              </w:rPr>
              <w:t>. . . . . . . . . . . . . . . . . . . . . . . . . . . . . . . . . . . . . . . . . . . . . . . . . . . . . . . . . . . . . . . . . . . . . . . . . . . . . . . . . . . . . . .</w:t>
            </w:r>
          </w:p>
        </w:tc>
        <w:tc>
          <w:tcPr>
            <w:tcW w:w="30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7,235</w:t>
            </w:r>
          </w:p>
        </w:tc>
      </w:tr>
      <w:tr>
        <w:trPr>
          <w:trHeight w:val="20"/>
        </w:trPr>
        <w:tc>
          <w:tcPr>
            <w:tcW w:w="834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E6E6E6"/>
              <w:bottom w:val="single" w:sz="8" w:color="auto"/>
            </w:tcBorders>
          </w:tcPr>
          <w:p>
            <w:pPr>
              <w:spacing w:after="0" w:line="20" w:lineRule="exact"/>
              <w:rPr>
                <w:sz w:val="1"/>
                <w:szCs w:val="1"/>
                <w:color w:val="auto"/>
              </w:rPr>
            </w:pPr>
          </w:p>
        </w:tc>
        <w:tc>
          <w:tcPr>
            <w:tcW w:w="158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-43815</wp:posOffset>
            </wp:positionV>
            <wp:extent cx="121602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1">
                      <a:extLst>
                        <a:ext uri="{28A0092B-C50C-407E-A947-70E740481C1C}"/>
                      </a:extLst>
                    </a:blip>
                    <a:srcRect/>
                    <a:stretch>
                      <a:fillRect/>
                    </a:stretch>
                  </pic:blipFill>
                  <pic:spPr bwMode="auto">
                    <a:xfrm>
                      <a:off x="0" y="0"/>
                      <a:ext cx="12160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2">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2" w:lineRule="exact"/>
        <w:rPr>
          <w:sz w:val="20"/>
          <w:szCs w:val="20"/>
          <w:color w:val="auto"/>
        </w:rPr>
      </w:pPr>
    </w:p>
    <w:p>
      <w:pPr>
        <w:ind w:left="80"/>
        <w:spacing w:after="0" w:line="209" w:lineRule="auto"/>
        <w:tabs>
          <w:tab w:leader="none" w:pos="352" w:val="left"/>
        </w:tabs>
        <w:numPr>
          <w:ilvl w:val="0"/>
          <w:numId w:val="66"/>
        </w:numPr>
        <w:rPr>
          <w:rFonts w:ascii="Arial" w:cs="Arial" w:eastAsia="Arial" w:hAnsi="Arial"/>
          <w:sz w:val="26"/>
          <w:szCs w:val="26"/>
          <w:color w:val="auto"/>
          <w:vertAlign w:val="superscript"/>
        </w:rPr>
      </w:pPr>
      <w:r>
        <w:rPr>
          <w:rFonts w:ascii="Arial" w:cs="Arial" w:eastAsia="Arial" w:hAnsi="Arial"/>
          <w:sz w:val="16"/>
          <w:szCs w:val="16"/>
          <w:color w:val="auto"/>
        </w:rPr>
        <w:t>At December 31, 2024, amount includes $125 million of construction-related financings recorded in long-term debt on the Company’s consolidated balance sheet that is being funded through long-term equity contributions.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880" w:h="15480" w:orient="portrait"/>
          <w:cols w:equalWidth="0" w:num="1">
            <w:col w:w="10260"/>
          </w:cols>
          <w:pgMar w:left="820" w:top="359" w:right="80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Note 11 — Earnings Per Share</w:t>
      </w:r>
    </w:p>
    <w:p>
      <w:pPr>
        <w:spacing w:after="0" w:line="197"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20"/>
          <w:szCs w:val="20"/>
          <w:color w:val="auto"/>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reconciliation of the Company’s basic and diluted earnings per share is shown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3"/>
              </w:rPr>
              <w:t>Year Ended December 31,</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(In millions, except per share data) </w:t>
            </w:r>
            <w:r>
              <w:rPr>
                <w:rFonts w:ascii="Arial" w:cs="Arial" w:eastAsia="Arial" w:hAnsi="Arial"/>
                <w:sz w:val="26"/>
                <w:szCs w:val="26"/>
                <w:b w:val="1"/>
                <w:bCs w:val="1"/>
                <w:color w:val="auto"/>
                <w:vertAlign w:val="superscript"/>
              </w:rPr>
              <w:t>(a)</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6"/>
                <w:szCs w:val="16"/>
                <w:color w:val="auto"/>
              </w:rPr>
            </w:pPr>
          </w:p>
        </w:tc>
        <w:tc>
          <w:tcPr>
            <w:tcW w:w="84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Common</w:t>
            </w:r>
          </w:p>
        </w:tc>
        <w:tc>
          <w:tcPr>
            <w:tcW w:w="6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6"/>
                <w:szCs w:val="16"/>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6"/>
                <w:szCs w:val="16"/>
                <w:color w:val="auto"/>
              </w:rPr>
            </w:pPr>
          </w:p>
        </w:tc>
        <w:tc>
          <w:tcPr>
            <w:tcW w:w="84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68"/>
              <w:spacing w:after="0" w:line="165" w:lineRule="exact"/>
              <w:rPr>
                <w:sz w:val="20"/>
                <w:szCs w:val="20"/>
                <w:color w:val="auto"/>
              </w:rPr>
            </w:pPr>
            <w:r>
              <w:rPr>
                <w:rFonts w:ascii="Arial" w:cs="Arial" w:eastAsia="Arial" w:hAnsi="Arial"/>
                <w:sz w:val="16"/>
                <w:szCs w:val="16"/>
                <w:b w:val="1"/>
                <w:bCs w:val="1"/>
                <w:color w:val="auto"/>
                <w:w w:val="85"/>
              </w:rPr>
              <w:t>Class 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5"/>
              <w:spacing w:after="0" w:line="165" w:lineRule="exact"/>
              <w:rPr>
                <w:sz w:val="20"/>
                <w:szCs w:val="20"/>
                <w:color w:val="auto"/>
              </w:rPr>
            </w:pPr>
            <w:r>
              <w:rPr>
                <w:rFonts w:ascii="Arial" w:cs="Arial" w:eastAsia="Arial" w:hAnsi="Arial"/>
                <w:sz w:val="16"/>
                <w:szCs w:val="16"/>
                <w:b w:val="1"/>
                <w:bCs w:val="1"/>
                <w:color w:val="auto"/>
                <w:w w:val="88"/>
              </w:rPr>
              <w:t>Class C</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68"/>
              <w:spacing w:after="0" w:line="165" w:lineRule="exact"/>
              <w:rPr>
                <w:sz w:val="20"/>
                <w:szCs w:val="20"/>
                <w:color w:val="auto"/>
              </w:rPr>
            </w:pPr>
            <w:r>
              <w:rPr>
                <w:rFonts w:ascii="Arial" w:cs="Arial" w:eastAsia="Arial" w:hAnsi="Arial"/>
                <w:sz w:val="16"/>
                <w:szCs w:val="16"/>
                <w:b w:val="1"/>
                <w:bCs w:val="1"/>
                <w:color w:val="auto"/>
                <w:w w:val="85"/>
              </w:rPr>
              <w:t>Class 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40"/>
              <w:spacing w:after="0" w:line="165" w:lineRule="exact"/>
              <w:rPr>
                <w:sz w:val="20"/>
                <w:szCs w:val="20"/>
                <w:color w:val="auto"/>
              </w:rPr>
            </w:pPr>
            <w:r>
              <w:rPr>
                <w:rFonts w:ascii="Arial" w:cs="Arial" w:eastAsia="Arial" w:hAnsi="Arial"/>
                <w:sz w:val="16"/>
                <w:szCs w:val="16"/>
                <w:b w:val="1"/>
                <w:bCs w:val="1"/>
                <w:color w:val="auto"/>
                <w:w w:val="88"/>
              </w:rPr>
              <w:t>Class C</w:t>
            </w:r>
          </w:p>
        </w:tc>
        <w:tc>
          <w:tcPr>
            <w:tcW w:w="160" w:type="dxa"/>
            <w:vAlign w:val="bottom"/>
          </w:tcPr>
          <w:p>
            <w:pPr>
              <w:spacing w:after="0"/>
              <w:rPr>
                <w:sz w:val="14"/>
                <w:szCs w:val="14"/>
                <w:color w:val="auto"/>
              </w:rPr>
            </w:pPr>
          </w:p>
        </w:tc>
        <w:tc>
          <w:tcPr>
            <w:tcW w:w="680" w:type="dxa"/>
            <w:vAlign w:val="bottom"/>
          </w:tcPr>
          <w:p>
            <w:pPr>
              <w:jc w:val="right"/>
              <w:ind w:right="68"/>
              <w:spacing w:after="0" w:line="165" w:lineRule="exact"/>
              <w:rPr>
                <w:sz w:val="20"/>
                <w:szCs w:val="20"/>
                <w:color w:val="auto"/>
              </w:rPr>
            </w:pPr>
            <w:r>
              <w:rPr>
                <w:rFonts w:ascii="Arial" w:cs="Arial" w:eastAsia="Arial" w:hAnsi="Arial"/>
                <w:sz w:val="16"/>
                <w:szCs w:val="16"/>
                <w:b w:val="1"/>
                <w:bCs w:val="1"/>
                <w:color w:val="auto"/>
                <w:w w:val="85"/>
              </w:rPr>
              <w:t>Class 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5"/>
              <w:spacing w:after="0" w:line="165" w:lineRule="exact"/>
              <w:rPr>
                <w:sz w:val="20"/>
                <w:szCs w:val="20"/>
                <w:color w:val="auto"/>
              </w:rPr>
            </w:pPr>
            <w:r>
              <w:rPr>
                <w:rFonts w:ascii="Arial" w:cs="Arial" w:eastAsia="Arial" w:hAnsi="Arial"/>
                <w:sz w:val="16"/>
                <w:szCs w:val="16"/>
                <w:b w:val="1"/>
                <w:bCs w:val="1"/>
                <w:color w:val="auto"/>
                <w:w w:val="85"/>
              </w:rPr>
              <w:t>Class C</w:t>
            </w:r>
          </w:p>
        </w:tc>
        <w:tc>
          <w:tcPr>
            <w:tcW w:w="0" w:type="dxa"/>
            <w:vAlign w:val="bottom"/>
          </w:tcPr>
          <w:p>
            <w:pPr>
              <w:spacing w:after="0"/>
              <w:rPr>
                <w:sz w:val="1"/>
                <w:szCs w:val="1"/>
                <w:color w:val="auto"/>
              </w:rPr>
            </w:pPr>
          </w:p>
        </w:tc>
      </w:tr>
      <w:tr>
        <w:trPr>
          <w:trHeight w:val="30"/>
        </w:trPr>
        <w:tc>
          <w:tcPr>
            <w:tcW w:w="40" w:type="dxa"/>
            <w:vAlign w:val="bottom"/>
            <w:tcBorders>
              <w:bottom w:val="single" w:sz="8" w:color="E6E6E6"/>
            </w:tcBorders>
          </w:tcPr>
          <w:p>
            <w:pPr>
              <w:spacing w:after="0"/>
              <w:rPr>
                <w:sz w:val="2"/>
                <w:szCs w:val="2"/>
                <w:color w:val="auto"/>
              </w:rPr>
            </w:pPr>
          </w:p>
        </w:tc>
        <w:tc>
          <w:tcPr>
            <w:tcW w:w="2420" w:type="dxa"/>
            <w:vAlign w:val="bottom"/>
            <w:tcBorders>
              <w:top w:val="single" w:sz="8" w:color="auto"/>
              <w:bottom w:val="single" w:sz="8" w:color="E6E6E6"/>
            </w:tcBorders>
          </w:tcPr>
          <w:p>
            <w:pPr>
              <w:spacing w:after="0"/>
              <w:rPr>
                <w:sz w:val="2"/>
                <w:szCs w:val="2"/>
                <w:color w:val="auto"/>
              </w:rPr>
            </w:pPr>
          </w:p>
        </w:tc>
        <w:tc>
          <w:tcPr>
            <w:tcW w:w="238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E6E6E6"/>
          </w:tcPr>
          <w:p>
            <w:pPr>
              <w:spacing w:after="0"/>
              <w:rPr>
                <w:sz w:val="17"/>
                <w:szCs w:val="17"/>
                <w:color w:val="auto"/>
              </w:rPr>
            </w:pPr>
          </w:p>
        </w:tc>
        <w:tc>
          <w:tcPr>
            <w:tcW w:w="4800" w:type="dxa"/>
            <w:vAlign w:val="bottom"/>
            <w:gridSpan w:val="2"/>
            <w:shd w:val="clear" w:color="auto" w:fill="E6E6E6"/>
          </w:tcPr>
          <w:p>
            <w:pPr>
              <w:spacing w:after="0" w:line="197" w:lineRule="exact"/>
              <w:rPr>
                <w:sz w:val="20"/>
                <w:szCs w:val="20"/>
                <w:color w:val="auto"/>
              </w:rPr>
            </w:pPr>
            <w:r>
              <w:rPr>
                <w:rFonts w:ascii="Arial" w:cs="Arial" w:eastAsia="Arial" w:hAnsi="Arial"/>
                <w:sz w:val="20"/>
                <w:szCs w:val="20"/>
                <w:b w:val="1"/>
                <w:bCs w:val="1"/>
                <w:color w:val="auto"/>
              </w:rPr>
              <w:t>Basic and diluted income per share attributable to</w:t>
            </w: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6E6E6"/>
          </w:tcPr>
          <w:p>
            <w:pPr>
              <w:spacing w:after="0"/>
              <w:rPr>
                <w:sz w:val="23"/>
                <w:szCs w:val="23"/>
                <w:color w:val="auto"/>
              </w:rPr>
            </w:pPr>
          </w:p>
        </w:tc>
        <w:tc>
          <w:tcPr>
            <w:tcW w:w="4800" w:type="dxa"/>
            <w:vAlign w:val="bottom"/>
            <w:gridSpan w:val="2"/>
            <w:shd w:val="clear" w:color="auto" w:fill="E6E6E6"/>
          </w:tcPr>
          <w:p>
            <w:pPr>
              <w:ind w:left="180"/>
              <w:spacing w:after="0"/>
              <w:rPr>
                <w:sz w:val="20"/>
                <w:szCs w:val="20"/>
                <w:color w:val="auto"/>
              </w:rPr>
            </w:pPr>
            <w:r>
              <w:rPr>
                <w:rFonts w:ascii="Arial" w:cs="Arial" w:eastAsia="Arial" w:hAnsi="Arial"/>
                <w:sz w:val="20"/>
                <w:szCs w:val="20"/>
                <w:b w:val="1"/>
                <w:bCs w:val="1"/>
                <w:color w:val="auto"/>
              </w:rPr>
              <w:t>Clearway Energy, Inc. common stockholders</w:t>
            </w: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Arial" w:cs="Arial" w:eastAsia="Arial" w:hAnsi="Arial"/>
                <w:sz w:val="20"/>
                <w:szCs w:val="20"/>
                <w:color w:val="auto"/>
                <w:w w:val="93"/>
              </w:rPr>
              <w:t xml:space="preserve">Net income attributable to Clearway Energy, Inc. </w:t>
            </w:r>
            <w:r>
              <w:rPr>
                <w:rFonts w:ascii="Arial" w:cs="Arial" w:eastAsia="Arial" w:hAnsi="Arial"/>
                <w:sz w:val="20"/>
                <w:szCs w:val="20"/>
                <w:color w:val="B4B4B4"/>
                <w:w w:val="93"/>
              </w:rPr>
              <w:t>. . . . . .</w:t>
            </w:r>
            <w:r>
              <w:rPr>
                <w:rFonts w:ascii="Arial" w:cs="Arial" w:eastAsia="Arial" w:hAnsi="Arial"/>
                <w:sz w:val="20"/>
                <w:szCs w:val="20"/>
                <w:color w:val="auto"/>
                <w:w w:val="93"/>
              </w:rPr>
              <w:t xml:space="preserve"> $</w:t>
            </w:r>
          </w:p>
        </w:tc>
        <w:tc>
          <w:tcPr>
            <w:tcW w:w="680" w:type="dxa"/>
            <w:vAlign w:val="bottom"/>
          </w:tcPr>
          <w:p>
            <w:pPr>
              <w:jc w:val="right"/>
              <w:spacing w:after="0"/>
              <w:rPr>
                <w:sz w:val="20"/>
                <w:szCs w:val="20"/>
                <w:color w:val="auto"/>
              </w:rPr>
            </w:pPr>
            <w:r>
              <w:rPr>
                <w:rFonts w:ascii="Arial" w:cs="Arial" w:eastAsia="Arial" w:hAnsi="Arial"/>
                <w:sz w:val="20"/>
                <w:szCs w:val="20"/>
                <w:color w:val="auto"/>
              </w:rPr>
              <w:t>26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5"/>
              <w:spacing w:after="0"/>
              <w:rPr>
                <w:sz w:val="20"/>
                <w:szCs w:val="20"/>
                <w:color w:val="auto"/>
              </w:rPr>
            </w:pPr>
            <w:r>
              <w:rPr>
                <w:rFonts w:ascii="Arial" w:cs="Arial" w:eastAsia="Arial" w:hAnsi="Arial"/>
                <w:sz w:val="20"/>
                <w:szCs w:val="20"/>
                <w:color w:val="auto"/>
              </w:rPr>
              <w:t>62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5"/>
              <w:spacing w:after="0"/>
              <w:rPr>
                <w:sz w:val="20"/>
                <w:szCs w:val="20"/>
                <w:color w:val="auto"/>
              </w:rPr>
            </w:pPr>
            <w:r>
              <w:rPr>
                <w:rFonts w:ascii="Arial" w:cs="Arial" w:eastAsia="Arial" w:hAnsi="Arial"/>
                <w:sz w:val="20"/>
                <w:szCs w:val="20"/>
                <w:color w:val="auto"/>
              </w:rPr>
              <w:t>410</w:t>
            </w:r>
          </w:p>
        </w:tc>
        <w:tc>
          <w:tcPr>
            <w:tcW w:w="0" w:type="dxa"/>
            <w:vAlign w:val="bottom"/>
          </w:tcPr>
          <w:p>
            <w:pPr>
              <w:spacing w:after="0"/>
              <w:rPr>
                <w:sz w:val="1"/>
                <w:szCs w:val="1"/>
                <w:color w:val="auto"/>
              </w:rPr>
            </w:pPr>
          </w:p>
        </w:tc>
      </w:tr>
      <w:tr>
        <w:trPr>
          <w:trHeight w:val="212"/>
        </w:trPr>
        <w:tc>
          <w:tcPr>
            <w:tcW w:w="40" w:type="dxa"/>
            <w:vAlign w:val="bottom"/>
            <w:tcBorders>
              <w:top w:val="single" w:sz="8" w:color="E6E6E6"/>
            </w:tcBorders>
            <w:shd w:val="clear" w:color="auto" w:fill="E6E6E6"/>
          </w:tcPr>
          <w:p>
            <w:pPr>
              <w:spacing w:after="0"/>
              <w:rPr>
                <w:sz w:val="18"/>
                <w:szCs w:val="18"/>
                <w:color w:val="auto"/>
              </w:rPr>
            </w:pPr>
          </w:p>
        </w:tc>
        <w:tc>
          <w:tcPr>
            <w:tcW w:w="4800" w:type="dxa"/>
            <w:vAlign w:val="bottom"/>
            <w:tcBorders>
              <w:top w:val="single" w:sz="8" w:color="E6E6E6"/>
            </w:tcBorders>
            <w:gridSpan w:val="2"/>
            <w:shd w:val="clear" w:color="auto" w:fill="E6E6E6"/>
          </w:tcPr>
          <w:p>
            <w:pPr>
              <w:ind w:left="140"/>
              <w:spacing w:after="0" w:line="212" w:lineRule="exact"/>
              <w:rPr>
                <w:sz w:val="20"/>
                <w:szCs w:val="20"/>
                <w:color w:val="auto"/>
              </w:rPr>
            </w:pPr>
            <w:r>
              <w:rPr>
                <w:rFonts w:ascii="Arial" w:cs="Arial" w:eastAsia="Arial" w:hAnsi="Arial"/>
                <w:sz w:val="20"/>
                <w:szCs w:val="20"/>
                <w:color w:val="auto"/>
              </w:rPr>
              <w:t>Weighted average number of common shares</w:t>
            </w: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8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auto"/>
            </w:tcBorders>
            <w:shd w:val="clear" w:color="auto" w:fill="E6E6E6"/>
          </w:tcPr>
          <w:p>
            <w:pPr>
              <w:spacing w:after="0"/>
              <w:rPr>
                <w:sz w:val="18"/>
                <w:szCs w:val="18"/>
                <w:color w:val="auto"/>
              </w:rPr>
            </w:pPr>
          </w:p>
        </w:tc>
        <w:tc>
          <w:tcPr>
            <w:tcW w:w="700" w:type="dxa"/>
            <w:vAlign w:val="bottom"/>
            <w:tcBorders>
              <w:top w:val="single" w:sz="8" w:color="auto"/>
            </w:tcBorders>
            <w:vMerge w:val="restart"/>
            <w:shd w:val="clear" w:color="auto" w:fill="E6E6E6"/>
          </w:tcPr>
          <w:p>
            <w:pPr>
              <w:jc w:val="right"/>
              <w:ind w:right="5"/>
              <w:spacing w:after="0"/>
              <w:rPr>
                <w:sz w:val="20"/>
                <w:szCs w:val="20"/>
                <w:color w:val="auto"/>
              </w:rPr>
            </w:pPr>
            <w:r>
              <w:rPr>
                <w:rFonts w:ascii="Arial" w:cs="Arial" w:eastAsia="Arial" w:hAnsi="Arial"/>
                <w:sz w:val="20"/>
                <w:szCs w:val="20"/>
                <w:color w:val="auto"/>
              </w:rPr>
              <w:t>83</w:t>
            </w:r>
          </w:p>
        </w:tc>
        <w:tc>
          <w:tcPr>
            <w:tcW w:w="60" w:type="dxa"/>
            <w:vAlign w:val="bottom"/>
            <w:tcBorders>
              <w:top w:val="single" w:sz="8" w:color="E6E6E6"/>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80" w:type="dxa"/>
            <w:vAlign w:val="bottom"/>
            <w:tcBorders>
              <w:top w:val="single" w:sz="8" w:color="E6E6E6"/>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80" w:type="dxa"/>
            <w:vAlign w:val="bottom"/>
            <w:tcBorders>
              <w:top w:val="single" w:sz="8" w:color="E6E6E6"/>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8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auto"/>
            </w:tcBorders>
            <w:shd w:val="clear" w:color="auto" w:fill="E6E6E6"/>
          </w:tcPr>
          <w:p>
            <w:pPr>
              <w:spacing w:after="0"/>
              <w:rPr>
                <w:sz w:val="18"/>
                <w:szCs w:val="18"/>
                <w:color w:val="auto"/>
              </w:rPr>
            </w:pPr>
          </w:p>
        </w:tc>
        <w:tc>
          <w:tcPr>
            <w:tcW w:w="700" w:type="dxa"/>
            <w:vAlign w:val="bottom"/>
            <w:tcBorders>
              <w:top w:val="single" w:sz="8" w:color="auto"/>
            </w:tcBorders>
            <w:vMerge w:val="restart"/>
            <w:shd w:val="clear" w:color="auto" w:fill="E6E6E6"/>
          </w:tcPr>
          <w:p>
            <w:pPr>
              <w:jc w:val="right"/>
              <w:ind w:right="5"/>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82"/>
        </w:trPr>
        <w:tc>
          <w:tcPr>
            <w:tcW w:w="40" w:type="dxa"/>
            <w:vAlign w:val="bottom"/>
            <w:tcBorders>
              <w:bottom w:val="single" w:sz="8" w:color="E6E6E6"/>
            </w:tcBorders>
            <w:shd w:val="clear" w:color="auto" w:fill="E6E6E6"/>
          </w:tcPr>
          <w:p>
            <w:pPr>
              <w:spacing w:after="0"/>
              <w:rPr>
                <w:sz w:val="24"/>
                <w:szCs w:val="24"/>
                <w:color w:val="auto"/>
              </w:rPr>
            </w:pPr>
          </w:p>
        </w:tc>
        <w:tc>
          <w:tcPr>
            <w:tcW w:w="4800" w:type="dxa"/>
            <w:vAlign w:val="bottom"/>
            <w:tcBorders>
              <w:bottom w:val="single" w:sz="8" w:color="E6E6E6"/>
            </w:tcBorders>
            <w:gridSpan w:val="2"/>
            <w:shd w:val="clear" w:color="auto" w:fill="E6E6E6"/>
          </w:tcPr>
          <w:p>
            <w:pPr>
              <w:ind w:left="320"/>
              <w:spacing w:after="0"/>
              <w:rPr>
                <w:sz w:val="20"/>
                <w:szCs w:val="20"/>
                <w:color w:val="auto"/>
              </w:rPr>
            </w:pPr>
            <w:r>
              <w:rPr>
                <w:rFonts w:ascii="Arial" w:cs="Arial" w:eastAsia="Arial" w:hAnsi="Arial"/>
                <w:sz w:val="20"/>
                <w:szCs w:val="20"/>
                <w:color w:val="auto"/>
                <w:w w:val="93"/>
              </w:rPr>
              <w:t xml:space="preserve">outstanding — basic and diluted  </w:t>
            </w:r>
            <w:r>
              <w:rPr>
                <w:rFonts w:ascii="Arial" w:cs="Arial" w:eastAsia="Arial" w:hAnsi="Arial"/>
                <w:sz w:val="20"/>
                <w:szCs w:val="20"/>
                <w:color w:val="B4B4B4"/>
                <w:w w:val="93"/>
              </w:rPr>
              <w:t>.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800" w:type="dxa"/>
            <w:vAlign w:val="bottom"/>
            <w:gridSpan w:val="2"/>
          </w:tcPr>
          <w:p>
            <w:pPr>
              <w:spacing w:after="0" w:line="178" w:lineRule="exact"/>
              <w:rPr>
                <w:sz w:val="20"/>
                <w:szCs w:val="20"/>
                <w:color w:val="auto"/>
              </w:rPr>
            </w:pPr>
            <w:r>
              <w:rPr>
                <w:rFonts w:ascii="Arial" w:cs="Arial" w:eastAsia="Arial" w:hAnsi="Arial"/>
                <w:sz w:val="20"/>
                <w:szCs w:val="20"/>
                <w:b w:val="1"/>
                <w:bCs w:val="1"/>
                <w:color w:val="auto"/>
                <w:w w:val="90"/>
              </w:rPr>
              <w:t>Earnings per weighted average common share — basic</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0.75</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ind w:right="5"/>
              <w:spacing w:after="0"/>
              <w:rPr>
                <w:sz w:val="20"/>
                <w:szCs w:val="20"/>
                <w:color w:val="auto"/>
              </w:rPr>
            </w:pPr>
            <w:r>
              <w:rPr>
                <w:rFonts w:ascii="Arial" w:cs="Arial" w:eastAsia="Arial" w:hAnsi="Arial"/>
                <w:sz w:val="20"/>
                <w:szCs w:val="20"/>
                <w:color w:val="auto"/>
              </w:rPr>
              <w:t>0.75</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0.67</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0.67</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4.99</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ind w:right="5"/>
              <w:spacing w:after="0"/>
              <w:rPr>
                <w:sz w:val="20"/>
                <w:szCs w:val="20"/>
                <w:color w:val="auto"/>
              </w:rPr>
            </w:pPr>
            <w:r>
              <w:rPr>
                <w:rFonts w:ascii="Arial" w:cs="Arial" w:eastAsia="Arial" w:hAnsi="Arial"/>
                <w:sz w:val="20"/>
                <w:szCs w:val="20"/>
                <w:color w:val="auto"/>
              </w:rPr>
              <w:t>4.99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gridSpan w:val="3"/>
          </w:tcPr>
          <w:p>
            <w:pPr>
              <w:ind w:left="180"/>
              <w:spacing w:after="0"/>
              <w:rPr>
                <w:sz w:val="20"/>
                <w:szCs w:val="20"/>
                <w:color w:val="auto"/>
              </w:rPr>
            </w:pPr>
            <w:r>
              <w:rPr>
                <w:rFonts w:ascii="Arial" w:cs="Arial" w:eastAsia="Arial" w:hAnsi="Arial"/>
                <w:sz w:val="20"/>
                <w:szCs w:val="20"/>
                <w:b w:val="1"/>
                <w:bCs w:val="1"/>
                <w:color w:val="auto"/>
                <w:w w:val="95"/>
              </w:rPr>
              <w:t xml:space="preserve">and diluted </w:t>
            </w:r>
            <w:r>
              <w:rPr>
                <w:rFonts w:ascii="Arial" w:cs="Arial" w:eastAsia="Arial" w:hAnsi="Arial"/>
                <w:sz w:val="20"/>
                <w:szCs w:val="20"/>
                <w:b w:val="1"/>
                <w:bCs w:val="1"/>
                <w:color w:val="B4B4B4"/>
                <w:w w:val="95"/>
              </w:rPr>
              <w:t>. . . . . . . . . . . . . . . . . . . . . . . . . . . . . . . . . . .</w:t>
            </w:r>
          </w:p>
        </w:tc>
        <w:tc>
          <w:tcPr>
            <w:tcW w:w="6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-43815</wp:posOffset>
            </wp:positionV>
            <wp:extent cx="346392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3">
                      <a:extLst>
                        <a:ext uri="{28A0092B-C50C-407E-A947-70E740481C1C}"/>
                      </a:extLst>
                    </a:blip>
                    <a:srcRect/>
                    <a:stretch>
                      <a:fillRect/>
                    </a:stretch>
                  </pic:blipFill>
                  <pic:spPr bwMode="auto">
                    <a:xfrm>
                      <a:off x="0" y="0"/>
                      <a:ext cx="34639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4">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02" w:lineRule="exact"/>
        <w:rPr>
          <w:sz w:val="20"/>
          <w:szCs w:val="20"/>
          <w:color w:val="auto"/>
        </w:rPr>
      </w:pPr>
    </w:p>
    <w:p>
      <w:pPr>
        <w:ind w:left="80"/>
        <w:spacing w:after="0" w:line="209" w:lineRule="auto"/>
        <w:tabs>
          <w:tab w:leader="none" w:pos="310" w:val="left"/>
        </w:tabs>
        <w:numPr>
          <w:ilvl w:val="0"/>
          <w:numId w:val="67"/>
        </w:numPr>
        <w:rPr>
          <w:rFonts w:ascii="Arial" w:cs="Arial" w:eastAsia="Arial" w:hAnsi="Arial"/>
          <w:sz w:val="26"/>
          <w:szCs w:val="26"/>
          <w:color w:val="auto"/>
          <w:vertAlign w:val="superscript"/>
        </w:rPr>
      </w:pPr>
      <w:r>
        <w:rPr>
          <w:rFonts w:ascii="Arial" w:cs="Arial" w:eastAsia="Arial" w:hAnsi="Arial"/>
          <w:sz w:val="16"/>
          <w:szCs w:val="16"/>
          <w:color w:val="auto"/>
        </w:rPr>
        <w:t>Net income attributable to Clearway Energy, Inc. and basic and diluted earnings per share might not recalculate due to presenting amounts in millions rather than whole dollars.</w:t>
      </w:r>
    </w:p>
    <w:p>
      <w:pPr>
        <w:spacing w:after="0" w:line="144" w:lineRule="exact"/>
        <w:rPr>
          <w:sz w:val="20"/>
          <w:szCs w:val="20"/>
          <w:color w:val="auto"/>
        </w:rPr>
      </w:pPr>
    </w:p>
    <w:p>
      <w:pPr>
        <w:ind w:right="5100"/>
        <w:spacing w:after="0" w:line="441" w:lineRule="auto"/>
        <w:rPr>
          <w:sz w:val="20"/>
          <w:szCs w:val="20"/>
          <w:color w:val="auto"/>
        </w:rPr>
      </w:pPr>
      <w:r>
        <w:rPr>
          <w:rFonts w:ascii="Arial" w:cs="Arial" w:eastAsia="Arial" w:hAnsi="Arial"/>
          <w:sz w:val="20"/>
          <w:szCs w:val="20"/>
          <w:b w:val="1"/>
          <w:bCs w:val="1"/>
          <w:color w:val="auto"/>
        </w:rPr>
        <w:t xml:space="preserve">Note 12 — Stockholders’ Equity </w:t>
      </w:r>
      <w:r>
        <w:rPr>
          <w:rFonts w:ascii="Arial" w:cs="Arial" w:eastAsia="Arial" w:hAnsi="Arial"/>
          <w:sz w:val="20"/>
          <w:szCs w:val="20"/>
          <w:b w:val="1"/>
          <w:bCs w:val="1"/>
          <w:i w:val="1"/>
          <w:iCs w:val="1"/>
          <w:color w:val="auto"/>
        </w:rPr>
        <w:t>At-the-Market Equity Offering Program, or the ATM Program</w:t>
      </w:r>
    </w:p>
    <w:p>
      <w:pPr>
        <w:spacing w:after="0" w:line="2"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Under the Company’s ATM Program, the Company may offer and sell shares of its Class C common stock from time to time up to an aggregate sales price of $150 million through an at-the-market equity offering program, or the ATM Program. During the years ended December 31, 2024, 2023 and 2022, the Company did not sell any Class C common stock shares under the ATM Program. As of December 31, 2024, approximately $126 million of Class C common stock remains available for issuance under the ATM Program.</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 to Class A and Class C common stockholders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list the dividends paid on the Company’s Class A and Class C common stock during the years ended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Fourth Quarter</w:t>
            </w:r>
          </w:p>
        </w:tc>
        <w:tc>
          <w:tcPr>
            <w:tcW w:w="8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Third Quarter</w:t>
            </w:r>
          </w:p>
        </w:tc>
        <w:tc>
          <w:tcPr>
            <w:tcW w:w="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rPr>
                <w:sz w:val="20"/>
                <w:szCs w:val="20"/>
                <w:color w:val="auto"/>
              </w:rPr>
            </w:pPr>
            <w:r>
              <w:rPr>
                <w:rFonts w:ascii="Arial" w:cs="Arial" w:eastAsia="Arial" w:hAnsi="Arial"/>
                <w:sz w:val="16"/>
                <w:szCs w:val="16"/>
                <w:b w:val="1"/>
                <w:bCs w:val="1"/>
                <w:color w:val="auto"/>
                <w:w w:val="94"/>
              </w:rPr>
              <w:t>First Quarter</w:t>
            </w:r>
          </w:p>
        </w:tc>
      </w:tr>
      <w:tr>
        <w:trPr>
          <w:trHeight w:val="214"/>
        </w:trPr>
        <w:tc>
          <w:tcPr>
            <w:tcW w:w="51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2024</w:t>
            </w:r>
          </w:p>
        </w:tc>
      </w:tr>
      <w:tr>
        <w:trPr>
          <w:trHeight w:val="290"/>
        </w:trPr>
        <w:tc>
          <w:tcPr>
            <w:tcW w:w="51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0"/>
              </w:rPr>
              <w:t xml:space="preserve">Dividends per Class A share </w:t>
            </w:r>
            <w:r>
              <w:rPr>
                <w:rFonts w:ascii="Arial" w:cs="Arial" w:eastAsia="Arial" w:hAnsi="Arial"/>
                <w:sz w:val="20"/>
                <w:szCs w:val="20"/>
                <w:b w:val="1"/>
                <w:bCs w:val="1"/>
                <w:color w:val="B4B4B4"/>
                <w:w w:val="90"/>
              </w:rPr>
              <w:t>. . . . . . . . . . . . . . . . . . . . . . . . . .</w:t>
            </w:r>
          </w:p>
        </w:tc>
        <w:tc>
          <w:tcPr>
            <w:tcW w:w="30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0.4240</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0.4171</w:t>
            </w:r>
          </w:p>
        </w:tc>
        <w:tc>
          <w:tcPr>
            <w:tcW w:w="3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0.4102</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0.4033</w:t>
            </w:r>
          </w:p>
        </w:tc>
      </w:tr>
      <w:tr>
        <w:trPr>
          <w:trHeight w:val="287"/>
        </w:trPr>
        <w:tc>
          <w:tcPr>
            <w:tcW w:w="5100" w:type="dxa"/>
            <w:vAlign w:val="bottom"/>
          </w:tcPr>
          <w:p>
            <w:pPr>
              <w:ind w:left="40"/>
              <w:spacing w:after="0"/>
              <w:rPr>
                <w:sz w:val="20"/>
                <w:szCs w:val="20"/>
                <w:color w:val="auto"/>
              </w:rPr>
            </w:pPr>
            <w:r>
              <w:rPr>
                <w:rFonts w:ascii="Arial" w:cs="Arial" w:eastAsia="Arial" w:hAnsi="Arial"/>
                <w:sz w:val="20"/>
                <w:szCs w:val="20"/>
                <w:b w:val="1"/>
                <w:bCs w:val="1"/>
                <w:color w:val="auto"/>
                <w:w w:val="91"/>
              </w:rPr>
              <w:t xml:space="preserve">Dividends per Class C share  </w:t>
            </w:r>
            <w:r>
              <w:rPr>
                <w:rFonts w:ascii="Arial" w:cs="Arial" w:eastAsia="Arial" w:hAnsi="Arial"/>
                <w:sz w:val="20"/>
                <w:szCs w:val="20"/>
                <w:b w:val="1"/>
                <w:bCs w:val="1"/>
                <w:color w:val="B4B4B4"/>
                <w:w w:val="91"/>
              </w:rPr>
              <w:t>. . . . . . . . . . . . . . . . . . . . . . . . .</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0.4240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0.4171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0.4102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20"/>
                <w:szCs w:val="20"/>
                <w:color w:val="auto"/>
              </w:rPr>
              <w:t>0.4033</w:t>
            </w:r>
          </w:p>
        </w:tc>
      </w:tr>
      <w:tr>
        <w:trPr>
          <w:trHeight w:val="474"/>
        </w:trPr>
        <w:tc>
          <w:tcPr>
            <w:tcW w:w="51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Fourth Quarter</w:t>
            </w:r>
          </w:p>
        </w:tc>
        <w:tc>
          <w:tcPr>
            <w:tcW w:w="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Third Quarter</w:t>
            </w:r>
          </w:p>
        </w:tc>
        <w:tc>
          <w:tcPr>
            <w:tcW w:w="8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Second 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0"/>
              <w:spacing w:after="0"/>
              <w:rPr>
                <w:sz w:val="20"/>
                <w:szCs w:val="20"/>
                <w:color w:val="auto"/>
              </w:rPr>
            </w:pPr>
            <w:r>
              <w:rPr>
                <w:rFonts w:ascii="Arial" w:cs="Arial" w:eastAsia="Arial" w:hAnsi="Arial"/>
                <w:sz w:val="16"/>
                <w:szCs w:val="16"/>
                <w:b w:val="1"/>
                <w:bCs w:val="1"/>
                <w:color w:val="auto"/>
                <w:w w:val="94"/>
              </w:rPr>
              <w:t>First Quarter</w:t>
            </w:r>
          </w:p>
        </w:tc>
      </w:tr>
      <w:tr>
        <w:trPr>
          <w:trHeight w:val="214"/>
        </w:trPr>
        <w:tc>
          <w:tcPr>
            <w:tcW w:w="51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2023</w:t>
            </w:r>
          </w:p>
        </w:tc>
      </w:tr>
      <w:tr>
        <w:trPr>
          <w:trHeight w:val="290"/>
        </w:trPr>
        <w:tc>
          <w:tcPr>
            <w:tcW w:w="51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0"/>
              </w:rPr>
              <w:t xml:space="preserve">Dividends per Class A share </w:t>
            </w:r>
            <w:r>
              <w:rPr>
                <w:rFonts w:ascii="Arial" w:cs="Arial" w:eastAsia="Arial" w:hAnsi="Arial"/>
                <w:sz w:val="20"/>
                <w:szCs w:val="20"/>
                <w:b w:val="1"/>
                <w:bCs w:val="1"/>
                <w:color w:val="B4B4B4"/>
                <w:w w:val="90"/>
              </w:rPr>
              <w:t>. . . . . . . . . . . . . . . . . . . . . . . . . .</w:t>
            </w:r>
          </w:p>
        </w:tc>
        <w:tc>
          <w:tcPr>
            <w:tcW w:w="30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0.3964</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0.3891</w:t>
            </w:r>
          </w:p>
        </w:tc>
        <w:tc>
          <w:tcPr>
            <w:tcW w:w="3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0.3818</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0.3745</w:t>
            </w:r>
          </w:p>
        </w:tc>
      </w:tr>
      <w:tr>
        <w:trPr>
          <w:trHeight w:val="287"/>
        </w:trPr>
        <w:tc>
          <w:tcPr>
            <w:tcW w:w="5100" w:type="dxa"/>
            <w:vAlign w:val="bottom"/>
          </w:tcPr>
          <w:p>
            <w:pPr>
              <w:ind w:left="40"/>
              <w:spacing w:after="0"/>
              <w:rPr>
                <w:sz w:val="20"/>
                <w:szCs w:val="20"/>
                <w:color w:val="auto"/>
              </w:rPr>
            </w:pPr>
            <w:r>
              <w:rPr>
                <w:rFonts w:ascii="Arial" w:cs="Arial" w:eastAsia="Arial" w:hAnsi="Arial"/>
                <w:sz w:val="20"/>
                <w:szCs w:val="20"/>
                <w:b w:val="1"/>
                <w:bCs w:val="1"/>
                <w:color w:val="auto"/>
                <w:w w:val="91"/>
              </w:rPr>
              <w:t xml:space="preserve">Dividends per Class C share  </w:t>
            </w:r>
            <w:r>
              <w:rPr>
                <w:rFonts w:ascii="Arial" w:cs="Arial" w:eastAsia="Arial" w:hAnsi="Arial"/>
                <w:sz w:val="20"/>
                <w:szCs w:val="20"/>
                <w:b w:val="1"/>
                <w:bCs w:val="1"/>
                <w:color w:val="B4B4B4"/>
                <w:w w:val="91"/>
              </w:rPr>
              <w:t>. . . . . . . . . . . . . . . . . . . . . . . . .</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0.3964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0.3891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0.3818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20"/>
                <w:szCs w:val="20"/>
                <w:color w:val="auto"/>
              </w:rPr>
              <w:t>0.3745</w:t>
            </w:r>
          </w:p>
        </w:tc>
      </w:tr>
      <w:tr>
        <w:trPr>
          <w:trHeight w:val="474"/>
        </w:trPr>
        <w:tc>
          <w:tcPr>
            <w:tcW w:w="51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Fourth Quarter</w:t>
            </w:r>
          </w:p>
        </w:tc>
        <w:tc>
          <w:tcPr>
            <w:tcW w:w="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Third Quarter</w:t>
            </w:r>
          </w:p>
        </w:tc>
        <w:tc>
          <w:tcPr>
            <w:tcW w:w="8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Second 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0"/>
              <w:spacing w:after="0"/>
              <w:rPr>
                <w:sz w:val="20"/>
                <w:szCs w:val="20"/>
                <w:color w:val="auto"/>
              </w:rPr>
            </w:pPr>
            <w:r>
              <w:rPr>
                <w:rFonts w:ascii="Arial" w:cs="Arial" w:eastAsia="Arial" w:hAnsi="Arial"/>
                <w:sz w:val="16"/>
                <w:szCs w:val="16"/>
                <w:b w:val="1"/>
                <w:bCs w:val="1"/>
                <w:color w:val="auto"/>
                <w:w w:val="94"/>
              </w:rPr>
              <w:t>First Quarter</w:t>
            </w:r>
          </w:p>
        </w:tc>
      </w:tr>
      <w:tr>
        <w:trPr>
          <w:trHeight w:val="214"/>
        </w:trPr>
        <w:tc>
          <w:tcPr>
            <w:tcW w:w="51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2022</w:t>
            </w:r>
          </w:p>
        </w:tc>
      </w:tr>
      <w:tr>
        <w:trPr>
          <w:trHeight w:val="290"/>
        </w:trPr>
        <w:tc>
          <w:tcPr>
            <w:tcW w:w="51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0"/>
              </w:rPr>
              <w:t xml:space="preserve">Dividends per Class A share </w:t>
            </w:r>
            <w:r>
              <w:rPr>
                <w:rFonts w:ascii="Arial" w:cs="Arial" w:eastAsia="Arial" w:hAnsi="Arial"/>
                <w:sz w:val="20"/>
                <w:szCs w:val="20"/>
                <w:b w:val="1"/>
                <w:bCs w:val="1"/>
                <w:color w:val="B4B4B4"/>
                <w:w w:val="90"/>
              </w:rPr>
              <w:t>. . . . . . . . . . . . . . . . . . . . . . . . . .</w:t>
            </w:r>
          </w:p>
        </w:tc>
        <w:tc>
          <w:tcPr>
            <w:tcW w:w="30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0.3672</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0.3604</w:t>
            </w:r>
          </w:p>
        </w:tc>
        <w:tc>
          <w:tcPr>
            <w:tcW w:w="3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0.3536</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0.3468</w:t>
            </w:r>
          </w:p>
        </w:tc>
      </w:tr>
      <w:tr>
        <w:trPr>
          <w:trHeight w:val="287"/>
        </w:trPr>
        <w:tc>
          <w:tcPr>
            <w:tcW w:w="5100" w:type="dxa"/>
            <w:vAlign w:val="bottom"/>
          </w:tcPr>
          <w:p>
            <w:pPr>
              <w:ind w:left="40"/>
              <w:spacing w:after="0"/>
              <w:rPr>
                <w:sz w:val="20"/>
                <w:szCs w:val="20"/>
                <w:color w:val="auto"/>
              </w:rPr>
            </w:pPr>
            <w:r>
              <w:rPr>
                <w:rFonts w:ascii="Arial" w:cs="Arial" w:eastAsia="Arial" w:hAnsi="Arial"/>
                <w:sz w:val="20"/>
                <w:szCs w:val="20"/>
                <w:b w:val="1"/>
                <w:bCs w:val="1"/>
                <w:color w:val="auto"/>
                <w:w w:val="91"/>
              </w:rPr>
              <w:t xml:space="preserve">Dividends per Class C share  </w:t>
            </w:r>
            <w:r>
              <w:rPr>
                <w:rFonts w:ascii="Arial" w:cs="Arial" w:eastAsia="Arial" w:hAnsi="Arial"/>
                <w:sz w:val="20"/>
                <w:szCs w:val="20"/>
                <w:b w:val="1"/>
                <w:bCs w:val="1"/>
                <w:color w:val="B4B4B4"/>
                <w:w w:val="91"/>
              </w:rPr>
              <w:t>. . . . . . . . . . . . . . . . . . . . . . . . .</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0.3672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0.3604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0.3536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20"/>
                <w:szCs w:val="20"/>
                <w:color w:val="auto"/>
              </w:rPr>
              <w:t>0.3468</w:t>
            </w:r>
          </w:p>
        </w:tc>
      </w:tr>
    </w:tbl>
    <w:p>
      <w:pPr>
        <w:spacing w:after="0" w:line="230"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5"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On February 17, 2025, the Company declared a quarterly dividend on its Class A and Class C common stock of $0.4312 per share payable on March 17, 2025 to stockholders of record as of March 3, 2025.</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880" w:h="15480" w:orient="portrait"/>
          <w:cols w:equalWidth="0" w:num="1">
            <w:col w:w="10260"/>
          </w:cols>
          <w:pgMar w:left="820" w:top="360" w:right="800" w:bottom="0" w:gutter="0" w:footer="0" w:header="0"/>
          <w:type w:val="continuous"/>
        </w:sectPr>
      </w:pPr>
    </w:p>
    <w:bookmarkStart w:id="119" w:name="page120"/>
    <w:bookmarkEnd w:id="119"/>
    <w:p>
      <w:pPr>
        <w:jc w:val="both"/>
        <w:ind w:right="20" w:firstLine="450"/>
        <w:spacing w:after="0" w:line="283" w:lineRule="auto"/>
        <w:rPr>
          <w:sz w:val="20"/>
          <w:szCs w:val="20"/>
          <w:color w:val="auto"/>
        </w:rPr>
      </w:pPr>
      <w:r>
        <w:rPr>
          <w:rFonts w:ascii="Arial" w:cs="Arial" w:eastAsia="Arial" w:hAnsi="Arial"/>
          <w:sz w:val="20"/>
          <w:szCs w:val="20"/>
          <w:color w:val="auto"/>
        </w:rPr>
        <w:t>The Company has also authorized 10,000,000 shares of preferred stock, par value $0.01 per share. None of the shares of preferred stock have been issued.</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CEG</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tables list the distributions paid to CEG during the years ended December 31, 2024, 2023 and 2022 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Clearway Energy LLC’s Class B and D units: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Fourth Quarter</w:t>
            </w:r>
          </w:p>
        </w:tc>
        <w:tc>
          <w:tcPr>
            <w:tcW w:w="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Third Quarter</w:t>
            </w:r>
          </w:p>
        </w:tc>
        <w:tc>
          <w:tcPr>
            <w:tcW w:w="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Arial" w:cs="Arial" w:eastAsia="Arial" w:hAnsi="Arial"/>
                <w:sz w:val="16"/>
                <w:szCs w:val="16"/>
                <w:b w:val="1"/>
                <w:bCs w:val="1"/>
                <w:color w:val="auto"/>
                <w:w w:val="96"/>
              </w:rPr>
              <w:t>First Quarter</w:t>
            </w:r>
          </w:p>
        </w:tc>
      </w:tr>
      <w:tr>
        <w:trPr>
          <w:trHeight w:val="214"/>
        </w:trPr>
        <w:tc>
          <w:tcPr>
            <w:tcW w:w="492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07"/>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2024</w:t>
            </w:r>
          </w:p>
        </w:tc>
      </w:tr>
      <w:tr>
        <w:trPr>
          <w:trHeight w:val="290"/>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1"/>
              </w:rPr>
              <w:t xml:space="preserve">Distributions per Class B unit  </w:t>
            </w:r>
            <w:r>
              <w:rPr>
                <w:rFonts w:ascii="Arial" w:cs="Arial" w:eastAsia="Arial" w:hAnsi="Arial"/>
                <w:sz w:val="20"/>
                <w:szCs w:val="20"/>
                <w:b w:val="1"/>
                <w:bCs w:val="1"/>
                <w:color w:val="B4B4B4"/>
                <w:w w:val="91"/>
              </w:rPr>
              <w:t>.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0.4240</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0.4171</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0.4102</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0.4033</w:t>
            </w:r>
          </w:p>
        </w:tc>
      </w:tr>
      <w:tr>
        <w:trPr>
          <w:trHeight w:val="287"/>
        </w:trPr>
        <w:tc>
          <w:tcPr>
            <w:tcW w:w="4920" w:type="dxa"/>
            <w:vAlign w:val="bottom"/>
          </w:tcPr>
          <w:p>
            <w:pPr>
              <w:ind w:left="40"/>
              <w:spacing w:after="0"/>
              <w:rPr>
                <w:sz w:val="20"/>
                <w:szCs w:val="20"/>
                <w:color w:val="auto"/>
              </w:rPr>
            </w:pPr>
            <w:r>
              <w:rPr>
                <w:rFonts w:ascii="Arial" w:cs="Arial" w:eastAsia="Arial" w:hAnsi="Arial"/>
                <w:sz w:val="20"/>
                <w:szCs w:val="20"/>
                <w:b w:val="1"/>
                <w:bCs w:val="1"/>
                <w:color w:val="auto"/>
                <w:w w:val="92"/>
              </w:rPr>
              <w:t xml:space="preserve">Distributions per Class D unit </w:t>
            </w:r>
            <w:r>
              <w:rPr>
                <w:rFonts w:ascii="Arial" w:cs="Arial" w:eastAsia="Arial" w:hAnsi="Arial"/>
                <w:sz w:val="20"/>
                <w:szCs w:val="20"/>
                <w:b w:val="1"/>
                <w:bCs w:val="1"/>
                <w:color w:val="B4B4B4"/>
                <w:w w:val="92"/>
              </w:rPr>
              <w:t>.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0.4240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color w:val="auto"/>
              </w:rPr>
              <w:t>0.4171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0.4102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20"/>
                <w:szCs w:val="20"/>
                <w:color w:val="auto"/>
              </w:rPr>
              <w:t>0.4033</w:t>
            </w:r>
          </w:p>
        </w:tc>
      </w:tr>
      <w:tr>
        <w:trPr>
          <w:trHeight w:val="474"/>
        </w:trPr>
        <w:tc>
          <w:tcPr>
            <w:tcW w:w="49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Fourth Quarter</w:t>
            </w: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Third Quarter</w:t>
            </w:r>
          </w:p>
        </w:tc>
        <w:tc>
          <w:tcPr>
            <w:tcW w:w="6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6"/>
                <w:szCs w:val="16"/>
                <w:b w:val="1"/>
                <w:bCs w:val="1"/>
                <w:color w:val="auto"/>
                <w:w w:val="96"/>
              </w:rPr>
              <w:t>First Quarter</w:t>
            </w:r>
          </w:p>
        </w:tc>
      </w:tr>
      <w:tr>
        <w:trPr>
          <w:trHeight w:val="214"/>
        </w:trPr>
        <w:tc>
          <w:tcPr>
            <w:tcW w:w="492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07"/>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2023</w:t>
            </w:r>
          </w:p>
        </w:tc>
      </w:tr>
      <w:tr>
        <w:trPr>
          <w:trHeight w:val="290"/>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1"/>
              </w:rPr>
              <w:t xml:space="preserve">Distributions per Class B unit  </w:t>
            </w:r>
            <w:r>
              <w:rPr>
                <w:rFonts w:ascii="Arial" w:cs="Arial" w:eastAsia="Arial" w:hAnsi="Arial"/>
                <w:sz w:val="20"/>
                <w:szCs w:val="20"/>
                <w:b w:val="1"/>
                <w:bCs w:val="1"/>
                <w:color w:val="B4B4B4"/>
                <w:w w:val="91"/>
              </w:rPr>
              <w:t>.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0.3964</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0.3891</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0.3818</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0.3745</w:t>
            </w:r>
          </w:p>
        </w:tc>
      </w:tr>
      <w:tr>
        <w:trPr>
          <w:trHeight w:val="287"/>
        </w:trPr>
        <w:tc>
          <w:tcPr>
            <w:tcW w:w="4920" w:type="dxa"/>
            <w:vAlign w:val="bottom"/>
          </w:tcPr>
          <w:p>
            <w:pPr>
              <w:ind w:left="40"/>
              <w:spacing w:after="0"/>
              <w:rPr>
                <w:sz w:val="20"/>
                <w:szCs w:val="20"/>
                <w:color w:val="auto"/>
              </w:rPr>
            </w:pPr>
            <w:r>
              <w:rPr>
                <w:rFonts w:ascii="Arial" w:cs="Arial" w:eastAsia="Arial" w:hAnsi="Arial"/>
                <w:sz w:val="20"/>
                <w:szCs w:val="20"/>
                <w:b w:val="1"/>
                <w:bCs w:val="1"/>
                <w:color w:val="auto"/>
                <w:w w:val="92"/>
              </w:rPr>
              <w:t xml:space="preserve">Distributions per Class D unit </w:t>
            </w:r>
            <w:r>
              <w:rPr>
                <w:rFonts w:ascii="Arial" w:cs="Arial" w:eastAsia="Arial" w:hAnsi="Arial"/>
                <w:sz w:val="20"/>
                <w:szCs w:val="20"/>
                <w:b w:val="1"/>
                <w:bCs w:val="1"/>
                <w:color w:val="B4B4B4"/>
                <w:w w:val="92"/>
              </w:rPr>
              <w:t>.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0.3964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color w:val="auto"/>
              </w:rPr>
              <w:t>0.3891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0.3818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20"/>
                <w:szCs w:val="20"/>
                <w:color w:val="auto"/>
              </w:rPr>
              <w:t>0.3745</w:t>
            </w:r>
          </w:p>
        </w:tc>
      </w:tr>
      <w:tr>
        <w:trPr>
          <w:trHeight w:val="474"/>
        </w:trPr>
        <w:tc>
          <w:tcPr>
            <w:tcW w:w="49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Fourth Quarter</w:t>
            </w: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Third Quarter</w:t>
            </w:r>
          </w:p>
        </w:tc>
        <w:tc>
          <w:tcPr>
            <w:tcW w:w="6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6"/>
                <w:szCs w:val="16"/>
                <w:b w:val="1"/>
                <w:bCs w:val="1"/>
                <w:color w:val="auto"/>
                <w:w w:val="96"/>
              </w:rPr>
              <w:t>First Quarter</w:t>
            </w:r>
          </w:p>
        </w:tc>
      </w:tr>
      <w:tr>
        <w:trPr>
          <w:trHeight w:val="214"/>
        </w:trPr>
        <w:tc>
          <w:tcPr>
            <w:tcW w:w="492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07"/>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2022</w:t>
            </w:r>
          </w:p>
        </w:tc>
      </w:tr>
      <w:tr>
        <w:trPr>
          <w:trHeight w:val="290"/>
        </w:trPr>
        <w:tc>
          <w:tcPr>
            <w:tcW w:w="492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1"/>
              </w:rPr>
              <w:t xml:space="preserve">Distributions per Class B unit  </w:t>
            </w:r>
            <w:r>
              <w:rPr>
                <w:rFonts w:ascii="Arial" w:cs="Arial" w:eastAsia="Arial" w:hAnsi="Arial"/>
                <w:sz w:val="20"/>
                <w:szCs w:val="20"/>
                <w:b w:val="1"/>
                <w:bCs w:val="1"/>
                <w:color w:val="B4B4B4"/>
                <w:w w:val="91"/>
              </w:rPr>
              <w:t>.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0.3672</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0.3604</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0.3536</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ind w:right="10"/>
              <w:spacing w:after="0"/>
              <w:rPr>
                <w:sz w:val="20"/>
                <w:szCs w:val="20"/>
                <w:color w:val="auto"/>
              </w:rPr>
            </w:pPr>
            <w:r>
              <w:rPr>
                <w:rFonts w:ascii="Arial" w:cs="Arial" w:eastAsia="Arial" w:hAnsi="Arial"/>
                <w:sz w:val="20"/>
                <w:szCs w:val="20"/>
                <w:color w:val="auto"/>
              </w:rPr>
              <w:t>0.3468</w:t>
            </w:r>
          </w:p>
        </w:tc>
      </w:tr>
      <w:tr>
        <w:trPr>
          <w:trHeight w:val="287"/>
        </w:trPr>
        <w:tc>
          <w:tcPr>
            <w:tcW w:w="4920" w:type="dxa"/>
            <w:vAlign w:val="bottom"/>
          </w:tcPr>
          <w:p>
            <w:pPr>
              <w:ind w:left="40"/>
              <w:spacing w:after="0"/>
              <w:rPr>
                <w:sz w:val="20"/>
                <w:szCs w:val="20"/>
                <w:color w:val="auto"/>
              </w:rPr>
            </w:pPr>
            <w:r>
              <w:rPr>
                <w:rFonts w:ascii="Arial" w:cs="Arial" w:eastAsia="Arial" w:hAnsi="Arial"/>
                <w:sz w:val="20"/>
                <w:szCs w:val="20"/>
                <w:b w:val="1"/>
                <w:bCs w:val="1"/>
                <w:color w:val="auto"/>
                <w:w w:val="92"/>
              </w:rPr>
              <w:t xml:space="preserve">Distributions per Class D unit </w:t>
            </w:r>
            <w:r>
              <w:rPr>
                <w:rFonts w:ascii="Arial" w:cs="Arial" w:eastAsia="Arial" w:hAnsi="Arial"/>
                <w:sz w:val="20"/>
                <w:szCs w:val="20"/>
                <w:b w:val="1"/>
                <w:bCs w:val="1"/>
                <w:color w:val="B4B4B4"/>
                <w:w w:val="92"/>
              </w:rPr>
              <w:t>.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0.3672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color w:val="auto"/>
              </w:rPr>
              <w:t>0.3604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0.3536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20"/>
                <w:szCs w:val="20"/>
                <w:color w:val="auto"/>
              </w:rPr>
              <w:t>0.3468</w:t>
            </w:r>
          </w:p>
        </w:tc>
      </w:tr>
    </w:tbl>
    <w:p>
      <w:pPr>
        <w:spacing w:after="0" w:line="230"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135"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20"/>
          <w:szCs w:val="20"/>
          <w:color w:val="auto"/>
        </w:rPr>
        <w:t>In addition to the quarterly distributions paid to CEG, Clearway Energy LLC distributed an additional $21 million to CEG during the year ended December 31, 2023, which represents CEG’s pro-rata share of distributions that were paid in order for the Company to make certain additional tax payments primarily associated with the sale of the Thermal Business. The Company’s share of the distribution was $30 million.</w:t>
      </w:r>
    </w:p>
    <w:p>
      <w:pPr>
        <w:spacing w:after="0" w:line="140"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On February 17, 2025, Clearway Energy LLC declared a quarterly distribution on its Class B and Class D units of $0.4312 per unit payable to CEG on March 17, 2025.</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880" w:h="15480" w:orient="portrait"/>
          <w:cols w:equalWidth="0" w:num="1">
            <w:col w:w="10260"/>
          </w:cols>
          <w:pgMar w:left="820" w:top="367" w:right="80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Note 13 — Segment Reporting</w:t>
      </w:r>
    </w:p>
    <w:p>
      <w:pPr>
        <w:spacing w:after="0" w:line="197" w:lineRule="exact"/>
        <w:rPr>
          <w:sz w:val="20"/>
          <w:szCs w:val="20"/>
          <w:color w:val="auto"/>
        </w:rPr>
      </w:pPr>
    </w:p>
    <w:p>
      <w:pPr>
        <w:jc w:val="both"/>
        <w:ind w:right="20" w:firstLine="450"/>
        <w:spacing w:after="0" w:line="290"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Flexible Generation and Renewables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19"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Approximately 60% of the Company’s operating revenues and 50% of the Company’s assets relate to operations located in California. Also, the Company generated more than 10% of its revenues from the following customers for the years ended December 31, 2024, 2023 and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Customer</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Flexible</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8"/>
              </w:rPr>
              <w:t>Renewables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left="93"/>
              <w:spacing w:after="0"/>
              <w:rPr>
                <w:sz w:val="20"/>
                <w:szCs w:val="20"/>
                <w:color w:val="auto"/>
              </w:rPr>
            </w:pPr>
            <w:r>
              <w:rPr>
                <w:rFonts w:ascii="Arial" w:cs="Arial" w:eastAsia="Arial" w:hAnsi="Arial"/>
                <w:sz w:val="16"/>
                <w:szCs w:val="16"/>
                <w:b w:val="1"/>
                <w:bCs w:val="1"/>
                <w:color w:val="auto"/>
                <w:w w:val="90"/>
              </w:rPr>
              <w:t>Flexible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Renewables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Flexible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86"/>
              </w:rPr>
              <w:t>Renewables</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Generation</w:t>
            </w: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left="93"/>
              <w:spacing w:after="0"/>
              <w:rPr>
                <w:sz w:val="20"/>
                <w:szCs w:val="20"/>
                <w:color w:val="auto"/>
              </w:rPr>
            </w:pPr>
            <w:r>
              <w:rPr>
                <w:rFonts w:ascii="Arial" w:cs="Arial" w:eastAsia="Arial" w:hAnsi="Arial"/>
                <w:sz w:val="16"/>
                <w:szCs w:val="16"/>
                <w:b w:val="1"/>
                <w:bCs w:val="1"/>
                <w:color w:val="auto"/>
                <w:w w:val="92"/>
              </w:rPr>
              <w:t>Generation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Generation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92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4B4B4"/>
                <w:w w:val="93"/>
              </w:rPr>
              <w:t>. . . . . . . . . . . . . . . . . . . . . . . . . . .</w:t>
            </w:r>
            <w:r>
              <w:rPr>
                <w:rFonts w:ascii="Arial" w:cs="Arial" w:eastAsia="Arial" w:hAnsi="Arial"/>
                <w:sz w:val="18"/>
                <w:szCs w:val="18"/>
                <w:color w:val="000000"/>
                <w:w w:val="93"/>
              </w:rPr>
              <w:t>SCE</w:t>
            </w:r>
          </w:p>
        </w:tc>
        <w:tc>
          <w:tcPr>
            <w:tcW w:w="200" w:type="dxa"/>
            <w:vAlign w:val="bottom"/>
            <w:tcBorders>
              <w:top w:val="single" w:sz="8" w:color="auto"/>
            </w:tcBorders>
            <w:shd w:val="clear" w:color="auto" w:fill="E6E6E6"/>
          </w:tcPr>
          <w:p>
            <w:pPr>
              <w:spacing w:after="0"/>
              <w:rPr>
                <w:sz w:val="21"/>
                <w:szCs w:val="21"/>
                <w:color w:val="auto"/>
              </w:rPr>
            </w:pPr>
          </w:p>
        </w:tc>
        <w:tc>
          <w:tcPr>
            <w:tcW w:w="980" w:type="dxa"/>
            <w:vAlign w:val="bottom"/>
            <w:tcBorders>
              <w:top w:val="single" w:sz="8" w:color="auto"/>
            </w:tcBorders>
            <w:shd w:val="clear" w:color="auto" w:fill="E6E6E6"/>
          </w:tcPr>
          <w:p>
            <w:pPr>
              <w:jc w:val="center"/>
              <w:ind w:right="94"/>
              <w:spacing w:after="0"/>
              <w:rPr>
                <w:sz w:val="20"/>
                <w:szCs w:val="20"/>
                <w:color w:val="auto"/>
              </w:rPr>
            </w:pPr>
            <w:r>
              <w:rPr>
                <w:rFonts w:ascii="Arial" w:cs="Arial" w:eastAsia="Arial" w:hAnsi="Arial"/>
                <w:sz w:val="18"/>
                <w:szCs w:val="18"/>
                <w:color w:val="auto"/>
                <w:w w:val="92"/>
              </w:rPr>
              <w:t>7%</w:t>
            </w:r>
          </w:p>
        </w:tc>
        <w:tc>
          <w:tcPr>
            <w:tcW w:w="80" w:type="dxa"/>
            <w:vAlign w:val="bottom"/>
            <w:tcBorders>
              <w:top w:val="single" w:sz="8" w:color="E6E6E6"/>
            </w:tcBorders>
            <w:shd w:val="clear" w:color="auto" w:fill="E6E6E6"/>
          </w:tcPr>
          <w:p>
            <w:pPr>
              <w:spacing w:after="0"/>
              <w:rPr>
                <w:sz w:val="21"/>
                <w:szCs w:val="21"/>
                <w:color w:val="auto"/>
              </w:rPr>
            </w:pPr>
          </w:p>
        </w:tc>
        <w:tc>
          <w:tcPr>
            <w:tcW w:w="120" w:type="dxa"/>
            <w:vAlign w:val="bottom"/>
            <w:tcBorders>
              <w:top w:val="single" w:sz="8" w:color="auto"/>
            </w:tcBorders>
            <w:shd w:val="clear" w:color="auto" w:fill="E6E6E6"/>
          </w:tcPr>
          <w:p>
            <w:pPr>
              <w:spacing w:after="0"/>
              <w:rPr>
                <w:sz w:val="21"/>
                <w:szCs w:val="21"/>
                <w:color w:val="auto"/>
              </w:rPr>
            </w:pPr>
          </w:p>
        </w:tc>
        <w:tc>
          <w:tcPr>
            <w:tcW w:w="840" w:type="dxa"/>
            <w:vAlign w:val="bottom"/>
            <w:tcBorders>
              <w:top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jc w:val="right"/>
              <w:ind w:right="113"/>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1020" w:type="dxa"/>
            <w:vAlign w:val="bottom"/>
            <w:tcBorders>
              <w:top w:val="single" w:sz="8" w:color="auto"/>
            </w:tcBorders>
            <w:shd w:val="clear" w:color="auto" w:fill="E6E6E6"/>
          </w:tcPr>
          <w:p>
            <w:pPr>
              <w:jc w:val="right"/>
              <w:ind w:right="174"/>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106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88"/>
              </w:rPr>
              <w:t>17%</w:t>
            </w:r>
          </w:p>
        </w:tc>
        <w:tc>
          <w:tcPr>
            <w:tcW w:w="6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jc w:val="right"/>
              <w:ind w:right="3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31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 xml:space="preserve">PG&amp;E </w:t>
            </w:r>
            <w:r>
              <w:rPr>
                <w:rFonts w:ascii="Arial" w:cs="Arial" w:eastAsia="Arial" w:hAnsi="Arial"/>
                <w:sz w:val="18"/>
                <w:szCs w:val="18"/>
                <w:color w:val="B4B4B4"/>
                <w:w w:val="94"/>
              </w:rPr>
              <w:t>. . . . . . . . . . . . . . . . . . . . . . . . .</w:t>
            </w:r>
          </w:p>
        </w:tc>
        <w:tc>
          <w:tcPr>
            <w:tcW w:w="980" w:type="dxa"/>
            <w:vAlign w:val="bottom"/>
          </w:tcPr>
          <w:p>
            <w:pPr>
              <w:jc w:val="center"/>
              <w:ind w:right="94"/>
              <w:spacing w:after="0"/>
              <w:rPr>
                <w:sz w:val="20"/>
                <w:szCs w:val="20"/>
                <w:color w:val="auto"/>
              </w:rPr>
            </w:pPr>
            <w:r>
              <w:rPr>
                <w:rFonts w:ascii="Arial" w:cs="Arial" w:eastAsia="Arial" w:hAnsi="Arial"/>
                <w:sz w:val="18"/>
                <w:szCs w:val="18"/>
                <w:color w:val="auto"/>
                <w:w w:val="92"/>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020" w:type="dxa"/>
            <w:vAlign w:val="bottom"/>
            <w:gridSpan w:val="2"/>
          </w:tcPr>
          <w:p>
            <w:pPr>
              <w:jc w:val="right"/>
              <w:ind w:right="153"/>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174"/>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540"/>
        </w:trPr>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9"/>
              </w:rPr>
              <w:t>Year ended December 31, 2024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90"/>
              </w:rPr>
              <w:t>Flexible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86"/>
              </w:rPr>
              <w:t>Renewables</w:t>
            </w:r>
          </w:p>
        </w:tc>
        <w:tc>
          <w:tcPr>
            <w:tcW w:w="8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0"/>
              </w:rPr>
              <w:t xml:space="preserve">Corporate </w:t>
            </w:r>
            <w:r>
              <w:rPr>
                <w:rFonts w:ascii="Arial" w:cs="Arial" w:eastAsia="Arial" w:hAnsi="Arial"/>
                <w:sz w:val="20"/>
                <w:szCs w:val="20"/>
                <w:b w:val="1"/>
                <w:bCs w:val="1"/>
                <w:color w:val="auto"/>
                <w:w w:val="90"/>
                <w:vertAlign w:val="superscript"/>
              </w:rPr>
              <w:t>(a)</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bottom w:val="single" w:sz="8" w:color="E6E6E6"/>
            </w:tcBorders>
            <w:gridSpan w:val="3"/>
            <w:vMerge w:val="continue"/>
          </w:tcPr>
          <w:p>
            <w:pPr>
              <w:spacing w:after="0"/>
              <w:rPr>
                <w:sz w:val="18"/>
                <w:szCs w:val="18"/>
                <w:color w:val="auto"/>
              </w:rPr>
            </w:pPr>
          </w:p>
        </w:tc>
        <w:tc>
          <w:tcPr>
            <w:tcW w:w="98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84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6"/>
                <w:szCs w:val="16"/>
                <w:b w:val="1"/>
                <w:bCs w:val="1"/>
                <w:color w:val="auto"/>
                <w:w w:val="92"/>
              </w:rPr>
              <w:t>Generation</w:t>
            </w:r>
          </w:p>
        </w:tc>
        <w:tc>
          <w:tcPr>
            <w:tcW w:w="4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80" w:type="dxa"/>
            <w:vAlign w:val="bottom"/>
            <w:gridSpan w:val="4"/>
            <w:shd w:val="clear" w:color="auto" w:fill="E6E6E6"/>
          </w:tcPr>
          <w:p>
            <w:pPr>
              <w:jc w:val="right"/>
              <w:spacing w:after="0"/>
              <w:rPr>
                <w:sz w:val="20"/>
                <w:szCs w:val="20"/>
                <w:color w:val="auto"/>
              </w:rPr>
            </w:pPr>
            <w:r>
              <w:rPr>
                <w:rFonts w:ascii="Arial" w:cs="Arial" w:eastAsia="Arial" w:hAnsi="Arial"/>
                <w:sz w:val="18"/>
                <w:szCs w:val="18"/>
                <w:color w:val="B4B4B4"/>
                <w:w w:val="94"/>
              </w:rPr>
              <w:t>. . . . . . . . . . . . . . . . . . . . . . . . . . . . .</w:t>
            </w:r>
            <w:r>
              <w:rPr>
                <w:rFonts w:ascii="Arial" w:cs="Arial" w:eastAsia="Arial" w:hAnsi="Arial"/>
                <w:sz w:val="18"/>
                <w:szCs w:val="18"/>
                <w:color w:val="000000"/>
                <w:w w:val="94"/>
              </w:rPr>
              <w:t>Operatingrevenues</w:t>
            </w: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B4B4B4"/>
              </w:rPr>
              <w:t>.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342</w:t>
            </w:r>
          </w:p>
        </w:tc>
        <w:tc>
          <w:tcPr>
            <w:tcW w:w="40" w:type="dxa"/>
            <w:vAlign w:val="bottom"/>
            <w:shd w:val="clear" w:color="auto" w:fill="E6E6E6"/>
          </w:tcPr>
          <w:p>
            <w:pPr>
              <w:spacing w:after="0"/>
              <w:rPr>
                <w:sz w:val="21"/>
                <w:szCs w:val="21"/>
                <w:color w:val="auto"/>
              </w:rPr>
            </w:pPr>
          </w:p>
        </w:tc>
        <w:tc>
          <w:tcPr>
            <w:tcW w:w="20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140" w:type="dxa"/>
            <w:vAlign w:val="bottom"/>
            <w:gridSpan w:val="6"/>
          </w:tcPr>
          <w:p>
            <w:pPr>
              <w:ind w:left="100"/>
              <w:spacing w:after="0"/>
              <w:rPr>
                <w:sz w:val="20"/>
                <w:szCs w:val="20"/>
                <w:color w:val="auto"/>
              </w:rPr>
            </w:pPr>
            <w:r>
              <w:rPr>
                <w:rFonts w:ascii="Arial" w:cs="Arial" w:eastAsia="Arial" w:hAnsi="Arial"/>
                <w:sz w:val="18"/>
                <w:szCs w:val="18"/>
                <w:color w:val="auto"/>
              </w:rPr>
              <w:t>Cost of operations, exclusive of depreciation, amortization and</w:t>
            </w:r>
          </w:p>
        </w:tc>
        <w:tc>
          <w:tcPr>
            <w:tcW w:w="18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4300" w:type="dxa"/>
            <w:vAlign w:val="bottom"/>
            <w:gridSpan w:val="5"/>
          </w:tcPr>
          <w:p>
            <w:pPr>
              <w:jc w:val="right"/>
              <w:ind w:right="20"/>
              <w:spacing w:after="0"/>
              <w:rPr>
                <w:sz w:val="20"/>
                <w:szCs w:val="20"/>
                <w:color w:val="auto"/>
              </w:rPr>
            </w:pPr>
            <w:r>
              <w:rPr>
                <w:rFonts w:ascii="Arial" w:cs="Arial" w:eastAsia="Arial" w:hAnsi="Arial"/>
                <w:sz w:val="18"/>
                <w:szCs w:val="18"/>
                <w:color w:val="auto"/>
                <w:w w:val="96"/>
              </w:rPr>
              <w:t xml:space="preserve">accretion shown separately below </w:t>
            </w:r>
            <w:r>
              <w:rPr>
                <w:rFonts w:ascii="Arial" w:cs="Arial" w:eastAsia="Arial" w:hAnsi="Arial"/>
                <w:sz w:val="18"/>
                <w:szCs w:val="18"/>
                <w:color w:val="B4B4B4"/>
                <w:w w:val="96"/>
              </w:rPr>
              <w:t>. . . . . . . . . . . . . . . . .</w:t>
            </w:r>
          </w:p>
        </w:tc>
        <w:tc>
          <w:tcPr>
            <w:tcW w:w="840" w:type="dxa"/>
            <w:vAlign w:val="bottom"/>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0" w:type="dxa"/>
            <w:vAlign w:val="bottom"/>
            <w:shd w:val="clear" w:color="auto" w:fill="E6E6E6"/>
          </w:tcPr>
          <w:p>
            <w:pPr>
              <w:spacing w:after="0"/>
              <w:rPr>
                <w:sz w:val="22"/>
                <w:szCs w:val="22"/>
                <w:color w:val="auto"/>
              </w:rPr>
            </w:pPr>
          </w:p>
        </w:tc>
        <w:tc>
          <w:tcPr>
            <w:tcW w:w="312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w w:val="93"/>
              </w:rPr>
              <w:t>Depreciation, amortization and accretion</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1"/>
              </w:rPr>
              <w:t>. . . . . . . . . . .</w:t>
            </w: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B4B4B4"/>
              </w:rPr>
              <w:t>.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2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1"/>
              </w:rPr>
              <w:t xml:space="preserve">General and administrative </w:t>
            </w:r>
            <w:r>
              <w:rPr>
                <w:rFonts w:ascii="Arial" w:cs="Arial" w:eastAsia="Arial" w:hAnsi="Arial"/>
                <w:sz w:val="18"/>
                <w:szCs w:val="18"/>
                <w:color w:val="B4B4B4"/>
                <w:w w:val="91"/>
              </w:rPr>
              <w:t>. . . . . . . . . . . . . . . . . . . . .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B4B4B4"/>
              </w:rPr>
              <w:t>. .</w:t>
            </w:r>
          </w:p>
        </w:tc>
        <w:tc>
          <w:tcPr>
            <w:tcW w:w="840" w:type="dxa"/>
            <w:vAlign w:val="bottom"/>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6"/>
        </w:trPr>
        <w:tc>
          <w:tcPr>
            <w:tcW w:w="80" w:type="dxa"/>
            <w:vAlign w:val="bottom"/>
            <w:shd w:val="clear" w:color="auto" w:fill="E6E6E6"/>
          </w:tcPr>
          <w:p>
            <w:pPr>
              <w:spacing w:after="0"/>
              <w:rPr>
                <w:sz w:val="23"/>
                <w:szCs w:val="23"/>
                <w:color w:val="auto"/>
              </w:rPr>
            </w:pPr>
          </w:p>
        </w:tc>
        <w:tc>
          <w:tcPr>
            <w:tcW w:w="430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w w:val="91"/>
              </w:rPr>
              <w:t xml:space="preserve">Transaction and integration costs </w:t>
            </w:r>
            <w:r>
              <w:rPr>
                <w:rFonts w:ascii="Arial" w:cs="Arial" w:eastAsia="Arial" w:hAnsi="Arial"/>
                <w:sz w:val="18"/>
                <w:szCs w:val="18"/>
                <w:color w:val="B4B4B4"/>
                <w:w w:val="91"/>
              </w:rPr>
              <w:t>.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1"/>
              </w:rPr>
              <w:t>. . . . . . . . .</w:t>
            </w:r>
          </w:p>
        </w:tc>
        <w:tc>
          <w:tcPr>
            <w:tcW w:w="1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0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40" w:type="dxa"/>
            <w:vAlign w:val="bottom"/>
            <w:gridSpan w:val="3"/>
            <w:shd w:val="clear" w:color="auto" w:fill="E6E6E6"/>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380" w:type="dxa"/>
            <w:vAlign w:val="bottom"/>
            <w:tcBorders>
              <w:top w:val="single" w:sz="8" w:color="E6E6E6"/>
            </w:tcBorders>
            <w:gridSpan w:val="6"/>
          </w:tcPr>
          <w:p>
            <w:pPr>
              <w:jc w:val="right"/>
              <w:ind w:right="20"/>
              <w:spacing w:after="0"/>
              <w:rPr>
                <w:sz w:val="20"/>
                <w:szCs w:val="20"/>
                <w:color w:val="auto"/>
              </w:rPr>
            </w:pPr>
            <w:r>
              <w:rPr>
                <w:rFonts w:ascii="Arial" w:cs="Arial" w:eastAsia="Arial" w:hAnsi="Arial"/>
                <w:sz w:val="18"/>
                <w:szCs w:val="18"/>
                <w:color w:val="B4B4B4"/>
                <w:w w:val="95"/>
              </w:rPr>
              <w:t>. . . . . . . . . . . . . . . . . . . . . . . . . . . .</w:t>
            </w:r>
            <w:r>
              <w:rPr>
                <w:rFonts w:ascii="Arial" w:cs="Arial" w:eastAsia="Arial" w:hAnsi="Arial"/>
                <w:sz w:val="18"/>
                <w:szCs w:val="18"/>
                <w:color w:val="000000"/>
                <w:w w:val="95"/>
              </w:rPr>
              <w:t>Operatingincome(loss)</w:t>
            </w:r>
          </w:p>
        </w:tc>
        <w:tc>
          <w:tcPr>
            <w:tcW w:w="84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top w:val="single" w:sz="8" w:color="E6E6E6"/>
            </w:tcBorders>
          </w:tcPr>
          <w:p>
            <w:pPr>
              <w:spacing w:after="0"/>
              <w:rPr>
                <w:sz w:val="19"/>
                <w:szCs w:val="19"/>
                <w:color w:val="auto"/>
              </w:rPr>
            </w:pPr>
          </w:p>
        </w:tc>
        <w:tc>
          <w:tcPr>
            <w:tcW w:w="40" w:type="dxa"/>
            <w:vAlign w:val="bottom"/>
            <w:tcBorders>
              <w:top w:val="single" w:sz="8" w:color="E6E6E6"/>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E6E6E6"/>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top w:val="single" w:sz="8" w:color="E6E6E6"/>
            </w:tcBorders>
          </w:tcPr>
          <w:p>
            <w:pPr>
              <w:spacing w:after="0"/>
              <w:rPr>
                <w:sz w:val="19"/>
                <w:szCs w:val="19"/>
                <w:color w:val="auto"/>
              </w:rPr>
            </w:pPr>
          </w:p>
        </w:tc>
        <w:tc>
          <w:tcPr>
            <w:tcW w:w="20" w:type="dxa"/>
            <w:vAlign w:val="bottom"/>
            <w:tcBorders>
              <w:top w:val="single" w:sz="8" w:color="E6E6E6"/>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6"/>
        </w:trPr>
        <w:tc>
          <w:tcPr>
            <w:tcW w:w="80" w:type="dxa"/>
            <w:vAlign w:val="bottom"/>
            <w:shd w:val="clear" w:color="auto" w:fill="E6E6E6"/>
          </w:tcPr>
          <w:p>
            <w:pPr>
              <w:spacing w:after="0"/>
              <w:rPr>
                <w:sz w:val="22"/>
                <w:szCs w:val="22"/>
                <w:color w:val="auto"/>
              </w:rPr>
            </w:pPr>
          </w:p>
        </w:tc>
        <w:tc>
          <w:tcPr>
            <w:tcW w:w="5320" w:type="dxa"/>
            <w:vAlign w:val="bottom"/>
            <w:gridSpan w:val="7"/>
            <w:shd w:val="clear" w:color="auto" w:fill="E6E6E6"/>
          </w:tcPr>
          <w:p>
            <w:pPr>
              <w:ind w:left="100"/>
              <w:spacing w:after="0"/>
              <w:rPr>
                <w:sz w:val="20"/>
                <w:szCs w:val="20"/>
                <w:color w:val="auto"/>
              </w:rPr>
            </w:pPr>
            <w:r>
              <w:rPr>
                <w:rFonts w:ascii="Arial" w:cs="Arial" w:eastAsia="Arial" w:hAnsi="Arial"/>
                <w:sz w:val="18"/>
                <w:szCs w:val="18"/>
                <w:color w:val="auto"/>
                <w:w w:val="96"/>
              </w:rPr>
              <w:t xml:space="preserve">Equity in earnings of unconsolidated affiliates </w:t>
            </w:r>
            <w:r>
              <w:rPr>
                <w:rFonts w:ascii="Arial" w:cs="Arial" w:eastAsia="Arial" w:hAnsi="Arial"/>
                <w:sz w:val="18"/>
                <w:szCs w:val="18"/>
                <w:color w:val="B4B4B4"/>
                <w:w w:val="96"/>
              </w:rPr>
              <w:t>. . . . . . . . . . . . . . . . . .</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2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430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 xml:space="preserve">Other income, net </w:t>
            </w:r>
            <w:r>
              <w:rPr>
                <w:rFonts w:ascii="Arial" w:cs="Arial" w:eastAsia="Arial" w:hAnsi="Arial"/>
                <w:sz w:val="18"/>
                <w:szCs w:val="18"/>
                <w:color w:val="B4B4B4"/>
                <w:w w:val="91"/>
              </w:rPr>
              <w:t>. . . . . . . . . . . . . . . . . . . . . . . . . . . . . . . .</w:t>
            </w:r>
          </w:p>
        </w:tc>
        <w:tc>
          <w:tcPr>
            <w:tcW w:w="840" w:type="dxa"/>
            <w:vAlign w:val="bottom"/>
          </w:tcPr>
          <w:p>
            <w:pPr>
              <w:jc w:val="right"/>
              <w:spacing w:after="0"/>
              <w:rPr>
                <w:sz w:val="20"/>
                <w:szCs w:val="20"/>
                <w:color w:val="auto"/>
              </w:rPr>
            </w:pPr>
            <w:r>
              <w:rPr>
                <w:rFonts w:ascii="Arial" w:cs="Arial" w:eastAsia="Arial" w:hAnsi="Arial"/>
                <w:sz w:val="18"/>
                <w:szCs w:val="18"/>
                <w:color w:val="B4B4B4"/>
                <w:w w:val="91"/>
              </w:rPr>
              <w:t>. . . . . . . . .</w:t>
            </w:r>
          </w:p>
        </w:tc>
        <w:tc>
          <w:tcPr>
            <w:tcW w:w="1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80" w:type="dxa"/>
            <w:vAlign w:val="bottom"/>
            <w:shd w:val="clear" w:color="auto" w:fill="E6E6E6"/>
          </w:tcPr>
          <w:p>
            <w:pPr>
              <w:spacing w:after="0"/>
              <w:rPr>
                <w:sz w:val="22"/>
                <w:szCs w:val="22"/>
                <w:color w:val="auto"/>
              </w:rPr>
            </w:pPr>
          </w:p>
        </w:tc>
        <w:tc>
          <w:tcPr>
            <w:tcW w:w="430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w w:val="92"/>
              </w:rPr>
              <w:t xml:space="preserve">Loss on debt extinguishment </w:t>
            </w:r>
            <w:r>
              <w:rPr>
                <w:rFonts w:ascii="Arial" w:cs="Arial" w:eastAsia="Arial" w:hAnsi="Arial"/>
                <w:sz w:val="18"/>
                <w:szCs w:val="18"/>
                <w:color w:val="B4B4B4"/>
                <w:w w:val="92"/>
              </w:rPr>
              <w:t>.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2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5"/>
        </w:trPr>
        <w:tc>
          <w:tcPr>
            <w:tcW w:w="80" w:type="dxa"/>
            <w:vAlign w:val="bottom"/>
            <w:tcBorders>
              <w:bottom w:val="single" w:sz="8" w:color="E6E6E6"/>
            </w:tcBorders>
          </w:tcPr>
          <w:p>
            <w:pPr>
              <w:spacing w:after="0"/>
              <w:rPr>
                <w:sz w:val="21"/>
                <w:szCs w:val="21"/>
                <w:color w:val="auto"/>
              </w:rPr>
            </w:pPr>
          </w:p>
        </w:tc>
        <w:tc>
          <w:tcPr>
            <w:tcW w:w="4300" w:type="dxa"/>
            <w:vAlign w:val="bottom"/>
            <w:tcBorders>
              <w:bottom w:val="single" w:sz="8" w:color="E6E6E6"/>
            </w:tcBorders>
            <w:gridSpan w:val="5"/>
          </w:tcPr>
          <w:p>
            <w:pPr>
              <w:jc w:val="right"/>
              <w:ind w:right="20"/>
              <w:spacing w:after="0"/>
              <w:rPr>
                <w:sz w:val="20"/>
                <w:szCs w:val="20"/>
                <w:color w:val="auto"/>
              </w:rPr>
            </w:pPr>
            <w:r>
              <w:rPr>
                <w:rFonts w:ascii="Arial" w:cs="Arial" w:eastAsia="Arial" w:hAnsi="Arial"/>
                <w:sz w:val="18"/>
                <w:szCs w:val="18"/>
                <w:color w:val="auto"/>
                <w:w w:val="91"/>
              </w:rPr>
              <w:t xml:space="preserve">Interest expense </w:t>
            </w:r>
            <w:r>
              <w:rPr>
                <w:rFonts w:ascii="Arial" w:cs="Arial" w:eastAsia="Arial" w:hAnsi="Arial"/>
                <w:sz w:val="18"/>
                <w:szCs w:val="18"/>
                <w:color w:val="B4B4B4"/>
                <w:w w:val="91"/>
              </w:rPr>
              <w:t>. . . . . . . . . . . . . . . . . . . . . . . . . . . . . . . . .</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4B4B4"/>
                <w:w w:val="91"/>
              </w:rPr>
              <w:t>. . . . . . . . .</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E6E6E6"/>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E6E6E6"/>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5"/>
        </w:trPr>
        <w:tc>
          <w:tcPr>
            <w:tcW w:w="4380" w:type="dxa"/>
            <w:vAlign w:val="bottom"/>
            <w:gridSpan w:val="6"/>
            <w:shd w:val="clear" w:color="auto" w:fill="E6E6E6"/>
          </w:tcPr>
          <w:p>
            <w:pPr>
              <w:jc w:val="right"/>
              <w:ind w:right="20"/>
              <w:spacing w:after="0"/>
              <w:rPr>
                <w:sz w:val="20"/>
                <w:szCs w:val="20"/>
                <w:color w:val="auto"/>
              </w:rPr>
            </w:pPr>
            <w:r>
              <w:rPr>
                <w:rFonts w:ascii="Arial" w:cs="Arial" w:eastAsia="Arial" w:hAnsi="Arial"/>
                <w:sz w:val="18"/>
                <w:szCs w:val="18"/>
                <w:color w:val="B4B4B4"/>
                <w:w w:val="96"/>
              </w:rPr>
              <w:t>. . . . . . . . . . . . . . . . . . . .</w:t>
            </w:r>
            <w:r>
              <w:rPr>
                <w:rFonts w:ascii="Arial" w:cs="Arial" w:eastAsia="Arial" w:hAnsi="Arial"/>
                <w:sz w:val="18"/>
                <w:szCs w:val="18"/>
                <w:color w:val="000000"/>
                <w:w w:val="96"/>
              </w:rPr>
              <w:t>Income(loss)beforeincometaxes</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shd w:val="clear" w:color="auto" w:fill="E6E6E6"/>
          </w:tcPr>
          <w:p>
            <w:pPr>
              <w:spacing w:after="0"/>
              <w:rPr>
                <w:sz w:val="21"/>
                <w:szCs w:val="21"/>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430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 xml:space="preserve">Income tax expense </w:t>
            </w:r>
            <w:r>
              <w:rPr>
                <w:rFonts w:ascii="Arial" w:cs="Arial" w:eastAsia="Arial" w:hAnsi="Arial"/>
                <w:sz w:val="18"/>
                <w:szCs w:val="18"/>
                <w:color w:val="B4B4B4"/>
                <w:w w:val="92"/>
              </w:rPr>
              <w:t>. . . . . . . . . . . . . . . . . . . . . . . . . . . . . .</w:t>
            </w:r>
          </w:p>
        </w:tc>
        <w:tc>
          <w:tcPr>
            <w:tcW w:w="840" w:type="dxa"/>
            <w:vAlign w:val="bottom"/>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3"/>
        </w:trPr>
        <w:tc>
          <w:tcPr>
            <w:tcW w:w="4380" w:type="dxa"/>
            <w:vAlign w:val="bottom"/>
            <w:tcBorders>
              <w:top w:val="single" w:sz="8" w:color="E6E6E6"/>
              <w:bottom w:val="single" w:sz="8" w:color="E6E6E6"/>
            </w:tcBorders>
            <w:gridSpan w:val="6"/>
            <w:shd w:val="clear" w:color="auto" w:fill="E6E6E6"/>
          </w:tcPr>
          <w:p>
            <w:pPr>
              <w:jc w:val="right"/>
              <w:ind w:right="20"/>
              <w:spacing w:after="0"/>
              <w:rPr>
                <w:sz w:val="20"/>
                <w:szCs w:val="20"/>
                <w:color w:val="auto"/>
              </w:rPr>
            </w:pPr>
            <w:r>
              <w:rPr>
                <w:rFonts w:ascii="Arial" w:cs="Arial" w:eastAsia="Arial" w:hAnsi="Arial"/>
                <w:sz w:val="18"/>
                <w:szCs w:val="18"/>
                <w:b w:val="1"/>
                <w:bCs w:val="1"/>
                <w:color w:val="B4B4B4"/>
                <w:w w:val="94"/>
              </w:rPr>
              <w:t>. . . . . . . . . . . . . . . . . . . . . . . . . . . . . . . .</w:t>
            </w:r>
            <w:r>
              <w:rPr>
                <w:rFonts w:ascii="Arial" w:cs="Arial" w:eastAsia="Arial" w:hAnsi="Arial"/>
                <w:sz w:val="18"/>
                <w:szCs w:val="18"/>
                <w:b w:val="1"/>
                <w:bCs w:val="1"/>
                <w:color w:val="000000"/>
                <w:w w:val="94"/>
              </w:rPr>
              <w:t>NetIncome(Loss)</w:t>
            </w:r>
          </w:p>
        </w:tc>
        <w:tc>
          <w:tcPr>
            <w:tcW w:w="84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4B4B4"/>
                <w:w w:val="89"/>
              </w:rPr>
              <w:t>. . . . . . . . .</w:t>
            </w:r>
          </w:p>
        </w:tc>
        <w:tc>
          <w:tcPr>
            <w:tcW w:w="180" w:type="dxa"/>
            <w:vAlign w:val="bottom"/>
            <w:tcBorders>
              <w:top w:val="single" w:sz="8" w:color="auto"/>
              <w:bottom w:val="single" w:sz="8" w:color="auto"/>
            </w:tcBorders>
            <w:shd w:val="clear" w:color="auto" w:fill="E6E6E6"/>
          </w:tcPr>
          <w:p>
            <w:pPr>
              <w:spacing w:after="0"/>
              <w:rPr>
                <w:sz w:val="24"/>
                <w:szCs w:val="24"/>
                <w:color w:val="auto"/>
              </w:rPr>
            </w:pPr>
          </w:p>
        </w:tc>
        <w:tc>
          <w:tcPr>
            <w:tcW w:w="102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10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40" w:type="dxa"/>
            <w:vAlign w:val="bottom"/>
            <w:tcBorders>
              <w:top w:val="single" w:sz="8" w:color="auto"/>
              <w:bottom w:val="single" w:sz="8" w:color="auto"/>
            </w:tcBorders>
            <w:shd w:val="clear" w:color="auto" w:fill="E6E6E6"/>
          </w:tcPr>
          <w:p>
            <w:pPr>
              <w:spacing w:after="0"/>
              <w:rPr>
                <w:sz w:val="24"/>
                <w:szCs w:val="24"/>
                <w:color w:val="auto"/>
              </w:rPr>
            </w:pPr>
          </w:p>
        </w:tc>
        <w:tc>
          <w:tcPr>
            <w:tcW w:w="8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60" w:type="dxa"/>
            <w:vAlign w:val="bottom"/>
            <w:tcBorders>
              <w:top w:val="single" w:sz="8" w:color="auto"/>
              <w:bottom w:val="single" w:sz="8" w:color="auto"/>
            </w:tcBorders>
            <w:shd w:val="clear" w:color="auto" w:fill="E6E6E6"/>
          </w:tcPr>
          <w:p>
            <w:pPr>
              <w:spacing w:after="0"/>
              <w:rPr>
                <w:sz w:val="24"/>
                <w:szCs w:val="24"/>
                <w:color w:val="auto"/>
              </w:rPr>
            </w:pPr>
          </w:p>
        </w:tc>
        <w:tc>
          <w:tcPr>
            <w:tcW w:w="140" w:type="dxa"/>
            <w:vAlign w:val="bottom"/>
            <w:tcBorders>
              <w:top w:val="single" w:sz="8" w:color="auto"/>
              <w:bottom w:val="single" w:sz="8" w:color="auto"/>
            </w:tcBorders>
            <w:shd w:val="clear" w:color="auto" w:fill="E6E6E6"/>
          </w:tcPr>
          <w:p>
            <w:pPr>
              <w:spacing w:after="0"/>
              <w:rPr>
                <w:sz w:val="24"/>
                <w:szCs w:val="24"/>
                <w:color w:val="auto"/>
              </w:rPr>
            </w:pPr>
          </w:p>
        </w:tc>
        <w:tc>
          <w:tcPr>
            <w:tcW w:w="10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5140" w:type="dxa"/>
            <w:vAlign w:val="bottom"/>
            <w:gridSpan w:val="6"/>
          </w:tcPr>
          <w:p>
            <w:pPr>
              <w:ind w:left="100"/>
              <w:spacing w:after="0" w:line="187" w:lineRule="exact"/>
              <w:rPr>
                <w:sz w:val="20"/>
                <w:szCs w:val="20"/>
                <w:color w:val="auto"/>
              </w:rPr>
            </w:pPr>
            <w:r>
              <w:rPr>
                <w:rFonts w:ascii="Arial" w:cs="Arial" w:eastAsia="Arial" w:hAnsi="Arial"/>
                <w:sz w:val="18"/>
                <w:szCs w:val="18"/>
                <w:color w:val="auto"/>
                <w:w w:val="95"/>
              </w:rPr>
              <w:t>Less: Net (loss) income attributable to noncontrolling interests and</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1"/>
        </w:trPr>
        <w:tc>
          <w:tcPr>
            <w:tcW w:w="80" w:type="dxa"/>
            <w:vAlign w:val="bottom"/>
            <w:tcBorders>
              <w:bottom w:val="single" w:sz="8" w:color="E6E6E6"/>
            </w:tcBorders>
          </w:tcPr>
          <w:p>
            <w:pPr>
              <w:spacing w:after="0"/>
              <w:rPr>
                <w:sz w:val="20"/>
                <w:szCs w:val="20"/>
                <w:color w:val="auto"/>
              </w:rPr>
            </w:pPr>
          </w:p>
        </w:tc>
        <w:tc>
          <w:tcPr>
            <w:tcW w:w="3120" w:type="dxa"/>
            <w:vAlign w:val="bottom"/>
            <w:tcBorders>
              <w:bottom w:val="single" w:sz="8" w:color="E6E6E6"/>
            </w:tcBorders>
            <w:gridSpan w:val="2"/>
          </w:tcPr>
          <w:p>
            <w:pPr>
              <w:ind w:left="280"/>
              <w:spacing w:after="0"/>
              <w:rPr>
                <w:sz w:val="20"/>
                <w:szCs w:val="20"/>
                <w:color w:val="auto"/>
              </w:rPr>
            </w:pPr>
            <w:r>
              <w:rPr>
                <w:rFonts w:ascii="Arial" w:cs="Arial" w:eastAsia="Arial" w:hAnsi="Arial"/>
                <w:sz w:val="18"/>
                <w:szCs w:val="18"/>
                <w:color w:val="auto"/>
                <w:w w:val="92"/>
              </w:rPr>
              <w:t xml:space="preserve">redeemable noncontrolling interests </w:t>
            </w:r>
            <w:r>
              <w:rPr>
                <w:rFonts w:ascii="Arial" w:cs="Arial" w:eastAsia="Arial" w:hAnsi="Arial"/>
                <w:sz w:val="18"/>
                <w:szCs w:val="18"/>
                <w:color w:val="B4B4B4"/>
                <w:w w:val="92"/>
              </w:rPr>
              <w:t>. .</w:t>
            </w:r>
          </w:p>
        </w:tc>
        <w:tc>
          <w:tcPr>
            <w:tcW w:w="9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4B4B4"/>
                <w:w w:val="91"/>
              </w:rPr>
              <w:t>. . . . . . . . . . .</w:t>
            </w:r>
          </w:p>
        </w:tc>
        <w:tc>
          <w:tcPr>
            <w:tcW w:w="200" w:type="dxa"/>
            <w:vAlign w:val="bottom"/>
            <w:tcBorders>
              <w:bottom w:val="single" w:sz="8" w:color="E6E6E6"/>
            </w:tcBorders>
            <w:gridSpan w:val="2"/>
          </w:tcPr>
          <w:p>
            <w:pPr>
              <w:jc w:val="right"/>
              <w:ind w:right="20"/>
              <w:spacing w:after="0"/>
              <w:rPr>
                <w:sz w:val="20"/>
                <w:szCs w:val="20"/>
                <w:color w:val="auto"/>
              </w:rPr>
            </w:pPr>
            <w:r>
              <w:rPr>
                <w:rFonts w:ascii="Arial" w:cs="Arial" w:eastAsia="Arial" w:hAnsi="Arial"/>
                <w:sz w:val="18"/>
                <w:szCs w:val="18"/>
                <w:color w:val="B4B4B4"/>
              </w:rPr>
              <w:t>. .</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4B4B4"/>
                <w:w w:val="89"/>
              </w:rPr>
              <w:t>. . . . . . . . .</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E6E6E6"/>
            </w:tcBorders>
            <w:vMerge w:val="continue"/>
          </w:tcPr>
          <w:p>
            <w:pPr>
              <w:spacing w:after="0"/>
              <w:rPr>
                <w:sz w:val="20"/>
                <w:szCs w:val="20"/>
                <w:color w:val="auto"/>
              </w:rPr>
            </w:pPr>
          </w:p>
        </w:tc>
        <w:tc>
          <w:tcPr>
            <w:tcW w:w="40" w:type="dxa"/>
            <w:vAlign w:val="bottom"/>
            <w:tcBorders>
              <w:bottom w:val="single" w:sz="8" w:color="E6E6E6"/>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380" w:type="dxa"/>
            <w:vAlign w:val="bottom"/>
            <w:gridSpan w:val="6"/>
            <w:shd w:val="clear" w:color="auto" w:fill="E6E6E6"/>
          </w:tcPr>
          <w:p>
            <w:pPr>
              <w:jc w:val="right"/>
              <w:spacing w:after="0"/>
              <w:rPr>
                <w:sz w:val="20"/>
                <w:szCs w:val="20"/>
                <w:color w:val="auto"/>
              </w:rPr>
            </w:pPr>
            <w:r>
              <w:rPr>
                <w:rFonts w:ascii="Arial" w:cs="Arial" w:eastAsia="Arial" w:hAnsi="Arial"/>
                <w:sz w:val="18"/>
                <w:szCs w:val="18"/>
                <w:b w:val="1"/>
                <w:bCs w:val="1"/>
                <w:color w:val="auto"/>
                <w:w w:val="92"/>
              </w:rPr>
              <w:t>Net Income (Loss) Attributable to Clearway Energy, Inc</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89"/>
              </w:rPr>
              <w:t xml:space="preserve">. </w:t>
            </w:r>
            <w:r>
              <w:rPr>
                <w:rFonts w:ascii="Arial" w:cs="Arial" w:eastAsia="Arial" w:hAnsi="Arial"/>
                <w:sz w:val="18"/>
                <w:szCs w:val="18"/>
                <w:b w:val="1"/>
                <w:bCs w:val="1"/>
                <w:color w:val="B4B4B4"/>
                <w:w w:val="89"/>
              </w:rPr>
              <w:t>. . . . . . . .</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E6E6E6"/>
          </w:tcPr>
          <w:p>
            <w:pPr>
              <w:spacing w:after="0"/>
              <w:rPr>
                <w:sz w:val="23"/>
                <w:szCs w:val="23"/>
                <w:color w:val="auto"/>
              </w:rPr>
            </w:pPr>
          </w:p>
        </w:tc>
        <w:tc>
          <w:tcPr>
            <w:tcW w:w="20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E6E6E6"/>
          </w:tcPr>
          <w:p>
            <w:pPr>
              <w:spacing w:after="0"/>
              <w:rPr>
                <w:sz w:val="23"/>
                <w:szCs w:val="23"/>
                <w:color w:val="auto"/>
              </w:rPr>
            </w:pP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200" w:type="dxa"/>
            <w:vAlign w:val="bottom"/>
            <w:tcBorders>
              <w:top w:val="single" w:sz="8" w:color="E6E6E6"/>
              <w:bottom w:val="single" w:sz="8" w:color="E6E6E6"/>
            </w:tcBorders>
            <w:gridSpan w:val="3"/>
            <w:vMerge w:val="restart"/>
          </w:tcPr>
          <w:p>
            <w:pPr>
              <w:ind w:left="40"/>
              <w:spacing w:after="0"/>
              <w:rPr>
                <w:sz w:val="20"/>
                <w:szCs w:val="20"/>
                <w:color w:val="auto"/>
              </w:rPr>
            </w:pPr>
            <w:r>
              <w:rPr>
                <w:rFonts w:ascii="Arial" w:cs="Arial" w:eastAsia="Arial" w:hAnsi="Arial"/>
                <w:sz w:val="18"/>
                <w:szCs w:val="18"/>
                <w:b w:val="1"/>
                <w:bCs w:val="1"/>
                <w:color w:val="auto"/>
              </w:rPr>
              <w:t>Balance Sheet</w:t>
            </w:r>
          </w:p>
        </w:tc>
        <w:tc>
          <w:tcPr>
            <w:tcW w:w="98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84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380" w:type="dxa"/>
            <w:vAlign w:val="bottom"/>
            <w:gridSpan w:val="6"/>
            <w:shd w:val="clear" w:color="auto" w:fill="E6E6E6"/>
          </w:tcPr>
          <w:p>
            <w:pPr>
              <w:jc w:val="right"/>
              <w:ind w:right="20"/>
              <w:spacing w:after="0"/>
              <w:rPr>
                <w:sz w:val="20"/>
                <w:szCs w:val="20"/>
                <w:color w:val="auto"/>
              </w:rPr>
            </w:pPr>
            <w:r>
              <w:rPr>
                <w:rFonts w:ascii="Arial" w:cs="Arial" w:eastAsia="Arial" w:hAnsi="Arial"/>
                <w:sz w:val="18"/>
                <w:szCs w:val="18"/>
                <w:color w:val="auto"/>
                <w:w w:val="92"/>
              </w:rPr>
              <w:t xml:space="preserve">Equity investments in affiliates </w:t>
            </w:r>
            <w:r>
              <w:rPr>
                <w:rFonts w:ascii="Arial" w:cs="Arial" w:eastAsia="Arial" w:hAnsi="Arial"/>
                <w:sz w:val="18"/>
                <w:szCs w:val="18"/>
                <w:color w:val="B4B4B4"/>
                <w:w w:val="92"/>
              </w:rPr>
              <w:t>.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1"/>
              </w:rPr>
              <w:t>. . . . . . . . .</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40" w:type="dxa"/>
            <w:vAlign w:val="bottom"/>
            <w:shd w:val="clear" w:color="auto" w:fill="E6E6E6"/>
          </w:tcPr>
          <w:p>
            <w:pPr>
              <w:spacing w:after="0"/>
              <w:rPr>
                <w:sz w:val="22"/>
                <w:szCs w:val="22"/>
                <w:color w:val="auto"/>
              </w:rPr>
            </w:pPr>
          </w:p>
        </w:tc>
        <w:tc>
          <w:tcPr>
            <w:tcW w:w="20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85"/>
        </w:trPr>
        <w:tc>
          <w:tcPr>
            <w:tcW w:w="4380" w:type="dxa"/>
            <w:vAlign w:val="bottom"/>
            <w:gridSpan w:val="6"/>
          </w:tcPr>
          <w:p>
            <w:pPr>
              <w:jc w:val="right"/>
              <w:ind w:right="20"/>
              <w:spacing w:after="0"/>
              <w:rPr>
                <w:sz w:val="20"/>
                <w:szCs w:val="20"/>
                <w:color w:val="auto"/>
              </w:rPr>
            </w:pPr>
            <w:r>
              <w:rPr>
                <w:rFonts w:ascii="Arial" w:cs="Arial" w:eastAsia="Arial" w:hAnsi="Arial"/>
                <w:sz w:val="18"/>
                <w:szCs w:val="18"/>
                <w:color w:val="auto"/>
                <w:w w:val="89"/>
              </w:rPr>
              <w:t xml:space="preserve">Capital expenditures </w:t>
            </w:r>
            <w:r>
              <w:rPr>
                <w:rFonts w:ascii="Arial" w:cs="Arial" w:eastAsia="Arial" w:hAnsi="Arial"/>
                <w:sz w:val="23"/>
                <w:szCs w:val="23"/>
                <w:color w:val="auto"/>
                <w:w w:val="89"/>
                <w:vertAlign w:val="superscript"/>
              </w:rPr>
              <w:t>(b)</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w:t>
            </w:r>
          </w:p>
        </w:tc>
        <w:tc>
          <w:tcPr>
            <w:tcW w:w="840" w:type="dxa"/>
            <w:vAlign w:val="bottom"/>
          </w:tcPr>
          <w:p>
            <w:pPr>
              <w:jc w:val="right"/>
              <w:spacing w:after="0"/>
              <w:rPr>
                <w:sz w:val="20"/>
                <w:szCs w:val="20"/>
                <w:color w:val="auto"/>
              </w:rPr>
            </w:pPr>
            <w:r>
              <w:rPr>
                <w:rFonts w:ascii="Arial" w:cs="Arial" w:eastAsia="Arial" w:hAnsi="Arial"/>
                <w:sz w:val="18"/>
                <w:szCs w:val="18"/>
                <w:color w:val="B4B4B4"/>
                <w:w w:val="91"/>
              </w:rPr>
              <w:t>. . . . . . . . .</w:t>
            </w:r>
          </w:p>
        </w:tc>
        <w:tc>
          <w:tcPr>
            <w:tcW w:w="1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5"/>
        </w:trPr>
        <w:tc>
          <w:tcPr>
            <w:tcW w:w="4380" w:type="dxa"/>
            <w:vAlign w:val="bottom"/>
            <w:gridSpan w:val="6"/>
            <w:shd w:val="clear" w:color="auto" w:fill="E6E6E6"/>
          </w:tcPr>
          <w:p>
            <w:pPr>
              <w:jc w:val="right"/>
              <w:ind w:right="20"/>
              <w:spacing w:after="0"/>
              <w:rPr>
                <w:sz w:val="20"/>
                <w:szCs w:val="20"/>
                <w:color w:val="auto"/>
              </w:rPr>
            </w:pPr>
            <w:r>
              <w:rPr>
                <w:rFonts w:ascii="Arial" w:cs="Arial" w:eastAsia="Arial" w:hAnsi="Arial"/>
                <w:sz w:val="18"/>
                <w:szCs w:val="18"/>
                <w:b w:val="1"/>
                <w:bCs w:val="1"/>
                <w:color w:val="auto"/>
                <w:w w:val="90"/>
              </w:rPr>
              <w:t xml:space="preserve">Total Assets </w:t>
            </w:r>
            <w:r>
              <w:rPr>
                <w:rFonts w:ascii="Arial" w:cs="Arial" w:eastAsia="Arial" w:hAnsi="Arial"/>
                <w:sz w:val="18"/>
                <w:szCs w:val="18"/>
                <w:b w:val="1"/>
                <w:bCs w:val="1"/>
                <w:color w:val="B4B4B4"/>
                <w:w w:val="90"/>
              </w:rPr>
              <w:t>. . . . . . . . . . . . . . .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B4B4B4"/>
                <w:w w:val="89"/>
              </w:rPr>
              <w:t>. . . . . . . . .</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1,933</w:t>
            </w:r>
          </w:p>
        </w:tc>
        <w:tc>
          <w:tcPr>
            <w:tcW w:w="40" w:type="dxa"/>
            <w:vAlign w:val="bottom"/>
            <w:shd w:val="clear" w:color="auto" w:fill="E6E6E6"/>
          </w:tcPr>
          <w:p>
            <w:pPr>
              <w:spacing w:after="0"/>
              <w:rPr>
                <w:sz w:val="22"/>
                <w:szCs w:val="22"/>
                <w:color w:val="auto"/>
              </w:rPr>
            </w:pPr>
          </w:p>
        </w:tc>
        <w:tc>
          <w:tcPr>
            <w:tcW w:w="20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12,236</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E6E6E6"/>
          </w:tcPr>
          <w:p>
            <w:pPr>
              <w:spacing w:after="0"/>
              <w:rPr>
                <w:sz w:val="22"/>
                <w:szCs w:val="22"/>
                <w:color w:val="auto"/>
              </w:rPr>
            </w:pP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-691515</wp:posOffset>
            </wp:positionV>
            <wp:extent cx="321627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5">
                      <a:extLst>
                        <a:ext uri="{28A0092B-C50C-407E-A947-70E740481C1C}"/>
                      </a:extLst>
                    </a:blip>
                    <a:srcRect/>
                    <a:stretch>
                      <a:fillRect/>
                    </a:stretch>
                  </pic:blipFill>
                  <pic:spPr bwMode="auto">
                    <a:xfrm>
                      <a:off x="0" y="0"/>
                      <a:ext cx="32162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126682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6">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28" w:lineRule="exact"/>
        <w:rPr>
          <w:sz w:val="20"/>
          <w:szCs w:val="20"/>
          <w:color w:val="auto"/>
        </w:rPr>
      </w:pPr>
    </w:p>
    <w:p>
      <w:pPr>
        <w:ind w:left="300" w:hanging="220"/>
        <w:spacing w:after="0"/>
        <w:tabs>
          <w:tab w:leader="none" w:pos="300" w:val="left"/>
        </w:tabs>
        <w:numPr>
          <w:ilvl w:val="0"/>
          <w:numId w:val="68"/>
        </w:numPr>
        <w:rPr>
          <w:rFonts w:ascii="Arial" w:cs="Arial" w:eastAsia="Arial" w:hAnsi="Arial"/>
          <w:sz w:val="26"/>
          <w:szCs w:val="26"/>
          <w:color w:val="auto"/>
          <w:vertAlign w:val="superscript"/>
        </w:rPr>
      </w:pPr>
      <w:r>
        <w:rPr>
          <w:rFonts w:ascii="Arial" w:cs="Arial" w:eastAsia="Arial" w:hAnsi="Arial"/>
          <w:sz w:val="16"/>
          <w:szCs w:val="16"/>
          <w:color w:val="auto"/>
        </w:rPr>
        <w:t>Includes eliminations.</w:t>
      </w:r>
    </w:p>
    <w:p>
      <w:pPr>
        <w:spacing w:after="0" w:line="70" w:lineRule="exact"/>
        <w:rPr>
          <w:rFonts w:ascii="Arial" w:cs="Arial" w:eastAsia="Arial" w:hAnsi="Arial"/>
          <w:sz w:val="26"/>
          <w:szCs w:val="26"/>
          <w:color w:val="auto"/>
          <w:vertAlign w:val="superscript"/>
        </w:rPr>
      </w:pPr>
    </w:p>
    <w:p>
      <w:pPr>
        <w:ind w:left="320" w:hanging="240"/>
        <w:spacing w:after="0" w:line="181" w:lineRule="auto"/>
        <w:tabs>
          <w:tab w:leader="none" w:pos="320" w:val="left"/>
        </w:tabs>
        <w:numPr>
          <w:ilvl w:val="0"/>
          <w:numId w:val="68"/>
        </w:numPr>
        <w:rPr>
          <w:rFonts w:ascii="Arial" w:cs="Arial" w:eastAsia="Arial" w:hAnsi="Arial"/>
          <w:sz w:val="24"/>
          <w:szCs w:val="24"/>
          <w:color w:val="auto"/>
          <w:vertAlign w:val="superscript"/>
        </w:rPr>
      </w:pPr>
      <w:r>
        <w:rPr>
          <w:rFonts w:ascii="Arial" w:cs="Arial" w:eastAsia="Arial" w:hAnsi="Arial"/>
          <w:sz w:val="15"/>
          <w:szCs w:val="15"/>
          <w:color w:val="auto"/>
        </w:rPr>
        <w:t>Includes accruals.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880" w:h="15480" w:orient="portrait"/>
          <w:cols w:equalWidth="0" w:num="1">
            <w:col w:w="10260"/>
          </w:cols>
          <w:pgMar w:left="820" w:top="360" w:right="80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7"/>
          </w:tcPr>
          <w:p>
            <w:pPr>
              <w:jc w:val="right"/>
              <w:ind w:right="91"/>
              <w:spacing w:after="0"/>
              <w:rPr>
                <w:sz w:val="20"/>
                <w:szCs w:val="20"/>
                <w:color w:val="auto"/>
              </w:rPr>
            </w:pPr>
            <w:r>
              <w:rPr>
                <w:rFonts w:ascii="Arial" w:cs="Arial" w:eastAsia="Arial" w:hAnsi="Arial"/>
                <w:sz w:val="16"/>
                <w:szCs w:val="16"/>
                <w:b w:val="1"/>
                <w:bCs w:val="1"/>
                <w:color w:val="auto"/>
                <w:w w:val="97"/>
              </w:rPr>
              <w:t>Year ended December 31, 2023</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4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right"/>
              <w:ind w:right="211"/>
              <w:spacing w:after="0"/>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6"/>
                <w:szCs w:val="16"/>
                <w:color w:val="auto"/>
              </w:rPr>
            </w:pPr>
          </w:p>
        </w:tc>
        <w:tc>
          <w:tcPr>
            <w:tcW w:w="1200" w:type="dxa"/>
            <w:vAlign w:val="bottom"/>
            <w:gridSpan w:val="3"/>
            <w:vMerge w:val="restart"/>
          </w:tcPr>
          <w:p>
            <w:pPr>
              <w:jc w:val="right"/>
              <w:ind w:right="113"/>
              <w:spacing w:after="0"/>
              <w:rPr>
                <w:sz w:val="20"/>
                <w:szCs w:val="20"/>
                <w:color w:val="auto"/>
              </w:rPr>
            </w:pPr>
            <w:r>
              <w:rPr>
                <w:rFonts w:ascii="Arial" w:cs="Arial" w:eastAsia="Arial" w:hAnsi="Arial"/>
                <w:sz w:val="16"/>
                <w:szCs w:val="16"/>
                <w:b w:val="1"/>
                <w:bCs w:val="1"/>
                <w:color w:val="auto"/>
              </w:rPr>
              <w:t>Renewables</w:t>
            </w:r>
          </w:p>
        </w:tc>
        <w:tc>
          <w:tcPr>
            <w:tcW w:w="80" w:type="dxa"/>
            <w:vAlign w:val="bottom"/>
          </w:tcPr>
          <w:p>
            <w:pPr>
              <w:spacing w:after="0"/>
              <w:rPr>
                <w:sz w:val="16"/>
                <w:szCs w:val="16"/>
                <w:color w:val="auto"/>
              </w:rPr>
            </w:pPr>
          </w:p>
        </w:tc>
        <w:tc>
          <w:tcPr>
            <w:tcW w:w="120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rPr>
              <w:t xml:space="preserve">Corporate </w:t>
            </w:r>
            <w:r>
              <w:rPr>
                <w:rFonts w:ascii="Arial" w:cs="Arial" w:eastAsia="Arial" w:hAnsi="Arial"/>
                <w:sz w:val="20"/>
                <w:szCs w:val="20"/>
                <w:b w:val="1"/>
                <w:bCs w:val="1"/>
                <w:color w:val="auto"/>
                <w:vertAlign w:val="superscript"/>
              </w:rPr>
              <w:t>(a)</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84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rPr>
              <w:t>Generation</w:t>
            </w:r>
          </w:p>
        </w:tc>
        <w:tc>
          <w:tcPr>
            <w:tcW w:w="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220" w:type="dxa"/>
            <w:vAlign w:val="bottom"/>
            <w:tcBorders>
              <w:top w:val="single" w:sz="8" w:color="E6E6E6"/>
            </w:tcBorders>
            <w:gridSpan w:val="7"/>
            <w:shd w:val="clear" w:color="auto" w:fill="E6E6E6"/>
          </w:tcPr>
          <w:p>
            <w:pPr>
              <w:jc w:val="right"/>
              <w:spacing w:after="0"/>
              <w:rPr>
                <w:sz w:val="20"/>
                <w:szCs w:val="20"/>
                <w:color w:val="auto"/>
              </w:rPr>
            </w:pPr>
            <w:r>
              <w:rPr>
                <w:rFonts w:ascii="Arial" w:cs="Arial" w:eastAsia="Arial" w:hAnsi="Arial"/>
                <w:sz w:val="18"/>
                <w:szCs w:val="18"/>
                <w:color w:val="B4B4B4"/>
                <w:w w:val="92"/>
              </w:rPr>
              <w:t>. . . . . . . . . . . . . . . . . . . . . . . . . . . . . . . . . . . . . . . . .</w:t>
            </w:r>
            <w:r>
              <w:rPr>
                <w:rFonts w:ascii="Arial" w:cs="Arial" w:eastAsia="Arial" w:hAnsi="Arial"/>
                <w:sz w:val="18"/>
                <w:szCs w:val="18"/>
                <w:color w:val="000000"/>
                <w:w w:val="92"/>
              </w:rPr>
              <w:t>Operatingrevenues</w:t>
            </w:r>
          </w:p>
        </w:tc>
        <w:tc>
          <w:tcPr>
            <w:tcW w:w="700" w:type="dxa"/>
            <w:vAlign w:val="bottom"/>
            <w:tcBorders>
              <w:top w:val="single" w:sz="8" w:color="auto"/>
            </w:tcBorders>
            <w:shd w:val="clear" w:color="auto" w:fill="E6E6E6"/>
          </w:tcPr>
          <w:p>
            <w:pPr>
              <w:jc w:val="right"/>
              <w:ind w:right="47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420</w:t>
            </w:r>
          </w:p>
        </w:tc>
        <w:tc>
          <w:tcPr>
            <w:tcW w:w="80" w:type="dxa"/>
            <w:vAlign w:val="bottom"/>
            <w:tcBorders>
              <w:top w:val="single" w:sz="8" w:color="E6E6E6"/>
            </w:tcBorders>
            <w:shd w:val="clear" w:color="auto" w:fill="E6E6E6"/>
          </w:tcPr>
          <w:p>
            <w:pPr>
              <w:spacing w:after="0"/>
              <w:rPr>
                <w:sz w:val="21"/>
                <w:szCs w:val="21"/>
                <w:color w:val="auto"/>
              </w:rPr>
            </w:pPr>
          </w:p>
        </w:tc>
        <w:tc>
          <w:tcPr>
            <w:tcW w:w="580" w:type="dxa"/>
            <w:vAlign w:val="bottom"/>
            <w:tcBorders>
              <w:top w:val="single" w:sz="8" w:color="auto"/>
            </w:tcBorders>
            <w:shd w:val="clear" w:color="auto" w:fill="E6E6E6"/>
          </w:tcPr>
          <w:p>
            <w:pPr>
              <w:jc w:val="right"/>
              <w:ind w:right="35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894</w:t>
            </w:r>
          </w:p>
        </w:tc>
        <w:tc>
          <w:tcPr>
            <w:tcW w:w="80" w:type="dxa"/>
            <w:vAlign w:val="bottom"/>
            <w:tcBorders>
              <w:top w:val="single" w:sz="8" w:color="E6E6E6"/>
            </w:tcBorders>
            <w:shd w:val="clear" w:color="auto" w:fill="E6E6E6"/>
          </w:tcPr>
          <w:p>
            <w:pPr>
              <w:spacing w:after="0"/>
              <w:rPr>
                <w:sz w:val="21"/>
                <w:szCs w:val="21"/>
                <w:color w:val="auto"/>
              </w:rPr>
            </w:pPr>
          </w:p>
        </w:tc>
        <w:tc>
          <w:tcPr>
            <w:tcW w:w="380" w:type="dxa"/>
            <w:vAlign w:val="bottom"/>
            <w:tcBorders>
              <w:top w:val="single" w:sz="8" w:color="auto"/>
            </w:tcBorders>
            <w:shd w:val="clear" w:color="auto" w:fill="E6E6E6"/>
          </w:tcPr>
          <w:p>
            <w:pPr>
              <w:jc w:val="right"/>
              <w:ind w:right="15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E6E6E6"/>
          </w:tcPr>
          <w:p>
            <w:pPr>
              <w:spacing w:after="0"/>
              <w:rPr>
                <w:sz w:val="21"/>
                <w:szCs w:val="21"/>
                <w:color w:val="auto"/>
              </w:rPr>
            </w:pPr>
          </w:p>
        </w:tc>
        <w:tc>
          <w:tcPr>
            <w:tcW w:w="7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spacing w:after="0"/>
              <w:rPr>
                <w:sz w:val="21"/>
                <w:szCs w:val="21"/>
                <w:color w:val="auto"/>
              </w:rPr>
            </w:pPr>
          </w:p>
        </w:tc>
        <w:tc>
          <w:tcPr>
            <w:tcW w:w="6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gridSpan w:val="4"/>
          </w:tcPr>
          <w:p>
            <w:pPr>
              <w:ind w:left="100"/>
              <w:spacing w:after="0"/>
              <w:rPr>
                <w:sz w:val="20"/>
                <w:szCs w:val="20"/>
                <w:color w:val="auto"/>
              </w:rPr>
            </w:pPr>
            <w:r>
              <w:rPr>
                <w:rFonts w:ascii="Arial" w:cs="Arial" w:eastAsia="Arial" w:hAnsi="Arial"/>
                <w:sz w:val="18"/>
                <w:szCs w:val="18"/>
                <w:color w:val="auto"/>
                <w:w w:val="93"/>
              </w:rPr>
              <w:t>Cost of operations, exclusive of depreciation, amortization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 xml:space="preserve">accretion shown separately below </w:t>
            </w:r>
            <w:r>
              <w:rPr>
                <w:rFonts w:ascii="Arial" w:cs="Arial" w:eastAsia="Arial" w:hAnsi="Arial"/>
                <w:sz w:val="18"/>
                <w:szCs w:val="18"/>
                <w:color w:val="B4B4B4"/>
                <w:w w:val="92"/>
              </w:rPr>
              <w:t>. . . . . . . . . . . . . . . . . . . . . .</w:t>
            </w:r>
          </w:p>
        </w:tc>
        <w:tc>
          <w:tcPr>
            <w:tcW w:w="160" w:type="dxa"/>
            <w:vAlign w:val="bottom"/>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tcPr>
          <w:p>
            <w:pPr>
              <w:ind w:left="40"/>
              <w:spacing w:after="0"/>
              <w:rPr>
                <w:sz w:val="20"/>
                <w:szCs w:val="20"/>
                <w:color w:val="auto"/>
              </w:rPr>
            </w:pPr>
            <w:r>
              <w:rPr>
                <w:rFonts w:ascii="Arial" w:cs="Arial" w:eastAsia="Arial" w:hAnsi="Arial"/>
                <w:sz w:val="18"/>
                <w:szCs w:val="18"/>
                <w:color w:val="B4B4B4"/>
              </w:rPr>
              <w:t>. .</w:t>
            </w:r>
          </w:p>
        </w:tc>
        <w:tc>
          <w:tcPr>
            <w:tcW w:w="700" w:type="dxa"/>
            <w:vAlign w:val="bottom"/>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0" w:type="dxa"/>
            <w:vAlign w:val="bottom"/>
            <w:shd w:val="clear" w:color="auto" w:fill="E6E6E6"/>
          </w:tcPr>
          <w:p>
            <w:pPr>
              <w:spacing w:after="0"/>
              <w:rPr>
                <w:sz w:val="22"/>
                <w:szCs w:val="22"/>
                <w:color w:val="auto"/>
              </w:rPr>
            </w:pPr>
          </w:p>
        </w:tc>
        <w:tc>
          <w:tcPr>
            <w:tcW w:w="4760" w:type="dxa"/>
            <w:vAlign w:val="bottom"/>
            <w:gridSpan w:val="4"/>
            <w:shd w:val="clear" w:color="auto" w:fill="E6E6E6"/>
          </w:tcPr>
          <w:p>
            <w:pPr>
              <w:ind w:left="100"/>
              <w:spacing w:after="0"/>
              <w:rPr>
                <w:sz w:val="20"/>
                <w:szCs w:val="20"/>
                <w:color w:val="auto"/>
              </w:rPr>
            </w:pPr>
            <w:r>
              <w:rPr>
                <w:rFonts w:ascii="Arial" w:cs="Arial" w:eastAsia="Arial" w:hAnsi="Arial"/>
                <w:sz w:val="18"/>
                <w:szCs w:val="18"/>
                <w:color w:val="auto"/>
                <w:w w:val="91"/>
              </w:rPr>
              <w:t xml:space="preserve">Depreciation, amortization and accretion  </w:t>
            </w:r>
            <w:r>
              <w:rPr>
                <w:rFonts w:ascii="Arial" w:cs="Arial" w:eastAsia="Arial" w:hAnsi="Arial"/>
                <w:sz w:val="18"/>
                <w:szCs w:val="18"/>
                <w:color w:val="B4B4B4"/>
                <w:w w:val="91"/>
              </w:rPr>
              <w:t>. . . . . . .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shd w:val="clear" w:color="auto" w:fill="E6E6E6"/>
          </w:tcPr>
          <w:p>
            <w:pPr>
              <w:ind w:left="40"/>
              <w:spacing w:after="0"/>
              <w:rPr>
                <w:sz w:val="20"/>
                <w:szCs w:val="20"/>
                <w:color w:val="auto"/>
              </w:rPr>
            </w:pPr>
            <w:r>
              <w:rPr>
                <w:rFonts w:ascii="Arial" w:cs="Arial" w:eastAsia="Arial" w:hAnsi="Arial"/>
                <w:sz w:val="18"/>
                <w:szCs w:val="18"/>
                <w:color w:val="B4B4B4"/>
              </w:rPr>
              <w:t>. .</w:t>
            </w:r>
          </w:p>
        </w:tc>
        <w:tc>
          <w:tcPr>
            <w:tcW w:w="700" w:type="dxa"/>
            <w:vAlign w:val="bottom"/>
            <w:shd w:val="clear" w:color="auto" w:fill="E6E6E6"/>
          </w:tcPr>
          <w:p>
            <w:pPr>
              <w:spacing w:after="0"/>
              <w:rPr>
                <w:sz w:val="22"/>
                <w:szCs w:val="22"/>
                <w:color w:val="auto"/>
              </w:rPr>
            </w:pPr>
          </w:p>
        </w:tc>
        <w:tc>
          <w:tcPr>
            <w:tcW w:w="5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E6E6E6"/>
          </w:tcPr>
          <w:p>
            <w:pPr>
              <w:spacing w:after="0"/>
              <w:rPr>
                <w:sz w:val="22"/>
                <w:szCs w:val="22"/>
                <w:color w:val="auto"/>
              </w:rPr>
            </w:pPr>
          </w:p>
        </w:tc>
        <w:tc>
          <w:tcPr>
            <w:tcW w:w="580" w:type="dxa"/>
            <w:vAlign w:val="bottom"/>
            <w:shd w:val="clear" w:color="auto" w:fill="E6E6E6"/>
          </w:tcPr>
          <w:p>
            <w:pPr>
              <w:spacing w:after="0"/>
              <w:rPr>
                <w:sz w:val="22"/>
                <w:szCs w:val="22"/>
                <w:color w:val="auto"/>
              </w:rPr>
            </w:pPr>
          </w:p>
        </w:tc>
        <w:tc>
          <w:tcPr>
            <w:tcW w:w="6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140" w:type="dxa"/>
            <w:vAlign w:val="bottom"/>
            <w:gridSpan w:val="6"/>
          </w:tcPr>
          <w:p>
            <w:pPr>
              <w:ind w:left="100"/>
              <w:spacing w:after="0"/>
              <w:rPr>
                <w:sz w:val="20"/>
                <w:szCs w:val="20"/>
                <w:color w:val="auto"/>
              </w:rPr>
            </w:pPr>
            <w:r>
              <w:rPr>
                <w:rFonts w:ascii="Arial" w:cs="Arial" w:eastAsia="Arial" w:hAnsi="Arial"/>
                <w:sz w:val="18"/>
                <w:szCs w:val="18"/>
                <w:color w:val="auto"/>
                <w:w w:val="91"/>
              </w:rPr>
              <w:t xml:space="preserve">Impairment losses  </w:t>
            </w:r>
            <w:r>
              <w:rPr>
                <w:rFonts w:ascii="Arial" w:cs="Arial" w:eastAsia="Arial" w:hAnsi="Arial"/>
                <w:sz w:val="18"/>
                <w:szCs w:val="18"/>
                <w:color w:val="B4B4B4"/>
                <w:w w:val="91"/>
              </w:rPr>
              <w:t>. . . . . . . . . . . . . . . . . . . . . . . . . . . . . . . . . . . . . . . .</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0" w:type="dxa"/>
            <w:vAlign w:val="bottom"/>
            <w:shd w:val="clear" w:color="auto" w:fill="E6E6E6"/>
          </w:tcPr>
          <w:p>
            <w:pPr>
              <w:spacing w:after="0"/>
              <w:rPr>
                <w:sz w:val="22"/>
                <w:szCs w:val="22"/>
                <w:color w:val="auto"/>
              </w:rPr>
            </w:pPr>
          </w:p>
        </w:tc>
        <w:tc>
          <w:tcPr>
            <w:tcW w:w="4760" w:type="dxa"/>
            <w:vAlign w:val="bottom"/>
            <w:gridSpan w:val="4"/>
            <w:shd w:val="clear" w:color="auto" w:fill="E6E6E6"/>
          </w:tcPr>
          <w:p>
            <w:pPr>
              <w:ind w:left="100"/>
              <w:spacing w:after="0"/>
              <w:rPr>
                <w:sz w:val="20"/>
                <w:szCs w:val="20"/>
                <w:color w:val="auto"/>
              </w:rPr>
            </w:pPr>
            <w:r>
              <w:rPr>
                <w:rFonts w:ascii="Arial" w:cs="Arial" w:eastAsia="Arial" w:hAnsi="Arial"/>
                <w:sz w:val="18"/>
                <w:szCs w:val="18"/>
                <w:color w:val="auto"/>
                <w:w w:val="90"/>
              </w:rPr>
              <w:t xml:space="preserve">General and administrative  </w:t>
            </w:r>
            <w:r>
              <w:rPr>
                <w:rFonts w:ascii="Arial" w:cs="Arial" w:eastAsia="Arial" w:hAnsi="Arial"/>
                <w:sz w:val="18"/>
                <w:szCs w:val="18"/>
                <w:color w:val="B4B4B4"/>
                <w:w w:val="90"/>
              </w:rPr>
              <w:t>. . . . . . . . . . . . . . . . . .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shd w:val="clear" w:color="auto" w:fill="E6E6E6"/>
          </w:tcPr>
          <w:p>
            <w:pPr>
              <w:ind w:left="40"/>
              <w:spacing w:after="0"/>
              <w:rPr>
                <w:sz w:val="20"/>
                <w:szCs w:val="20"/>
                <w:color w:val="auto"/>
              </w:rPr>
            </w:pPr>
            <w:r>
              <w:rPr>
                <w:rFonts w:ascii="Arial" w:cs="Arial" w:eastAsia="Arial" w:hAnsi="Arial"/>
                <w:sz w:val="18"/>
                <w:szCs w:val="18"/>
                <w:color w:val="B4B4B4"/>
              </w:rPr>
              <w:t>. .</w:t>
            </w:r>
          </w:p>
        </w:tc>
        <w:tc>
          <w:tcPr>
            <w:tcW w:w="7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5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0" w:type="dxa"/>
            <w:vAlign w:val="bottom"/>
            <w:tcBorders>
              <w:bottom w:val="single" w:sz="8" w:color="E6E6E6"/>
            </w:tcBorders>
          </w:tcPr>
          <w:p>
            <w:pPr>
              <w:spacing w:after="0"/>
              <w:rPr>
                <w:sz w:val="21"/>
                <w:szCs w:val="21"/>
                <w:color w:val="auto"/>
              </w:rPr>
            </w:pPr>
          </w:p>
        </w:tc>
        <w:tc>
          <w:tcPr>
            <w:tcW w:w="4760" w:type="dxa"/>
            <w:vAlign w:val="bottom"/>
            <w:tcBorders>
              <w:bottom w:val="single" w:sz="8" w:color="E6E6E6"/>
            </w:tcBorders>
            <w:gridSpan w:val="4"/>
          </w:tcPr>
          <w:p>
            <w:pPr>
              <w:ind w:left="100"/>
              <w:spacing w:after="0"/>
              <w:rPr>
                <w:sz w:val="20"/>
                <w:szCs w:val="20"/>
                <w:color w:val="auto"/>
              </w:rPr>
            </w:pPr>
            <w:r>
              <w:rPr>
                <w:rFonts w:ascii="Arial" w:cs="Arial" w:eastAsia="Arial" w:hAnsi="Arial"/>
                <w:sz w:val="18"/>
                <w:szCs w:val="18"/>
                <w:color w:val="auto"/>
                <w:w w:val="90"/>
              </w:rPr>
              <w:t xml:space="preserve">Transaction and integration costs </w:t>
            </w:r>
            <w:r>
              <w:rPr>
                <w:rFonts w:ascii="Arial" w:cs="Arial" w:eastAsia="Arial" w:hAnsi="Arial"/>
                <w:sz w:val="18"/>
                <w:szCs w:val="18"/>
                <w:color w:val="B4B4B4"/>
                <w:w w:val="90"/>
              </w:rPr>
              <w:t>. . . . . . . . . . . . . . . . . . . . . . . . .</w:t>
            </w:r>
          </w:p>
        </w:tc>
        <w:tc>
          <w:tcPr>
            <w:tcW w:w="1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4B4B4"/>
                <w:w w:val="92"/>
              </w:rPr>
              <w:t>. .</w:t>
            </w:r>
          </w:p>
        </w:tc>
        <w:tc>
          <w:tcPr>
            <w:tcW w:w="22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B4B4B4"/>
              </w:rPr>
              <w:t>. .</w:t>
            </w: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220" w:type="dxa"/>
            <w:vAlign w:val="bottom"/>
            <w:gridSpan w:val="7"/>
            <w:shd w:val="clear" w:color="auto" w:fill="E6E6E6"/>
          </w:tcPr>
          <w:p>
            <w:pPr>
              <w:jc w:val="right"/>
              <w:spacing w:after="0"/>
              <w:rPr>
                <w:sz w:val="20"/>
                <w:szCs w:val="20"/>
                <w:color w:val="auto"/>
              </w:rPr>
            </w:pPr>
            <w:r>
              <w:rPr>
                <w:rFonts w:ascii="Arial" w:cs="Arial" w:eastAsia="Arial" w:hAnsi="Arial"/>
                <w:sz w:val="18"/>
                <w:szCs w:val="18"/>
                <w:color w:val="B4B4B4"/>
                <w:w w:val="94"/>
              </w:rPr>
              <w:t>. . . . . . . . . . . . . . . . . . . . . . . . . . . . . . . . . . . . .</w:t>
            </w:r>
            <w:r>
              <w:rPr>
                <w:rFonts w:ascii="Arial" w:cs="Arial" w:eastAsia="Arial" w:hAnsi="Arial"/>
                <w:sz w:val="18"/>
                <w:szCs w:val="18"/>
                <w:color w:val="000000"/>
                <w:w w:val="94"/>
              </w:rPr>
              <w:t>Operatingincome(loss)</w:t>
            </w:r>
          </w:p>
        </w:tc>
        <w:tc>
          <w:tcPr>
            <w:tcW w:w="700" w:type="dxa"/>
            <w:vAlign w:val="bottom"/>
            <w:shd w:val="clear" w:color="auto" w:fill="E6E6E6"/>
          </w:tcPr>
          <w:p>
            <w:pPr>
              <w:spacing w:after="0"/>
              <w:rPr>
                <w:sz w:val="21"/>
                <w:szCs w:val="21"/>
                <w:color w:val="auto"/>
              </w:rPr>
            </w:pPr>
          </w:p>
        </w:tc>
        <w:tc>
          <w:tcPr>
            <w:tcW w:w="5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E6E6E6"/>
          </w:tcPr>
          <w:p>
            <w:pPr>
              <w:spacing w:after="0"/>
              <w:rPr>
                <w:sz w:val="21"/>
                <w:szCs w:val="21"/>
                <w:color w:val="auto"/>
              </w:rPr>
            </w:pPr>
          </w:p>
        </w:tc>
        <w:tc>
          <w:tcPr>
            <w:tcW w:w="580" w:type="dxa"/>
            <w:vAlign w:val="bottom"/>
            <w:shd w:val="clear" w:color="auto" w:fill="E6E6E6"/>
          </w:tcPr>
          <w:p>
            <w:pPr>
              <w:spacing w:after="0"/>
              <w:rPr>
                <w:sz w:val="21"/>
                <w:szCs w:val="21"/>
                <w:color w:val="auto"/>
              </w:rPr>
            </w:pPr>
          </w:p>
        </w:tc>
        <w:tc>
          <w:tcPr>
            <w:tcW w:w="6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760" w:type="dxa"/>
            <w:vAlign w:val="bottom"/>
            <w:gridSpan w:val="4"/>
          </w:tcPr>
          <w:p>
            <w:pPr>
              <w:ind w:left="80"/>
              <w:spacing w:after="0"/>
              <w:rPr>
                <w:sz w:val="20"/>
                <w:szCs w:val="20"/>
                <w:color w:val="auto"/>
              </w:rPr>
            </w:pPr>
            <w:r>
              <w:rPr>
                <w:rFonts w:ascii="Arial" w:cs="Arial" w:eastAsia="Arial" w:hAnsi="Arial"/>
                <w:sz w:val="18"/>
                <w:szCs w:val="18"/>
                <w:color w:val="auto"/>
                <w:w w:val="93"/>
              </w:rPr>
              <w:t xml:space="preserve">Equity in earnings of unconsolidated affiliates </w:t>
            </w:r>
            <w:r>
              <w:rPr>
                <w:rFonts w:ascii="Arial" w:cs="Arial" w:eastAsia="Arial" w:hAnsi="Arial"/>
                <w:sz w:val="18"/>
                <w:szCs w:val="18"/>
                <w:color w:val="B4B4B4"/>
                <w:w w:val="93"/>
              </w:rPr>
              <w:t>. . . . . . . . . . . . . .</w:t>
            </w:r>
          </w:p>
        </w:tc>
        <w:tc>
          <w:tcPr>
            <w:tcW w:w="160" w:type="dxa"/>
            <w:vAlign w:val="bottom"/>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tcPr>
          <w:p>
            <w:pPr>
              <w:ind w:left="40"/>
              <w:spacing w:after="0"/>
              <w:rPr>
                <w:sz w:val="20"/>
                <w:szCs w:val="20"/>
                <w:color w:val="auto"/>
              </w:rPr>
            </w:pPr>
            <w:r>
              <w:rPr>
                <w:rFonts w:ascii="Arial" w:cs="Arial" w:eastAsia="Arial" w:hAnsi="Arial"/>
                <w:sz w:val="18"/>
                <w:szCs w:val="18"/>
                <w:color w:val="B4B4B4"/>
              </w:rPr>
              <w:t>. .</w:t>
            </w:r>
          </w:p>
        </w:tc>
        <w:tc>
          <w:tcPr>
            <w:tcW w:w="7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0" w:type="dxa"/>
            <w:vAlign w:val="bottom"/>
            <w:shd w:val="clear" w:color="auto" w:fill="E6E6E6"/>
          </w:tcPr>
          <w:p>
            <w:pPr>
              <w:spacing w:after="0"/>
              <w:rPr>
                <w:sz w:val="22"/>
                <w:szCs w:val="22"/>
                <w:color w:val="auto"/>
              </w:rPr>
            </w:pPr>
          </w:p>
        </w:tc>
        <w:tc>
          <w:tcPr>
            <w:tcW w:w="5140" w:type="dxa"/>
            <w:vAlign w:val="bottom"/>
            <w:gridSpan w:val="6"/>
            <w:shd w:val="clear" w:color="auto" w:fill="E6E6E6"/>
          </w:tcPr>
          <w:p>
            <w:pPr>
              <w:ind w:left="80"/>
              <w:spacing w:after="0"/>
              <w:rPr>
                <w:sz w:val="20"/>
                <w:szCs w:val="20"/>
                <w:color w:val="auto"/>
              </w:rPr>
            </w:pPr>
            <w:r>
              <w:rPr>
                <w:rFonts w:ascii="Arial" w:cs="Arial" w:eastAsia="Arial" w:hAnsi="Arial"/>
                <w:sz w:val="18"/>
                <w:szCs w:val="18"/>
                <w:color w:val="auto"/>
                <w:w w:val="91"/>
              </w:rPr>
              <w:t xml:space="preserve">Other income, net </w:t>
            </w:r>
            <w:r>
              <w:rPr>
                <w:rFonts w:ascii="Arial" w:cs="Arial" w:eastAsia="Arial" w:hAnsi="Arial"/>
                <w:sz w:val="18"/>
                <w:szCs w:val="18"/>
                <w:color w:val="B4B4B4"/>
                <w:w w:val="91"/>
              </w:rPr>
              <w:t>. . . . . . . . . . . . . . . . . . . . . . . . . . . . . . . . . . . . . . . . .</w:t>
            </w:r>
          </w:p>
        </w:tc>
        <w:tc>
          <w:tcPr>
            <w:tcW w:w="700" w:type="dxa"/>
            <w:vAlign w:val="bottom"/>
            <w:shd w:val="clear" w:color="auto" w:fill="E6E6E6"/>
          </w:tcPr>
          <w:p>
            <w:pPr>
              <w:spacing w:after="0"/>
              <w:rPr>
                <w:sz w:val="22"/>
                <w:szCs w:val="22"/>
                <w:color w:val="auto"/>
              </w:rPr>
            </w:pPr>
          </w:p>
        </w:tc>
        <w:tc>
          <w:tcPr>
            <w:tcW w:w="5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6E6E6"/>
          </w:tcPr>
          <w:p>
            <w:pPr>
              <w:spacing w:after="0"/>
              <w:rPr>
                <w:sz w:val="22"/>
                <w:szCs w:val="22"/>
                <w:color w:val="auto"/>
              </w:rPr>
            </w:pPr>
          </w:p>
        </w:tc>
        <w:tc>
          <w:tcPr>
            <w:tcW w:w="580" w:type="dxa"/>
            <w:vAlign w:val="bottom"/>
            <w:shd w:val="clear" w:color="auto" w:fill="E6E6E6"/>
          </w:tcPr>
          <w:p>
            <w:pPr>
              <w:spacing w:after="0"/>
              <w:rPr>
                <w:sz w:val="22"/>
                <w:szCs w:val="22"/>
                <w:color w:val="auto"/>
              </w:rPr>
            </w:pPr>
          </w:p>
        </w:tc>
        <w:tc>
          <w:tcPr>
            <w:tcW w:w="6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760" w:type="dxa"/>
            <w:vAlign w:val="bottom"/>
            <w:gridSpan w:val="4"/>
          </w:tcPr>
          <w:p>
            <w:pPr>
              <w:ind w:left="80"/>
              <w:spacing w:after="0"/>
              <w:rPr>
                <w:sz w:val="20"/>
                <w:szCs w:val="20"/>
                <w:color w:val="auto"/>
              </w:rPr>
            </w:pPr>
            <w:r>
              <w:rPr>
                <w:rFonts w:ascii="Arial" w:cs="Arial" w:eastAsia="Arial" w:hAnsi="Arial"/>
                <w:sz w:val="18"/>
                <w:szCs w:val="18"/>
                <w:color w:val="auto"/>
                <w:w w:val="91"/>
              </w:rPr>
              <w:t xml:space="preserve">Loss on debt extinguishment </w:t>
            </w:r>
            <w:r>
              <w:rPr>
                <w:rFonts w:ascii="Arial" w:cs="Arial" w:eastAsia="Arial" w:hAnsi="Arial"/>
                <w:sz w:val="18"/>
                <w:szCs w:val="18"/>
                <w:color w:val="B4B4B4"/>
                <w:w w:val="91"/>
              </w:rPr>
              <w:t>. . . . . . . . . . . . . . . . . . . . . . . . . . . .</w:t>
            </w:r>
          </w:p>
        </w:tc>
        <w:tc>
          <w:tcPr>
            <w:tcW w:w="160" w:type="dxa"/>
            <w:vAlign w:val="bottom"/>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tcPr>
          <w:p>
            <w:pPr>
              <w:ind w:left="40"/>
              <w:spacing w:after="0"/>
              <w:rPr>
                <w:sz w:val="20"/>
                <w:szCs w:val="20"/>
                <w:color w:val="auto"/>
              </w:rPr>
            </w:pPr>
            <w:r>
              <w:rPr>
                <w:rFonts w:ascii="Arial" w:cs="Arial" w:eastAsia="Arial" w:hAnsi="Arial"/>
                <w:sz w:val="18"/>
                <w:szCs w:val="18"/>
                <w:color w:val="B4B4B4"/>
              </w:rPr>
              <w:t>. .</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E6E6E6"/>
            </w:tcBorders>
            <w:shd w:val="clear" w:color="auto" w:fill="E6E6E6"/>
          </w:tcPr>
          <w:p>
            <w:pPr>
              <w:spacing w:after="0"/>
              <w:rPr>
                <w:sz w:val="23"/>
                <w:szCs w:val="23"/>
                <w:color w:val="auto"/>
              </w:rPr>
            </w:pPr>
          </w:p>
        </w:tc>
        <w:tc>
          <w:tcPr>
            <w:tcW w:w="5140" w:type="dxa"/>
            <w:vAlign w:val="bottom"/>
            <w:tcBorders>
              <w:bottom w:val="single" w:sz="8" w:color="E6E6E6"/>
            </w:tcBorders>
            <w:gridSpan w:val="6"/>
            <w:shd w:val="clear" w:color="auto" w:fill="E6E6E6"/>
          </w:tcPr>
          <w:p>
            <w:pPr>
              <w:ind w:left="80"/>
              <w:spacing w:after="0"/>
              <w:rPr>
                <w:sz w:val="20"/>
                <w:szCs w:val="20"/>
                <w:color w:val="auto"/>
              </w:rPr>
            </w:pPr>
            <w:r>
              <w:rPr>
                <w:rFonts w:ascii="Arial" w:cs="Arial" w:eastAsia="Arial" w:hAnsi="Arial"/>
                <w:sz w:val="18"/>
                <w:szCs w:val="18"/>
                <w:color w:val="auto"/>
                <w:w w:val="91"/>
              </w:rPr>
              <w:t xml:space="preserve">Interest expense </w:t>
            </w:r>
            <w:r>
              <w:rPr>
                <w:rFonts w:ascii="Arial" w:cs="Arial" w:eastAsia="Arial" w:hAnsi="Arial"/>
                <w:sz w:val="18"/>
                <w:szCs w:val="18"/>
                <w:color w:val="B4B4B4"/>
                <w:w w:val="91"/>
              </w:rPr>
              <w:t>. . . . . . . . . . . . . . . . . . . . . . . . . . . . . . . . . . . . . . . . . .</w:t>
            </w:r>
          </w:p>
        </w:tc>
        <w:tc>
          <w:tcPr>
            <w:tcW w:w="700" w:type="dxa"/>
            <w:vAlign w:val="bottom"/>
            <w:tcBorders>
              <w:bottom w:val="single" w:sz="8" w:color="auto"/>
            </w:tcBorders>
            <w:shd w:val="clear" w:color="auto" w:fill="E6E6E6"/>
          </w:tcPr>
          <w:p>
            <w:pPr>
              <w:spacing w:after="0"/>
              <w:rPr>
                <w:sz w:val="23"/>
                <w:szCs w:val="23"/>
                <w:color w:val="auto"/>
              </w:rPr>
            </w:pPr>
          </w:p>
        </w:tc>
        <w:tc>
          <w:tcPr>
            <w:tcW w:w="50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E6E6E6"/>
            </w:tcBorders>
            <w:shd w:val="clear" w:color="auto" w:fill="E6E6E6"/>
          </w:tcPr>
          <w:p>
            <w:pPr>
              <w:spacing w:after="0"/>
              <w:rPr>
                <w:sz w:val="23"/>
                <w:szCs w:val="23"/>
                <w:color w:val="auto"/>
              </w:rPr>
            </w:pPr>
          </w:p>
        </w:tc>
        <w:tc>
          <w:tcPr>
            <w:tcW w:w="580" w:type="dxa"/>
            <w:vAlign w:val="bottom"/>
            <w:tcBorders>
              <w:bottom w:val="single" w:sz="8" w:color="auto"/>
            </w:tcBorders>
            <w:shd w:val="clear" w:color="auto" w:fill="E6E6E6"/>
          </w:tcPr>
          <w:p>
            <w:pPr>
              <w:spacing w:after="0"/>
              <w:rPr>
                <w:sz w:val="23"/>
                <w:szCs w:val="23"/>
                <w:color w:val="auto"/>
              </w:rPr>
            </w:pPr>
          </w:p>
        </w:tc>
        <w:tc>
          <w:tcPr>
            <w:tcW w:w="62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840" w:type="dxa"/>
            <w:vAlign w:val="bottom"/>
            <w:gridSpan w:val="5"/>
          </w:tcPr>
          <w:p>
            <w:pPr>
              <w:jc w:val="right"/>
              <w:ind w:right="40"/>
              <w:spacing w:after="0"/>
              <w:rPr>
                <w:sz w:val="20"/>
                <w:szCs w:val="20"/>
                <w:color w:val="auto"/>
              </w:rPr>
            </w:pPr>
            <w:r>
              <w:rPr>
                <w:rFonts w:ascii="Arial" w:cs="Arial" w:eastAsia="Arial" w:hAnsi="Arial"/>
                <w:sz w:val="18"/>
                <w:szCs w:val="18"/>
                <w:color w:val="B4B4B4"/>
                <w:w w:val="95"/>
              </w:rPr>
              <w:t>. . . . . . . . . . . . . . . . . . . . . . . . .</w:t>
            </w:r>
            <w:r>
              <w:rPr>
                <w:rFonts w:ascii="Arial" w:cs="Arial" w:eastAsia="Arial" w:hAnsi="Arial"/>
                <w:sz w:val="18"/>
                <w:szCs w:val="18"/>
                <w:color w:val="000000"/>
                <w:w w:val="95"/>
              </w:rPr>
              <w:t>Income(loss)beforeincometaxes</w:t>
            </w:r>
          </w:p>
        </w:tc>
        <w:tc>
          <w:tcPr>
            <w:tcW w:w="160" w:type="dxa"/>
            <w:vAlign w:val="bottom"/>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tcPr>
          <w:p>
            <w:pPr>
              <w:ind w:left="40"/>
              <w:spacing w:after="0"/>
              <w:rPr>
                <w:sz w:val="20"/>
                <w:szCs w:val="20"/>
                <w:color w:val="auto"/>
              </w:rPr>
            </w:pPr>
            <w:r>
              <w:rPr>
                <w:rFonts w:ascii="Arial" w:cs="Arial" w:eastAsia="Arial" w:hAnsi="Arial"/>
                <w:sz w:val="18"/>
                <w:szCs w:val="18"/>
                <w:color w:val="B4B4B4"/>
              </w:rPr>
              <w:t>. .</w:t>
            </w:r>
          </w:p>
        </w:tc>
        <w:tc>
          <w:tcPr>
            <w:tcW w:w="7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0" w:type="dxa"/>
            <w:vAlign w:val="bottom"/>
            <w:tcBorders>
              <w:bottom w:val="single" w:sz="8" w:color="E6E6E6"/>
            </w:tcBorders>
            <w:shd w:val="clear" w:color="auto" w:fill="E6E6E6"/>
          </w:tcPr>
          <w:p>
            <w:pPr>
              <w:spacing w:after="0"/>
              <w:rPr>
                <w:sz w:val="23"/>
                <w:szCs w:val="23"/>
                <w:color w:val="auto"/>
              </w:rPr>
            </w:pPr>
          </w:p>
        </w:tc>
        <w:tc>
          <w:tcPr>
            <w:tcW w:w="5140" w:type="dxa"/>
            <w:vAlign w:val="bottom"/>
            <w:tcBorders>
              <w:bottom w:val="single" w:sz="8" w:color="E6E6E6"/>
            </w:tcBorders>
            <w:gridSpan w:val="6"/>
            <w:shd w:val="clear" w:color="auto" w:fill="E6E6E6"/>
          </w:tcPr>
          <w:p>
            <w:pPr>
              <w:ind w:left="80"/>
              <w:spacing w:after="0"/>
              <w:rPr>
                <w:sz w:val="20"/>
                <w:szCs w:val="20"/>
                <w:color w:val="auto"/>
              </w:rPr>
            </w:pPr>
            <w:r>
              <w:rPr>
                <w:rFonts w:ascii="Arial" w:cs="Arial" w:eastAsia="Arial" w:hAnsi="Arial"/>
                <w:sz w:val="18"/>
                <w:szCs w:val="18"/>
                <w:color w:val="auto"/>
                <w:w w:val="92"/>
              </w:rPr>
              <w:t xml:space="preserve">Income tax benefit </w:t>
            </w:r>
            <w:r>
              <w:rPr>
                <w:rFonts w:ascii="Arial" w:cs="Arial" w:eastAsia="Arial" w:hAnsi="Arial"/>
                <w:sz w:val="18"/>
                <w:szCs w:val="18"/>
                <w:color w:val="B4B4B4"/>
                <w:w w:val="92"/>
              </w:rPr>
              <w:t>. . . . . . . . . . . . . . . . . . . . . . . . . . . . . . . . . . . . . . . .</w:t>
            </w:r>
          </w:p>
        </w:tc>
        <w:tc>
          <w:tcPr>
            <w:tcW w:w="70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580" w:type="dxa"/>
            <w:vAlign w:val="bottom"/>
            <w:tcBorders>
              <w:bottom w:val="single" w:sz="8" w:color="auto"/>
            </w:tcBorders>
            <w:shd w:val="clear" w:color="auto" w:fill="E6E6E6"/>
          </w:tcPr>
          <w:p>
            <w:pPr>
              <w:spacing w:after="0"/>
              <w:rPr>
                <w:sz w:val="23"/>
                <w:szCs w:val="23"/>
                <w:color w:val="auto"/>
              </w:rPr>
            </w:pPr>
          </w:p>
        </w:tc>
        <w:tc>
          <w:tcPr>
            <w:tcW w:w="62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20" w:type="dxa"/>
            <w:vAlign w:val="bottom"/>
            <w:tcBorders>
              <w:bottom w:val="single" w:sz="8" w:color="E6E6E6"/>
            </w:tcBorders>
            <w:gridSpan w:val="7"/>
          </w:tcPr>
          <w:p>
            <w:pPr>
              <w:jc w:val="right"/>
              <w:spacing w:after="0"/>
              <w:rPr>
                <w:sz w:val="20"/>
                <w:szCs w:val="20"/>
                <w:color w:val="auto"/>
              </w:rPr>
            </w:pPr>
            <w:r>
              <w:rPr>
                <w:rFonts w:ascii="Arial" w:cs="Arial" w:eastAsia="Arial" w:hAnsi="Arial"/>
                <w:sz w:val="18"/>
                <w:szCs w:val="18"/>
                <w:b w:val="1"/>
                <w:bCs w:val="1"/>
                <w:color w:val="B4B4B4"/>
                <w:w w:val="93"/>
              </w:rPr>
              <w:t>. . . . . . . . . . . . . . . . . . . . . . . . . . . . . . . . . . . . . . . . .</w:t>
            </w:r>
            <w:r>
              <w:rPr>
                <w:rFonts w:ascii="Arial" w:cs="Arial" w:eastAsia="Arial" w:hAnsi="Arial"/>
                <w:sz w:val="18"/>
                <w:szCs w:val="18"/>
                <w:b w:val="1"/>
                <w:bCs w:val="1"/>
                <w:color w:val="000000"/>
                <w:w w:val="93"/>
              </w:rPr>
              <w:t>NetIncome(Loss)</w:t>
            </w:r>
          </w:p>
        </w:tc>
        <w:tc>
          <w:tcPr>
            <w:tcW w:w="7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E6E6E6"/>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E6E6E6"/>
          </w:tcPr>
          <w:p>
            <w:pPr>
              <w:spacing w:after="0"/>
              <w:rPr>
                <w:sz w:val="13"/>
                <w:szCs w:val="13"/>
                <w:color w:val="auto"/>
              </w:rPr>
            </w:pPr>
          </w:p>
        </w:tc>
        <w:tc>
          <w:tcPr>
            <w:tcW w:w="4920" w:type="dxa"/>
            <w:vAlign w:val="bottom"/>
            <w:gridSpan w:val="5"/>
            <w:shd w:val="clear" w:color="auto" w:fill="E6E6E6"/>
          </w:tcPr>
          <w:p>
            <w:pPr>
              <w:ind w:left="100"/>
              <w:spacing w:after="0" w:line="159" w:lineRule="exact"/>
              <w:rPr>
                <w:sz w:val="20"/>
                <w:szCs w:val="20"/>
                <w:color w:val="auto"/>
              </w:rPr>
            </w:pPr>
            <w:r>
              <w:rPr>
                <w:rFonts w:ascii="Arial" w:cs="Arial" w:eastAsia="Arial" w:hAnsi="Arial"/>
                <w:sz w:val="18"/>
                <w:szCs w:val="18"/>
                <w:color w:val="auto"/>
                <w:w w:val="91"/>
              </w:rPr>
              <w:t>Less: Net (loss) income attributable to noncontrolling interests and</w:t>
            </w:r>
          </w:p>
        </w:tc>
        <w:tc>
          <w:tcPr>
            <w:tcW w:w="22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4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3"/>
                <w:szCs w:val="13"/>
                <w:color w:val="auto"/>
              </w:rPr>
            </w:pPr>
          </w:p>
        </w:tc>
        <w:tc>
          <w:tcPr>
            <w:tcW w:w="580" w:type="dxa"/>
            <w:vAlign w:val="bottom"/>
            <w:shd w:val="clear" w:color="auto" w:fill="E6E6E6"/>
          </w:tcPr>
          <w:p>
            <w:pPr>
              <w:spacing w:after="0"/>
              <w:rPr>
                <w:sz w:val="13"/>
                <w:szCs w:val="13"/>
                <w:color w:val="auto"/>
              </w:rPr>
            </w:pPr>
          </w:p>
        </w:tc>
        <w:tc>
          <w:tcPr>
            <w:tcW w:w="620" w:type="dxa"/>
            <w:vAlign w:val="bottom"/>
            <w:gridSpan w:val="2"/>
            <w:vMerge w:val="restart"/>
            <w:shd w:val="clear" w:color="auto" w:fill="E6E6E6"/>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820" w:type="dxa"/>
            <w:vAlign w:val="bottom"/>
            <w:gridSpan w:val="2"/>
            <w:vMerge w:val="restart"/>
            <w:shd w:val="clear" w:color="auto" w:fill="E6E6E6"/>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4600" w:type="dxa"/>
            <w:vAlign w:val="bottom"/>
            <w:tcBorders>
              <w:bottom w:val="single" w:sz="8" w:color="E6E6E6"/>
            </w:tcBorders>
            <w:gridSpan w:val="3"/>
            <w:shd w:val="clear" w:color="auto" w:fill="E6E6E6"/>
          </w:tcPr>
          <w:p>
            <w:pPr>
              <w:jc w:val="right"/>
              <w:ind w:right="40"/>
              <w:spacing w:after="0"/>
              <w:rPr>
                <w:sz w:val="20"/>
                <w:szCs w:val="20"/>
                <w:color w:val="auto"/>
              </w:rPr>
            </w:pPr>
            <w:r>
              <w:rPr>
                <w:rFonts w:ascii="Arial" w:cs="Arial" w:eastAsia="Arial" w:hAnsi="Arial"/>
                <w:sz w:val="18"/>
                <w:szCs w:val="18"/>
                <w:color w:val="auto"/>
                <w:w w:val="92"/>
              </w:rPr>
              <w:t xml:space="preserve">redeemable noncontrolling interests  </w:t>
            </w:r>
            <w:r>
              <w:rPr>
                <w:rFonts w:ascii="Arial" w:cs="Arial" w:eastAsia="Arial" w:hAnsi="Arial"/>
                <w:sz w:val="18"/>
                <w:szCs w:val="18"/>
                <w:color w:val="B4B4B4"/>
                <w:w w:val="92"/>
              </w:rPr>
              <w:t>. . . . . . . . . . . . . . . . . . . .</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B4B4B4"/>
                <w:w w:val="79"/>
              </w:rPr>
              <w:t>. .</w:t>
            </w:r>
          </w:p>
        </w:tc>
        <w:tc>
          <w:tcPr>
            <w:tcW w:w="2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B4B4B4"/>
              </w:rPr>
              <w:t>. .</w:t>
            </w:r>
          </w:p>
        </w:tc>
        <w:tc>
          <w:tcPr>
            <w:tcW w:w="700" w:type="dxa"/>
            <w:vAlign w:val="bottom"/>
            <w:tcBorders>
              <w:bottom w:val="single" w:sz="8" w:color="auto"/>
            </w:tcBorders>
            <w:shd w:val="clear" w:color="auto" w:fill="E6E6E6"/>
          </w:tcPr>
          <w:p>
            <w:pPr>
              <w:spacing w:after="0"/>
              <w:rPr>
                <w:sz w:val="22"/>
                <w:szCs w:val="22"/>
                <w:color w:val="auto"/>
              </w:rPr>
            </w:pPr>
          </w:p>
        </w:tc>
        <w:tc>
          <w:tcPr>
            <w:tcW w:w="80" w:type="dxa"/>
            <w:vAlign w:val="bottom"/>
            <w:tcBorders>
              <w:bottom w:val="single" w:sz="8" w:color="auto"/>
            </w:tcBorders>
            <w:shd w:val="clear" w:color="auto" w:fill="E6E6E6"/>
          </w:tcPr>
          <w:p>
            <w:pPr>
              <w:spacing w:after="0"/>
              <w:rPr>
                <w:sz w:val="22"/>
                <w:szCs w:val="22"/>
                <w:color w:val="auto"/>
              </w:rPr>
            </w:pPr>
          </w:p>
        </w:tc>
        <w:tc>
          <w:tcPr>
            <w:tcW w:w="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580" w:type="dxa"/>
            <w:vAlign w:val="bottom"/>
            <w:tcBorders>
              <w:bottom w:val="single" w:sz="8" w:color="auto"/>
            </w:tcBorders>
            <w:shd w:val="clear" w:color="auto" w:fill="E6E6E6"/>
          </w:tcPr>
          <w:p>
            <w:pPr>
              <w:spacing w:after="0"/>
              <w:rPr>
                <w:sz w:val="22"/>
                <w:szCs w:val="22"/>
                <w:color w:val="auto"/>
              </w:rPr>
            </w:pPr>
          </w:p>
        </w:tc>
        <w:tc>
          <w:tcPr>
            <w:tcW w:w="620" w:type="dxa"/>
            <w:vAlign w:val="bottom"/>
            <w:tcBorders>
              <w:bottom w:val="single" w:sz="8" w:color="auto"/>
            </w:tcBorders>
            <w:gridSpan w:val="2"/>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38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gridSpan w:val="2"/>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0" w:type="dxa"/>
            <w:vAlign w:val="bottom"/>
            <w:tcBorders>
              <w:bottom w:val="single" w:sz="8" w:color="auto"/>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660" w:type="dxa"/>
            <w:vAlign w:val="bottom"/>
            <w:tcBorders>
              <w:bottom w:val="single" w:sz="8" w:color="auto"/>
            </w:tcBorders>
            <w:vMerge w:val="continue"/>
            <w:shd w:val="clear" w:color="auto" w:fill="E6E6E6"/>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8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b w:val="1"/>
                <w:bCs w:val="1"/>
                <w:color w:val="B4B4B4"/>
                <w:w w:val="99"/>
              </w:rPr>
              <w:t>. . . .</w:t>
            </w:r>
            <w:r>
              <w:rPr>
                <w:rFonts w:ascii="Arial" w:cs="Arial" w:eastAsia="Arial" w:hAnsi="Arial"/>
                <w:sz w:val="18"/>
                <w:szCs w:val="18"/>
                <w:b w:val="1"/>
                <w:bCs w:val="1"/>
                <w:color w:val="auto"/>
                <w:w w:val="99"/>
              </w:rPr>
              <w:t>NetIncome(Loss)AttributabletoClearwayEnergy,Inc</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B4B4B4"/>
                <w:w w:val="79"/>
              </w:rPr>
              <w:t>. .</w:t>
            </w: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B4B4B4"/>
              </w:rPr>
              <w:t xml:space="preserve">. . </w:t>
            </w:r>
            <w:r>
              <w:rPr>
                <w:rFonts w:ascii="Arial" w:cs="Arial" w:eastAsia="Arial" w:hAnsi="Arial"/>
                <w:sz w:val="18"/>
                <w:szCs w:val="18"/>
                <w:color w:val="000000"/>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60" w:type="dxa"/>
            <w:vAlign w:val="bottom"/>
            <w:gridSpan w:val="2"/>
          </w:tcPr>
          <w:p>
            <w:pPr>
              <w:jc w:val="right"/>
              <w:ind w:right="35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E6E6E6"/>
            </w:tcBorders>
          </w:tcPr>
          <w:p>
            <w:pPr>
              <w:spacing w:after="0" w:line="20" w:lineRule="exact"/>
              <w:rPr>
                <w:sz w:val="1"/>
                <w:szCs w:val="1"/>
                <w:color w:val="auto"/>
              </w:rPr>
            </w:pPr>
          </w:p>
        </w:tc>
        <w:tc>
          <w:tcPr>
            <w:tcW w:w="160" w:type="dxa"/>
            <w:vAlign w:val="bottom"/>
            <w:tcBorders>
              <w:bottom w:val="single" w:sz="8" w:color="E6E6E6"/>
            </w:tcBorders>
          </w:tcPr>
          <w:p>
            <w:pPr>
              <w:spacing w:after="0" w:line="20" w:lineRule="exact"/>
              <w:rPr>
                <w:sz w:val="1"/>
                <w:szCs w:val="1"/>
                <w:color w:val="auto"/>
              </w:rPr>
            </w:pPr>
          </w:p>
        </w:tc>
        <w:tc>
          <w:tcPr>
            <w:tcW w:w="1740" w:type="dxa"/>
            <w:vAlign w:val="bottom"/>
            <w:tcBorders>
              <w:bottom w:val="single" w:sz="8" w:color="E6E6E6"/>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2760" w:type="dxa"/>
            <w:vAlign w:val="bottom"/>
            <w:tcBorders>
              <w:bottom w:val="single" w:sz="8" w:color="E6E6E6"/>
            </w:tcBorders>
          </w:tcPr>
          <w:p>
            <w:pPr>
              <w:spacing w:after="0" w:line="20" w:lineRule="exact"/>
              <w:rPr>
                <w:sz w:val="1"/>
                <w:szCs w:val="1"/>
                <w:color w:val="auto"/>
              </w:rPr>
            </w:pPr>
          </w:p>
        </w:tc>
        <w:tc>
          <w:tcPr>
            <w:tcW w:w="16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E6E6E6"/>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40" w:type="dxa"/>
            <w:vAlign w:val="bottom"/>
            <w:gridSpan w:val="5"/>
            <w:shd w:val="clear" w:color="auto" w:fill="E6E6E6"/>
          </w:tcPr>
          <w:p>
            <w:pPr>
              <w:ind w:left="4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5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5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660" w:type="dxa"/>
            <w:vAlign w:val="bottom"/>
            <w:shd w:val="clear" w:color="auto" w:fill="E6E6E6"/>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 xml:space="preserve">Equity investments in affiliates </w:t>
            </w:r>
            <w:r>
              <w:rPr>
                <w:rFonts w:ascii="Arial" w:cs="Arial" w:eastAsia="Arial" w:hAnsi="Arial"/>
                <w:sz w:val="18"/>
                <w:szCs w:val="18"/>
                <w:color w:val="B4B4B4"/>
                <w:w w:val="92"/>
              </w:rPr>
              <w:t>. . . . . . . . . . . . . . . . . . . . . . . . . . . .</w:t>
            </w:r>
          </w:p>
        </w:tc>
        <w:tc>
          <w:tcPr>
            <w:tcW w:w="160" w:type="dxa"/>
            <w:vAlign w:val="bottom"/>
          </w:tcPr>
          <w:p>
            <w:pPr>
              <w:jc w:val="right"/>
              <w:spacing w:after="0"/>
              <w:rPr>
                <w:sz w:val="20"/>
                <w:szCs w:val="20"/>
                <w:color w:val="auto"/>
              </w:rPr>
            </w:pPr>
            <w:r>
              <w:rPr>
                <w:rFonts w:ascii="Arial" w:cs="Arial" w:eastAsia="Arial" w:hAnsi="Arial"/>
                <w:sz w:val="18"/>
                <w:szCs w:val="18"/>
                <w:color w:val="B4B4B4"/>
                <w:w w:val="92"/>
              </w:rPr>
              <w:t>. .</w:t>
            </w:r>
          </w:p>
        </w:tc>
        <w:tc>
          <w:tcPr>
            <w:tcW w:w="920" w:type="dxa"/>
            <w:vAlign w:val="bottom"/>
            <w:gridSpan w:val="2"/>
          </w:tcPr>
          <w:p>
            <w:pPr>
              <w:ind w:left="40"/>
              <w:spacing w:after="0"/>
              <w:rPr>
                <w:sz w:val="20"/>
                <w:szCs w:val="20"/>
                <w:color w:val="auto"/>
              </w:rPr>
            </w:pPr>
            <w:r>
              <w:rPr>
                <w:rFonts w:ascii="Arial" w:cs="Arial" w:eastAsia="Arial" w:hAnsi="Arial"/>
                <w:sz w:val="18"/>
                <w:szCs w:val="18"/>
                <w:color w:val="B4B4B4"/>
              </w:rPr>
              <w:t xml:space="preserve">. . </w:t>
            </w:r>
            <w:r>
              <w:rPr>
                <w:rFonts w:ascii="Arial" w:cs="Arial" w:eastAsia="Arial" w:hAnsi="Arial"/>
                <w:sz w:val="18"/>
                <w:szCs w:val="18"/>
                <w:color w:val="000000"/>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35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20" w:type="dxa"/>
            <w:vAlign w:val="bottom"/>
            <w:gridSpan w:val="7"/>
            <w:shd w:val="clear" w:color="auto" w:fill="E6E6E6"/>
          </w:tcPr>
          <w:p>
            <w:pPr>
              <w:jc w:val="right"/>
              <w:spacing w:after="0" w:line="263" w:lineRule="exact"/>
              <w:rPr>
                <w:sz w:val="20"/>
                <w:szCs w:val="20"/>
                <w:color w:val="auto"/>
              </w:rPr>
            </w:pPr>
            <w:r>
              <w:rPr>
                <w:rFonts w:ascii="Arial" w:cs="Arial" w:eastAsia="Arial" w:hAnsi="Arial"/>
                <w:sz w:val="18"/>
                <w:szCs w:val="18"/>
                <w:color w:val="auto"/>
                <w:w w:val="89"/>
              </w:rPr>
              <w:t xml:space="preserve">Capital expenditures </w:t>
            </w:r>
            <w:r>
              <w:rPr>
                <w:rFonts w:ascii="Arial" w:cs="Arial" w:eastAsia="Arial" w:hAnsi="Arial"/>
                <w:sz w:val="23"/>
                <w:szCs w:val="23"/>
                <w:color w:val="auto"/>
                <w:w w:val="89"/>
                <w:vertAlign w:val="superscript"/>
              </w:rPr>
              <w:t>(b)</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w:t>
            </w:r>
          </w:p>
        </w:tc>
        <w:tc>
          <w:tcPr>
            <w:tcW w:w="700" w:type="dxa"/>
            <w:vAlign w:val="bottom"/>
            <w:shd w:val="clear" w:color="auto" w:fill="E6E6E6"/>
          </w:tcPr>
          <w:p>
            <w:pPr>
              <w:spacing w:after="0"/>
              <w:rPr>
                <w:sz w:val="22"/>
                <w:szCs w:val="22"/>
                <w:color w:val="auto"/>
              </w:rPr>
            </w:pPr>
          </w:p>
        </w:tc>
        <w:tc>
          <w:tcPr>
            <w:tcW w:w="5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E6E6E6"/>
          </w:tcPr>
          <w:p>
            <w:pPr>
              <w:spacing w:after="0"/>
              <w:rPr>
                <w:sz w:val="22"/>
                <w:szCs w:val="22"/>
                <w:color w:val="auto"/>
              </w:rPr>
            </w:pPr>
          </w:p>
        </w:tc>
        <w:tc>
          <w:tcPr>
            <w:tcW w:w="580" w:type="dxa"/>
            <w:vAlign w:val="bottom"/>
            <w:shd w:val="clear" w:color="auto" w:fill="E6E6E6"/>
          </w:tcPr>
          <w:p>
            <w:pPr>
              <w:spacing w:after="0"/>
              <w:rPr>
                <w:sz w:val="22"/>
                <w:szCs w:val="22"/>
                <w:color w:val="auto"/>
              </w:rPr>
            </w:pPr>
          </w:p>
        </w:tc>
        <w:tc>
          <w:tcPr>
            <w:tcW w:w="6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00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 xml:space="preserve">Total Assets </w:t>
            </w:r>
            <w:r>
              <w:rPr>
                <w:rFonts w:ascii="Arial" w:cs="Arial" w:eastAsia="Arial" w:hAnsi="Arial"/>
                <w:sz w:val="18"/>
                <w:szCs w:val="18"/>
                <w:b w:val="1"/>
                <w:bCs w:val="1"/>
                <w:color w:val="B4B4B4"/>
                <w:w w:val="90"/>
              </w:rPr>
              <w:t>. . . . . . . . . . . . . . . . . . . . . . . . . . . . . . . . . . . . . . . . . . . .</w:t>
            </w: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B4B4B4"/>
              </w:rPr>
              <w:t xml:space="preserve">. . </w:t>
            </w:r>
            <w:r>
              <w:rPr>
                <w:rFonts w:ascii="Arial" w:cs="Arial" w:eastAsia="Arial" w:hAnsi="Arial"/>
                <w:sz w:val="18"/>
                <w:szCs w:val="18"/>
                <w:color w:val="000000"/>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2,058</w:t>
            </w:r>
          </w:p>
        </w:tc>
        <w:tc>
          <w:tcPr>
            <w:tcW w:w="660" w:type="dxa"/>
            <w:vAlign w:val="bottom"/>
            <w:gridSpan w:val="2"/>
          </w:tcPr>
          <w:p>
            <w:pPr>
              <w:jc w:val="right"/>
              <w:ind w:right="35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12,205</w:t>
            </w: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87"/>
              </w:rPr>
              <w:t>(a)</w:t>
            </w:r>
          </w:p>
        </w:tc>
        <w:tc>
          <w:tcPr>
            <w:tcW w:w="4600" w:type="dxa"/>
            <w:vAlign w:val="bottom"/>
            <w:gridSpan w:val="3"/>
          </w:tcPr>
          <w:p>
            <w:pPr>
              <w:jc w:val="right"/>
              <w:ind w:right="3120"/>
              <w:spacing w:after="0"/>
              <w:rPr>
                <w:sz w:val="20"/>
                <w:szCs w:val="20"/>
                <w:color w:val="auto"/>
              </w:rPr>
            </w:pPr>
            <w:r>
              <w:rPr>
                <w:rFonts w:ascii="Arial" w:cs="Arial" w:eastAsia="Arial" w:hAnsi="Arial"/>
                <w:sz w:val="16"/>
                <w:szCs w:val="16"/>
                <w:color w:val="auto"/>
                <w:w w:val="95"/>
              </w:rPr>
              <w:t>Includes eliminations.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87"/>
              </w:rPr>
              <w:t>(b)</w:t>
            </w:r>
          </w:p>
        </w:tc>
        <w:tc>
          <w:tcPr>
            <w:tcW w:w="4600" w:type="dxa"/>
            <w:vAlign w:val="bottom"/>
            <w:gridSpan w:val="3"/>
          </w:tcPr>
          <w:p>
            <w:pPr>
              <w:jc w:val="right"/>
              <w:ind w:right="3380"/>
              <w:spacing w:after="0"/>
              <w:rPr>
                <w:sz w:val="20"/>
                <w:szCs w:val="20"/>
                <w:color w:val="auto"/>
              </w:rPr>
            </w:pPr>
            <w:r>
              <w:rPr>
                <w:rFonts w:ascii="Arial" w:cs="Arial" w:eastAsia="Arial" w:hAnsi="Arial"/>
                <w:sz w:val="16"/>
                <w:szCs w:val="16"/>
                <w:color w:val="auto"/>
                <w:w w:val="93"/>
              </w:rPr>
              <w:t>Includes accruals.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171"/>
              <w:spacing w:after="0"/>
              <w:rPr>
                <w:sz w:val="20"/>
                <w:szCs w:val="20"/>
                <w:color w:val="auto"/>
              </w:rPr>
            </w:pPr>
            <w:r>
              <w:rPr>
                <w:rFonts w:ascii="Arial" w:cs="Arial" w:eastAsia="Arial" w:hAnsi="Arial"/>
                <w:sz w:val="16"/>
                <w:szCs w:val="16"/>
                <w:b w:val="1"/>
                <w:bCs w:val="1"/>
                <w:color w:val="auto"/>
                <w:w w:val="93"/>
              </w:rPr>
              <w:t>Year ended December 31, 2022</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7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6"/>
                <w:szCs w:val="16"/>
                <w:color w:val="auto"/>
              </w:rPr>
            </w:pPr>
          </w:p>
        </w:tc>
        <w:tc>
          <w:tcPr>
            <w:tcW w:w="108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w w:val="99"/>
              </w:rPr>
              <w:t>Renewables</w:t>
            </w:r>
          </w:p>
        </w:tc>
        <w:tc>
          <w:tcPr>
            <w:tcW w:w="60" w:type="dxa"/>
            <w:vAlign w:val="bottom"/>
          </w:tcPr>
          <w:p>
            <w:pPr>
              <w:spacing w:after="0"/>
              <w:rPr>
                <w:sz w:val="16"/>
                <w:szCs w:val="16"/>
                <w:color w:val="auto"/>
              </w:rPr>
            </w:pPr>
          </w:p>
        </w:tc>
        <w:tc>
          <w:tcPr>
            <w:tcW w:w="102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rPr>
              <w:t>Thermal</w:t>
            </w:r>
          </w:p>
        </w:tc>
        <w:tc>
          <w:tcPr>
            <w:tcW w:w="80" w:type="dxa"/>
            <w:vAlign w:val="bottom"/>
          </w:tcPr>
          <w:p>
            <w:pPr>
              <w:spacing w:after="0"/>
              <w:rPr>
                <w:sz w:val="16"/>
                <w:szCs w:val="16"/>
                <w:color w:val="auto"/>
              </w:rPr>
            </w:pPr>
          </w:p>
        </w:tc>
        <w:tc>
          <w:tcPr>
            <w:tcW w:w="1080" w:type="dxa"/>
            <w:vAlign w:val="bottom"/>
            <w:gridSpan w:val="3"/>
            <w:vMerge w:val="restart"/>
          </w:tcPr>
          <w:p>
            <w:pPr>
              <w:jc w:val="right"/>
              <w:ind w:right="10"/>
              <w:spacing w:after="0"/>
              <w:rPr>
                <w:sz w:val="20"/>
                <w:szCs w:val="20"/>
                <w:color w:val="auto"/>
              </w:rPr>
            </w:pPr>
            <w:r>
              <w:rPr>
                <w:rFonts w:ascii="Arial" w:cs="Arial" w:eastAsia="Arial" w:hAnsi="Arial"/>
                <w:sz w:val="16"/>
                <w:szCs w:val="16"/>
                <w:b w:val="1"/>
                <w:bCs w:val="1"/>
                <w:color w:val="auto"/>
                <w:w w:val="98"/>
              </w:rPr>
              <w:t xml:space="preserve">Corporate </w:t>
            </w:r>
            <w:r>
              <w:rPr>
                <w:rFonts w:ascii="Arial" w:cs="Arial" w:eastAsia="Arial" w:hAnsi="Arial"/>
                <w:sz w:val="20"/>
                <w:szCs w:val="20"/>
                <w:b w:val="1"/>
                <w:bCs w:val="1"/>
                <w:color w:val="auto"/>
                <w:w w:val="98"/>
                <w:vertAlign w:val="superscript"/>
              </w:rPr>
              <w:t>(a)</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4760" w:type="dxa"/>
            <w:vAlign w:val="bottom"/>
            <w:tcBorders>
              <w:bottom w:val="single" w:sz="8" w:color="E6E6E6"/>
            </w:tcBorders>
            <w:gridSpan w:val="4"/>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6"/>
                <w:szCs w:val="16"/>
                <w:b w:val="1"/>
                <w:bCs w:val="1"/>
                <w:color w:val="auto"/>
                <w:w w:val="89"/>
              </w:rPr>
              <w:t>Generation</w:t>
            </w:r>
          </w:p>
        </w:tc>
        <w:tc>
          <w:tcPr>
            <w:tcW w:w="8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47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B4B4B4"/>
                <w:w w:val="92"/>
              </w:rPr>
              <w:t>. . . . . . . . . . . . . . . . . . . . . . . . . . . . . . . . . . . .</w:t>
            </w:r>
            <w:r>
              <w:rPr>
                <w:rFonts w:ascii="Arial" w:cs="Arial" w:eastAsia="Arial" w:hAnsi="Arial"/>
                <w:sz w:val="18"/>
                <w:szCs w:val="18"/>
                <w:color w:val="000000"/>
                <w:w w:val="92"/>
              </w:rPr>
              <w:t>Operatingrevenues</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E6E6E6"/>
          </w:tcPr>
          <w:p>
            <w:pPr>
              <w:spacing w:after="0"/>
              <w:rPr>
                <w:sz w:val="21"/>
                <w:szCs w:val="21"/>
                <w:color w:val="auto"/>
              </w:rPr>
            </w:pPr>
          </w:p>
        </w:tc>
        <w:tc>
          <w:tcPr>
            <w:tcW w:w="420" w:type="dxa"/>
            <w:vAlign w:val="bottom"/>
            <w:shd w:val="clear" w:color="auto" w:fill="E6E6E6"/>
          </w:tcPr>
          <w:p>
            <w:pPr>
              <w:jc w:val="right"/>
              <w:ind w:right="19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E6E6E6"/>
          </w:tcPr>
          <w:p>
            <w:pPr>
              <w:spacing w:after="0"/>
              <w:rPr>
                <w:sz w:val="21"/>
                <w:szCs w:val="21"/>
                <w:color w:val="auto"/>
              </w:rPr>
            </w:pPr>
          </w:p>
        </w:tc>
        <w:tc>
          <w:tcPr>
            <w:tcW w:w="560" w:type="dxa"/>
            <w:vAlign w:val="bottom"/>
            <w:shd w:val="clear" w:color="auto" w:fill="E6E6E6"/>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E6E6E6"/>
          </w:tcPr>
          <w:p>
            <w:pPr>
              <w:spacing w:after="0"/>
              <w:rPr>
                <w:sz w:val="21"/>
                <w:szCs w:val="21"/>
                <w:color w:val="auto"/>
              </w:rPr>
            </w:pPr>
          </w:p>
        </w:tc>
        <w:tc>
          <w:tcPr>
            <w:tcW w:w="20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Cost of operations, exclusive of depreciation, amortization</w:t>
            </w:r>
          </w:p>
        </w:tc>
        <w:tc>
          <w:tcPr>
            <w:tcW w:w="160" w:type="dxa"/>
            <w:vAlign w:val="bottom"/>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 xml:space="preserve">and accretion shown separately below </w:t>
            </w:r>
            <w:r>
              <w:rPr>
                <w:rFonts w:ascii="Arial" w:cs="Arial" w:eastAsia="Arial" w:hAnsi="Arial"/>
                <w:sz w:val="18"/>
                <w:szCs w:val="18"/>
                <w:color w:val="B4B4B4"/>
                <w:w w:val="95"/>
              </w:rPr>
              <w:t>. . . . . . . . . . . . . . . . .</w:t>
            </w: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460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w w:val="91"/>
              </w:rPr>
              <w:t xml:space="preserve">Depreciation, amortization and accretion </w:t>
            </w:r>
            <w:r>
              <w:rPr>
                <w:rFonts w:ascii="Arial" w:cs="Arial" w:eastAsia="Arial" w:hAnsi="Arial"/>
                <w:sz w:val="18"/>
                <w:szCs w:val="18"/>
                <w:color w:val="B4B4B4"/>
                <w:w w:val="91"/>
              </w:rPr>
              <w:t>. . . . . . . . . . . . . . . . .</w:t>
            </w:r>
          </w:p>
        </w:tc>
        <w:tc>
          <w:tcPr>
            <w:tcW w:w="160" w:type="dxa"/>
            <w:vAlign w:val="bottom"/>
            <w:shd w:val="clear" w:color="auto" w:fill="E6E6E6"/>
          </w:tcPr>
          <w:p>
            <w:pPr>
              <w:spacing w:after="0"/>
              <w:rPr>
                <w:sz w:val="22"/>
                <w:szCs w:val="22"/>
                <w:color w:val="auto"/>
              </w:rPr>
            </w:pPr>
          </w:p>
        </w:tc>
        <w:tc>
          <w:tcPr>
            <w:tcW w:w="9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381</w:t>
            </w:r>
          </w:p>
        </w:tc>
        <w:tc>
          <w:tcPr>
            <w:tcW w:w="6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gridSpan w:val="5"/>
          </w:tcPr>
          <w:p>
            <w:pPr>
              <w:jc w:val="right"/>
              <w:ind w:right="351"/>
              <w:spacing w:after="0"/>
              <w:rPr>
                <w:sz w:val="20"/>
                <w:szCs w:val="20"/>
                <w:color w:val="auto"/>
              </w:rPr>
            </w:pPr>
            <w:r>
              <w:rPr>
                <w:rFonts w:ascii="Arial" w:cs="Arial" w:eastAsia="Arial" w:hAnsi="Arial"/>
                <w:sz w:val="18"/>
                <w:szCs w:val="18"/>
                <w:color w:val="auto"/>
                <w:w w:val="91"/>
              </w:rPr>
              <w:t xml:space="preserve">Impairment losses </w:t>
            </w:r>
            <w:r>
              <w:rPr>
                <w:rFonts w:ascii="Arial" w:cs="Arial" w:eastAsia="Arial" w:hAnsi="Arial"/>
                <w:sz w:val="18"/>
                <w:szCs w:val="18"/>
                <w:color w:val="B4B4B4"/>
                <w:w w:val="91"/>
              </w:rPr>
              <w:t>. . . . . . . . . . . . . . . . . . . . . . . . . . . . . . . . . .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460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w w:val="91"/>
              </w:rPr>
              <w:t xml:space="preserve">General and administrative </w:t>
            </w:r>
            <w:r>
              <w:rPr>
                <w:rFonts w:ascii="Arial" w:cs="Arial" w:eastAsia="Arial" w:hAnsi="Arial"/>
                <w:sz w:val="18"/>
                <w:szCs w:val="18"/>
                <w:color w:val="B4B4B4"/>
                <w:w w:val="91"/>
              </w:rPr>
              <w:t>. . . . . . . . . . . . . . . . . . . . . . . . . . . .</w:t>
            </w:r>
          </w:p>
        </w:tc>
        <w:tc>
          <w:tcPr>
            <w:tcW w:w="1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3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 xml:space="preserve">Transaction and integration costs </w:t>
            </w:r>
            <w:r>
              <w:rPr>
                <w:rFonts w:ascii="Arial" w:cs="Arial" w:eastAsia="Arial" w:hAnsi="Arial"/>
                <w:sz w:val="18"/>
                <w:szCs w:val="18"/>
                <w:color w:val="B4B4B4"/>
                <w:w w:val="91"/>
              </w:rPr>
              <w:t>. . . . . . . . . . . . . . . . . . . . . .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4600" w:type="dxa"/>
            <w:vAlign w:val="bottom"/>
            <w:tcBorders>
              <w:bottom w:val="single" w:sz="8" w:color="E6E6E6"/>
            </w:tcBorders>
            <w:gridSpan w:val="3"/>
            <w:shd w:val="clear" w:color="auto" w:fill="E6E6E6"/>
          </w:tcPr>
          <w:p>
            <w:pPr>
              <w:jc w:val="right"/>
              <w:ind w:right="60"/>
              <w:spacing w:after="0"/>
              <w:rPr>
                <w:sz w:val="20"/>
                <w:szCs w:val="20"/>
                <w:color w:val="auto"/>
              </w:rPr>
            </w:pPr>
            <w:r>
              <w:rPr>
                <w:rFonts w:ascii="Arial" w:cs="Arial" w:eastAsia="Arial" w:hAnsi="Arial"/>
                <w:sz w:val="18"/>
                <w:szCs w:val="18"/>
                <w:color w:val="auto"/>
                <w:w w:val="90"/>
              </w:rPr>
              <w:t xml:space="preserve">Development costs  </w:t>
            </w:r>
            <w:r>
              <w:rPr>
                <w:rFonts w:ascii="Arial" w:cs="Arial" w:eastAsia="Arial" w:hAnsi="Arial"/>
                <w:sz w:val="18"/>
                <w:szCs w:val="18"/>
                <w:color w:val="B4B4B4"/>
                <w:w w:val="90"/>
              </w:rPr>
              <w:t>. . . . . . . . . . . . . . . . . . . . . . . . . . . . . . . . . .</w:t>
            </w:r>
          </w:p>
        </w:tc>
        <w:tc>
          <w:tcPr>
            <w:tcW w:w="160" w:type="dxa"/>
            <w:vAlign w:val="bottom"/>
            <w:tcBorders>
              <w:bottom w:val="single" w:sz="8" w:color="auto"/>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56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74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880" w:type="dxa"/>
            <w:vAlign w:val="bottom"/>
            <w:tcBorders>
              <w:bottom w:val="single" w:sz="8" w:color="auto"/>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0" w:type="dxa"/>
            <w:vAlign w:val="bottom"/>
            <w:gridSpan w:val="3"/>
          </w:tcPr>
          <w:p>
            <w:pPr>
              <w:jc w:val="right"/>
              <w:ind w:right="60"/>
              <w:spacing w:after="0"/>
              <w:rPr>
                <w:sz w:val="20"/>
                <w:szCs w:val="20"/>
                <w:color w:val="auto"/>
              </w:rPr>
            </w:pPr>
            <w:r>
              <w:rPr>
                <w:rFonts w:ascii="Arial" w:cs="Arial" w:eastAsia="Arial" w:hAnsi="Arial"/>
                <w:sz w:val="18"/>
                <w:szCs w:val="18"/>
                <w:color w:val="B4B4B4"/>
                <w:w w:val="94"/>
              </w:rPr>
              <w:t>. . . . . . . . . . . . . . . . . . . . . .</w:t>
            </w:r>
            <w:r>
              <w:rPr>
                <w:rFonts w:ascii="Arial" w:cs="Arial" w:eastAsia="Arial" w:hAnsi="Arial"/>
                <w:sz w:val="18"/>
                <w:szCs w:val="18"/>
                <w:color w:val="000000"/>
                <w:w w:val="94"/>
              </w:rPr>
              <w:t>Totaloperatingcostsandexpenses</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4600" w:type="dxa"/>
            <w:vAlign w:val="bottom"/>
            <w:tcBorders>
              <w:bottom w:val="single" w:sz="8" w:color="E6E6E6"/>
            </w:tcBorders>
            <w:gridSpan w:val="3"/>
            <w:shd w:val="clear" w:color="auto" w:fill="E6E6E6"/>
          </w:tcPr>
          <w:p>
            <w:pPr>
              <w:jc w:val="right"/>
              <w:ind w:right="60"/>
              <w:spacing w:after="0"/>
              <w:rPr>
                <w:sz w:val="20"/>
                <w:szCs w:val="20"/>
                <w:color w:val="auto"/>
              </w:rPr>
            </w:pPr>
            <w:r>
              <w:rPr>
                <w:rFonts w:ascii="Arial" w:cs="Arial" w:eastAsia="Arial" w:hAnsi="Arial"/>
                <w:sz w:val="18"/>
                <w:szCs w:val="18"/>
                <w:color w:val="auto"/>
                <w:w w:val="90"/>
              </w:rPr>
              <w:t xml:space="preserve">Gain on sale of business </w:t>
            </w:r>
            <w:r>
              <w:rPr>
                <w:rFonts w:ascii="Arial" w:cs="Arial" w:eastAsia="Arial" w:hAnsi="Arial"/>
                <w:sz w:val="18"/>
                <w:szCs w:val="18"/>
                <w:color w:val="B4B4B4"/>
                <w:w w:val="90"/>
              </w:rPr>
              <w:t>. . . . . . . . . . . . . . . . . . . . . . . . . . . . . .</w:t>
            </w:r>
          </w:p>
        </w:tc>
        <w:tc>
          <w:tcPr>
            <w:tcW w:w="160" w:type="dxa"/>
            <w:vAlign w:val="bottom"/>
            <w:tcBorders>
              <w:bottom w:val="single" w:sz="8" w:color="auto"/>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56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auto"/>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auto"/>
            </w:tcBorders>
            <w:gridSpan w:val="3"/>
            <w:shd w:val="clear" w:color="auto" w:fill="E6E6E6"/>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880" w:type="dxa"/>
            <w:vAlign w:val="bottom"/>
            <w:tcBorders>
              <w:bottom w:val="single" w:sz="8" w:color="auto"/>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920" w:type="dxa"/>
            <w:vAlign w:val="bottom"/>
            <w:gridSpan w:val="5"/>
          </w:tcPr>
          <w:p>
            <w:pPr>
              <w:jc w:val="right"/>
              <w:ind w:right="130"/>
              <w:spacing w:after="0"/>
              <w:rPr>
                <w:sz w:val="20"/>
                <w:szCs w:val="20"/>
                <w:color w:val="auto"/>
              </w:rPr>
            </w:pPr>
            <w:r>
              <w:rPr>
                <w:rFonts w:ascii="Arial" w:cs="Arial" w:eastAsia="Arial" w:hAnsi="Arial"/>
                <w:sz w:val="18"/>
                <w:szCs w:val="18"/>
                <w:color w:val="B4B4B4"/>
                <w:w w:val="93"/>
              </w:rPr>
              <w:t>. . . . . . . . . . . . . . . . . . . . . . . . . . . . . . . . . . . . .</w:t>
            </w:r>
            <w:r>
              <w:rPr>
                <w:rFonts w:ascii="Arial" w:cs="Arial" w:eastAsia="Arial" w:hAnsi="Arial"/>
                <w:sz w:val="18"/>
                <w:szCs w:val="18"/>
                <w:color w:val="000000"/>
                <w:w w:val="93"/>
              </w:rPr>
              <w:t>Operatingincome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460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w w:val="92"/>
              </w:rPr>
              <w:t xml:space="preserve">Equity in earnings of unconsolidated affiliates </w:t>
            </w:r>
            <w:r>
              <w:rPr>
                <w:rFonts w:ascii="Arial" w:cs="Arial" w:eastAsia="Arial" w:hAnsi="Arial"/>
                <w:sz w:val="18"/>
                <w:szCs w:val="18"/>
                <w:color w:val="B4B4B4"/>
                <w:w w:val="92"/>
              </w:rPr>
              <w:t>. . . . . . . . . . . . .</w:t>
            </w:r>
          </w:p>
        </w:tc>
        <w:tc>
          <w:tcPr>
            <w:tcW w:w="160" w:type="dxa"/>
            <w:vAlign w:val="bottom"/>
            <w:shd w:val="clear" w:color="auto" w:fill="E6E6E6"/>
          </w:tcPr>
          <w:p>
            <w:pPr>
              <w:spacing w:after="0"/>
              <w:rPr>
                <w:sz w:val="22"/>
                <w:szCs w:val="22"/>
                <w:color w:val="auto"/>
              </w:rPr>
            </w:pPr>
          </w:p>
        </w:tc>
        <w:tc>
          <w:tcPr>
            <w:tcW w:w="9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6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 xml:space="preserve">Other income, net </w:t>
            </w:r>
            <w:r>
              <w:rPr>
                <w:rFonts w:ascii="Arial" w:cs="Arial" w:eastAsia="Arial" w:hAnsi="Arial"/>
                <w:sz w:val="18"/>
                <w:szCs w:val="18"/>
                <w:color w:val="B4B4B4"/>
                <w:w w:val="91"/>
              </w:rPr>
              <w:t>. . . . . . . . . . . . . . . . . . . . . . . . . . . . . . . . . .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460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w w:val="90"/>
              </w:rPr>
              <w:t xml:space="preserve">Loss on debt extinguishment </w:t>
            </w:r>
            <w:r>
              <w:rPr>
                <w:rFonts w:ascii="Arial" w:cs="Arial" w:eastAsia="Arial" w:hAnsi="Arial"/>
                <w:sz w:val="18"/>
                <w:szCs w:val="18"/>
                <w:color w:val="B4B4B4"/>
                <w:w w:val="90"/>
              </w:rPr>
              <w:t>. . . . . . . . . . . . . . . . . . . . . . . . . . .</w:t>
            </w:r>
          </w:p>
        </w:tc>
        <w:tc>
          <w:tcPr>
            <w:tcW w:w="1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60" w:type="dxa"/>
            <w:vAlign w:val="bottom"/>
            <w:gridSpan w:val="4"/>
          </w:tcPr>
          <w:p>
            <w:pPr>
              <w:jc w:val="right"/>
              <w:ind w:right="130"/>
              <w:spacing w:after="0"/>
              <w:rPr>
                <w:sz w:val="20"/>
                <w:szCs w:val="20"/>
                <w:color w:val="auto"/>
              </w:rPr>
            </w:pPr>
            <w:r>
              <w:rPr>
                <w:rFonts w:ascii="Arial" w:cs="Arial" w:eastAsia="Arial" w:hAnsi="Arial"/>
                <w:sz w:val="18"/>
                <w:szCs w:val="18"/>
                <w:color w:val="auto"/>
                <w:w w:val="90"/>
              </w:rPr>
              <w:t xml:space="preserve">Interest expense  </w:t>
            </w:r>
            <w:r>
              <w:rPr>
                <w:rFonts w:ascii="Arial" w:cs="Arial" w:eastAsia="Arial" w:hAnsi="Arial"/>
                <w:sz w:val="18"/>
                <w:szCs w:val="18"/>
                <w:color w:val="B4B4B4"/>
                <w:w w:val="90"/>
              </w:rPr>
              <w:t>. . . . . . . . . . . . . . . . . . . . . . . . . . . . . . . . . . .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3"/>
              </w:rPr>
              <w:t>(99)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4760" w:type="dxa"/>
            <w:vAlign w:val="bottom"/>
            <w:tcBorders>
              <w:top w:val="single" w:sz="8" w:color="E6E6E6"/>
            </w:tcBorders>
            <w:gridSpan w:val="4"/>
            <w:shd w:val="clear" w:color="auto" w:fill="E6E6E6"/>
          </w:tcPr>
          <w:p>
            <w:pPr>
              <w:jc w:val="right"/>
              <w:ind w:right="60"/>
              <w:spacing w:after="0"/>
              <w:rPr>
                <w:sz w:val="20"/>
                <w:szCs w:val="20"/>
                <w:color w:val="auto"/>
              </w:rPr>
            </w:pPr>
            <w:r>
              <w:rPr>
                <w:rFonts w:ascii="Arial" w:cs="Arial" w:eastAsia="Arial" w:hAnsi="Arial"/>
                <w:sz w:val="18"/>
                <w:szCs w:val="18"/>
                <w:color w:val="B4B4B4"/>
                <w:w w:val="95"/>
              </w:rPr>
              <w:t>. . . . . . . . . . . . . . . . . . . . . . . .</w:t>
            </w:r>
            <w:r>
              <w:rPr>
                <w:rFonts w:ascii="Arial" w:cs="Arial" w:eastAsia="Arial" w:hAnsi="Arial"/>
                <w:sz w:val="18"/>
                <w:szCs w:val="18"/>
                <w:color w:val="000000"/>
                <w:w w:val="95"/>
              </w:rPr>
              <w:t>Income(loss)beforeincometaxes</w:t>
            </w:r>
          </w:p>
        </w:tc>
        <w:tc>
          <w:tcPr>
            <w:tcW w:w="16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spacing w:after="0"/>
              <w:rPr>
                <w:sz w:val="21"/>
                <w:szCs w:val="21"/>
                <w:color w:val="auto"/>
              </w:rPr>
            </w:pPr>
          </w:p>
        </w:tc>
        <w:tc>
          <w:tcPr>
            <w:tcW w:w="66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E6E6E6"/>
            </w:tcBorders>
            <w:shd w:val="clear" w:color="auto" w:fill="E6E6E6"/>
          </w:tcPr>
          <w:p>
            <w:pPr>
              <w:spacing w:after="0"/>
              <w:rPr>
                <w:sz w:val="21"/>
                <w:szCs w:val="21"/>
                <w:color w:val="auto"/>
              </w:rPr>
            </w:pPr>
          </w:p>
        </w:tc>
        <w:tc>
          <w:tcPr>
            <w:tcW w:w="560" w:type="dxa"/>
            <w:vAlign w:val="bottom"/>
            <w:tcBorders>
              <w:top w:val="single" w:sz="8" w:color="auto"/>
            </w:tcBorders>
            <w:shd w:val="clear" w:color="auto" w:fill="E6E6E6"/>
          </w:tcPr>
          <w:p>
            <w:pPr>
              <w:spacing w:after="0"/>
              <w:rPr>
                <w:sz w:val="21"/>
                <w:szCs w:val="21"/>
                <w:color w:val="auto"/>
              </w:rPr>
            </w:pPr>
          </w:p>
        </w:tc>
        <w:tc>
          <w:tcPr>
            <w:tcW w:w="46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E6E6E6"/>
            </w:tcBorders>
            <w:shd w:val="clear" w:color="auto" w:fill="E6E6E6"/>
          </w:tcPr>
          <w:p>
            <w:pPr>
              <w:spacing w:after="0"/>
              <w:rPr>
                <w:sz w:val="21"/>
                <w:szCs w:val="21"/>
                <w:color w:val="auto"/>
              </w:rPr>
            </w:pPr>
          </w:p>
        </w:tc>
        <w:tc>
          <w:tcPr>
            <w:tcW w:w="1080" w:type="dxa"/>
            <w:vAlign w:val="bottom"/>
            <w:tcBorders>
              <w:top w:val="single" w:sz="8" w:color="auto"/>
            </w:tcBorders>
            <w:gridSpan w:val="3"/>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spacing w:after="0"/>
              <w:rPr>
                <w:sz w:val="21"/>
                <w:szCs w:val="21"/>
                <w:color w:val="auto"/>
              </w:rPr>
            </w:pPr>
          </w:p>
        </w:tc>
        <w:tc>
          <w:tcPr>
            <w:tcW w:w="880" w:type="dxa"/>
            <w:vAlign w:val="bottom"/>
            <w:tcBorders>
              <w:top w:val="single" w:sz="8" w:color="auto"/>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160" w:type="dxa"/>
            <w:vAlign w:val="bottom"/>
            <w:tcBorders>
              <w:bottom w:val="single" w:sz="8" w:color="E6E6E6"/>
            </w:tcBorders>
          </w:tcPr>
          <w:p>
            <w:pPr>
              <w:spacing w:after="0"/>
              <w:rPr>
                <w:sz w:val="21"/>
                <w:szCs w:val="21"/>
                <w:color w:val="auto"/>
              </w:rPr>
            </w:pPr>
          </w:p>
        </w:tc>
        <w:tc>
          <w:tcPr>
            <w:tcW w:w="4600" w:type="dxa"/>
            <w:vAlign w:val="bottom"/>
            <w:tcBorders>
              <w:bottom w:val="single" w:sz="8" w:color="E6E6E6"/>
            </w:tcBorders>
            <w:gridSpan w:val="3"/>
          </w:tcPr>
          <w:p>
            <w:pPr>
              <w:jc w:val="right"/>
              <w:ind w:right="60"/>
              <w:spacing w:after="0"/>
              <w:rPr>
                <w:sz w:val="20"/>
                <w:szCs w:val="20"/>
                <w:color w:val="auto"/>
              </w:rPr>
            </w:pPr>
            <w:r>
              <w:rPr>
                <w:rFonts w:ascii="Arial" w:cs="Arial" w:eastAsia="Arial" w:hAnsi="Arial"/>
                <w:sz w:val="18"/>
                <w:szCs w:val="18"/>
                <w:color w:val="auto"/>
                <w:w w:val="90"/>
              </w:rPr>
              <w:t xml:space="preserve">Income tax expense </w:t>
            </w:r>
            <w:r>
              <w:rPr>
                <w:rFonts w:ascii="Arial" w:cs="Arial" w:eastAsia="Arial" w:hAnsi="Arial"/>
                <w:sz w:val="18"/>
                <w:szCs w:val="18"/>
                <w:color w:val="B4B4B4"/>
                <w:w w:val="90"/>
              </w:rPr>
              <w:t>. . . . . . . . . . . . . . . . . . . . . . . . . . . . . . . . . .</w:t>
            </w:r>
          </w:p>
        </w:tc>
        <w:tc>
          <w:tcPr>
            <w:tcW w:w="380" w:type="dxa"/>
            <w:vAlign w:val="bottom"/>
            <w:tcBorders>
              <w:bottom w:val="single" w:sz="8" w:color="auto"/>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220</w:t>
            </w:r>
          </w:p>
        </w:tc>
        <w:tc>
          <w:tcPr>
            <w:tcW w:w="8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4920" w:type="dxa"/>
            <w:vAlign w:val="bottom"/>
            <w:gridSpan w:val="5"/>
            <w:shd w:val="clear" w:color="auto" w:fill="E6E6E6"/>
          </w:tcPr>
          <w:p>
            <w:pPr>
              <w:jc w:val="right"/>
              <w:ind w:right="130"/>
              <w:spacing w:after="0"/>
              <w:rPr>
                <w:sz w:val="20"/>
                <w:szCs w:val="20"/>
                <w:color w:val="auto"/>
              </w:rPr>
            </w:pPr>
            <w:r>
              <w:rPr>
                <w:rFonts w:ascii="Arial" w:cs="Arial" w:eastAsia="Arial" w:hAnsi="Arial"/>
                <w:sz w:val="18"/>
                <w:szCs w:val="18"/>
                <w:b w:val="1"/>
                <w:bCs w:val="1"/>
                <w:color w:val="B4B4B4"/>
                <w:w w:val="93"/>
              </w:rPr>
              <w:t>. . . . . . . . . . . . . . . . . . . . . . . . . . . . . . . . . . . .</w:t>
            </w:r>
            <w:r>
              <w:rPr>
                <w:rFonts w:ascii="Arial" w:cs="Arial" w:eastAsia="Arial" w:hAnsi="Arial"/>
                <w:sz w:val="18"/>
                <w:szCs w:val="18"/>
                <w:b w:val="1"/>
                <w:bCs w:val="1"/>
                <w:color w:val="000000"/>
                <w:w w:val="93"/>
              </w:rPr>
              <w:t>NetIncome(Loss)</w:t>
            </w:r>
          </w:p>
        </w:tc>
        <w:tc>
          <w:tcPr>
            <w:tcW w:w="9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3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940</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60" w:type="dxa"/>
            <w:vAlign w:val="bottom"/>
            <w:tcBorders>
              <w:top w:val="single" w:sz="8" w:color="E6E6E6"/>
            </w:tcBorders>
          </w:tcPr>
          <w:p>
            <w:pPr>
              <w:spacing w:after="0"/>
              <w:rPr>
                <w:sz w:val="16"/>
                <w:szCs w:val="16"/>
                <w:color w:val="auto"/>
              </w:rPr>
            </w:pPr>
          </w:p>
        </w:tc>
        <w:tc>
          <w:tcPr>
            <w:tcW w:w="4600" w:type="dxa"/>
            <w:vAlign w:val="bottom"/>
            <w:tcBorders>
              <w:top w:val="single" w:sz="8" w:color="E6E6E6"/>
            </w:tcBorders>
            <w:gridSpan w:val="3"/>
          </w:tcPr>
          <w:p>
            <w:pPr>
              <w:jc w:val="right"/>
              <w:ind w:right="60"/>
              <w:spacing w:after="0" w:line="186" w:lineRule="exact"/>
              <w:rPr>
                <w:sz w:val="20"/>
                <w:szCs w:val="20"/>
                <w:color w:val="auto"/>
              </w:rPr>
            </w:pPr>
            <w:r>
              <w:rPr>
                <w:rFonts w:ascii="Arial" w:cs="Arial" w:eastAsia="Arial" w:hAnsi="Arial"/>
                <w:sz w:val="18"/>
                <w:szCs w:val="18"/>
                <w:color w:val="auto"/>
                <w:w w:val="91"/>
              </w:rPr>
              <w:t>Less: Net (loss) income attributable to noncontrolling interests</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E6E6E6"/>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top w:val="single" w:sz="8" w:color="E6E6E6"/>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E6E6E6"/>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79"/>
              </w:rPr>
              <w:t>585</w:t>
            </w:r>
          </w:p>
        </w:tc>
        <w:tc>
          <w:tcPr>
            <w:tcW w:w="80" w:type="dxa"/>
            <w:vAlign w:val="bottom"/>
            <w:tcBorders>
              <w:top w:val="single" w:sz="8" w:color="E6E6E6"/>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60" w:type="dxa"/>
            <w:vAlign w:val="bottom"/>
            <w:tcBorders>
              <w:bottom w:val="single" w:sz="8" w:color="E6E6E6"/>
            </w:tcBorders>
          </w:tcPr>
          <w:p>
            <w:pPr>
              <w:spacing w:after="0"/>
              <w:rPr>
                <w:sz w:val="20"/>
                <w:szCs w:val="20"/>
                <w:color w:val="auto"/>
              </w:rPr>
            </w:pPr>
          </w:p>
        </w:tc>
        <w:tc>
          <w:tcPr>
            <w:tcW w:w="4600" w:type="dxa"/>
            <w:vAlign w:val="bottom"/>
            <w:tcBorders>
              <w:bottom w:val="single" w:sz="8" w:color="E6E6E6"/>
            </w:tcBorders>
            <w:gridSpan w:val="3"/>
          </w:tcPr>
          <w:p>
            <w:pPr>
              <w:jc w:val="right"/>
              <w:ind w:right="60"/>
              <w:spacing w:after="0"/>
              <w:rPr>
                <w:sz w:val="20"/>
                <w:szCs w:val="20"/>
                <w:color w:val="auto"/>
              </w:rPr>
            </w:pPr>
            <w:r>
              <w:rPr>
                <w:rFonts w:ascii="Arial" w:cs="Arial" w:eastAsia="Arial" w:hAnsi="Arial"/>
                <w:sz w:val="18"/>
                <w:szCs w:val="18"/>
                <w:color w:val="auto"/>
                <w:w w:val="94"/>
              </w:rPr>
              <w:t xml:space="preserve">and redeemable noncontrolling interests </w:t>
            </w:r>
            <w:r>
              <w:rPr>
                <w:rFonts w:ascii="Arial" w:cs="Arial" w:eastAsia="Arial" w:hAnsi="Arial"/>
                <w:sz w:val="18"/>
                <w:szCs w:val="18"/>
                <w:color w:val="B4B4B4"/>
                <w:w w:val="94"/>
              </w:rPr>
              <w:t>. . . . . . . . . . . . . . . .</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4920" w:type="dxa"/>
            <w:vAlign w:val="bottom"/>
            <w:gridSpan w:val="5"/>
            <w:shd w:val="clear" w:color="auto" w:fill="E6E6E6"/>
          </w:tcPr>
          <w:p>
            <w:pPr>
              <w:ind w:left="60"/>
              <w:spacing w:after="0"/>
              <w:rPr>
                <w:sz w:val="20"/>
                <w:szCs w:val="20"/>
                <w:color w:val="auto"/>
              </w:rPr>
            </w:pPr>
            <w:r>
              <w:rPr>
                <w:rFonts w:ascii="Arial" w:cs="Arial" w:eastAsia="Arial" w:hAnsi="Arial"/>
                <w:sz w:val="18"/>
                <w:szCs w:val="18"/>
                <w:b w:val="1"/>
                <w:bCs w:val="1"/>
                <w:color w:val="auto"/>
                <w:w w:val="94"/>
              </w:rPr>
              <w:t xml:space="preserve">Net Income Attributable to Clearway Energy, Inc. </w:t>
            </w:r>
            <w:r>
              <w:rPr>
                <w:rFonts w:ascii="Arial" w:cs="Arial" w:eastAsia="Arial" w:hAnsi="Arial"/>
                <w:sz w:val="18"/>
                <w:szCs w:val="18"/>
                <w:b w:val="1"/>
                <w:bCs w:val="1"/>
                <w:color w:val="B4B4B4"/>
                <w:w w:val="94"/>
              </w:rPr>
              <w:t>. . . . . . . .</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w:t>
            </w:r>
          </w:p>
        </w:tc>
        <w:tc>
          <w:tcPr>
            <w:tcW w:w="9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161</w:t>
            </w:r>
          </w:p>
        </w:tc>
        <w:tc>
          <w:tcPr>
            <w:tcW w:w="500" w:type="dxa"/>
            <w:vAlign w:val="bottom"/>
            <w:gridSpan w:val="2"/>
            <w:shd w:val="clear" w:color="auto" w:fill="E6E6E6"/>
          </w:tcPr>
          <w:p>
            <w:pPr>
              <w:jc w:val="right"/>
              <w:ind w:right="19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49</w:t>
            </w:r>
          </w:p>
        </w:tc>
        <w:tc>
          <w:tcPr>
            <w:tcW w:w="620" w:type="dxa"/>
            <w:vAlign w:val="bottom"/>
            <w:gridSpan w:val="2"/>
            <w:shd w:val="clear" w:color="auto" w:fill="E6E6E6"/>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355</w:t>
            </w:r>
          </w:p>
        </w:tc>
        <w:tc>
          <w:tcPr>
            <w:tcW w:w="28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Borders>
              <w:top w:val="single" w:sz="8" w:color="E6E6E6"/>
            </w:tcBorders>
          </w:tcPr>
          <w:p>
            <w:pPr>
              <w:spacing w:after="0" w:line="20" w:lineRule="exact"/>
              <w:rPr>
                <w:sz w:val="1"/>
                <w:szCs w:val="1"/>
                <w:color w:val="auto"/>
              </w:rPr>
            </w:pPr>
          </w:p>
        </w:tc>
        <w:tc>
          <w:tcPr>
            <w:tcW w:w="174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7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-5190490</wp:posOffset>
            </wp:positionV>
            <wp:extent cx="321627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7">
                      <a:extLst>
                        <a:ext uri="{28A0092B-C50C-407E-A947-70E740481C1C}"/>
                      </a:extLst>
                    </a:blip>
                    <a:srcRect/>
                    <a:stretch>
                      <a:fillRect/>
                    </a:stretch>
                  </pic:blipFill>
                  <pic:spPr bwMode="auto">
                    <a:xfrm>
                      <a:off x="0" y="0"/>
                      <a:ext cx="3216275" cy="508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-132715</wp:posOffset>
            </wp:positionV>
            <wp:extent cx="360680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8">
                      <a:extLst>
                        <a:ext uri="{28A0092B-C50C-407E-A947-70E740481C1C}"/>
                      </a:extLst>
                    </a:blip>
                    <a:srcRect/>
                    <a:stretch>
                      <a:fillRect/>
                    </a:stretch>
                  </pic:blipFill>
                  <pic:spPr bwMode="auto">
                    <a:xfrm>
                      <a:off x="0" y="0"/>
                      <a:ext cx="3606800" cy="50800"/>
                    </a:xfrm>
                    <a:prstGeom prst="rect">
                      <a:avLst/>
                    </a:prstGeom>
                    <a:noFill/>
                  </pic:spPr>
                </pic:pic>
              </a:graphicData>
            </a:graphic>
          </wp:anchor>
        </w:drawing>
      </w:r>
    </w:p>
    <w:p>
      <w:pPr>
        <w:ind w:left="300" w:hanging="220"/>
        <w:spacing w:after="0" w:line="222" w:lineRule="auto"/>
        <w:tabs>
          <w:tab w:leader="none" w:pos="300" w:val="left"/>
        </w:tabs>
        <w:numPr>
          <w:ilvl w:val="0"/>
          <w:numId w:val="69"/>
        </w:numPr>
        <w:rPr>
          <w:rFonts w:ascii="Arial" w:cs="Arial" w:eastAsia="Arial" w:hAnsi="Arial"/>
          <w:sz w:val="26"/>
          <w:szCs w:val="26"/>
          <w:color w:val="auto"/>
          <w:vertAlign w:val="superscript"/>
        </w:rPr>
      </w:pPr>
      <w:r>
        <w:rPr>
          <w:rFonts w:ascii="Arial" w:cs="Arial" w:eastAsia="Arial" w:hAnsi="Arial"/>
          <w:sz w:val="16"/>
          <w:szCs w:val="16"/>
          <w:color w:val="auto"/>
        </w:rPr>
        <w:t>Includes eliminations.</w:t>
      </w:r>
    </w:p>
    <w:p>
      <w:pPr>
        <w:sectPr>
          <w:pgSz w:w="11880" w:h="15480" w:orient="portrait"/>
          <w:cols w:equalWidth="0" w:num="1">
            <w:col w:w="10480"/>
          </w:cols>
          <w:pgMar w:left="820" w:top="45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120</w:t>
      </w:r>
    </w:p>
    <w:p>
      <w:pPr>
        <w:sectPr>
          <w:pgSz w:w="11880" w:h="15480" w:orient="portrait"/>
          <w:cols w:equalWidth="0" w:num="1">
            <w:col w:w="10480"/>
          </w:cols>
          <w:pgMar w:left="820" w:top="456" w:right="58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color w:val="auto"/>
        </w:rPr>
        <w:t>Note 14 —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Tax Rate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income tax provision consisted of the following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Borders>
              <w:bottom w:val="single" w:sz="8" w:color="auto"/>
            </w:tcBorders>
          </w:tcPr>
          <w:p>
            <w:pPr>
              <w:spacing w:after="0"/>
              <w:rPr>
                <w:sz w:val="19"/>
                <w:szCs w:val="19"/>
                <w:color w:val="auto"/>
              </w:rPr>
            </w:pPr>
          </w:p>
        </w:tc>
      </w:tr>
      <w:tr>
        <w:trPr>
          <w:trHeight w:val="235"/>
        </w:trPr>
        <w:tc>
          <w:tcPr>
            <w:tcW w:w="5880" w:type="dxa"/>
            <w:vAlign w:val="bottom"/>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37"/>
        </w:trPr>
        <w:tc>
          <w:tcPr>
            <w:tcW w:w="5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2"/>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3"/>
        </w:trPr>
        <w:tc>
          <w:tcPr>
            <w:tcW w:w="5880" w:type="dxa"/>
            <w:vAlign w:val="bottom"/>
            <w:shd w:val="clear" w:color="auto" w:fill="E6E6E6"/>
          </w:tcPr>
          <w:p>
            <w:pPr>
              <w:ind w:left="40"/>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1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r>
      <w:tr>
        <w:trPr>
          <w:trHeight w:val="248"/>
        </w:trPr>
        <w:tc>
          <w:tcPr>
            <w:tcW w:w="5880" w:type="dxa"/>
            <w:vAlign w:val="bottom"/>
          </w:tcPr>
          <w:p>
            <w:pPr>
              <w:jc w:val="right"/>
              <w:spacing w:after="0"/>
              <w:rPr>
                <w:sz w:val="20"/>
                <w:szCs w:val="20"/>
                <w:color w:val="auto"/>
              </w:rPr>
            </w:pPr>
            <w:r>
              <w:rPr>
                <w:rFonts w:ascii="Arial" w:cs="Arial" w:eastAsia="Arial" w:hAnsi="Arial"/>
                <w:sz w:val="18"/>
                <w:szCs w:val="18"/>
                <w:color w:val="auto"/>
                <w:w w:val="93"/>
              </w:rPr>
              <w:t xml:space="preserve">U.S. Federal </w:t>
            </w:r>
            <w:r>
              <w:rPr>
                <w:rFonts w:ascii="Arial" w:cs="Arial" w:eastAsia="Arial" w:hAnsi="Arial"/>
                <w:sz w:val="18"/>
                <w:szCs w:val="18"/>
                <w:color w:val="B4B4B4"/>
                <w:w w:val="93"/>
              </w:rPr>
              <w:t>. . . . . . . . . . . . . . . . . . . . . . . . . . . . . . . . . . . . . . . . . . . . . . . . . . . .</w:t>
            </w:r>
          </w:p>
        </w:tc>
        <w:tc>
          <w:tcPr>
            <w:tcW w:w="98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3"/>
              </w:rPr>
              <w:t xml:space="preserve">State </w:t>
            </w:r>
            <w:r>
              <w:rPr>
                <w:rFonts w:ascii="Arial" w:cs="Arial" w:eastAsia="Arial" w:hAnsi="Arial"/>
                <w:sz w:val="18"/>
                <w:szCs w:val="18"/>
                <w:color w:val="B4B4B4"/>
                <w:w w:val="93"/>
              </w:rPr>
              <w:t>. . . . . . . . . . . . . . . . . . . . . . . . . . . . . . . . . . . . . . . . . . . . . . . . . . . . . . . . . .</w:t>
            </w:r>
          </w:p>
        </w:tc>
        <w:tc>
          <w:tcPr>
            <w:tcW w:w="980" w:type="dxa"/>
            <w:vAlign w:val="bottom"/>
            <w:tcBorders>
              <w:bottom w:val="single" w:sz="8" w:color="auto"/>
            </w:tcBorders>
            <w:shd w:val="clear" w:color="auto" w:fill="E6E6E6"/>
          </w:tcPr>
          <w:p>
            <w:pPr>
              <w:spacing w:after="0"/>
              <w:rPr>
                <w:sz w:val="22"/>
                <w:szCs w:val="22"/>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2"/>
                <w:szCs w:val="22"/>
                <w:color w:val="auto"/>
              </w:rPr>
            </w:pPr>
          </w:p>
        </w:tc>
        <w:tc>
          <w:tcPr>
            <w:tcW w:w="34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5880" w:type="dxa"/>
            <w:vAlign w:val="bottom"/>
          </w:tcPr>
          <w:p>
            <w:pPr>
              <w:ind w:left="40"/>
              <w:spacing w:after="0"/>
              <w:rPr>
                <w:sz w:val="20"/>
                <w:szCs w:val="20"/>
                <w:color w:val="auto"/>
              </w:rPr>
            </w:pPr>
            <w:r>
              <w:rPr>
                <w:rFonts w:ascii="Arial" w:cs="Arial" w:eastAsia="Arial" w:hAnsi="Arial"/>
                <w:sz w:val="18"/>
                <w:szCs w:val="18"/>
                <w:color w:val="auto"/>
              </w:rPr>
              <w:t>Total — current</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0"/>
        </w:trPr>
        <w:tc>
          <w:tcPr>
            <w:tcW w:w="5880" w:type="dxa"/>
            <w:vAlign w:val="bottom"/>
            <w:shd w:val="clear" w:color="auto" w:fill="E6E6E6"/>
          </w:tcPr>
          <w:p>
            <w:pPr>
              <w:ind w:left="40"/>
              <w:spacing w:after="0"/>
              <w:rPr>
                <w:sz w:val="20"/>
                <w:szCs w:val="20"/>
                <w:color w:val="auto"/>
              </w:rPr>
            </w:pPr>
            <w:r>
              <w:rPr>
                <w:rFonts w:ascii="Arial" w:cs="Arial" w:eastAsia="Arial" w:hAnsi="Arial"/>
                <w:sz w:val="18"/>
                <w:szCs w:val="18"/>
                <w:color w:val="auto"/>
              </w:rPr>
              <w:t>Deferred</w:t>
            </w:r>
          </w:p>
        </w:tc>
        <w:tc>
          <w:tcPr>
            <w:tcW w:w="98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1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r>
      <w:tr>
        <w:trPr>
          <w:trHeight w:val="248"/>
        </w:trPr>
        <w:tc>
          <w:tcPr>
            <w:tcW w:w="5880" w:type="dxa"/>
            <w:vAlign w:val="bottom"/>
          </w:tcPr>
          <w:p>
            <w:pPr>
              <w:jc w:val="right"/>
              <w:spacing w:after="0"/>
              <w:rPr>
                <w:sz w:val="20"/>
                <w:szCs w:val="20"/>
                <w:color w:val="auto"/>
              </w:rPr>
            </w:pPr>
            <w:r>
              <w:rPr>
                <w:rFonts w:ascii="Arial" w:cs="Arial" w:eastAsia="Arial" w:hAnsi="Arial"/>
                <w:sz w:val="18"/>
                <w:szCs w:val="18"/>
                <w:color w:val="auto"/>
                <w:w w:val="93"/>
              </w:rPr>
              <w:t xml:space="preserve">U.S. Federal </w:t>
            </w:r>
            <w:r>
              <w:rPr>
                <w:rFonts w:ascii="Arial" w:cs="Arial" w:eastAsia="Arial" w:hAnsi="Arial"/>
                <w:sz w:val="18"/>
                <w:szCs w:val="18"/>
                <w:color w:val="B4B4B4"/>
                <w:w w:val="93"/>
              </w:rPr>
              <w:t>. . . . . . . . . . . . . . . . . . . . . . . . . . . . . . . . . . . . . . . . . . . . . . . . . . . .</w:t>
            </w:r>
          </w:p>
        </w:tc>
        <w:tc>
          <w:tcPr>
            <w:tcW w:w="98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3"/>
              </w:rPr>
              <w:t xml:space="preserve">State </w:t>
            </w:r>
            <w:r>
              <w:rPr>
                <w:rFonts w:ascii="Arial" w:cs="Arial" w:eastAsia="Arial" w:hAnsi="Arial"/>
                <w:sz w:val="18"/>
                <w:szCs w:val="18"/>
                <w:color w:val="B4B4B4"/>
                <w:w w:val="93"/>
              </w:rPr>
              <w:t>. . . . . . . . . . . . . . . . . . . . . . . . . . . . . . . . . . . . . . . . . . . . . . . . . . . . . . . . . .</w:t>
            </w:r>
          </w:p>
        </w:tc>
        <w:tc>
          <w:tcPr>
            <w:tcW w:w="980" w:type="dxa"/>
            <w:vAlign w:val="bottom"/>
            <w:tcBorders>
              <w:bottom w:val="single" w:sz="8" w:color="auto"/>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588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Total — deferred</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0"/>
        </w:trPr>
        <w:tc>
          <w:tcPr>
            <w:tcW w:w="5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B4B4B4"/>
                <w:w w:val="98"/>
              </w:rPr>
              <w:t>. . . . . . . . . . . . . . . . . . . . . . . . . . . . . . . . . .</w:t>
            </w:r>
            <w:r>
              <w:rPr>
                <w:rFonts w:ascii="Arial" w:cs="Arial" w:eastAsia="Arial" w:hAnsi="Arial"/>
                <w:sz w:val="18"/>
                <w:szCs w:val="18"/>
                <w:color w:val="000000"/>
                <w:w w:val="98"/>
              </w:rPr>
              <w:t>Totalincometaxexpense(benefit)</w:t>
            </w:r>
          </w:p>
        </w:tc>
        <w:tc>
          <w:tcPr>
            <w:tcW w:w="980" w:type="dxa"/>
            <w:vAlign w:val="bottom"/>
            <w:tcBorders>
              <w:bottom w:val="single" w:sz="8" w:color="auto"/>
            </w:tcBorders>
            <w:shd w:val="clear" w:color="auto" w:fill="E6E6E6"/>
          </w:tcPr>
          <w:p>
            <w:pPr>
              <w:jc w:val="right"/>
              <w:ind w:right="7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5880" w:type="dxa"/>
            <w:vAlign w:val="bottom"/>
            <w:tcBorders>
              <w:top w:val="single" w:sz="8" w:color="E6E6E6"/>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40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1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E6E6E6"/>
              <w:bottom w:val="single" w:sz="8" w:color="auto"/>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-43815</wp:posOffset>
            </wp:positionV>
            <wp:extent cx="277812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9">
                      <a:extLst>
                        <a:ext uri="{28A0092B-C50C-407E-A947-70E740481C1C}"/>
                      </a:extLst>
                    </a:blip>
                    <a:srcRect/>
                    <a:stretch>
                      <a:fillRect/>
                    </a:stretch>
                  </pic:blipFill>
                  <pic:spPr bwMode="auto">
                    <a:xfrm>
                      <a:off x="0" y="0"/>
                      <a:ext cx="2778125" cy="50800"/>
                    </a:xfrm>
                    <a:prstGeom prst="rect">
                      <a:avLst/>
                    </a:prstGeom>
                    <a:noFill/>
                  </pic:spPr>
                </pic:pic>
              </a:graphicData>
            </a:graphic>
          </wp:anchor>
        </w:drawing>
      </w:r>
    </w:p>
    <w:p>
      <w:pPr>
        <w:spacing w:after="0" w:line="164" w:lineRule="exact"/>
        <w:rPr>
          <w:sz w:val="20"/>
          <w:szCs w:val="20"/>
          <w:color w:val="auto"/>
        </w:rPr>
      </w:pPr>
    </w:p>
    <w:p>
      <w:pPr>
        <w:jc w:val="both"/>
        <w:ind w:right="20" w:firstLine="450"/>
        <w:spacing w:after="0" w:line="280" w:lineRule="auto"/>
        <w:rPr>
          <w:sz w:val="20"/>
          <w:szCs w:val="20"/>
          <w:color w:val="auto"/>
        </w:rPr>
      </w:pPr>
      <w:r>
        <w:rPr>
          <w:rFonts w:ascii="Arial" w:cs="Arial" w:eastAsia="Arial" w:hAnsi="Arial"/>
          <w:sz w:val="19"/>
          <w:szCs w:val="19"/>
          <w:color w:val="auto"/>
        </w:rPr>
        <w:t xml:space="preserve">As further described in Note 2, </w:t>
      </w:r>
      <w:r>
        <w:rPr>
          <w:rFonts w:ascii="Arial" w:cs="Arial" w:eastAsia="Arial" w:hAnsi="Arial"/>
          <w:sz w:val="19"/>
          <w:szCs w:val="19"/>
          <w:b w:val="1"/>
          <w:bCs w:val="1"/>
          <w:i w:val="1"/>
          <w:iCs w:val="1"/>
          <w:color w:val="auto"/>
        </w:rPr>
        <w:t>Summary of Significant Accounting Policies</w:t>
      </w:r>
      <w:r>
        <w:rPr>
          <w:rFonts w:ascii="Arial" w:cs="Arial" w:eastAsia="Arial" w:hAnsi="Arial"/>
          <w:sz w:val="19"/>
          <w:szCs w:val="19"/>
          <w:color w:val="auto"/>
        </w:rPr>
        <w:t xml:space="preserve">, the Company has elected to prospectively adopt the guidance in ASU No. 2023-09, </w:t>
      </w:r>
      <w:r>
        <w:rPr>
          <w:rFonts w:ascii="Arial" w:cs="Arial" w:eastAsia="Arial" w:hAnsi="Arial"/>
          <w:sz w:val="19"/>
          <w:szCs w:val="19"/>
          <w:b w:val="1"/>
          <w:bCs w:val="1"/>
          <w:i w:val="1"/>
          <w:iCs w:val="1"/>
          <w:color w:val="auto"/>
        </w:rPr>
        <w:t>Income Taxes (Topic 740): Improvements to Income Taxes Disclosures</w:t>
      </w:r>
      <w:r>
        <w:rPr>
          <w:rFonts w:ascii="Arial" w:cs="Arial" w:eastAsia="Arial" w:hAnsi="Arial"/>
          <w:sz w:val="19"/>
          <w:szCs w:val="19"/>
          <w:color w:val="auto"/>
        </w:rPr>
        <w:t>, or ASU 2023-09. The following table is a reconciliation of the U.S. federal statutory rate of 21% to the Company’s effective rate for the year ended December 31, 2024 in accordance with the guidance in ASU No. 2023-09: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6"/>
                <w:szCs w:val="16"/>
                <w:b w:val="1"/>
                <w:bCs w:val="1"/>
                <w:color w:val="auto"/>
                <w:w w:val="91"/>
              </w:rPr>
              <w:t>Year Ended December 31,</w:t>
            </w:r>
          </w:p>
        </w:tc>
      </w:tr>
      <w:tr>
        <w:trPr>
          <w:trHeight w:val="235"/>
        </w:trPr>
        <w:tc>
          <w:tcPr>
            <w:tcW w:w="7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6"/>
                <w:szCs w:val="16"/>
                <w:b w:val="1"/>
                <w:bCs w:val="1"/>
                <w:color w:val="auto"/>
                <w:w w:val="89"/>
              </w:rPr>
              <w:t>2024</w:t>
            </w:r>
          </w:p>
        </w:tc>
        <w:tc>
          <w:tcPr>
            <w:tcW w:w="940" w:type="dxa"/>
            <w:vAlign w:val="bottom"/>
            <w:tcBorders>
              <w:bottom w:val="single" w:sz="8" w:color="auto"/>
            </w:tcBorders>
          </w:tcPr>
          <w:p>
            <w:pPr>
              <w:spacing w:after="0"/>
              <w:rPr>
                <w:sz w:val="20"/>
                <w:szCs w:val="20"/>
                <w:color w:val="auto"/>
              </w:rPr>
            </w:pPr>
          </w:p>
        </w:tc>
      </w:tr>
      <w:tr>
        <w:trPr>
          <w:trHeight w:val="237"/>
        </w:trPr>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130"/>
              <w:spacing w:after="0"/>
              <w:rPr>
                <w:sz w:val="20"/>
                <w:szCs w:val="20"/>
                <w:color w:val="auto"/>
              </w:rPr>
            </w:pPr>
            <w:r>
              <w:rPr>
                <w:rFonts w:ascii="Arial" w:cs="Arial" w:eastAsia="Arial" w:hAnsi="Arial"/>
                <w:sz w:val="16"/>
                <w:szCs w:val="16"/>
                <w:b w:val="1"/>
                <w:bCs w:val="1"/>
                <w:color w:val="auto"/>
                <w:w w:val="88"/>
              </w:rPr>
              <w:t>(In millions, except percentages)</w:t>
            </w:r>
          </w:p>
        </w:tc>
      </w:tr>
      <w:tr>
        <w:trPr>
          <w:trHeight w:val="253"/>
        </w:trPr>
        <w:tc>
          <w:tcPr>
            <w:tcW w:w="7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0"/>
              </w:rPr>
              <w:t xml:space="preserve">Loss Before Income Taxes </w:t>
            </w:r>
            <w:r>
              <w:rPr>
                <w:rFonts w:ascii="Arial" w:cs="Arial" w:eastAsia="Arial" w:hAnsi="Arial"/>
                <w:sz w:val="18"/>
                <w:szCs w:val="18"/>
                <w:color w:val="B4B4B4"/>
                <w:w w:val="90"/>
              </w:rPr>
              <w:t>. . . . . . . . . . . . . . . . . . . . . . . . . . . . . . . . . . . . . . . . . . . . . . . . . . . . . . . . . . .</w:t>
            </w:r>
          </w:p>
        </w:tc>
        <w:tc>
          <w:tcPr>
            <w:tcW w:w="240" w:type="dxa"/>
            <w:vAlign w:val="bottom"/>
            <w:tcBorders>
              <w:bottom w:val="single" w:sz="8" w:color="auto"/>
            </w:tcBorders>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6E6E6"/>
          </w:tcPr>
          <w:p>
            <w:pPr>
              <w:jc w:val="right"/>
              <w:ind w:right="73"/>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E6E6E6"/>
            </w:tcBorders>
            <w:shd w:val="clear" w:color="auto" w:fill="E6E6E6"/>
          </w:tcPr>
          <w:p>
            <w:pPr>
              <w:spacing w:after="0"/>
              <w:rPr>
                <w:sz w:val="22"/>
                <w:szCs w:val="22"/>
                <w:color w:val="auto"/>
              </w:rPr>
            </w:pPr>
          </w:p>
        </w:tc>
        <w:tc>
          <w:tcPr>
            <w:tcW w:w="460" w:type="dxa"/>
            <w:vAlign w:val="bottom"/>
            <w:tcBorders>
              <w:bottom w:val="single" w:sz="8" w:color="E6E6E6"/>
            </w:tcBorders>
            <w:shd w:val="clear" w:color="auto" w:fill="E6E6E6"/>
          </w:tcPr>
          <w:p>
            <w:pPr>
              <w:spacing w:after="0"/>
              <w:rPr>
                <w:sz w:val="22"/>
                <w:szCs w:val="22"/>
                <w:color w:val="auto"/>
              </w:rPr>
            </w:pPr>
          </w:p>
        </w:tc>
        <w:tc>
          <w:tcPr>
            <w:tcW w:w="940" w:type="dxa"/>
            <w:vAlign w:val="bottom"/>
            <w:tcBorders>
              <w:bottom w:val="single" w:sz="8" w:color="E6E6E6"/>
            </w:tcBorders>
            <w:shd w:val="clear" w:color="auto" w:fill="E6E6E6"/>
          </w:tcPr>
          <w:p>
            <w:pPr>
              <w:spacing w:after="0"/>
              <w:rPr>
                <w:sz w:val="22"/>
                <w:szCs w:val="22"/>
                <w:color w:val="auto"/>
              </w:rPr>
            </w:pPr>
          </w:p>
        </w:tc>
      </w:tr>
      <w:tr>
        <w:trPr>
          <w:trHeight w:val="110"/>
        </w:trPr>
        <w:tc>
          <w:tcPr>
            <w:tcW w:w="7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5"/>
        </w:trPr>
        <w:tc>
          <w:tcPr>
            <w:tcW w:w="74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Tax at 21%  </w:t>
            </w:r>
            <w:r>
              <w:rPr>
                <w:rFonts w:ascii="Arial" w:cs="Arial" w:eastAsia="Arial" w:hAnsi="Arial"/>
                <w:sz w:val="18"/>
                <w:szCs w:val="18"/>
                <w:color w:val="B4B4B4"/>
                <w:w w:val="90"/>
              </w:rPr>
              <w:t>. . . . . . . . . . . . . . . . . . . . . . . . . . . . . .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(7)</w:t>
            </w:r>
          </w:p>
        </w:tc>
        <w:tc>
          <w:tcPr>
            <w:tcW w:w="6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21.0 %</w:t>
            </w:r>
          </w:p>
        </w:tc>
      </w:tr>
      <w:tr>
        <w:trPr>
          <w:trHeight w:val="255"/>
        </w:trPr>
        <w:tc>
          <w:tcPr>
            <w:tcW w:w="7400" w:type="dxa"/>
            <w:vAlign w:val="bottom"/>
          </w:tcPr>
          <w:p>
            <w:pPr>
              <w:jc w:val="right"/>
              <w:spacing w:after="0" w:line="255" w:lineRule="exact"/>
              <w:rPr>
                <w:sz w:val="20"/>
                <w:szCs w:val="20"/>
                <w:color w:val="auto"/>
              </w:rPr>
            </w:pPr>
            <w:r>
              <w:rPr>
                <w:rFonts w:ascii="Arial" w:cs="Arial" w:eastAsia="Arial" w:hAnsi="Arial"/>
                <w:sz w:val="18"/>
                <w:szCs w:val="18"/>
                <w:color w:val="auto"/>
                <w:w w:val="91"/>
              </w:rPr>
              <w:t xml:space="preserve">State taxes, net of federal benefit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 . . . . . . . . . . . . . . . . . . . . . . .</w:t>
            </w:r>
          </w:p>
        </w:tc>
        <w:tc>
          <w:tcPr>
            <w:tcW w:w="240" w:type="dxa"/>
            <w:vAlign w:val="bottom"/>
          </w:tcPr>
          <w:p>
            <w:pPr>
              <w:spacing w:after="0"/>
              <w:rPr>
                <w:sz w:val="22"/>
                <w:szCs w:val="22"/>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55"/>
        </w:trPr>
        <w:tc>
          <w:tcPr>
            <w:tcW w:w="74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Tax credits </w:t>
            </w:r>
            <w:r>
              <w:rPr>
                <w:rFonts w:ascii="Arial" w:cs="Arial" w:eastAsia="Arial" w:hAnsi="Arial"/>
                <w:sz w:val="18"/>
                <w:szCs w:val="18"/>
                <w:color w:val="B4B4B4"/>
                <w:w w:val="92"/>
              </w:rPr>
              <w:t>. . . . . . . . . . . . . . . . . . . . . . . . . . . . .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12.1 %</w:t>
            </w:r>
          </w:p>
        </w:tc>
      </w:tr>
      <w:tr>
        <w:trPr>
          <w:trHeight w:val="248"/>
        </w:trPr>
        <w:tc>
          <w:tcPr>
            <w:tcW w:w="7400" w:type="dxa"/>
            <w:vAlign w:val="bottom"/>
          </w:tcPr>
          <w:p>
            <w:pPr>
              <w:jc w:val="right"/>
              <w:spacing w:after="0"/>
              <w:rPr>
                <w:sz w:val="20"/>
                <w:szCs w:val="20"/>
                <w:color w:val="auto"/>
              </w:rPr>
            </w:pPr>
            <w:r>
              <w:rPr>
                <w:rFonts w:ascii="Arial" w:cs="Arial" w:eastAsia="Arial" w:hAnsi="Arial"/>
                <w:sz w:val="18"/>
                <w:szCs w:val="18"/>
                <w:color w:val="auto"/>
                <w:w w:val="92"/>
              </w:rPr>
              <w:t xml:space="preserve">Nontaxable/nondeductible items: </w:t>
            </w:r>
            <w:r>
              <w:rPr>
                <w:rFonts w:ascii="Arial" w:cs="Arial" w:eastAsia="Arial" w:hAnsi="Arial"/>
                <w:sz w:val="18"/>
                <w:szCs w:val="18"/>
                <w:color w:val="B4B4B4"/>
                <w:w w:val="92"/>
              </w:rPr>
              <w:t>. . . . . . . . . . . . . . . . . . . . . . . . . . . . . . . . . . . . . . . . . . . . . . . . . . . . .</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2"/>
        </w:trPr>
        <w:tc>
          <w:tcPr>
            <w:tcW w:w="74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HLBV impact  </w:t>
            </w:r>
            <w:r>
              <w:rPr>
                <w:rFonts w:ascii="Arial" w:cs="Arial" w:eastAsia="Arial" w:hAnsi="Arial"/>
                <w:sz w:val="18"/>
                <w:szCs w:val="18"/>
                <w:color w:val="B4B4B4"/>
                <w:w w:val="94"/>
              </w:rPr>
              <w:t>. . . . . . . . . . . . . . . . . . . . . . . . . . . . . . . . . . . . . . . . . . . . . . . . . . . . . . . . . . . . . . . . . .</w:t>
            </w:r>
          </w:p>
        </w:tc>
        <w:tc>
          <w:tcPr>
            <w:tcW w:w="240" w:type="dxa"/>
            <w:vAlign w:val="bottom"/>
            <w:shd w:val="clear" w:color="auto" w:fill="E6E6E6"/>
          </w:tcPr>
          <w:p>
            <w:pPr>
              <w:spacing w:after="0"/>
              <w:rPr>
                <w:sz w:val="22"/>
                <w:szCs w:val="22"/>
                <w:color w:val="auto"/>
              </w:rPr>
            </w:pPr>
          </w:p>
        </w:tc>
        <w:tc>
          <w:tcPr>
            <w:tcW w:w="1160" w:type="dxa"/>
            <w:vAlign w:val="bottom"/>
            <w:shd w:val="clear" w:color="auto" w:fill="E6E6E6"/>
          </w:tcPr>
          <w:p>
            <w:pPr>
              <w:jc w:val="right"/>
              <w:ind w:right="133"/>
              <w:spacing w:after="0"/>
              <w:rPr>
                <w:sz w:val="20"/>
                <w:szCs w:val="20"/>
                <w:color w:val="auto"/>
              </w:rPr>
            </w:pPr>
            <w:r>
              <w:rPr>
                <w:rFonts w:ascii="Arial" w:cs="Arial" w:eastAsia="Arial" w:hAnsi="Arial"/>
                <w:sz w:val="18"/>
                <w:szCs w:val="18"/>
                <w:color w:val="auto"/>
              </w:rPr>
              <w:t>32</w:t>
            </w:r>
          </w:p>
        </w:tc>
        <w:tc>
          <w:tcPr>
            <w:tcW w:w="6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(96.9)%</w:t>
            </w:r>
          </w:p>
        </w:tc>
      </w:tr>
      <w:tr>
        <w:trPr>
          <w:trHeight w:val="248"/>
        </w:trPr>
        <w:tc>
          <w:tcPr>
            <w:tcW w:w="7400" w:type="dxa"/>
            <w:vAlign w:val="bottom"/>
          </w:tcPr>
          <w:p>
            <w:pPr>
              <w:jc w:val="right"/>
              <w:spacing w:after="0"/>
              <w:rPr>
                <w:sz w:val="20"/>
                <w:szCs w:val="20"/>
                <w:color w:val="auto"/>
              </w:rPr>
            </w:pPr>
            <w:r>
              <w:rPr>
                <w:rFonts w:ascii="Arial" w:cs="Arial" w:eastAsia="Arial" w:hAnsi="Arial"/>
                <w:sz w:val="18"/>
                <w:szCs w:val="18"/>
                <w:color w:val="auto"/>
                <w:w w:val="92"/>
              </w:rPr>
              <w:t xml:space="preserve">Employee share-based payments </w:t>
            </w:r>
            <w:r>
              <w:rPr>
                <w:rFonts w:ascii="Arial" w:cs="Arial" w:eastAsia="Arial" w:hAnsi="Arial"/>
                <w:sz w:val="18"/>
                <w:szCs w:val="18"/>
                <w:color w:val="B4B4B4"/>
                <w:w w:val="92"/>
              </w:rPr>
              <w:t>. . . . . . . . . . . . . . . . . . . . . . . . . . . . . . . . . . . . . . . . . . . . . . . . . . . .</w:t>
            </w:r>
          </w:p>
        </w:tc>
        <w:tc>
          <w:tcPr>
            <w:tcW w:w="24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4B4B4"/>
                <w:w w:val="92"/>
              </w:rPr>
              <w:t>. . . . . . . . . . . . . . . . . . . . . . . . . . . . . . . . . . . . . . . . . . . . . . . . . . . . . . . . . . . . . . . . . . . . . . . . . .</w:t>
            </w:r>
          </w:p>
        </w:tc>
        <w:tc>
          <w:tcPr>
            <w:tcW w:w="24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ind w:right="133"/>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(2.9)%</w:t>
            </w:r>
          </w:p>
        </w:tc>
      </w:tr>
      <w:tr>
        <w:trPr>
          <w:trHeight w:val="197"/>
        </w:trPr>
        <w:tc>
          <w:tcPr>
            <w:tcW w:w="7400" w:type="dxa"/>
            <w:vAlign w:val="bottom"/>
          </w:tcPr>
          <w:p>
            <w:pPr>
              <w:jc w:val="right"/>
              <w:spacing w:after="0" w:line="197" w:lineRule="exact"/>
              <w:rPr>
                <w:sz w:val="20"/>
                <w:szCs w:val="20"/>
                <w:color w:val="auto"/>
              </w:rPr>
            </w:pPr>
            <w:r>
              <w:rPr>
                <w:rFonts w:ascii="Arial" w:cs="Arial" w:eastAsia="Arial" w:hAnsi="Arial"/>
                <w:sz w:val="18"/>
                <w:szCs w:val="18"/>
                <w:color w:val="B4B4B4"/>
                <w:w w:val="95"/>
              </w:rPr>
              <w:t>. . . . . . . . . . . . . . . . . . . . . . . . . . . . . . . . . . . . . . . . . . . . . . . . . . . . . . . . . . . . . .</w:t>
            </w:r>
            <w:r>
              <w:rPr>
                <w:rFonts w:ascii="Arial" w:cs="Arial" w:eastAsia="Arial" w:hAnsi="Arial"/>
                <w:sz w:val="18"/>
                <w:szCs w:val="18"/>
                <w:color w:val="000000"/>
                <w:w w:val="95"/>
              </w:rPr>
              <w:t>Incometaxexpense</w:t>
            </w:r>
          </w:p>
        </w:tc>
        <w:tc>
          <w:tcPr>
            <w:tcW w:w="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3"/>
              <w:spacing w:after="0" w:line="197"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(90.9)%</w:t>
            </w:r>
          </w:p>
        </w:tc>
      </w:tr>
      <w:tr>
        <w:trPr>
          <w:trHeight w:val="20"/>
        </w:trPr>
        <w:tc>
          <w:tcPr>
            <w:tcW w:w="7400" w:type="dxa"/>
            <w:vAlign w:val="bottom"/>
            <w:tcBorders>
              <w:bottom w:val="single" w:sz="8" w:color="E6E6E6"/>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5"/>
        </w:trPr>
        <w:tc>
          <w:tcPr>
            <w:tcW w:w="740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2"/>
              </w:rPr>
              <w:t>. . . . . . . . . . . . . . . . . . . . . . . . . . . . . . . . . . . . . . . . . . . . . . . . . . . . . . . . . . . . .</w:t>
            </w:r>
            <w:r>
              <w:rPr>
                <w:rFonts w:ascii="Arial" w:cs="Arial" w:eastAsia="Arial" w:hAnsi="Arial"/>
                <w:sz w:val="18"/>
                <w:szCs w:val="18"/>
                <w:color w:val="000000"/>
                <w:w w:val="92"/>
              </w:rPr>
              <w:t>Effectiveincometaxrate</w:t>
            </w:r>
          </w:p>
        </w:tc>
        <w:tc>
          <w:tcPr>
            <w:tcW w:w="24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(90.9)%</w:t>
            </w:r>
          </w:p>
        </w:tc>
        <w:tc>
          <w:tcPr>
            <w:tcW w:w="6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-186690</wp:posOffset>
            </wp:positionV>
            <wp:extent cx="18351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0">
                      <a:extLst>
                        <a:ext uri="{28A0092B-C50C-407E-A947-70E740481C1C}"/>
                      </a:extLst>
                    </a:blip>
                    <a:srcRect/>
                    <a:stretch>
                      <a:fillRect/>
                    </a:stretch>
                  </pic:blipFill>
                  <pic:spPr bwMode="auto">
                    <a:xfrm>
                      <a:off x="0" y="0"/>
                      <a:ext cx="183515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126682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1">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57" w:lineRule="exact"/>
        <w:rPr>
          <w:sz w:val="20"/>
          <w:szCs w:val="20"/>
          <w:color w:val="auto"/>
        </w:rPr>
      </w:pPr>
    </w:p>
    <w:p>
      <w:pPr>
        <w:ind w:left="280" w:hanging="200"/>
        <w:spacing w:after="0"/>
        <w:tabs>
          <w:tab w:leader="none" w:pos="28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State taxes in California made up the majority of the tax effect in this category.</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880" w:h="15480" w:orient="portrait"/>
          <w:cols w:equalWidth="0" w:num="1">
            <w:col w:w="10260"/>
          </w:cols>
          <w:pgMar w:left="820" w:top="360" w:right="800" w:bottom="0" w:gutter="0" w:footer="0" w:header="0"/>
          <w:type w:val="continuous"/>
        </w:sectPr>
      </w:pPr>
    </w:p>
    <w:bookmarkStart w:id="123" w:name="page124"/>
    <w:bookmarkEnd w:id="123"/>
    <w:p>
      <w:pPr>
        <w:ind w:right="20" w:firstLine="450"/>
        <w:spacing w:after="0" w:line="310" w:lineRule="auto"/>
        <w:rPr>
          <w:sz w:val="20"/>
          <w:szCs w:val="20"/>
          <w:color w:val="auto"/>
        </w:rPr>
      </w:pPr>
      <w:r>
        <w:rPr>
          <w:rFonts w:ascii="Arial" w:cs="Arial" w:eastAsia="Arial" w:hAnsi="Arial"/>
          <w:sz w:val="19"/>
          <w:szCs w:val="19"/>
          <w:color w:val="auto"/>
        </w:rPr>
        <w:t>The following table is a reconciliation of the U.S. federal statutory rate of 21% to the Company’s effective rate for the years ended December 31, 2023 and 2022 in accordance with the guidance prior to the adoption of ASU 2023-09: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80" w:type="dxa"/>
            <w:vAlign w:val="bottom"/>
          </w:tcPr>
          <w:p>
            <w:pPr>
              <w:spacing w:after="0"/>
              <w:rPr>
                <w:sz w:val="19"/>
                <w:szCs w:val="19"/>
                <w:color w:val="auto"/>
              </w:rPr>
            </w:pPr>
          </w:p>
        </w:tc>
        <w:tc>
          <w:tcPr>
            <w:tcW w:w="288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6"/>
                <w:szCs w:val="16"/>
                <w:b w:val="1"/>
                <w:bCs w:val="1"/>
                <w:color w:val="auto"/>
              </w:rPr>
              <w:t>Year Ended December 31,</w:t>
            </w:r>
          </w:p>
        </w:tc>
      </w:tr>
      <w:tr>
        <w:trPr>
          <w:trHeight w:val="235"/>
        </w:trPr>
        <w:tc>
          <w:tcPr>
            <w:tcW w:w="73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37"/>
        </w:trPr>
        <w:tc>
          <w:tcPr>
            <w:tcW w:w="7380" w:type="dxa"/>
            <w:vAlign w:val="bottom"/>
          </w:tcPr>
          <w:p>
            <w:pPr>
              <w:spacing w:after="0"/>
              <w:rPr>
                <w:sz w:val="20"/>
                <w:szCs w:val="20"/>
                <w:color w:val="auto"/>
              </w:rPr>
            </w:pPr>
          </w:p>
        </w:tc>
        <w:tc>
          <w:tcPr>
            <w:tcW w:w="2880" w:type="dxa"/>
            <w:vAlign w:val="bottom"/>
            <w:gridSpan w:val="5"/>
          </w:tcPr>
          <w:p>
            <w:pPr>
              <w:jc w:val="right"/>
              <w:ind w:right="231"/>
              <w:spacing w:after="0"/>
              <w:rPr>
                <w:sz w:val="20"/>
                <w:szCs w:val="20"/>
                <w:color w:val="auto"/>
              </w:rPr>
            </w:pPr>
            <w:r>
              <w:rPr>
                <w:rFonts w:ascii="Arial" w:cs="Arial" w:eastAsia="Arial" w:hAnsi="Arial"/>
                <w:sz w:val="16"/>
                <w:szCs w:val="16"/>
                <w:b w:val="1"/>
                <w:bCs w:val="1"/>
                <w:color w:val="auto"/>
              </w:rPr>
              <w:t>(In millions, except percentages)</w:t>
            </w:r>
          </w:p>
        </w:tc>
      </w:tr>
      <w:tr>
        <w:trPr>
          <w:trHeight w:val="253"/>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(Loss) Income Before Income Taxes </w:t>
            </w:r>
            <w:r>
              <w:rPr>
                <w:rFonts w:ascii="Arial" w:cs="Arial" w:eastAsia="Arial" w:hAnsi="Arial"/>
                <w:sz w:val="18"/>
                <w:szCs w:val="18"/>
                <w:color w:val="B4B4B4"/>
                <w:w w:val="91"/>
              </w:rPr>
              <w:t>. . . . . . . . . . . . . . . . . . . . . . . . . . . . . . . . . . . . . . . . . . . . . . . . . . .</w:t>
            </w:r>
          </w:p>
        </w:tc>
        <w:tc>
          <w:tcPr>
            <w:tcW w:w="860" w:type="dxa"/>
            <w:vAlign w:val="bottom"/>
            <w:shd w:val="clear" w:color="auto" w:fill="E6E6E6"/>
          </w:tcPr>
          <w:p>
            <w:pPr>
              <w:jc w:val="right"/>
              <w:ind w:right="636"/>
              <w:spacing w:after="0"/>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E6E6E6"/>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rPr>
              <w:t>1,282</w:t>
            </w:r>
          </w:p>
        </w:tc>
      </w:tr>
      <w:tr>
        <w:trPr>
          <w:trHeight w:val="110"/>
        </w:trPr>
        <w:tc>
          <w:tcPr>
            <w:tcW w:w="7380" w:type="dxa"/>
            <w:vAlign w:val="bottom"/>
            <w:tcBorders>
              <w:top w:val="single" w:sz="8" w:color="E6E6E6"/>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r>
      <w:tr>
        <w:trPr>
          <w:trHeight w:val="255"/>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Tax at 21% </w:t>
            </w:r>
            <w:r>
              <w:rPr>
                <w:rFonts w:ascii="Arial" w:cs="Arial" w:eastAsia="Arial" w:hAnsi="Arial"/>
                <w:sz w:val="18"/>
                <w:szCs w:val="18"/>
                <w:color w:val="B4B4B4"/>
                <w:w w:val="91"/>
              </w:rPr>
              <w:t>. . . . . . . . . . . . . . . . . . . . . . . . . . . . . . . . . . . . . . . . . . . . . . . . . . . . . . . . . . . . . . . . . . . . . . .</w:t>
            </w:r>
          </w:p>
        </w:tc>
        <w:tc>
          <w:tcPr>
            <w:tcW w:w="860" w:type="dxa"/>
            <w:vAlign w:val="bottom"/>
            <w:shd w:val="clear" w:color="auto" w:fill="E6E6E6"/>
          </w:tcPr>
          <w:p>
            <w:pPr>
              <w:spacing w:after="0"/>
              <w:rPr>
                <w:sz w:val="22"/>
                <w:szCs w:val="22"/>
                <w:color w:val="auto"/>
              </w:rPr>
            </w:pP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rPr>
              <w:t>269</w:t>
            </w:r>
          </w:p>
        </w:tc>
      </w:tr>
      <w:tr>
        <w:trPr>
          <w:trHeight w:val="248"/>
        </w:trPr>
        <w:tc>
          <w:tcPr>
            <w:tcW w:w="7380" w:type="dxa"/>
            <w:vAlign w:val="bottom"/>
          </w:tcPr>
          <w:p>
            <w:pPr>
              <w:jc w:val="right"/>
              <w:spacing w:after="0"/>
              <w:rPr>
                <w:sz w:val="20"/>
                <w:szCs w:val="20"/>
                <w:color w:val="auto"/>
              </w:rPr>
            </w:pPr>
            <w:r>
              <w:rPr>
                <w:rFonts w:ascii="Arial" w:cs="Arial" w:eastAsia="Arial" w:hAnsi="Arial"/>
                <w:sz w:val="18"/>
                <w:szCs w:val="18"/>
                <w:color w:val="auto"/>
                <w:w w:val="92"/>
              </w:rPr>
              <w:t xml:space="preserve">State taxes, net of federal benefit </w:t>
            </w:r>
            <w:r>
              <w:rPr>
                <w:rFonts w:ascii="Arial" w:cs="Arial" w:eastAsia="Arial" w:hAnsi="Arial"/>
                <w:sz w:val="18"/>
                <w:szCs w:val="18"/>
                <w:color w:val="B4B4B4"/>
                <w:w w:val="92"/>
              </w:rPr>
              <w:t>. . . . . . . . . . . . . . . . . . . . . . . . . . . . . . . . . . . . . . . . . . . . . . . . . . . . .</w:t>
            </w:r>
          </w:p>
        </w:tc>
        <w:tc>
          <w:tcPr>
            <w:tcW w:w="86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58</w:t>
            </w:r>
          </w:p>
        </w:tc>
      </w:tr>
      <w:tr>
        <w:trPr>
          <w:trHeight w:val="262"/>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Impact of non-taxable partnership earnings (losses) </w:t>
            </w:r>
            <w:r>
              <w:rPr>
                <w:rFonts w:ascii="Arial" w:cs="Arial" w:eastAsia="Arial" w:hAnsi="Arial"/>
                <w:sz w:val="18"/>
                <w:szCs w:val="18"/>
                <w:color w:val="B4B4B4"/>
                <w:w w:val="92"/>
              </w:rPr>
              <w:t>. . . . . . . . . . . . . . . . . . . . . . . . . . . . . . . . . . . . . .</w:t>
            </w:r>
          </w:p>
        </w:tc>
        <w:tc>
          <w:tcPr>
            <w:tcW w:w="860" w:type="dxa"/>
            <w:vAlign w:val="bottom"/>
            <w:shd w:val="clear" w:color="auto" w:fill="E6E6E6"/>
          </w:tcPr>
          <w:p>
            <w:pPr>
              <w:spacing w:after="0"/>
              <w:rPr>
                <w:sz w:val="22"/>
                <w:szCs w:val="22"/>
                <w:color w:val="auto"/>
              </w:rPr>
            </w:pPr>
          </w:p>
        </w:tc>
        <w:tc>
          <w:tcPr>
            <w:tcW w:w="540" w:type="dxa"/>
            <w:vAlign w:val="bottom"/>
            <w:shd w:val="clear" w:color="auto" w:fill="E6E6E6"/>
          </w:tcPr>
          <w:p>
            <w:pPr>
              <w:jc w:val="right"/>
              <w:ind w:right="130"/>
              <w:spacing w:after="0"/>
              <w:rPr>
                <w:sz w:val="20"/>
                <w:szCs w:val="20"/>
                <w:color w:val="auto"/>
              </w:rPr>
            </w:pPr>
            <w:r>
              <w:rPr>
                <w:rFonts w:ascii="Arial" w:cs="Arial" w:eastAsia="Arial" w:hAnsi="Arial"/>
                <w:sz w:val="18"/>
                <w:szCs w:val="18"/>
                <w:color w:val="auto"/>
              </w:rPr>
              <w:t>21</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(101)</w:t>
            </w:r>
          </w:p>
        </w:tc>
      </w:tr>
      <w:tr>
        <w:trPr>
          <w:trHeight w:val="248"/>
        </w:trPr>
        <w:tc>
          <w:tcPr>
            <w:tcW w:w="7380" w:type="dxa"/>
            <w:vAlign w:val="bottom"/>
          </w:tcPr>
          <w:p>
            <w:pPr>
              <w:jc w:val="right"/>
              <w:spacing w:after="0"/>
              <w:rPr>
                <w:sz w:val="20"/>
                <w:szCs w:val="20"/>
                <w:color w:val="auto"/>
              </w:rPr>
            </w:pPr>
            <w:r>
              <w:rPr>
                <w:rFonts w:ascii="Arial" w:cs="Arial" w:eastAsia="Arial" w:hAnsi="Arial"/>
                <w:sz w:val="18"/>
                <w:szCs w:val="18"/>
                <w:color w:val="auto"/>
                <w:w w:val="92"/>
              </w:rPr>
              <w:t xml:space="preserve">Valuation allowance </w:t>
            </w:r>
            <w:r>
              <w:rPr>
                <w:rFonts w:ascii="Arial" w:cs="Arial" w:eastAsia="Arial" w:hAnsi="Arial"/>
                <w:sz w:val="18"/>
                <w:szCs w:val="18"/>
                <w:color w:val="B4B4B4"/>
                <w:w w:val="92"/>
              </w:rPr>
              <w:t>. . . . . . . . . . . . . . . . . . . . . . . . . . . . . . . . . . . . . . . . . . . . . . . . . . . . . . . . . . . . . . .</w:t>
            </w:r>
          </w:p>
        </w:tc>
        <w:tc>
          <w:tcPr>
            <w:tcW w:w="86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62"/>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Investment tax credits </w:t>
            </w:r>
            <w:r>
              <w:rPr>
                <w:rFonts w:ascii="Arial" w:cs="Arial" w:eastAsia="Arial" w:hAnsi="Arial"/>
                <w:sz w:val="18"/>
                <w:szCs w:val="18"/>
                <w:color w:val="B4B4B4"/>
                <w:w w:val="92"/>
              </w:rPr>
              <w:t>. . . . . . . . . . . . . . . . . . . . . . . . . . . . . . . . . . . . . . . . . . . . . . . . . . . . . . . . . . . . .</w:t>
            </w:r>
          </w:p>
        </w:tc>
        <w:tc>
          <w:tcPr>
            <w:tcW w:w="860" w:type="dxa"/>
            <w:vAlign w:val="bottom"/>
            <w:shd w:val="clear" w:color="auto" w:fill="E6E6E6"/>
          </w:tcPr>
          <w:p>
            <w:pPr>
              <w:spacing w:after="0"/>
              <w:rPr>
                <w:sz w:val="22"/>
                <w:szCs w:val="22"/>
                <w:color w:val="auto"/>
              </w:rPr>
            </w:pP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151"/>
              <w:spacing w:after="0"/>
              <w:rPr>
                <w:sz w:val="20"/>
                <w:szCs w:val="20"/>
                <w:color w:val="auto"/>
              </w:rPr>
            </w:pPr>
            <w:r>
              <w:rPr>
                <w:rFonts w:ascii="Arial" w:cs="Arial" w:eastAsia="Arial" w:hAnsi="Arial"/>
                <w:sz w:val="18"/>
                <w:szCs w:val="18"/>
                <w:color w:val="auto"/>
              </w:rPr>
              <w:t>—</w:t>
            </w:r>
          </w:p>
        </w:tc>
      </w:tr>
      <w:tr>
        <w:trPr>
          <w:trHeight w:val="255"/>
        </w:trPr>
        <w:tc>
          <w:tcPr>
            <w:tcW w:w="7380" w:type="dxa"/>
            <w:vAlign w:val="bottom"/>
          </w:tcPr>
          <w:p>
            <w:pPr>
              <w:jc w:val="right"/>
              <w:spacing w:after="0" w:line="255" w:lineRule="exact"/>
              <w:rPr>
                <w:sz w:val="20"/>
                <w:szCs w:val="20"/>
                <w:color w:val="auto"/>
              </w:rPr>
            </w:pPr>
            <w:r>
              <w:rPr>
                <w:rFonts w:ascii="Arial" w:cs="Arial" w:eastAsia="Arial" w:hAnsi="Arial"/>
                <w:sz w:val="18"/>
                <w:szCs w:val="18"/>
                <w:color w:val="auto"/>
                <w:w w:val="91"/>
              </w:rPr>
              <w:t xml:space="preserve">Production tax credits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 . . . . . . . . . . . . . . . . . . . . . . . . . . . . . . . .</w:t>
            </w:r>
          </w:p>
        </w:tc>
        <w:tc>
          <w:tcPr>
            <w:tcW w:w="860" w:type="dxa"/>
            <w:vAlign w:val="bottom"/>
          </w:tcPr>
          <w:p>
            <w:pPr>
              <w:spacing w:after="0"/>
              <w:rPr>
                <w:sz w:val="22"/>
                <w:szCs w:val="22"/>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w:t>
            </w:r>
          </w:p>
        </w:tc>
      </w:tr>
      <w:tr>
        <w:trPr>
          <w:trHeight w:val="255"/>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Rate change </w:t>
            </w:r>
            <w:r>
              <w:rPr>
                <w:rFonts w:ascii="Arial" w:cs="Arial" w:eastAsia="Arial" w:hAnsi="Arial"/>
                <w:sz w:val="18"/>
                <w:szCs w:val="18"/>
                <w:color w:val="B4B4B4"/>
                <w:w w:val="92"/>
              </w:rPr>
              <w:t>. . . . . . . . . . . . . . . . . . . . . . . . . . . . . . . . . . . . . . . . . . . . . . . . . . . . . . . . . . . . . . . . . . . . .</w:t>
            </w:r>
          </w:p>
        </w:tc>
        <w:tc>
          <w:tcPr>
            <w:tcW w:w="860" w:type="dxa"/>
            <w:vAlign w:val="bottom"/>
            <w:shd w:val="clear" w:color="auto" w:fill="E6E6E6"/>
          </w:tcPr>
          <w:p>
            <w:pPr>
              <w:spacing w:after="0"/>
              <w:rPr>
                <w:sz w:val="22"/>
                <w:szCs w:val="22"/>
                <w:color w:val="auto"/>
              </w:rPr>
            </w:pPr>
          </w:p>
        </w:tc>
        <w:tc>
          <w:tcPr>
            <w:tcW w:w="540" w:type="dxa"/>
            <w:vAlign w:val="bottom"/>
            <w:shd w:val="clear" w:color="auto" w:fill="E6E6E6"/>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(2)</w:t>
            </w:r>
          </w:p>
        </w:tc>
      </w:tr>
      <w:tr>
        <w:trPr>
          <w:trHeight w:val="248"/>
        </w:trPr>
        <w:tc>
          <w:tcPr>
            <w:tcW w:w="7380" w:type="dxa"/>
            <w:vAlign w:val="bottom"/>
          </w:tcPr>
          <w:p>
            <w:pPr>
              <w:jc w:val="right"/>
              <w:spacing w:after="0"/>
              <w:rPr>
                <w:sz w:val="20"/>
                <w:szCs w:val="20"/>
                <w:color w:val="auto"/>
              </w:rPr>
            </w:pPr>
            <w:r>
              <w:rPr>
                <w:rFonts w:ascii="Arial" w:cs="Arial" w:eastAsia="Arial" w:hAnsi="Arial"/>
                <w:sz w:val="18"/>
                <w:szCs w:val="18"/>
                <w:color w:val="auto"/>
                <w:w w:val="91"/>
              </w:rPr>
              <w:t xml:space="preserve">State taxes assessed at subsidiaries </w:t>
            </w:r>
            <w:r>
              <w:rPr>
                <w:rFonts w:ascii="Arial" w:cs="Arial" w:eastAsia="Arial" w:hAnsi="Arial"/>
                <w:sz w:val="18"/>
                <w:szCs w:val="18"/>
                <w:color w:val="B4B4B4"/>
                <w:w w:val="91"/>
              </w:rPr>
              <w:t>. . . . . . . . . . . . . . . . . . . . . . . . . . . . . . . . . . . . . . . . . . . . . . . . . . .</w:t>
            </w:r>
          </w:p>
        </w:tc>
        <w:tc>
          <w:tcPr>
            <w:tcW w:w="86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70"/>
        </w:trPr>
        <w:tc>
          <w:tcPr>
            <w:tcW w:w="7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4B4B4"/>
                <w:w w:val="92"/>
              </w:rPr>
              <w:t>. . . . . . . . . . . . . . . . . . . . . . . . . . . . . . . . . . . . . . . . . . . . . . . . . . . . . . . . . . . . . . . . . . . . . . . . . .</w:t>
            </w:r>
          </w:p>
        </w:tc>
        <w:tc>
          <w:tcPr>
            <w:tcW w:w="860" w:type="dxa"/>
            <w:vAlign w:val="bottom"/>
            <w:tcBorders>
              <w:bottom w:val="single" w:sz="8" w:color="auto"/>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ind w:right="91"/>
              <w:spacing w:after="0"/>
              <w:rPr>
                <w:sz w:val="20"/>
                <w:szCs w:val="20"/>
                <w:color w:val="auto"/>
              </w:rPr>
            </w:pPr>
            <w:r>
              <w:rPr>
                <w:rFonts w:ascii="Arial" w:cs="Arial" w:eastAsia="Arial" w:hAnsi="Arial"/>
                <w:sz w:val="18"/>
                <w:szCs w:val="18"/>
                <w:color w:val="auto"/>
              </w:rPr>
              <w:t>(2)</w:t>
            </w:r>
          </w:p>
        </w:tc>
      </w:tr>
      <w:tr>
        <w:trPr>
          <w:trHeight w:val="197"/>
        </w:trPr>
        <w:tc>
          <w:tcPr>
            <w:tcW w:w="7380" w:type="dxa"/>
            <w:vAlign w:val="bottom"/>
          </w:tcPr>
          <w:p>
            <w:pPr>
              <w:jc w:val="right"/>
              <w:spacing w:after="0" w:line="197" w:lineRule="exact"/>
              <w:rPr>
                <w:sz w:val="20"/>
                <w:szCs w:val="20"/>
                <w:color w:val="auto"/>
              </w:rPr>
            </w:pPr>
            <w:r>
              <w:rPr>
                <w:rFonts w:ascii="Arial" w:cs="Arial" w:eastAsia="Arial" w:hAnsi="Arial"/>
                <w:sz w:val="18"/>
                <w:szCs w:val="18"/>
                <w:color w:val="B4B4B4"/>
                <w:w w:val="95"/>
              </w:rPr>
              <w:t>. . . . . . . . . . . . . . . . . . . . . . . . . . . . . . . . . . . . . . . . . . . . . . . . . . . . . . .</w:t>
            </w:r>
            <w:r>
              <w:rPr>
                <w:rFonts w:ascii="Arial" w:cs="Arial" w:eastAsia="Arial" w:hAnsi="Arial"/>
                <w:sz w:val="18"/>
                <w:szCs w:val="18"/>
                <w:color w:val="000000"/>
                <w:w w:val="95"/>
              </w:rPr>
              <w:t>Incometax(benefit)expense</w:t>
            </w:r>
          </w:p>
        </w:tc>
        <w:tc>
          <w:tcPr>
            <w:tcW w:w="860" w:type="dxa"/>
            <w:vAlign w:val="bottom"/>
            <w:tcBorders>
              <w:bottom w:val="single" w:sz="8" w:color="auto"/>
            </w:tcBorders>
          </w:tcPr>
          <w:p>
            <w:pPr>
              <w:jc w:val="right"/>
              <w:ind w:right="636"/>
              <w:spacing w:after="0" w:line="197"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70"/>
              <w:spacing w:after="0" w:line="197"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1"/>
              <w:spacing w:after="0" w:line="197" w:lineRule="exact"/>
              <w:rPr>
                <w:sz w:val="20"/>
                <w:szCs w:val="20"/>
                <w:color w:val="auto"/>
              </w:rPr>
            </w:pPr>
            <w:r>
              <w:rPr>
                <w:rFonts w:ascii="Arial" w:cs="Arial" w:eastAsia="Arial" w:hAnsi="Arial"/>
                <w:sz w:val="18"/>
                <w:szCs w:val="18"/>
                <w:color w:val="auto"/>
              </w:rPr>
              <w:t>222</w:t>
            </w:r>
          </w:p>
        </w:tc>
      </w:tr>
      <w:tr>
        <w:trPr>
          <w:trHeight w:val="20"/>
        </w:trPr>
        <w:tc>
          <w:tcPr>
            <w:tcW w:w="738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B4B4B4"/>
                <w:w w:val="93"/>
              </w:rPr>
              <w:t>. . . . . . . . . . . . . . . . . . . . . . . . . . . . . . . . . . . . . . . . . . . . . . . . . . . . . . . . . . . .</w:t>
            </w:r>
            <w:r>
              <w:rPr>
                <w:rFonts w:ascii="Arial" w:cs="Arial" w:eastAsia="Arial" w:hAnsi="Arial"/>
                <w:sz w:val="18"/>
                <w:szCs w:val="18"/>
                <w:color w:val="000000"/>
                <w:w w:val="93"/>
              </w:rPr>
              <w:t>Effectiveincometaxrate</w:t>
            </w:r>
          </w:p>
        </w:tc>
        <w:tc>
          <w:tcPr>
            <w:tcW w:w="860" w:type="dxa"/>
            <w:vAlign w:val="bottom"/>
            <w:shd w:val="clear" w:color="auto" w:fill="E6E6E6"/>
          </w:tcPr>
          <w:p>
            <w:pPr>
              <w:spacing w:after="0"/>
              <w:rPr>
                <w:sz w:val="19"/>
                <w:szCs w:val="19"/>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9"/>
              </w:rPr>
              <w:t>12.5 %</w:t>
            </w: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-186690</wp:posOffset>
            </wp:positionV>
            <wp:extent cx="184467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2">
                      <a:extLst>
                        <a:ext uri="{28A0092B-C50C-407E-A947-70E740481C1C}"/>
                      </a:extLst>
                    </a:blip>
                    <a:srcRect/>
                    <a:stretch>
                      <a:fillRect/>
                    </a:stretch>
                  </pic:blipFill>
                  <pic:spPr bwMode="auto">
                    <a:xfrm>
                      <a:off x="0" y="0"/>
                      <a:ext cx="18446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126682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3">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90" w:lineRule="exact"/>
        <w:rPr>
          <w:sz w:val="20"/>
          <w:szCs w:val="20"/>
          <w:color w:val="auto"/>
        </w:rPr>
      </w:pPr>
    </w:p>
    <w:p>
      <w:pPr>
        <w:ind w:left="80" w:right="140"/>
        <w:spacing w:after="0" w:line="226" w:lineRule="auto"/>
        <w:tabs>
          <w:tab w:leader="none" w:pos="275"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On December 6, 2023, the Company executed an agreement with a third party to sell the PTCs generated by the Alta X and Alta XI wind facilities, which resulted in a $14 million income tax benefit (reduction to income tax expense) during the year ended December 31, 2023.</w:t>
      </w:r>
    </w:p>
    <w:p>
      <w:pPr>
        <w:spacing w:after="0" w:line="151" w:lineRule="exact"/>
        <w:rPr>
          <w:sz w:val="20"/>
          <w:szCs w:val="20"/>
          <w:color w:val="auto"/>
        </w:rPr>
      </w:pPr>
    </w:p>
    <w:p>
      <w:pPr>
        <w:jc w:val="both"/>
        <w:ind w:right="20" w:firstLine="450"/>
        <w:spacing w:after="0" w:line="287" w:lineRule="auto"/>
        <w:rPr>
          <w:sz w:val="20"/>
          <w:szCs w:val="20"/>
          <w:color w:val="auto"/>
        </w:rPr>
      </w:pPr>
      <w:r>
        <w:rPr>
          <w:rFonts w:ascii="Arial" w:cs="Arial" w:eastAsia="Arial" w:hAnsi="Arial"/>
          <w:sz w:val="19"/>
          <w:szCs w:val="19"/>
          <w:color w:val="auto"/>
        </w:rPr>
        <w:t>For the year ended December 31,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16"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For the year ended December 31,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 partially offset by the impact of PTCs generated.</w:t>
      </w:r>
    </w:p>
    <w:p>
      <w:pPr>
        <w:spacing w:after="0" w:line="140"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For the year ended December 31,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140"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For tax purposes, Clearway Energy LLC is treated as a partnership; therefore, the Company and CEG each record their respective share of taxable income or loss.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temporary differences, which gave rise to the Company’s deferred tax balances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8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6"/>
                <w:szCs w:val="16"/>
                <w:b w:val="1"/>
                <w:bCs w:val="1"/>
                <w:color w:val="auto"/>
              </w:rPr>
              <w:t>As of December 31,</w:t>
            </w:r>
          </w:p>
        </w:tc>
        <w:tc>
          <w:tcPr>
            <w:tcW w:w="480" w:type="dxa"/>
            <w:vAlign w:val="bottom"/>
            <w:tcBorders>
              <w:bottom w:val="single" w:sz="8" w:color="auto"/>
            </w:tcBorders>
          </w:tcPr>
          <w:p>
            <w:pPr>
              <w:spacing w:after="0"/>
              <w:rPr>
                <w:sz w:val="19"/>
                <w:szCs w:val="19"/>
                <w:color w:val="auto"/>
              </w:rPr>
            </w:pPr>
          </w:p>
        </w:tc>
      </w:tr>
      <w:tr>
        <w:trPr>
          <w:trHeight w:val="235"/>
        </w:trPr>
        <w:tc>
          <w:tcPr>
            <w:tcW w:w="7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20"/>
                <w:szCs w:val="20"/>
                <w:color w:val="auto"/>
              </w:rPr>
            </w:pPr>
          </w:p>
        </w:tc>
      </w:tr>
      <w:tr>
        <w:trPr>
          <w:trHeight w:val="237"/>
        </w:trPr>
        <w:tc>
          <w:tcPr>
            <w:tcW w:w="7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gridSpan w:val="3"/>
          </w:tcPr>
          <w:p>
            <w:pPr>
              <w:jc w:val="right"/>
              <w:ind w:right="455"/>
              <w:spacing w:after="0"/>
              <w:rPr>
                <w:sz w:val="20"/>
                <w:szCs w:val="20"/>
                <w:color w:val="auto"/>
              </w:rPr>
            </w:pPr>
            <w:r>
              <w:rPr>
                <w:rFonts w:ascii="Arial" w:cs="Arial" w:eastAsia="Arial" w:hAnsi="Arial"/>
                <w:sz w:val="16"/>
                <w:szCs w:val="16"/>
                <w:b w:val="1"/>
                <w:bCs w:val="1"/>
                <w:color w:val="auto"/>
              </w:rPr>
              <w:t>(In millions)</w:t>
            </w:r>
          </w:p>
        </w:tc>
        <w:tc>
          <w:tcPr>
            <w:tcW w:w="480" w:type="dxa"/>
            <w:vAlign w:val="bottom"/>
          </w:tcPr>
          <w:p>
            <w:pPr>
              <w:spacing w:after="0"/>
              <w:rPr>
                <w:sz w:val="20"/>
                <w:szCs w:val="20"/>
                <w:color w:val="auto"/>
              </w:rPr>
            </w:pPr>
          </w:p>
        </w:tc>
      </w:tr>
      <w:tr>
        <w:trPr>
          <w:trHeight w:val="263"/>
        </w:trPr>
        <w:tc>
          <w:tcPr>
            <w:tcW w:w="7380" w:type="dxa"/>
            <w:vAlign w:val="bottom"/>
            <w:shd w:val="clear" w:color="auto" w:fill="E6E6E6"/>
          </w:tcPr>
          <w:p>
            <w:pPr>
              <w:ind w:left="4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r>
      <w:tr>
        <w:trPr>
          <w:trHeight w:val="245"/>
        </w:trPr>
        <w:tc>
          <w:tcPr>
            <w:tcW w:w="7380" w:type="dxa"/>
            <w:vAlign w:val="bottom"/>
          </w:tcPr>
          <w:p>
            <w:pPr>
              <w:jc w:val="right"/>
              <w:spacing w:after="0"/>
              <w:rPr>
                <w:sz w:val="20"/>
                <w:szCs w:val="20"/>
                <w:color w:val="auto"/>
              </w:rPr>
            </w:pPr>
            <w:r>
              <w:rPr>
                <w:rFonts w:ascii="Arial" w:cs="Arial" w:eastAsia="Arial" w:hAnsi="Arial"/>
                <w:sz w:val="18"/>
                <w:szCs w:val="18"/>
                <w:color w:val="auto"/>
                <w:w w:val="92"/>
              </w:rPr>
              <w:t xml:space="preserve">Investment in projects </w:t>
            </w:r>
            <w:r>
              <w:rPr>
                <w:rFonts w:ascii="Arial" w:cs="Arial" w:eastAsia="Arial" w:hAnsi="Arial"/>
                <w:sz w:val="18"/>
                <w:szCs w:val="18"/>
                <w:color w:val="B4B4B4"/>
                <w:w w:val="92"/>
              </w:rPr>
              <w:t>. . . . . . . . . . . . . . . . . . . . . . . . . . . . . . . . . . . . . . . . . . . . . . . . . . . . . . . . . . . . .</w:t>
            </w:r>
          </w:p>
        </w:tc>
        <w:tc>
          <w:tcPr>
            <w:tcW w:w="94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1000" w:type="dxa"/>
            <w:vAlign w:val="bottom"/>
            <w:gridSpan w:val="2"/>
          </w:tcPr>
          <w:p>
            <w:pPr>
              <w:jc w:val="right"/>
              <w:ind w:right="69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55"/>
        </w:trPr>
        <w:tc>
          <w:tcPr>
            <w:tcW w:w="738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4B4B4"/>
                <w:w w:val="96"/>
              </w:rPr>
              <w:t>. . . . . . . . . . . . . . . . . . . . . . . . . . . . . . . . . . . . . . . . . . . . . . . . . . . . . .</w:t>
            </w:r>
            <w:r>
              <w:rPr>
                <w:rFonts w:ascii="Arial" w:cs="Arial" w:eastAsia="Arial" w:hAnsi="Arial"/>
                <w:sz w:val="18"/>
                <w:szCs w:val="18"/>
                <w:b w:val="1"/>
                <w:bCs w:val="1"/>
                <w:color w:val="000000"/>
                <w:w w:val="96"/>
              </w:rPr>
              <w:t>Totaldeferredtaxliabilities</w:t>
            </w:r>
          </w:p>
        </w:tc>
        <w:tc>
          <w:tcPr>
            <w:tcW w:w="940" w:type="dxa"/>
            <w:vAlign w:val="bottom"/>
            <w:tcBorders>
              <w:top w:val="single" w:sz="8" w:color="auto"/>
              <w:bottom w:val="single" w:sz="8" w:color="auto"/>
            </w:tcBorders>
            <w:shd w:val="clear" w:color="auto" w:fill="E6E6E6"/>
          </w:tcPr>
          <w:p>
            <w:pPr>
              <w:spacing w:after="0"/>
              <w:rPr>
                <w:sz w:val="22"/>
                <w:szCs w:val="22"/>
                <w:color w:val="auto"/>
              </w:rPr>
            </w:pPr>
          </w:p>
        </w:tc>
        <w:tc>
          <w:tcPr>
            <w:tcW w:w="4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920" w:type="dxa"/>
            <w:vAlign w:val="bottom"/>
            <w:tcBorders>
              <w:top w:val="single" w:sz="8" w:color="auto"/>
              <w:bottom w:val="single" w:sz="8" w:color="auto"/>
            </w:tcBorders>
            <w:shd w:val="clear" w:color="auto" w:fill="E6E6E6"/>
          </w:tcPr>
          <w:p>
            <w:pPr>
              <w:spacing w:after="0"/>
              <w:rPr>
                <w:sz w:val="22"/>
                <w:szCs w:val="22"/>
                <w:color w:val="auto"/>
              </w:rPr>
            </w:pPr>
          </w:p>
        </w:tc>
        <w:tc>
          <w:tcPr>
            <w:tcW w:w="4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241</w:t>
            </w:r>
          </w:p>
        </w:tc>
      </w:tr>
      <w:tr>
        <w:trPr>
          <w:trHeight w:val="218"/>
        </w:trPr>
        <w:tc>
          <w:tcPr>
            <w:tcW w:w="73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2"/>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Interest expense disallowance carryforward - Investment in Projects </w:t>
            </w:r>
            <w:r>
              <w:rPr>
                <w:rFonts w:ascii="Arial" w:cs="Arial" w:eastAsia="Arial" w:hAnsi="Arial"/>
                <w:sz w:val="18"/>
                <w:szCs w:val="18"/>
                <w:color w:val="B4B4B4"/>
                <w:w w:val="92"/>
              </w:rPr>
              <w:t>. . . . . . . . . . . . . . . . . . . . . . . . .</w:t>
            </w:r>
          </w:p>
        </w:tc>
        <w:tc>
          <w:tcPr>
            <w:tcW w:w="940" w:type="dxa"/>
            <w:vAlign w:val="bottom"/>
            <w:shd w:val="clear" w:color="auto" w:fill="E6E6E6"/>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E6E6E6"/>
          </w:tcPr>
          <w:p>
            <w:pPr>
              <w:jc w:val="right"/>
              <w:ind w:right="695"/>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380" w:type="dxa"/>
            <w:vAlign w:val="bottom"/>
          </w:tcPr>
          <w:p>
            <w:pPr>
              <w:jc w:val="right"/>
              <w:spacing w:after="0"/>
              <w:rPr>
                <w:sz w:val="20"/>
                <w:szCs w:val="20"/>
                <w:color w:val="auto"/>
              </w:rPr>
            </w:pPr>
            <w:r>
              <w:rPr>
                <w:rFonts w:ascii="Arial" w:cs="Arial" w:eastAsia="Arial" w:hAnsi="Arial"/>
                <w:sz w:val="18"/>
                <w:szCs w:val="18"/>
                <w:color w:val="auto"/>
                <w:w w:val="92"/>
              </w:rPr>
              <w:t xml:space="preserve">Production tax credits  </w:t>
            </w:r>
            <w:r>
              <w:rPr>
                <w:rFonts w:ascii="Arial" w:cs="Arial" w:eastAsia="Arial" w:hAnsi="Arial"/>
                <w:sz w:val="18"/>
                <w:szCs w:val="18"/>
                <w:color w:val="B4B4B4"/>
                <w:w w:val="92"/>
              </w:rPr>
              <w:t>. . . . . . . . . . . . . . . . . . . . . . . . . . . . . . . . . . . . . . . . . . . . . . . . . . . . . . . . . . . . .</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2"/>
        </w:trPr>
        <w:tc>
          <w:tcPr>
            <w:tcW w:w="73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Investment tax credits </w:t>
            </w:r>
            <w:r>
              <w:rPr>
                <w:rFonts w:ascii="Arial" w:cs="Arial" w:eastAsia="Arial" w:hAnsi="Arial"/>
                <w:sz w:val="18"/>
                <w:szCs w:val="18"/>
                <w:color w:val="B4B4B4"/>
                <w:w w:val="92"/>
              </w:rPr>
              <w:t>. . . . . . . . . . . . . . . . . . . . . . . . . . . . . . . . . . . . . . . . . . . . . . . . . . . . . . . . . . . . .</w:t>
            </w:r>
          </w:p>
        </w:tc>
        <w:tc>
          <w:tcPr>
            <w:tcW w:w="940" w:type="dxa"/>
            <w:vAlign w:val="bottom"/>
            <w:shd w:val="clear" w:color="auto" w:fill="E6E6E6"/>
          </w:tcPr>
          <w:p>
            <w:pPr>
              <w:spacing w:after="0"/>
              <w:rPr>
                <w:sz w:val="22"/>
                <w:szCs w:val="22"/>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380" w:type="dxa"/>
            <w:vAlign w:val="bottom"/>
          </w:tcPr>
          <w:p>
            <w:pPr>
              <w:jc w:val="right"/>
              <w:spacing w:after="0"/>
              <w:rPr>
                <w:sz w:val="20"/>
                <w:szCs w:val="20"/>
                <w:color w:val="auto"/>
              </w:rPr>
            </w:pPr>
            <w:r>
              <w:rPr>
                <w:rFonts w:ascii="Arial" w:cs="Arial" w:eastAsia="Arial" w:hAnsi="Arial"/>
                <w:sz w:val="18"/>
                <w:szCs w:val="18"/>
                <w:color w:val="auto"/>
                <w:w w:val="92"/>
              </w:rPr>
              <w:t xml:space="preserve">U.S. Federal net operating loss carryforwards </w:t>
            </w:r>
            <w:r>
              <w:rPr>
                <w:rFonts w:ascii="Arial" w:cs="Arial" w:eastAsia="Arial" w:hAnsi="Arial"/>
                <w:sz w:val="18"/>
                <w:szCs w:val="18"/>
                <w:color w:val="B4B4B4"/>
                <w:w w:val="92"/>
              </w:rPr>
              <w:t>. . . . . . . . . . . . . . . . . . . . . . . . . . . . . . . . . . . . . . . . . . .</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7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State net operating loss carryforwards </w:t>
            </w:r>
            <w:r>
              <w:rPr>
                <w:rFonts w:ascii="Arial" w:cs="Arial" w:eastAsia="Arial" w:hAnsi="Arial"/>
                <w:sz w:val="18"/>
                <w:szCs w:val="18"/>
                <w:color w:val="B4B4B4"/>
                <w:w w:val="92"/>
              </w:rPr>
              <w:t>. . . . . . . . . . . . . . . . . . . . . . . . . . . . . . . . . . . . . . . . . . . . . . . . .</w:t>
            </w:r>
          </w:p>
        </w:tc>
        <w:tc>
          <w:tcPr>
            <w:tcW w:w="94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spacing w:after="0"/>
              <w:rPr>
                <w:sz w:val="23"/>
                <w:szCs w:val="23"/>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380" w:type="dxa"/>
            <w:vAlign w:val="bottom"/>
          </w:tcPr>
          <w:p>
            <w:pPr>
              <w:jc w:val="right"/>
              <w:spacing w:after="0"/>
              <w:rPr>
                <w:sz w:val="20"/>
                <w:szCs w:val="20"/>
                <w:color w:val="auto"/>
              </w:rPr>
            </w:pPr>
            <w:r>
              <w:rPr>
                <w:rFonts w:ascii="Arial" w:cs="Arial" w:eastAsia="Arial" w:hAnsi="Arial"/>
                <w:sz w:val="18"/>
                <w:szCs w:val="18"/>
                <w:b w:val="1"/>
                <w:bCs w:val="1"/>
                <w:color w:val="B4B4B4"/>
                <w:w w:val="95"/>
              </w:rPr>
              <w:t>. . . . . . . . . . . . . . . . . . . . . . . . . . . . . . . . . . . . . . . . . . . . . . . . . . . . . . . . .</w:t>
            </w:r>
            <w:r>
              <w:rPr>
                <w:rFonts w:ascii="Arial" w:cs="Arial" w:eastAsia="Arial" w:hAnsi="Arial"/>
                <w:sz w:val="18"/>
                <w:szCs w:val="18"/>
                <w:b w:val="1"/>
                <w:bCs w:val="1"/>
                <w:color w:val="000000"/>
                <w:w w:val="95"/>
              </w:rPr>
              <w:t>Totaldeferredtaxassets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68"/>
        </w:trPr>
        <w:tc>
          <w:tcPr>
            <w:tcW w:w="7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Valuation allowance </w:t>
            </w:r>
            <w:r>
              <w:rPr>
                <w:rFonts w:ascii="Arial" w:cs="Arial" w:eastAsia="Arial" w:hAnsi="Arial"/>
                <w:sz w:val="18"/>
                <w:szCs w:val="18"/>
                <w:color w:val="B4B4B4"/>
                <w:w w:val="92"/>
              </w:rPr>
              <w:t>. . . . . . . . . . . . . . . . . . . . . . . . . . . . . . . . . . . . . . . . . . . . . . . . . . . . . . . . . . . . . . .</w:t>
            </w:r>
          </w:p>
        </w:tc>
        <w:tc>
          <w:tcPr>
            <w:tcW w:w="94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spacing w:after="0"/>
              <w:rPr>
                <w:sz w:val="23"/>
                <w:szCs w:val="23"/>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7380" w:type="dxa"/>
            <w:vAlign w:val="bottom"/>
            <w:tcBorders>
              <w:bottom w:val="single" w:sz="8" w:color="E6E6E6"/>
            </w:tcBorders>
          </w:tcPr>
          <w:p>
            <w:pPr>
              <w:jc w:val="right"/>
              <w:spacing w:after="0"/>
              <w:rPr>
                <w:sz w:val="20"/>
                <w:szCs w:val="20"/>
                <w:color w:val="auto"/>
              </w:rPr>
            </w:pPr>
            <w:r>
              <w:rPr>
                <w:rFonts w:ascii="Arial" w:cs="Arial" w:eastAsia="Arial" w:hAnsi="Arial"/>
                <w:sz w:val="18"/>
                <w:szCs w:val="18"/>
                <w:b w:val="1"/>
                <w:bCs w:val="1"/>
                <w:color w:val="B4B4B4"/>
                <w:w w:val="98"/>
              </w:rPr>
              <w:t>. . . . . . . . . . . . . . . . . . . . . . . . . . . . . . . . . .</w:t>
            </w:r>
            <w:r>
              <w:rPr>
                <w:rFonts w:ascii="Arial" w:cs="Arial" w:eastAsia="Arial" w:hAnsi="Arial"/>
                <w:sz w:val="18"/>
                <w:szCs w:val="18"/>
                <w:b w:val="1"/>
                <w:bCs w:val="1"/>
                <w:color w:val="000000"/>
                <w:w w:val="98"/>
              </w:rPr>
              <w:t>Totaldeferredtaxassets,netofvaluationallowance</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E6E6E6"/>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40"/>
        </w:trPr>
        <w:tc>
          <w:tcPr>
            <w:tcW w:w="7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4B4B4"/>
                <w:w w:val="94"/>
              </w:rPr>
              <w:t>. . . . . . . . . . . . . . . . . . . . . . . . . . . . . . . . . . . . . . . . . . . . . . . . .</w:t>
            </w:r>
            <w:r>
              <w:rPr>
                <w:rFonts w:ascii="Arial" w:cs="Arial" w:eastAsia="Arial" w:hAnsi="Arial"/>
                <w:sz w:val="18"/>
                <w:szCs w:val="18"/>
                <w:b w:val="1"/>
                <w:bCs w:val="1"/>
                <w:color w:val="000000"/>
                <w:w w:val="94"/>
              </w:rPr>
              <w:t>Netdeferrednon-currenttaxliability</w:t>
            </w:r>
          </w:p>
        </w:tc>
        <w:tc>
          <w:tcPr>
            <w:tcW w:w="940" w:type="dxa"/>
            <w:vAlign w:val="bottom"/>
            <w:tcBorders>
              <w:bottom w:val="single" w:sz="8" w:color="auto"/>
            </w:tcBorders>
            <w:shd w:val="clear" w:color="auto" w:fill="E6E6E6"/>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E6E6E6"/>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ind w:right="69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7380" w:type="dxa"/>
            <w:vAlign w:val="bottom"/>
            <w:tcBorders>
              <w:top w:val="single" w:sz="8" w:color="E6E6E6"/>
            </w:tcBorders>
          </w:tcPr>
          <w:p>
            <w:pPr>
              <w:spacing w:after="0" w:line="20" w:lineRule="exact"/>
              <w:rPr>
                <w:sz w:val="1"/>
                <w:szCs w:val="1"/>
                <w:color w:val="auto"/>
              </w:rPr>
            </w:pPr>
          </w:p>
        </w:tc>
        <w:tc>
          <w:tcPr>
            <w:tcW w:w="940" w:type="dxa"/>
            <w:vAlign w:val="bottom"/>
            <w:tcBorders>
              <w:top w:val="single" w:sz="8" w:color="E6E6E6"/>
              <w:bottom w:val="single" w:sz="8" w:color="auto"/>
            </w:tcBorders>
          </w:tcPr>
          <w:p>
            <w:pPr>
              <w:spacing w:after="0" w:line="20" w:lineRule="exact"/>
              <w:rPr>
                <w:sz w:val="1"/>
                <w:szCs w:val="1"/>
                <w:color w:val="auto"/>
              </w:rPr>
            </w:pPr>
          </w:p>
        </w:tc>
        <w:tc>
          <w:tcPr>
            <w:tcW w:w="46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bottom w:val="single" w:sz="8" w:color="auto"/>
            </w:tcBorders>
          </w:tcPr>
          <w:p>
            <w:pPr>
              <w:spacing w:after="0" w:line="20" w:lineRule="exact"/>
              <w:rPr>
                <w:sz w:val="1"/>
                <w:szCs w:val="1"/>
                <w:color w:val="auto"/>
              </w:rPr>
            </w:pPr>
          </w:p>
        </w:tc>
        <w:tc>
          <w:tcPr>
            <w:tcW w:w="48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-43815</wp:posOffset>
            </wp:positionV>
            <wp:extent cx="184467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4">
                      <a:extLst>
                        <a:ext uri="{28A0092B-C50C-407E-A947-70E740481C1C}"/>
                      </a:extLst>
                    </a:blip>
                    <a:srcRect/>
                    <a:stretch>
                      <a:fillRect/>
                    </a:stretch>
                  </pic:blipFill>
                  <pic:spPr bwMode="auto">
                    <a:xfrm>
                      <a:off x="0" y="0"/>
                      <a:ext cx="1844675" cy="50800"/>
                    </a:xfrm>
                    <a:prstGeom prst="rect">
                      <a:avLst/>
                    </a:prstGeom>
                    <a:noFill/>
                  </pic:spPr>
                </pic:pic>
              </a:graphicData>
            </a:graphic>
          </wp:anchor>
        </w:drawing>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880" w:h="15480" w:orient="portrait"/>
          <w:cols w:equalWidth="0" w:num="1">
            <w:col w:w="10260"/>
          </w:cols>
          <w:pgMar w:left="820" w:top="367" w:right="800"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i w:val="1"/>
          <w:iCs w:val="1"/>
          <w:color w:val="auto"/>
        </w:rPr>
        <w:t>Tax Receivable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December 31, 2024, the Company had a $9 million tax receivable.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Tax Balances and Valuation Allowance</w:t>
      </w:r>
    </w:p>
    <w:p>
      <w:pPr>
        <w:spacing w:after="0" w:line="195" w:lineRule="exact"/>
        <w:rPr>
          <w:sz w:val="20"/>
          <w:szCs w:val="20"/>
          <w:color w:val="auto"/>
        </w:rPr>
      </w:pPr>
    </w:p>
    <w:p>
      <w:pPr>
        <w:jc w:val="both"/>
        <w:ind w:firstLine="450"/>
        <w:spacing w:after="0" w:line="256" w:lineRule="auto"/>
        <w:rPr>
          <w:sz w:val="20"/>
          <w:szCs w:val="20"/>
          <w:color w:val="auto"/>
        </w:rPr>
      </w:pPr>
      <w:r>
        <w:rPr>
          <w:rFonts w:ascii="Arial" w:cs="Arial" w:eastAsia="Arial" w:hAnsi="Arial"/>
          <w:sz w:val="20"/>
          <w:szCs w:val="20"/>
          <w:b w:val="1"/>
          <w:bCs w:val="1"/>
          <w:i w:val="1"/>
          <w:iCs w:val="1"/>
          <w:color w:val="auto"/>
        </w:rPr>
        <w:t xml:space="preserve">Net deferred tax balances </w:t>
      </w:r>
      <w:r>
        <w:rPr>
          <w:rFonts w:ascii="Arial" w:cs="Arial" w:eastAsia="Arial" w:hAnsi="Arial"/>
          <w:sz w:val="20"/>
          <w:szCs w:val="20"/>
          <w:color w:val="auto"/>
        </w:rPr>
        <w:t>— As of December 31, 2024 and 2023, the Company recorded a net deferred tax liability of $89</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million and $127 million, 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$4 million of existing state NOLs, based on forecasted future earnings and estimated taxable income, will expire unutilized, resulting in the recording of a valuation allowance.</w:t>
      </w:r>
    </w:p>
    <w:p>
      <w:pPr>
        <w:spacing w:after="0" w:line="143" w:lineRule="exact"/>
        <w:rPr>
          <w:sz w:val="20"/>
          <w:szCs w:val="20"/>
          <w:color w:val="auto"/>
        </w:rPr>
      </w:pPr>
    </w:p>
    <w:p>
      <w:pPr>
        <w:jc w:val="both"/>
        <w:ind w:firstLine="450"/>
        <w:spacing w:after="0" w:line="280" w:lineRule="auto"/>
        <w:rPr>
          <w:sz w:val="20"/>
          <w:szCs w:val="20"/>
          <w:color w:val="auto"/>
        </w:rPr>
      </w:pPr>
      <w:r>
        <w:rPr>
          <w:rFonts w:ascii="Arial" w:cs="Arial" w:eastAsia="Arial" w:hAnsi="Arial"/>
          <w:sz w:val="19"/>
          <w:szCs w:val="19"/>
          <w:b w:val="1"/>
          <w:bCs w:val="1"/>
          <w:i w:val="1"/>
          <w:iCs w:val="1"/>
          <w:color w:val="auto"/>
        </w:rPr>
        <w:t xml:space="preserve">NOL and Tax Credit carryforwards </w:t>
      </w:r>
      <w:r>
        <w:rPr>
          <w:rFonts w:ascii="Arial" w:cs="Arial" w:eastAsia="Arial" w:hAnsi="Arial"/>
          <w:sz w:val="19"/>
          <w:szCs w:val="19"/>
          <w:color w:val="auto"/>
        </w:rPr>
        <w:t>— As of December 31, 2024, the Company had tax-effected domestic NOL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carryforwards for federal income tax purposes of $58 million. Additionally, the Company has a cumulative tax-effected state NOL carryforward of $7 million, which will expire between 2025 and 2041 if unutilized. In addition, the Company has PTC and ITC carryforward balances totaling $23 million, which will expire between 2035 and 2044 if unutilized.</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Payments</w:t>
      </w:r>
    </w:p>
    <w:p>
      <w:pPr>
        <w:spacing w:after="0" w:line="198" w:lineRule="exact"/>
        <w:rPr>
          <w:sz w:val="20"/>
          <w:szCs w:val="20"/>
          <w:color w:val="auto"/>
        </w:rPr>
      </w:pPr>
    </w:p>
    <w:p>
      <w:pPr>
        <w:jc w:val="both"/>
        <w:ind w:right="20" w:firstLine="450"/>
        <w:spacing w:after="0" w:line="310" w:lineRule="auto"/>
        <w:rPr>
          <w:sz w:val="20"/>
          <w:szCs w:val="20"/>
          <w:color w:val="auto"/>
        </w:rPr>
      </w:pPr>
      <w:r>
        <w:rPr>
          <w:rFonts w:ascii="Arial" w:cs="Arial" w:eastAsia="Arial" w:hAnsi="Arial"/>
          <w:sz w:val="19"/>
          <w:szCs w:val="19"/>
          <w:color w:val="auto"/>
        </w:rPr>
        <w:t>During the year ended December 31, 2024, the Company paid $1 million in federal income taxes. Additionally, the amount paid in state income taxes, net of refunds received, was immaterial for the year ended December 31, 2024.</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Uncertain Tax Positions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not identified any material uncertain tax positions to be reported as of December 31, 2024.</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Related Party Transactions</w:t>
      </w:r>
    </w:p>
    <w:p>
      <w:pPr>
        <w:spacing w:after="0" w:line="197"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O&amp;M Services Agreements by and between the Company and Clearway Renewable Operation &amp; Maintenance LLC</w:t>
      </w:r>
    </w:p>
    <w:p>
      <w:pPr>
        <w:spacing w:after="0" w:line="210"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$82 million, $73 million and $71 million for the years ended December 31, 2024, 2023 and 2022, respectively, included in cost of operations in the consolidated statements of income. There was a balance of $12 million and $13 million due to RENOM as of December 31, 2024 and 2023,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Administrative Services Agreements by and between the Company and CEG</w:t>
      </w:r>
    </w:p>
    <w:p>
      <w:pPr>
        <w:spacing w:after="0" w:line="198"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$22 million, $20 million and $16 million for the years ended December 31, 2024, 2023 and 2022, respectively, included in cost of operations in the consolidated statements of income. There was a balance of $3 million and $2 million due to CEG as of December 31, 2024 and 2023, respectively.</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880" w:h="15480" w:orient="portrait"/>
          <w:cols w:equalWidth="0" w:num="1">
            <w:col w:w="10260"/>
          </w:cols>
          <w:pgMar w:left="820" w:top="359" w:right="80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i w:val="1"/>
          <w:iCs w:val="1"/>
          <w:color w:val="auto"/>
        </w:rPr>
        <w:t>CEG Master Services Agreement</w:t>
      </w:r>
    </w:p>
    <w:p>
      <w:pPr>
        <w:spacing w:after="0" w:line="198"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8"/>
          <w:szCs w:val="18"/>
          <w:color w:val="auto"/>
        </w:rPr>
        <w:t>The Company, along with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w:t>
      </w:r>
    </w:p>
    <w:p>
      <w:pPr>
        <w:spacing w:after="0" w:line="119" w:lineRule="exact"/>
        <w:rPr>
          <w:sz w:val="20"/>
          <w:szCs w:val="20"/>
          <w:color w:val="auto"/>
        </w:rPr>
      </w:pPr>
    </w:p>
    <w:p>
      <w:pPr>
        <w:jc w:val="both"/>
        <w:ind w:right="20" w:firstLine="450"/>
        <w:spacing w:after="0" w:line="268" w:lineRule="auto"/>
        <w:rPr>
          <w:sz w:val="20"/>
          <w:szCs w:val="20"/>
          <w:color w:val="auto"/>
        </w:rPr>
      </w:pPr>
      <w:r>
        <w:rPr>
          <w:rFonts w:ascii="Arial" w:cs="Arial" w:eastAsia="Arial" w:hAnsi="Arial"/>
          <w:sz w:val="19"/>
          <w:szCs w:val="19"/>
          <w:color w:val="auto"/>
        </w:rPr>
        <w:t>On April 30, 2024, the CEG Master Services Agreement was amended and restated as a result of a reorganization effected by the Company pursuant to which all of the employees of the Company transferred to CEG as of January 1, 2025. On February 13, 2025, but effective as of January 1, 2025, the CEG Master Services Agreement was amended and restated again to engage CEG in a payroll sharing agreement, such that the Company directly bears all labor costs for certain employees of CEG who perform work on behalf of the Company. Under the amended and restated agreement, CEG and certain of its affiliates or third-party service providers continued providing the operational and administrative services outlined above, and, effective January 1, 2025, also began providing accounting, internal audit, tax, legal and treasury services to the Company, in exchange for the payment of fees in respect of such services. Certain independent functions of the Company are directed by the Corporate Governance, Conflicts and Nominating Committee of the Board of Directors and paid for by the Company, while being administered by CEG.</w:t>
      </w:r>
    </w:p>
    <w:p>
      <w:pPr>
        <w:spacing w:after="0" w:line="140"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20"/>
          <w:szCs w:val="20"/>
          <w:color w:val="auto"/>
        </w:rPr>
        <w:t>The Company incurred net expenses of $6 million under the CEG Master Services Agreement for the year ended December 31, 2024 and $5 million under this agreement for each of the years ended December 31, 2023 and 2022, included in cost of operations in the consolidated statements of income. There was a balance of $5 million and zero due to CEG as of December 31, 2024 and 2023,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Gas and Transportation Commitments</w:t>
      </w:r>
    </w:p>
    <w:p>
      <w:pPr>
        <w:spacing w:after="0" w:line="198" w:lineRule="exact"/>
        <w:rPr>
          <w:sz w:val="20"/>
          <w:szCs w:val="20"/>
          <w:color w:val="auto"/>
        </w:rPr>
      </w:pPr>
    </w:p>
    <w:p>
      <w:pPr>
        <w:jc w:val="both"/>
        <w:ind w:right="20" w:firstLine="534"/>
        <w:spacing w:after="0" w:line="266" w:lineRule="auto"/>
        <w:rPr>
          <w:sz w:val="20"/>
          <w:szCs w:val="20"/>
          <w:color w:val="auto"/>
        </w:rPr>
      </w:pPr>
      <w:r>
        <w:rPr>
          <w:rFonts w:ascii="Arial" w:cs="Arial" w:eastAsia="Arial" w:hAnsi="Arial"/>
          <w:sz w:val="20"/>
          <w:szCs w:val="20"/>
          <w:color w:val="auto"/>
        </w:rPr>
        <w:t>The Company previously entered into contractual arrangements to procure power, fuel and associated transportation services for the Thermal Business, which was sold to KKR on May 1, 2022. Under these arrangements, the Company purchased $20 million for the year ended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Contingencies</w:t>
      </w:r>
    </w:p>
    <w:p>
      <w:pPr>
        <w:spacing w:after="0" w:line="197"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8"/>
          <w:szCs w:val="18"/>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2" w:lineRule="exact"/>
        <w:rPr>
          <w:sz w:val="20"/>
          <w:szCs w:val="20"/>
          <w:color w:val="auto"/>
        </w:rPr>
      </w:pPr>
    </w:p>
    <w:p>
      <w:pPr>
        <w:jc w:val="both"/>
        <w:ind w:right="20" w:firstLine="450"/>
        <w:spacing w:after="0" w:line="266" w:lineRule="auto"/>
        <w:rPr>
          <w:sz w:val="20"/>
          <w:szCs w:val="20"/>
          <w:color w:val="auto"/>
        </w:rPr>
      </w:pPr>
      <w:r>
        <w:rPr>
          <w:rFonts w:ascii="Arial" w:cs="Arial" w:eastAsia="Arial" w:hAnsi="Arial"/>
          <w:sz w:val="20"/>
          <w:szCs w:val="20"/>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Leases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for Leases</w:t>
      </w:r>
    </w:p>
    <w:p>
      <w:pPr>
        <w:spacing w:after="0" w:line="198"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The Company evaluates each arrangement at inception to determine if it contains a lease. Substantially all of the Company’s leases are operating leases.</w:t>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880" w:h="15480" w:orient="portrait"/>
          <w:cols w:equalWidth="0" w:num="1">
            <w:col w:w="10260"/>
          </w:cols>
          <w:pgMar w:left="820" w:top="359" w:right="800"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i w:val="1"/>
          <w:iCs w:val="1"/>
          <w:color w:val="auto"/>
        </w:rPr>
        <w:t>Lessee</w:t>
      </w:r>
    </w:p>
    <w:p>
      <w:pPr>
        <w:spacing w:after="0" w:line="198" w:lineRule="exact"/>
        <w:rPr>
          <w:sz w:val="20"/>
          <w:szCs w:val="20"/>
          <w:color w:val="auto"/>
        </w:rPr>
      </w:pPr>
    </w:p>
    <w:p>
      <w:pPr>
        <w:jc w:val="both"/>
        <w:ind w:right="20" w:firstLine="450"/>
        <w:spacing w:after="0" w:line="310" w:lineRule="auto"/>
        <w:rPr>
          <w:sz w:val="20"/>
          <w:szCs w:val="20"/>
          <w:color w:val="auto"/>
        </w:rPr>
      </w:pPr>
      <w:r>
        <w:rPr>
          <w:rFonts w:ascii="Arial" w:cs="Arial" w:eastAsia="Arial" w:hAnsi="Arial"/>
          <w:sz w:val="17"/>
          <w:szCs w:val="17"/>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05" w:lineRule="exact"/>
        <w:rPr>
          <w:sz w:val="20"/>
          <w:szCs w:val="20"/>
          <w:color w:val="auto"/>
        </w:rPr>
      </w:pPr>
    </w:p>
    <w:p>
      <w:pPr>
        <w:jc w:val="both"/>
        <w:ind w:right="20" w:firstLine="450"/>
        <w:spacing w:after="0" w:line="309"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Lease expense was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12"/>
          </w:tcPr>
          <w:p>
            <w:pPr>
              <w:jc w:val="right"/>
              <w:ind w:right="263"/>
              <w:spacing w:after="0"/>
              <w:rPr>
                <w:sz w:val="20"/>
                <w:szCs w:val="20"/>
                <w:color w:val="auto"/>
              </w:rPr>
            </w:pPr>
            <w:r>
              <w:rPr>
                <w:rFonts w:ascii="Arial" w:cs="Arial" w:eastAsia="Arial" w:hAnsi="Arial"/>
                <w:sz w:val="18"/>
                <w:szCs w:val="18"/>
                <w:b w:val="1"/>
                <w:bCs w:val="1"/>
                <w:color w:val="auto"/>
                <w:w w:val="92"/>
              </w:rPr>
              <w:t>Year Ended December 31,</w:t>
            </w:r>
          </w:p>
        </w:tc>
        <w:tc>
          <w:tcPr>
            <w:tcW w:w="1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760" w:type="dxa"/>
            <w:vAlign w:val="bottom"/>
            <w:tcBorders>
              <w:bottom w:val="single" w:sz="8" w:color="E6E6E6"/>
            </w:tcBorders>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gridSpan w:val="2"/>
          </w:tcPr>
          <w:p>
            <w:pPr>
              <w:spacing w:after="0"/>
              <w:rPr>
                <w:sz w:val="23"/>
                <w:szCs w:val="23"/>
                <w:color w:val="auto"/>
              </w:rPr>
            </w:pPr>
          </w:p>
        </w:tc>
        <w:tc>
          <w:tcPr>
            <w:tcW w:w="60" w:type="dxa"/>
            <w:vAlign w:val="bottom"/>
            <w:tcBorders>
              <w:bottom w:val="single" w:sz="8" w:color="E6E6E6"/>
            </w:tcBorders>
            <w:gridSpan w:val="2"/>
          </w:tcPr>
          <w:p>
            <w:pPr>
              <w:spacing w:after="0"/>
              <w:rPr>
                <w:sz w:val="23"/>
                <w:szCs w:val="23"/>
                <w:color w:val="auto"/>
              </w:rPr>
            </w:pPr>
          </w:p>
        </w:tc>
        <w:tc>
          <w:tcPr>
            <w:tcW w:w="14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760" w:type="dxa"/>
            <w:vAlign w:val="bottom"/>
            <w:gridSpan w:val="2"/>
            <w:shd w:val="clear" w:color="auto" w:fill="E6E6E6"/>
          </w:tcPr>
          <w:p>
            <w:pPr>
              <w:ind w:left="260"/>
              <w:spacing w:after="0"/>
              <w:rPr>
                <w:sz w:val="20"/>
                <w:szCs w:val="20"/>
                <w:color w:val="auto"/>
              </w:rPr>
            </w:pPr>
            <w:r>
              <w:rPr>
                <w:rFonts w:ascii="Arial" w:cs="Arial" w:eastAsia="Arial" w:hAnsi="Arial"/>
                <w:sz w:val="20"/>
                <w:szCs w:val="20"/>
                <w:color w:val="auto"/>
              </w:rPr>
              <w:t>Operating lease cost - Fixed</w:t>
            </w:r>
          </w:p>
        </w:tc>
        <w:tc>
          <w:tcPr>
            <w:tcW w:w="420" w:type="dxa"/>
            <w:vAlign w:val="bottom"/>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w w:val="89"/>
              </w:rPr>
              <w:t>31</w:t>
            </w:r>
          </w:p>
        </w:tc>
        <w:tc>
          <w:tcPr>
            <w:tcW w:w="1560" w:type="dxa"/>
            <w:vAlign w:val="bottom"/>
            <w:gridSpan w:val="5"/>
            <w:shd w:val="clear" w:color="auto" w:fill="E6E6E6"/>
          </w:tcPr>
          <w:p>
            <w:pPr>
              <w:jc w:val="right"/>
              <w:ind w:right="1170"/>
              <w:spacing w:after="0"/>
              <w:rPr>
                <w:sz w:val="20"/>
                <w:szCs w:val="20"/>
                <w:color w:val="auto"/>
              </w:rPr>
            </w:pPr>
            <w:r>
              <w:rPr>
                <w:rFonts w:ascii="Arial" w:cs="Arial" w:eastAsia="Arial" w:hAnsi="Arial"/>
                <w:sz w:val="20"/>
                <w:szCs w:val="20"/>
                <w:color w:val="auto"/>
              </w:rPr>
              <w:t>$</w:t>
            </w:r>
          </w:p>
        </w:tc>
        <w:tc>
          <w:tcPr>
            <w:tcW w:w="340" w:type="dxa"/>
            <w:vAlign w:val="bottom"/>
            <w:gridSpan w:val="3"/>
            <w:shd w:val="clear" w:color="auto" w:fill="E6E6E6"/>
          </w:tcPr>
          <w:p>
            <w:pPr>
              <w:jc w:val="right"/>
              <w:ind w:right="60"/>
              <w:spacing w:after="0"/>
              <w:rPr>
                <w:sz w:val="20"/>
                <w:szCs w:val="20"/>
                <w:color w:val="auto"/>
              </w:rPr>
            </w:pPr>
            <w:r>
              <w:rPr>
                <w:rFonts w:ascii="Arial" w:cs="Arial" w:eastAsia="Arial" w:hAnsi="Arial"/>
                <w:sz w:val="20"/>
                <w:szCs w:val="20"/>
                <w:color w:val="auto"/>
              </w:rPr>
              <w:t>40</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w:t>
            </w:r>
          </w:p>
        </w:tc>
        <w:tc>
          <w:tcPr>
            <w:tcW w:w="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tcBorders>
              <w:bottom w:val="single" w:sz="8" w:color="E6E6E6"/>
            </w:tcBorders>
            <w:gridSpan w:val="2"/>
          </w:tcPr>
          <w:p>
            <w:pPr>
              <w:ind w:left="260"/>
              <w:spacing w:after="0"/>
              <w:rPr>
                <w:sz w:val="20"/>
                <w:szCs w:val="20"/>
                <w:color w:val="auto"/>
              </w:rPr>
            </w:pPr>
            <w:r>
              <w:rPr>
                <w:rFonts w:ascii="Arial" w:cs="Arial" w:eastAsia="Arial" w:hAnsi="Arial"/>
                <w:sz w:val="20"/>
                <w:szCs w:val="20"/>
                <w:color w:val="auto"/>
              </w:rPr>
              <w:t>Operating lease cost - Variable</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060"/>
              <w:spacing w:after="0"/>
              <w:rPr>
                <w:sz w:val="20"/>
                <w:szCs w:val="20"/>
                <w:color w:val="auto"/>
              </w:rPr>
            </w:pPr>
            <w:r>
              <w:rPr>
                <w:rFonts w:ascii="Arial" w:cs="Arial" w:eastAsia="Arial" w:hAnsi="Arial"/>
                <w:sz w:val="20"/>
                <w:szCs w:val="20"/>
                <w:color w:val="auto"/>
                <w:w w:val="89"/>
              </w:rPr>
              <w:t>12</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color w:val="auto"/>
              </w:rPr>
              <w:t>11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60" w:type="dxa"/>
            <w:vAlign w:val="bottom"/>
            <w:gridSpan w:val="2"/>
            <w:shd w:val="clear" w:color="auto" w:fill="E6E6E6"/>
          </w:tcPr>
          <w:p>
            <w:pPr>
              <w:ind w:left="980"/>
              <w:spacing w:after="0"/>
              <w:rPr>
                <w:sz w:val="20"/>
                <w:szCs w:val="20"/>
                <w:color w:val="auto"/>
              </w:rPr>
            </w:pPr>
            <w:r>
              <w:rPr>
                <w:rFonts w:ascii="Arial" w:cs="Arial" w:eastAsia="Arial" w:hAnsi="Arial"/>
                <w:sz w:val="20"/>
                <w:szCs w:val="20"/>
                <w:b w:val="1"/>
                <w:bCs w:val="1"/>
                <w:color w:val="auto"/>
              </w:rPr>
              <w:t>Total lease cost</w:t>
            </w:r>
          </w:p>
        </w:tc>
        <w:tc>
          <w:tcPr>
            <w:tcW w:w="420" w:type="dxa"/>
            <w:vAlign w:val="bottom"/>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w w:val="89"/>
              </w:rPr>
              <w:t>43</w:t>
            </w:r>
          </w:p>
        </w:tc>
        <w:tc>
          <w:tcPr>
            <w:tcW w:w="1560" w:type="dxa"/>
            <w:vAlign w:val="bottom"/>
            <w:gridSpan w:val="5"/>
            <w:shd w:val="clear" w:color="auto" w:fill="E6E6E6"/>
          </w:tcPr>
          <w:p>
            <w:pPr>
              <w:jc w:val="right"/>
              <w:ind w:right="1170"/>
              <w:spacing w:after="0"/>
              <w:rPr>
                <w:sz w:val="20"/>
                <w:szCs w:val="20"/>
                <w:color w:val="auto"/>
              </w:rPr>
            </w:pPr>
            <w:r>
              <w:rPr>
                <w:rFonts w:ascii="Arial" w:cs="Arial" w:eastAsia="Arial" w:hAnsi="Arial"/>
                <w:sz w:val="20"/>
                <w:szCs w:val="20"/>
                <w:color w:val="auto"/>
              </w:rPr>
              <w:t>$</w:t>
            </w:r>
          </w:p>
        </w:tc>
        <w:tc>
          <w:tcPr>
            <w:tcW w:w="340" w:type="dxa"/>
            <w:vAlign w:val="bottom"/>
            <w:gridSpan w:val="3"/>
            <w:shd w:val="clear" w:color="auto" w:fill="E6E6E6"/>
          </w:tcPr>
          <w:p>
            <w:pPr>
              <w:jc w:val="right"/>
              <w:ind w:right="60"/>
              <w:spacing w:after="0"/>
              <w:rPr>
                <w:sz w:val="20"/>
                <w:szCs w:val="20"/>
                <w:color w:val="auto"/>
              </w:rPr>
            </w:pPr>
            <w:r>
              <w:rPr>
                <w:rFonts w:ascii="Arial" w:cs="Arial" w:eastAsia="Arial" w:hAnsi="Arial"/>
                <w:sz w:val="20"/>
                <w:szCs w:val="20"/>
                <w:color w:val="auto"/>
              </w:rPr>
              <w:t>51</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w:t>
            </w:r>
          </w:p>
        </w:tc>
        <w:tc>
          <w:tcPr>
            <w:tcW w:w="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E6E6E6"/>
              <w:bottom w:val="single" w:sz="8" w:color="E6E6E6"/>
            </w:tcBorders>
            <w:gridSpan w:val="2"/>
            <w:vMerge w:val="restart"/>
          </w:tcPr>
          <w:p>
            <w:pPr>
              <w:ind w:left="440"/>
              <w:spacing w:after="0"/>
              <w:rPr>
                <w:sz w:val="20"/>
                <w:szCs w:val="20"/>
                <w:color w:val="auto"/>
              </w:rPr>
            </w:pPr>
            <w:r>
              <w:rPr>
                <w:rFonts w:ascii="Arial" w:cs="Arial" w:eastAsia="Arial" w:hAnsi="Arial"/>
                <w:sz w:val="20"/>
                <w:szCs w:val="20"/>
                <w:color w:val="auto"/>
              </w:rPr>
              <w:t>Operating lease information was as follows: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7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2"/>
          </w:tcPr>
          <w:p>
            <w:pPr>
              <w:jc w:val="center"/>
              <w:ind w:right="263"/>
              <w:spacing w:after="0"/>
              <w:rPr>
                <w:sz w:val="20"/>
                <w:szCs w:val="20"/>
                <w:color w:val="auto"/>
              </w:rPr>
            </w:pPr>
            <w:r>
              <w:rPr>
                <w:rFonts w:ascii="Arial" w:cs="Arial" w:eastAsia="Arial" w:hAnsi="Arial"/>
                <w:sz w:val="18"/>
                <w:szCs w:val="18"/>
                <w:b w:val="1"/>
                <w:bCs w:val="1"/>
                <w:color w:val="auto"/>
                <w:w w:val="91"/>
              </w:rPr>
              <w:t>Year Ended December 31,</w:t>
            </w:r>
          </w:p>
        </w:tc>
        <w:tc>
          <w:tcPr>
            <w:tcW w:w="1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40" w:type="dxa"/>
            <w:vAlign w:val="bottom"/>
            <w:tcBorders>
              <w:bottom w:val="single" w:sz="8" w:color="E6E6E6"/>
            </w:tcBorders>
          </w:tcPr>
          <w:p>
            <w:pPr>
              <w:ind w:left="4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gridSpan w:val="2"/>
          </w:tcPr>
          <w:p>
            <w:pPr>
              <w:spacing w:after="0"/>
              <w:rPr>
                <w:sz w:val="24"/>
                <w:szCs w:val="24"/>
                <w:color w:val="auto"/>
              </w:rPr>
            </w:pPr>
          </w:p>
        </w:tc>
        <w:tc>
          <w:tcPr>
            <w:tcW w:w="14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2"/>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gridSpan w:val="2"/>
            <w:shd w:val="clear" w:color="auto" w:fill="E6E6E6"/>
          </w:tcPr>
          <w:p>
            <w:pPr>
              <w:ind w:left="260"/>
              <w:spacing w:after="0"/>
              <w:rPr>
                <w:sz w:val="20"/>
                <w:szCs w:val="20"/>
                <w:color w:val="auto"/>
              </w:rPr>
            </w:pPr>
            <w:r>
              <w:rPr>
                <w:rFonts w:ascii="Arial" w:cs="Arial" w:eastAsia="Arial" w:hAnsi="Arial"/>
                <w:sz w:val="20"/>
                <w:szCs w:val="20"/>
                <w:color w:val="auto"/>
              </w:rPr>
              <w:t>Cash paid for operating leases</w:t>
            </w:r>
          </w:p>
        </w:tc>
        <w:tc>
          <w:tcPr>
            <w:tcW w:w="420" w:type="dxa"/>
            <w:vAlign w:val="bottom"/>
            <w:shd w:val="clear" w:color="auto" w:fill="E6E6E6"/>
          </w:tcPr>
          <w:p>
            <w:pPr>
              <w:jc w:val="right"/>
              <w:ind w:right="200"/>
              <w:spacing w:after="0"/>
              <w:rPr>
                <w:sz w:val="20"/>
                <w:szCs w:val="20"/>
                <w:color w:val="auto"/>
              </w:rPr>
            </w:pPr>
            <w:r>
              <w:rPr>
                <w:rFonts w:ascii="Arial" w:cs="Arial" w:eastAsia="Arial" w:hAnsi="Arial"/>
                <w:sz w:val="20"/>
                <w:szCs w:val="20"/>
                <w:color w:val="auto"/>
                <w:w w:val="89"/>
              </w:rPr>
              <w:t>$</w:t>
            </w:r>
          </w:p>
        </w:tc>
        <w:tc>
          <w:tcPr>
            <w:tcW w:w="128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34</w:t>
            </w:r>
          </w:p>
        </w:tc>
        <w:tc>
          <w:tcPr>
            <w:tcW w:w="1560" w:type="dxa"/>
            <w:vAlign w:val="bottom"/>
            <w:gridSpan w:val="5"/>
            <w:shd w:val="clear" w:color="auto" w:fill="E6E6E6"/>
          </w:tcPr>
          <w:p>
            <w:pPr>
              <w:jc w:val="right"/>
              <w:ind w:right="1210"/>
              <w:spacing w:after="0"/>
              <w:rPr>
                <w:sz w:val="20"/>
                <w:szCs w:val="20"/>
                <w:color w:val="auto"/>
              </w:rPr>
            </w:pPr>
            <w:r>
              <w:rPr>
                <w:rFonts w:ascii="Arial" w:cs="Arial" w:eastAsia="Arial" w:hAnsi="Arial"/>
                <w:sz w:val="20"/>
                <w:szCs w:val="20"/>
                <w:color w:val="auto"/>
              </w:rPr>
              <w:t>$</w:t>
            </w:r>
          </w:p>
        </w:tc>
        <w:tc>
          <w:tcPr>
            <w:tcW w:w="34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30</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203"/>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4760" w:type="dxa"/>
            <w:vAlign w:val="bottom"/>
            <w:tcBorders>
              <w:bottom w:val="single" w:sz="8" w:color="E6E6E6"/>
            </w:tcBorders>
            <w:gridSpan w:val="2"/>
          </w:tcPr>
          <w:p>
            <w:pPr>
              <w:ind w:left="40"/>
              <w:spacing w:after="0"/>
              <w:rPr>
                <w:sz w:val="20"/>
                <w:szCs w:val="20"/>
                <w:color w:val="auto"/>
              </w:rPr>
            </w:pPr>
            <w:r>
              <w:rPr>
                <w:rFonts w:ascii="Arial" w:cs="Arial" w:eastAsia="Arial" w:hAnsi="Arial"/>
                <w:sz w:val="16"/>
                <w:szCs w:val="16"/>
                <w:b w:val="1"/>
                <w:bCs w:val="1"/>
                <w:color w:val="auto"/>
              </w:rPr>
              <w:t>(In millions, except term and rate)</w:t>
            </w:r>
          </w:p>
        </w:tc>
        <w:tc>
          <w:tcPr>
            <w:tcW w:w="420" w:type="dxa"/>
            <w:vAlign w:val="bottom"/>
            <w:tcBorders>
              <w:bottom w:val="single" w:sz="8" w:color="E6E6E6"/>
            </w:tcBorders>
          </w:tcPr>
          <w:p>
            <w:pPr>
              <w:spacing w:after="0"/>
              <w:rPr>
                <w:sz w:val="24"/>
                <w:szCs w:val="24"/>
                <w:color w:val="auto"/>
              </w:rPr>
            </w:pPr>
          </w:p>
        </w:tc>
        <w:tc>
          <w:tcPr>
            <w:tcW w:w="10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8"/>
              </w:rPr>
              <w:t>December 31, 2024</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80"/>
        </w:trPr>
        <w:tc>
          <w:tcPr>
            <w:tcW w:w="4760" w:type="dxa"/>
            <w:vAlign w:val="bottom"/>
            <w:gridSpan w:val="2"/>
            <w:shd w:val="clear" w:color="auto" w:fill="E6E6E6"/>
          </w:tcPr>
          <w:p>
            <w:pPr>
              <w:ind w:left="260"/>
              <w:spacing w:after="0"/>
              <w:rPr>
                <w:sz w:val="20"/>
                <w:szCs w:val="20"/>
                <w:color w:val="auto"/>
              </w:rPr>
            </w:pPr>
            <w:r>
              <w:rPr>
                <w:rFonts w:ascii="Arial" w:cs="Arial" w:eastAsia="Arial" w:hAnsi="Arial"/>
                <w:sz w:val="20"/>
                <w:szCs w:val="20"/>
                <w:color w:val="auto"/>
              </w:rPr>
              <w:t>Right-of-use assets - operating leases, net</w:t>
            </w:r>
          </w:p>
        </w:tc>
        <w:tc>
          <w:tcPr>
            <w:tcW w:w="42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ind w:left="1080"/>
              <w:spacing w:after="0"/>
              <w:rPr>
                <w:sz w:val="20"/>
                <w:szCs w:val="20"/>
                <w:color w:val="auto"/>
              </w:rPr>
            </w:pPr>
            <w:r>
              <w:rPr>
                <w:rFonts w:ascii="Arial" w:cs="Arial" w:eastAsia="Arial" w:hAnsi="Arial"/>
                <w:sz w:val="20"/>
                <w:szCs w:val="20"/>
                <w:color w:val="auto"/>
              </w:rPr>
              <w:t>$</w:t>
            </w:r>
          </w:p>
        </w:tc>
        <w:tc>
          <w:tcPr>
            <w:tcW w:w="1560" w:type="dxa"/>
            <w:vAlign w:val="bottom"/>
            <w:gridSpan w:val="5"/>
            <w:shd w:val="clear" w:color="auto" w:fill="E6E6E6"/>
          </w:tcPr>
          <w:p>
            <w:pPr>
              <w:jc w:val="right"/>
              <w:spacing w:after="0"/>
              <w:rPr>
                <w:sz w:val="20"/>
                <w:szCs w:val="20"/>
                <w:color w:val="auto"/>
              </w:rPr>
            </w:pPr>
            <w:r>
              <w:rPr>
                <w:rFonts w:ascii="Arial" w:cs="Arial" w:eastAsia="Arial" w:hAnsi="Arial"/>
                <w:sz w:val="20"/>
                <w:szCs w:val="20"/>
                <w:color w:val="auto"/>
              </w:rPr>
              <w:t>547</w:t>
            </w:r>
          </w:p>
        </w:tc>
        <w:tc>
          <w:tcPr>
            <w:tcW w:w="400" w:type="dxa"/>
            <w:vAlign w:val="bottom"/>
            <w:gridSpan w:val="5"/>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597</w:t>
            </w:r>
          </w:p>
        </w:tc>
        <w:tc>
          <w:tcPr>
            <w:tcW w:w="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74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420" w:type="dxa"/>
            <w:vAlign w:val="bottom"/>
            <w:tcBorders>
              <w:top w:val="single" w:sz="8" w:color="E6E6E6"/>
            </w:tcBorders>
          </w:tcPr>
          <w:p>
            <w:pPr>
              <w:spacing w:after="0"/>
              <w:rPr>
                <w:sz w:val="16"/>
                <w:szCs w:val="16"/>
                <w:color w:val="auto"/>
              </w:rPr>
            </w:pPr>
          </w:p>
        </w:tc>
        <w:tc>
          <w:tcPr>
            <w:tcW w:w="102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760" w:type="dxa"/>
            <w:vAlign w:val="bottom"/>
            <w:gridSpan w:val="2"/>
            <w:shd w:val="clear" w:color="auto" w:fill="E6E6E6"/>
          </w:tcPr>
          <w:p>
            <w:pPr>
              <w:ind w:left="260"/>
              <w:spacing w:after="0"/>
              <w:rPr>
                <w:sz w:val="20"/>
                <w:szCs w:val="20"/>
                <w:color w:val="auto"/>
              </w:rPr>
            </w:pPr>
            <w:r>
              <w:rPr>
                <w:rFonts w:ascii="Arial" w:cs="Arial" w:eastAsia="Arial" w:hAnsi="Arial"/>
                <w:sz w:val="20"/>
                <w:szCs w:val="20"/>
                <w:color w:val="auto"/>
              </w:rPr>
              <w:t xml:space="preserve">Short-term lease liability - operating leases </w:t>
            </w:r>
            <w:r>
              <w:rPr>
                <w:rFonts w:ascii="Arial" w:cs="Arial" w:eastAsia="Arial" w:hAnsi="Arial"/>
                <w:sz w:val="26"/>
                <w:szCs w:val="26"/>
                <w:color w:val="auto"/>
                <w:vertAlign w:val="superscript"/>
              </w:rPr>
              <w:t>(a)</w:t>
            </w:r>
          </w:p>
        </w:tc>
        <w:tc>
          <w:tcPr>
            <w:tcW w:w="42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ind w:left="1080"/>
              <w:spacing w:after="0"/>
              <w:rPr>
                <w:sz w:val="20"/>
                <w:szCs w:val="20"/>
                <w:color w:val="auto"/>
              </w:rPr>
            </w:pPr>
            <w:r>
              <w:rPr>
                <w:rFonts w:ascii="Arial" w:cs="Arial" w:eastAsia="Arial" w:hAnsi="Arial"/>
                <w:sz w:val="20"/>
                <w:szCs w:val="20"/>
                <w:color w:val="auto"/>
              </w:rPr>
              <w:t>$</w:t>
            </w:r>
          </w:p>
        </w:tc>
        <w:tc>
          <w:tcPr>
            <w:tcW w:w="1560" w:type="dxa"/>
            <w:vAlign w:val="bottom"/>
            <w:gridSpan w:val="5"/>
            <w:shd w:val="clear" w:color="auto" w:fill="E6E6E6"/>
          </w:tcPr>
          <w:p>
            <w:pPr>
              <w:jc w:val="right"/>
              <w:spacing w:after="0"/>
              <w:rPr>
                <w:sz w:val="20"/>
                <w:szCs w:val="20"/>
                <w:color w:val="auto"/>
              </w:rPr>
            </w:pPr>
            <w:r>
              <w:rPr>
                <w:rFonts w:ascii="Arial" w:cs="Arial" w:eastAsia="Arial" w:hAnsi="Arial"/>
                <w:sz w:val="20"/>
                <w:szCs w:val="20"/>
                <w:color w:val="auto"/>
              </w:rPr>
              <w:t>10</w:t>
            </w:r>
          </w:p>
        </w:tc>
        <w:tc>
          <w:tcPr>
            <w:tcW w:w="400" w:type="dxa"/>
            <w:vAlign w:val="bottom"/>
            <w:gridSpan w:val="5"/>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7</w:t>
            </w:r>
          </w:p>
        </w:tc>
        <w:tc>
          <w:tcPr>
            <w:tcW w:w="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tcBorders>
              <w:bottom w:val="single" w:sz="8" w:color="E6E6E6"/>
            </w:tcBorders>
            <w:gridSpan w:val="2"/>
          </w:tcPr>
          <w:p>
            <w:pPr>
              <w:ind w:left="260"/>
              <w:spacing w:after="0"/>
              <w:rPr>
                <w:sz w:val="20"/>
                <w:szCs w:val="20"/>
                <w:color w:val="auto"/>
              </w:rPr>
            </w:pPr>
            <w:r>
              <w:rPr>
                <w:rFonts w:ascii="Arial" w:cs="Arial" w:eastAsia="Arial" w:hAnsi="Arial"/>
                <w:sz w:val="20"/>
                <w:szCs w:val="20"/>
                <w:color w:val="auto"/>
              </w:rPr>
              <w:t>Long-term lease liability - operating leases</w:t>
            </w:r>
          </w:p>
        </w:tc>
        <w:tc>
          <w:tcPr>
            <w:tcW w:w="420" w:type="dxa"/>
            <w:vAlign w:val="bottom"/>
            <w:tcBorders>
              <w:bottom w:val="single" w:sz="8" w:color="E6E6E6"/>
            </w:tcBorders>
          </w:tcPr>
          <w:p>
            <w:pPr>
              <w:spacing w:after="0"/>
              <w:rPr>
                <w:sz w:val="24"/>
                <w:szCs w:val="24"/>
                <w:color w:val="auto"/>
              </w:rPr>
            </w:pPr>
          </w:p>
        </w:tc>
        <w:tc>
          <w:tcPr>
            <w:tcW w:w="10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569</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627</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60" w:type="dxa"/>
            <w:vAlign w:val="bottom"/>
            <w:gridSpan w:val="2"/>
            <w:shd w:val="clear" w:color="auto" w:fill="E6E6E6"/>
          </w:tcPr>
          <w:p>
            <w:pPr>
              <w:ind w:left="980"/>
              <w:spacing w:after="0"/>
              <w:rPr>
                <w:sz w:val="20"/>
                <w:szCs w:val="20"/>
                <w:color w:val="auto"/>
              </w:rPr>
            </w:pPr>
            <w:r>
              <w:rPr>
                <w:rFonts w:ascii="Arial" w:cs="Arial" w:eastAsia="Arial" w:hAnsi="Arial"/>
                <w:sz w:val="20"/>
                <w:szCs w:val="20"/>
                <w:b w:val="1"/>
                <w:bCs w:val="1"/>
                <w:color w:val="auto"/>
              </w:rPr>
              <w:t>Total lease liabilities</w:t>
            </w:r>
          </w:p>
        </w:tc>
        <w:tc>
          <w:tcPr>
            <w:tcW w:w="42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ind w:left="1080"/>
              <w:spacing w:after="0"/>
              <w:rPr>
                <w:sz w:val="20"/>
                <w:szCs w:val="20"/>
                <w:color w:val="auto"/>
              </w:rPr>
            </w:pPr>
            <w:r>
              <w:rPr>
                <w:rFonts w:ascii="Arial" w:cs="Arial" w:eastAsia="Arial" w:hAnsi="Arial"/>
                <w:sz w:val="20"/>
                <w:szCs w:val="20"/>
                <w:color w:val="auto"/>
              </w:rPr>
              <w:t>$</w:t>
            </w:r>
          </w:p>
        </w:tc>
        <w:tc>
          <w:tcPr>
            <w:tcW w:w="1560" w:type="dxa"/>
            <w:vAlign w:val="bottom"/>
            <w:gridSpan w:val="5"/>
            <w:shd w:val="clear" w:color="auto" w:fill="E6E6E6"/>
          </w:tcPr>
          <w:p>
            <w:pPr>
              <w:jc w:val="right"/>
              <w:spacing w:after="0"/>
              <w:rPr>
                <w:sz w:val="20"/>
                <w:szCs w:val="20"/>
                <w:color w:val="auto"/>
              </w:rPr>
            </w:pPr>
            <w:r>
              <w:rPr>
                <w:rFonts w:ascii="Arial" w:cs="Arial" w:eastAsia="Arial" w:hAnsi="Arial"/>
                <w:sz w:val="20"/>
                <w:szCs w:val="20"/>
                <w:color w:val="auto"/>
              </w:rPr>
              <w:t>579</w:t>
            </w:r>
          </w:p>
        </w:tc>
        <w:tc>
          <w:tcPr>
            <w:tcW w:w="400" w:type="dxa"/>
            <w:vAlign w:val="bottom"/>
            <w:gridSpan w:val="5"/>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634</w:t>
            </w:r>
          </w:p>
        </w:tc>
        <w:tc>
          <w:tcPr>
            <w:tcW w:w="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E6E6E6"/>
            </w:tcBorders>
            <w:gridSpan w:val="2"/>
          </w:tcPr>
          <w:p>
            <w:pPr>
              <w:spacing w:after="0" w:line="20" w:lineRule="exact"/>
              <w:rPr>
                <w:sz w:val="1"/>
                <w:szCs w:val="1"/>
                <w:color w:val="auto"/>
              </w:rPr>
            </w:pPr>
          </w:p>
        </w:tc>
        <w:tc>
          <w:tcPr>
            <w:tcW w:w="420" w:type="dxa"/>
            <w:vAlign w:val="bottom"/>
            <w:tcBorders>
              <w:top w:val="single" w:sz="8" w:color="E6E6E6"/>
            </w:tcBorders>
          </w:tcPr>
          <w:p>
            <w:pPr>
              <w:spacing w:after="0" w:line="20" w:lineRule="exact"/>
              <w:rPr>
                <w:sz w:val="1"/>
                <w:szCs w:val="1"/>
                <w:color w:val="auto"/>
              </w:rPr>
            </w:pPr>
          </w:p>
        </w:tc>
        <w:tc>
          <w:tcPr>
            <w:tcW w:w="102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760" w:type="dxa"/>
            <w:vAlign w:val="bottom"/>
            <w:gridSpan w:val="2"/>
            <w:shd w:val="clear" w:color="auto" w:fill="E6E6E6"/>
          </w:tcPr>
          <w:p>
            <w:pPr>
              <w:ind w:left="260"/>
              <w:spacing w:after="0"/>
              <w:rPr>
                <w:sz w:val="20"/>
                <w:szCs w:val="20"/>
                <w:color w:val="auto"/>
              </w:rPr>
            </w:pPr>
            <w:r>
              <w:rPr>
                <w:rFonts w:ascii="Arial" w:cs="Arial" w:eastAsia="Arial" w:hAnsi="Arial"/>
                <w:sz w:val="20"/>
                <w:szCs w:val="20"/>
                <w:color w:val="auto"/>
              </w:rPr>
              <w:t>Weighted average remaining lease term (in years)</w:t>
            </w:r>
          </w:p>
        </w:tc>
        <w:tc>
          <w:tcPr>
            <w:tcW w:w="42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740" w:type="dxa"/>
            <w:vAlign w:val="bottom"/>
            <w:gridSpan w:val="6"/>
            <w:shd w:val="clear" w:color="auto" w:fill="E6E6E6"/>
          </w:tcPr>
          <w:p>
            <w:pPr>
              <w:jc w:val="right"/>
              <w:spacing w:after="0"/>
              <w:rPr>
                <w:sz w:val="20"/>
                <w:szCs w:val="20"/>
                <w:color w:val="auto"/>
              </w:rPr>
            </w:pPr>
            <w:r>
              <w:rPr>
                <w:rFonts w:ascii="Arial" w:cs="Arial" w:eastAsia="Arial" w:hAnsi="Arial"/>
                <w:sz w:val="20"/>
                <w:szCs w:val="20"/>
                <w:color w:val="auto"/>
              </w:rPr>
              <w:t>26</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60" w:type="dxa"/>
            <w:vAlign w:val="bottom"/>
            <w:gridSpan w:val="2"/>
          </w:tcPr>
          <w:p>
            <w:pPr>
              <w:ind w:left="260"/>
              <w:spacing w:after="0"/>
              <w:rPr>
                <w:sz w:val="20"/>
                <w:szCs w:val="20"/>
                <w:color w:val="auto"/>
              </w:rPr>
            </w:pPr>
            <w:r>
              <w:rPr>
                <w:rFonts w:ascii="Arial" w:cs="Arial" w:eastAsia="Arial" w:hAnsi="Arial"/>
                <w:sz w:val="20"/>
                <w:szCs w:val="20"/>
                <w:color w:val="auto"/>
              </w:rPr>
              <w:t>Weighted average discount rate</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6"/>
          </w:tcPr>
          <w:p>
            <w:pPr>
              <w:jc w:val="right"/>
              <w:spacing w:after="0"/>
              <w:rPr>
                <w:sz w:val="20"/>
                <w:szCs w:val="20"/>
                <w:color w:val="auto"/>
              </w:rPr>
            </w:pPr>
            <w:r>
              <w:rPr>
                <w:rFonts w:ascii="Arial" w:cs="Arial" w:eastAsia="Arial" w:hAnsi="Arial"/>
                <w:sz w:val="20"/>
                <w:szCs w:val="20"/>
                <w:color w:val="auto"/>
              </w:rPr>
              <w:t>4.5 %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-2896235</wp:posOffset>
            </wp:positionV>
            <wp:extent cx="352107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5">
                      <a:extLst>
                        <a:ext uri="{28A0092B-C50C-407E-A947-70E740481C1C}"/>
                      </a:extLst>
                    </a:blip>
                    <a:srcRect/>
                    <a:stretch>
                      <a:fillRect/>
                    </a:stretch>
                  </pic:blipFill>
                  <pic:spPr bwMode="auto">
                    <a:xfrm>
                      <a:off x="0" y="0"/>
                      <a:ext cx="3521075" cy="5080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-597535</wp:posOffset>
            </wp:positionV>
            <wp:extent cx="25971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6">
                      <a:extLst>
                        <a:ext uri="{28A0092B-C50C-407E-A947-70E740481C1C}"/>
                      </a:extLst>
                    </a:blip>
                    <a:srcRect/>
                    <a:stretch>
                      <a:fillRect/>
                    </a:stretch>
                  </pic:blipFill>
                  <pic:spPr bwMode="auto">
                    <a:xfrm>
                      <a:off x="0" y="0"/>
                      <a:ext cx="259715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126682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7">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245" w:lineRule="exact"/>
        <w:rPr>
          <w:sz w:val="20"/>
          <w:szCs w:val="20"/>
          <w:color w:val="auto"/>
        </w:rPr>
      </w:pPr>
    </w:p>
    <w:p>
      <w:pPr>
        <w:ind w:left="80"/>
        <w:spacing w:after="0" w:line="231" w:lineRule="auto"/>
        <w:tabs>
          <w:tab w:leader="none" w:pos="273"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Short-term lease liability balances are included within the accrued expenses and other current liabilities line item of the consolidated balance sheets as of December 31, 2024 and 2023.</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Minimum future rental payments of operating lease liabilities as of December 31, 2024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6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rPr>
              <w:t>(In millions)</w:t>
            </w:r>
          </w:p>
        </w:tc>
      </w:tr>
      <w:tr>
        <w:trPr>
          <w:trHeight w:val="290"/>
        </w:trPr>
        <w:tc>
          <w:tcPr>
            <w:tcW w:w="82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2025</w:t>
            </w:r>
          </w:p>
        </w:tc>
        <w:tc>
          <w:tcPr>
            <w:tcW w:w="340" w:type="dxa"/>
            <w:vAlign w:val="bottom"/>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34</w:t>
            </w:r>
          </w:p>
        </w:tc>
      </w:tr>
      <w:tr>
        <w:trPr>
          <w:trHeight w:val="294"/>
        </w:trPr>
        <w:tc>
          <w:tcPr>
            <w:tcW w:w="8260" w:type="dxa"/>
            <w:vAlign w:val="bottom"/>
          </w:tcPr>
          <w:p>
            <w:pPr>
              <w:ind w:left="260"/>
              <w:spacing w:after="0"/>
              <w:rPr>
                <w:sz w:val="20"/>
                <w:szCs w:val="20"/>
                <w:color w:val="auto"/>
              </w:rPr>
            </w:pPr>
            <w:r>
              <w:rPr>
                <w:rFonts w:ascii="Arial" w:cs="Arial" w:eastAsia="Arial" w:hAnsi="Arial"/>
                <w:sz w:val="20"/>
                <w:szCs w:val="20"/>
                <w:color w:val="auto"/>
              </w:rPr>
              <w:t>2026</w:t>
            </w:r>
          </w:p>
        </w:tc>
        <w:tc>
          <w:tcPr>
            <w:tcW w:w="340" w:type="dxa"/>
            <w:vAlign w:val="bottom"/>
          </w:tcPr>
          <w:p>
            <w:pPr>
              <w:spacing w:after="0"/>
              <w:rPr>
                <w:sz w:val="24"/>
                <w:szCs w:val="24"/>
                <w:color w:val="auto"/>
              </w:rPr>
            </w:pP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34</w:t>
            </w:r>
          </w:p>
        </w:tc>
      </w:tr>
      <w:tr>
        <w:trPr>
          <w:trHeight w:val="306"/>
        </w:trPr>
        <w:tc>
          <w:tcPr>
            <w:tcW w:w="82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2027</w:t>
            </w:r>
          </w:p>
        </w:tc>
        <w:tc>
          <w:tcPr>
            <w:tcW w:w="340" w:type="dxa"/>
            <w:vAlign w:val="bottom"/>
            <w:shd w:val="clear" w:color="auto" w:fill="E6E6E6"/>
          </w:tcPr>
          <w:p>
            <w:pPr>
              <w:spacing w:after="0"/>
              <w:rPr>
                <w:sz w:val="24"/>
                <w:szCs w:val="24"/>
                <w:color w:val="auto"/>
              </w:rPr>
            </w:pPr>
          </w:p>
        </w:tc>
        <w:tc>
          <w:tcPr>
            <w:tcW w:w="16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35</w:t>
            </w:r>
          </w:p>
        </w:tc>
      </w:tr>
      <w:tr>
        <w:trPr>
          <w:trHeight w:val="294"/>
        </w:trPr>
        <w:tc>
          <w:tcPr>
            <w:tcW w:w="8260" w:type="dxa"/>
            <w:vAlign w:val="bottom"/>
          </w:tcPr>
          <w:p>
            <w:pPr>
              <w:ind w:left="260"/>
              <w:spacing w:after="0"/>
              <w:rPr>
                <w:sz w:val="20"/>
                <w:szCs w:val="20"/>
                <w:color w:val="auto"/>
              </w:rPr>
            </w:pPr>
            <w:r>
              <w:rPr>
                <w:rFonts w:ascii="Arial" w:cs="Arial" w:eastAsia="Arial" w:hAnsi="Arial"/>
                <w:sz w:val="20"/>
                <w:szCs w:val="20"/>
                <w:color w:val="auto"/>
              </w:rPr>
              <w:t>2028</w:t>
            </w:r>
          </w:p>
        </w:tc>
        <w:tc>
          <w:tcPr>
            <w:tcW w:w="340" w:type="dxa"/>
            <w:vAlign w:val="bottom"/>
          </w:tcPr>
          <w:p>
            <w:pPr>
              <w:spacing w:after="0"/>
              <w:rPr>
                <w:sz w:val="24"/>
                <w:szCs w:val="24"/>
                <w:color w:val="auto"/>
              </w:rPr>
            </w:pP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35</w:t>
            </w:r>
          </w:p>
        </w:tc>
      </w:tr>
      <w:tr>
        <w:trPr>
          <w:trHeight w:val="306"/>
        </w:trPr>
        <w:tc>
          <w:tcPr>
            <w:tcW w:w="82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2029</w:t>
            </w:r>
          </w:p>
        </w:tc>
        <w:tc>
          <w:tcPr>
            <w:tcW w:w="340" w:type="dxa"/>
            <w:vAlign w:val="bottom"/>
            <w:shd w:val="clear" w:color="auto" w:fill="E6E6E6"/>
          </w:tcPr>
          <w:p>
            <w:pPr>
              <w:spacing w:after="0"/>
              <w:rPr>
                <w:sz w:val="24"/>
                <w:szCs w:val="24"/>
                <w:color w:val="auto"/>
              </w:rPr>
            </w:pPr>
          </w:p>
        </w:tc>
        <w:tc>
          <w:tcPr>
            <w:tcW w:w="16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35</w:t>
            </w:r>
          </w:p>
        </w:tc>
      </w:tr>
      <w:tr>
        <w:trPr>
          <w:trHeight w:val="290"/>
        </w:trPr>
        <w:tc>
          <w:tcPr>
            <w:tcW w:w="8260" w:type="dxa"/>
            <w:vAlign w:val="bottom"/>
            <w:tcBorders>
              <w:bottom w:val="single" w:sz="8" w:color="E6E6E6"/>
            </w:tcBorders>
          </w:tcPr>
          <w:p>
            <w:pPr>
              <w:ind w:left="260"/>
              <w:spacing w:after="0"/>
              <w:rPr>
                <w:sz w:val="20"/>
                <w:szCs w:val="20"/>
                <w:color w:val="auto"/>
              </w:rPr>
            </w:pPr>
            <w:r>
              <w:rPr>
                <w:rFonts w:ascii="Arial" w:cs="Arial" w:eastAsia="Arial" w:hAnsi="Arial"/>
                <w:sz w:val="20"/>
                <w:szCs w:val="20"/>
                <w:color w:val="auto"/>
              </w:rPr>
              <w:t>Thereafter</w:t>
            </w: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771</w:t>
            </w:r>
          </w:p>
        </w:tc>
      </w:tr>
      <w:tr>
        <w:trPr>
          <w:trHeight w:val="290"/>
        </w:trPr>
        <w:tc>
          <w:tcPr>
            <w:tcW w:w="82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Total lease payments</w:t>
            </w:r>
          </w:p>
        </w:tc>
        <w:tc>
          <w:tcPr>
            <w:tcW w:w="340" w:type="dxa"/>
            <w:vAlign w:val="bottom"/>
            <w:shd w:val="clear" w:color="auto" w:fill="E6E6E6"/>
          </w:tcPr>
          <w:p>
            <w:pPr>
              <w:spacing w:after="0"/>
              <w:rPr>
                <w:sz w:val="24"/>
                <w:szCs w:val="24"/>
                <w:color w:val="auto"/>
              </w:rPr>
            </w:pPr>
          </w:p>
        </w:tc>
        <w:tc>
          <w:tcPr>
            <w:tcW w:w="16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944</w:t>
            </w:r>
          </w:p>
        </w:tc>
      </w:tr>
      <w:tr>
        <w:trPr>
          <w:trHeight w:val="290"/>
        </w:trPr>
        <w:tc>
          <w:tcPr>
            <w:tcW w:w="8260" w:type="dxa"/>
            <w:vAlign w:val="bottom"/>
            <w:tcBorders>
              <w:bottom w:val="single" w:sz="8" w:color="E6E6E6"/>
            </w:tcBorders>
          </w:tcPr>
          <w:p>
            <w:pPr>
              <w:ind w:left="740"/>
              <w:spacing w:after="0"/>
              <w:rPr>
                <w:sz w:val="20"/>
                <w:szCs w:val="20"/>
                <w:color w:val="auto"/>
              </w:rPr>
            </w:pPr>
            <w:r>
              <w:rPr>
                <w:rFonts w:ascii="Arial" w:cs="Arial" w:eastAsia="Arial" w:hAnsi="Arial"/>
                <w:sz w:val="20"/>
                <w:szCs w:val="20"/>
                <w:color w:val="auto"/>
              </w:rPr>
              <w:t>Less imputed interest</w:t>
            </w: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w:t>
            </w:r>
          </w:p>
        </w:tc>
      </w:tr>
      <w:tr>
        <w:trPr>
          <w:trHeight w:val="285"/>
        </w:trPr>
        <w:tc>
          <w:tcPr>
            <w:tcW w:w="8260" w:type="dxa"/>
            <w:vAlign w:val="bottom"/>
            <w:tcBorders>
              <w:bottom w:val="single" w:sz="8" w:color="E6E6E6"/>
            </w:tcBorders>
            <w:shd w:val="clear" w:color="auto" w:fill="E6E6E6"/>
          </w:tcPr>
          <w:p>
            <w:pPr>
              <w:ind w:left="260"/>
              <w:spacing w:after="0"/>
              <w:rPr>
                <w:sz w:val="20"/>
                <w:szCs w:val="20"/>
                <w:color w:val="auto"/>
              </w:rPr>
            </w:pPr>
            <w:r>
              <w:rPr>
                <w:rFonts w:ascii="Arial" w:cs="Arial" w:eastAsia="Arial" w:hAnsi="Arial"/>
                <w:sz w:val="20"/>
                <w:szCs w:val="20"/>
                <w:b w:val="1"/>
                <w:bCs w:val="1"/>
                <w:color w:val="auto"/>
              </w:rPr>
              <w:t>Total lease liability - operating leases</w:t>
            </w:r>
          </w:p>
        </w:tc>
        <w:tc>
          <w:tcPr>
            <w:tcW w:w="340" w:type="dxa"/>
            <w:vAlign w:val="bottom"/>
            <w:tcBorders>
              <w:bottom w:val="single" w:sz="8" w:color="auto"/>
            </w:tcBorders>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579</w:t>
            </w:r>
          </w:p>
        </w:tc>
      </w:tr>
      <w:tr>
        <w:trPr>
          <w:trHeight w:val="20"/>
        </w:trPr>
        <w:tc>
          <w:tcPr>
            <w:tcW w:w="826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E6E6E6"/>
              <w:bottom w:val="single" w:sz="8" w:color="auto"/>
            </w:tcBorders>
          </w:tcPr>
          <w:p>
            <w:pPr>
              <w:spacing w:after="0" w:line="20" w:lineRule="exact"/>
              <w:rPr>
                <w:sz w:val="1"/>
                <w:szCs w:val="1"/>
                <w:color w:val="auto"/>
              </w:rPr>
            </w:pPr>
          </w:p>
        </w:tc>
        <w:tc>
          <w:tcPr>
            <w:tcW w:w="166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-43815</wp:posOffset>
            </wp:positionV>
            <wp:extent cx="129222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8">
                      <a:extLst>
                        <a:ext uri="{28A0092B-C50C-407E-A947-70E740481C1C}"/>
                      </a:extLst>
                    </a:blip>
                    <a:srcRect/>
                    <a:stretch>
                      <a:fillRect/>
                    </a:stretch>
                  </pic:blipFill>
                  <pic:spPr bwMode="auto">
                    <a:xfrm>
                      <a:off x="0" y="0"/>
                      <a:ext cx="1292225" cy="50800"/>
                    </a:xfrm>
                    <a:prstGeom prst="rect">
                      <a:avLst/>
                    </a:prstGeom>
                    <a:noFill/>
                  </pic:spPr>
                </pic:pic>
              </a:graphicData>
            </a:graphic>
          </wp:anchor>
        </w:drawing>
      </w:r>
    </w:p>
    <w:p>
      <w:pPr>
        <w:sectPr>
          <w:pgSz w:w="11880" w:h="15480" w:orient="portrait"/>
          <w:cols w:equalWidth="0" w:num="1">
            <w:col w:w="10260"/>
          </w:cols>
          <w:pgMar w:left="820" w:top="35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880" w:h="15480" w:orient="portrait"/>
          <w:cols w:equalWidth="0" w:num="1">
            <w:col w:w="10260"/>
          </w:cols>
          <w:pgMar w:left="820" w:top="359" w:right="800" w:bottom="0" w:gutter="0" w:footer="0" w:header="0"/>
          <w:type w:val="continuous"/>
        </w:sectPr>
      </w:pPr>
    </w:p>
    <w:bookmarkStart w:id="127" w:name="page128"/>
    <w:bookmarkEnd w:id="127"/>
    <w:p>
      <w:pPr>
        <w:ind w:right="120" w:firstLine="450"/>
        <w:spacing w:after="0" w:line="283" w:lineRule="auto"/>
        <w:rPr>
          <w:sz w:val="20"/>
          <w:szCs w:val="20"/>
          <w:color w:val="auto"/>
        </w:rPr>
      </w:pPr>
      <w:r>
        <w:rPr>
          <w:rFonts w:ascii="Arial" w:cs="Arial" w:eastAsia="Arial" w:hAnsi="Arial"/>
          <w:sz w:val="20"/>
          <w:szCs w:val="20"/>
          <w:color w:val="auto"/>
        </w:rPr>
        <w:t>The Company is party to various land lease agreements with wholly-owned subsidiaries of CEG that are accounted for as operating leases. The following table summarizes the land lease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31750</wp:posOffset>
            </wp:positionV>
            <wp:extent cx="341947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9">
                      <a:extLst>
                        <a:ext uri="{28A0092B-C50C-407E-A947-70E740481C1C}"/>
                      </a:extLst>
                    </a:blip>
                    <a:srcRect/>
                    <a:stretch>
                      <a:fillRect/>
                    </a:stretch>
                  </pic:blipFill>
                  <pic:spPr bwMode="auto">
                    <a:xfrm>
                      <a:off x="0" y="0"/>
                      <a:ext cx="3419475" cy="1270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millions)</w:t>
            </w:r>
          </w:p>
        </w:tc>
        <w:tc>
          <w:tcPr>
            <w:tcW w:w="16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0"/>
              </w:rPr>
              <w:t>Right-of-use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22"/>
              <w:spacing w:after="0"/>
              <w:rPr>
                <w:sz w:val="20"/>
                <w:szCs w:val="20"/>
                <w:color w:val="auto"/>
              </w:rPr>
            </w:pPr>
            <w:r>
              <w:rPr>
                <w:rFonts w:ascii="Arial" w:cs="Arial" w:eastAsia="Arial" w:hAnsi="Arial"/>
                <w:sz w:val="18"/>
                <w:szCs w:val="18"/>
                <w:b w:val="1"/>
                <w:bCs w:val="1"/>
                <w:color w:val="auto"/>
                <w:w w:val="90"/>
              </w:rPr>
              <w:t>Long-term lease</w:t>
            </w:r>
          </w:p>
        </w:tc>
        <w:tc>
          <w:tcPr>
            <w:tcW w:w="80" w:type="dxa"/>
            <w:vAlign w:val="bottom"/>
          </w:tcPr>
          <w:p>
            <w:pPr>
              <w:spacing w:after="0"/>
              <w:rPr>
                <w:sz w:val="17"/>
                <w:szCs w:val="17"/>
                <w:color w:val="auto"/>
              </w:rPr>
            </w:pPr>
          </w:p>
        </w:tc>
        <w:tc>
          <w:tcPr>
            <w:tcW w:w="1880" w:type="dxa"/>
            <w:vAlign w:val="bottom"/>
            <w:vMerge w:val="restart"/>
          </w:tcPr>
          <w:p>
            <w:pPr>
              <w:jc w:val="right"/>
              <w:ind w:right="201"/>
              <w:spacing w:after="0"/>
              <w:rPr>
                <w:sz w:val="20"/>
                <w:szCs w:val="20"/>
                <w:color w:val="auto"/>
              </w:rPr>
            </w:pPr>
            <w:r>
              <w:rPr>
                <w:rFonts w:ascii="Arial" w:cs="Arial" w:eastAsia="Arial" w:hAnsi="Arial"/>
                <w:sz w:val="18"/>
                <w:szCs w:val="18"/>
                <w:b w:val="1"/>
                <w:bCs w:val="1"/>
                <w:color w:val="auto"/>
              </w:rPr>
              <w:t>Lease expiration</w:t>
            </w:r>
          </w:p>
        </w:tc>
        <w:tc>
          <w:tcPr>
            <w:tcW w:w="0" w:type="dxa"/>
            <w:vAlign w:val="bottom"/>
          </w:tcPr>
          <w:p>
            <w:pPr>
              <w:spacing w:after="0"/>
              <w:rPr>
                <w:sz w:val="1"/>
                <w:szCs w:val="1"/>
                <w:color w:val="auto"/>
              </w:rPr>
            </w:pPr>
          </w:p>
        </w:tc>
      </w:tr>
      <w:tr>
        <w:trPr>
          <w:trHeight w:val="239"/>
        </w:trPr>
        <w:tc>
          <w:tcPr>
            <w:tcW w:w="4860" w:type="dxa"/>
            <w:vAlign w:val="bottom"/>
            <w:tcBorders>
              <w:bottom w:val="single" w:sz="8" w:color="E6E6E6"/>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21"/>
              <w:spacing w:after="0"/>
              <w:rPr>
                <w:sz w:val="20"/>
                <w:szCs w:val="20"/>
                <w:color w:val="auto"/>
              </w:rPr>
            </w:pPr>
            <w:r>
              <w:rPr>
                <w:rFonts w:ascii="Arial" w:cs="Arial" w:eastAsia="Arial" w:hAnsi="Arial"/>
                <w:sz w:val="18"/>
                <w:szCs w:val="18"/>
                <w:b w:val="1"/>
                <w:bCs w:val="1"/>
                <w:color w:val="auto"/>
              </w:rPr>
              <w:t>net</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bottom w:val="single" w:sz="8" w:color="E6E6E6"/>
            </w:tcBorders>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86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As of December 31, 2024</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860" w:type="dxa"/>
            <w:vAlign w:val="bottom"/>
          </w:tcPr>
          <w:p>
            <w:pPr>
              <w:ind w:left="260"/>
              <w:spacing w:after="0"/>
              <w:rPr>
                <w:sz w:val="20"/>
                <w:szCs w:val="20"/>
                <w:color w:val="auto"/>
              </w:rPr>
            </w:pPr>
            <w:r>
              <w:rPr>
                <w:rFonts w:ascii="Arial" w:cs="Arial" w:eastAsia="Arial" w:hAnsi="Arial"/>
                <w:sz w:val="20"/>
                <w:szCs w:val="20"/>
                <w:color w:val="auto"/>
              </w:rPr>
              <w:t>Daggett 2</w:t>
            </w:r>
          </w:p>
        </w:tc>
        <w:tc>
          <w:tcPr>
            <w:tcW w:w="4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June 30, 2058</w:t>
            </w:r>
          </w:p>
        </w:tc>
        <w:tc>
          <w:tcPr>
            <w:tcW w:w="0" w:type="dxa"/>
            <w:vAlign w:val="bottom"/>
          </w:tcPr>
          <w:p>
            <w:pPr>
              <w:spacing w:after="0"/>
              <w:rPr>
                <w:sz w:val="1"/>
                <w:szCs w:val="1"/>
                <w:color w:val="auto"/>
              </w:rPr>
            </w:pPr>
          </w:p>
        </w:tc>
      </w:tr>
      <w:tr>
        <w:trPr>
          <w:trHeight w:val="307"/>
        </w:trPr>
        <w:tc>
          <w:tcPr>
            <w:tcW w:w="48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Daggett 3</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w:t>
            </w:r>
          </w:p>
        </w:tc>
        <w:tc>
          <w:tcPr>
            <w:tcW w:w="80" w:type="dxa"/>
            <w:vAlign w:val="bottom"/>
            <w:shd w:val="clear" w:color="auto" w:fill="E6E6E6"/>
          </w:tcPr>
          <w:p>
            <w:pPr>
              <w:spacing w:after="0"/>
              <w:rPr>
                <w:sz w:val="24"/>
                <w:szCs w:val="24"/>
                <w:color w:val="auto"/>
              </w:rPr>
            </w:pPr>
          </w:p>
        </w:tc>
        <w:tc>
          <w:tcPr>
            <w:tcW w:w="1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December 18, 2062</w:t>
            </w:r>
          </w:p>
        </w:tc>
        <w:tc>
          <w:tcPr>
            <w:tcW w:w="0" w:type="dxa"/>
            <w:vAlign w:val="bottom"/>
          </w:tcPr>
          <w:p>
            <w:pPr>
              <w:spacing w:after="0"/>
              <w:rPr>
                <w:sz w:val="1"/>
                <w:szCs w:val="1"/>
                <w:color w:val="auto"/>
              </w:rPr>
            </w:pPr>
          </w:p>
        </w:tc>
      </w:tr>
      <w:tr>
        <w:trPr>
          <w:trHeight w:val="293"/>
        </w:trPr>
        <w:tc>
          <w:tcPr>
            <w:tcW w:w="4860" w:type="dxa"/>
            <w:vAlign w:val="bottom"/>
          </w:tcPr>
          <w:p>
            <w:pPr>
              <w:ind w:left="260"/>
              <w:spacing w:after="0"/>
              <w:rPr>
                <w:sz w:val="20"/>
                <w:szCs w:val="20"/>
                <w:color w:val="auto"/>
              </w:rPr>
            </w:pPr>
            <w:r>
              <w:rPr>
                <w:rFonts w:ascii="Arial" w:cs="Arial" w:eastAsia="Arial" w:hAnsi="Arial"/>
                <w:sz w:val="20"/>
                <w:szCs w:val="20"/>
                <w:color w:val="auto"/>
              </w:rPr>
              <w:t>Mililani I</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March 31, 2057</w:t>
            </w:r>
          </w:p>
        </w:tc>
        <w:tc>
          <w:tcPr>
            <w:tcW w:w="0" w:type="dxa"/>
            <w:vAlign w:val="bottom"/>
          </w:tcPr>
          <w:p>
            <w:pPr>
              <w:spacing w:after="0"/>
              <w:rPr>
                <w:sz w:val="1"/>
                <w:szCs w:val="1"/>
                <w:color w:val="auto"/>
              </w:rPr>
            </w:pPr>
          </w:p>
        </w:tc>
      </w:tr>
      <w:tr>
        <w:trPr>
          <w:trHeight w:val="307"/>
        </w:trPr>
        <w:tc>
          <w:tcPr>
            <w:tcW w:w="48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 xml:space="preserve">Oahu Solar </w:t>
            </w:r>
            <w:r>
              <w:rPr>
                <w:rFonts w:ascii="Arial" w:cs="Arial" w:eastAsia="Arial" w:hAnsi="Arial"/>
                <w:sz w:val="26"/>
                <w:szCs w:val="26"/>
                <w:color w:val="auto"/>
                <w:vertAlign w:val="superscript"/>
              </w:rPr>
              <w:t>(a)</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w:t>
            </w:r>
          </w:p>
        </w:tc>
        <w:tc>
          <w:tcPr>
            <w:tcW w:w="80" w:type="dxa"/>
            <w:vAlign w:val="bottom"/>
            <w:shd w:val="clear" w:color="auto" w:fill="E6E6E6"/>
          </w:tcPr>
          <w:p>
            <w:pPr>
              <w:spacing w:after="0"/>
              <w:rPr>
                <w:sz w:val="24"/>
                <w:szCs w:val="24"/>
                <w:color w:val="auto"/>
              </w:rPr>
            </w:pPr>
          </w:p>
        </w:tc>
        <w:tc>
          <w:tcPr>
            <w:tcW w:w="1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August 1, 2057</w:t>
            </w:r>
          </w:p>
        </w:tc>
        <w:tc>
          <w:tcPr>
            <w:tcW w:w="0" w:type="dxa"/>
            <w:vAlign w:val="bottom"/>
          </w:tcPr>
          <w:p>
            <w:pPr>
              <w:spacing w:after="0"/>
              <w:rPr>
                <w:sz w:val="1"/>
                <w:szCs w:val="1"/>
                <w:color w:val="auto"/>
              </w:rPr>
            </w:pPr>
          </w:p>
        </w:tc>
      </w:tr>
      <w:tr>
        <w:trPr>
          <w:trHeight w:val="300"/>
        </w:trPr>
        <w:tc>
          <w:tcPr>
            <w:tcW w:w="4860" w:type="dxa"/>
            <w:vAlign w:val="bottom"/>
          </w:tcPr>
          <w:p>
            <w:pPr>
              <w:ind w:left="260"/>
              <w:spacing w:after="0"/>
              <w:rPr>
                <w:sz w:val="20"/>
                <w:szCs w:val="20"/>
                <w:color w:val="auto"/>
              </w:rPr>
            </w:pPr>
            <w:r>
              <w:rPr>
                <w:rFonts w:ascii="Arial" w:cs="Arial" w:eastAsia="Arial" w:hAnsi="Arial"/>
                <w:sz w:val="20"/>
                <w:szCs w:val="20"/>
                <w:color w:val="auto"/>
              </w:rPr>
              <w:t xml:space="preserve">Rosamond Central </w:t>
            </w:r>
            <w:r>
              <w:rPr>
                <w:rFonts w:ascii="Arial" w:cs="Arial" w:eastAsia="Arial" w:hAnsi="Arial"/>
                <w:sz w:val="26"/>
                <w:szCs w:val="26"/>
                <w:color w:val="auto"/>
                <w:vertAlign w:val="superscript"/>
              </w:rPr>
              <w:t>(a)</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March 31, 2056</w:t>
            </w:r>
          </w:p>
        </w:tc>
        <w:tc>
          <w:tcPr>
            <w:tcW w:w="0" w:type="dxa"/>
            <w:vAlign w:val="bottom"/>
          </w:tcPr>
          <w:p>
            <w:pPr>
              <w:spacing w:after="0"/>
              <w:rPr>
                <w:sz w:val="1"/>
                <w:szCs w:val="1"/>
                <w:color w:val="auto"/>
              </w:rPr>
            </w:pPr>
          </w:p>
        </w:tc>
      </w:tr>
      <w:tr>
        <w:trPr>
          <w:trHeight w:val="300"/>
        </w:trPr>
        <w:tc>
          <w:tcPr>
            <w:tcW w:w="486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As of December 31, 2023</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860" w:type="dxa"/>
            <w:vAlign w:val="bottom"/>
          </w:tcPr>
          <w:p>
            <w:pPr>
              <w:ind w:left="260"/>
              <w:spacing w:after="0"/>
              <w:rPr>
                <w:sz w:val="20"/>
                <w:szCs w:val="20"/>
                <w:color w:val="auto"/>
              </w:rPr>
            </w:pPr>
            <w:r>
              <w:rPr>
                <w:rFonts w:ascii="Arial" w:cs="Arial" w:eastAsia="Arial" w:hAnsi="Arial"/>
                <w:sz w:val="20"/>
                <w:szCs w:val="20"/>
                <w:color w:val="auto"/>
              </w:rPr>
              <w:t>Daggett 2</w:t>
            </w:r>
          </w:p>
        </w:tc>
        <w:tc>
          <w:tcPr>
            <w:tcW w:w="4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June 30, 2058</w:t>
            </w:r>
          </w:p>
        </w:tc>
        <w:tc>
          <w:tcPr>
            <w:tcW w:w="0" w:type="dxa"/>
            <w:vAlign w:val="bottom"/>
          </w:tcPr>
          <w:p>
            <w:pPr>
              <w:spacing w:after="0"/>
              <w:rPr>
                <w:sz w:val="1"/>
                <w:szCs w:val="1"/>
                <w:color w:val="auto"/>
              </w:rPr>
            </w:pPr>
          </w:p>
        </w:tc>
      </w:tr>
      <w:tr>
        <w:trPr>
          <w:trHeight w:val="307"/>
        </w:trPr>
        <w:tc>
          <w:tcPr>
            <w:tcW w:w="48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Daggett 3</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w:t>
            </w:r>
          </w:p>
        </w:tc>
        <w:tc>
          <w:tcPr>
            <w:tcW w:w="80" w:type="dxa"/>
            <w:vAlign w:val="bottom"/>
            <w:shd w:val="clear" w:color="auto" w:fill="E6E6E6"/>
          </w:tcPr>
          <w:p>
            <w:pPr>
              <w:spacing w:after="0"/>
              <w:rPr>
                <w:sz w:val="24"/>
                <w:szCs w:val="24"/>
                <w:color w:val="auto"/>
              </w:rPr>
            </w:pPr>
          </w:p>
        </w:tc>
        <w:tc>
          <w:tcPr>
            <w:tcW w:w="1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December 18, 2062</w:t>
            </w:r>
          </w:p>
        </w:tc>
        <w:tc>
          <w:tcPr>
            <w:tcW w:w="0" w:type="dxa"/>
            <w:vAlign w:val="bottom"/>
          </w:tcPr>
          <w:p>
            <w:pPr>
              <w:spacing w:after="0"/>
              <w:rPr>
                <w:sz w:val="1"/>
                <w:szCs w:val="1"/>
                <w:color w:val="auto"/>
              </w:rPr>
            </w:pPr>
          </w:p>
        </w:tc>
      </w:tr>
      <w:tr>
        <w:trPr>
          <w:trHeight w:val="293"/>
        </w:trPr>
        <w:tc>
          <w:tcPr>
            <w:tcW w:w="4860" w:type="dxa"/>
            <w:vAlign w:val="bottom"/>
          </w:tcPr>
          <w:p>
            <w:pPr>
              <w:ind w:left="260"/>
              <w:spacing w:after="0"/>
              <w:rPr>
                <w:sz w:val="20"/>
                <w:szCs w:val="20"/>
                <w:color w:val="auto"/>
              </w:rPr>
            </w:pPr>
            <w:r>
              <w:rPr>
                <w:rFonts w:ascii="Arial" w:cs="Arial" w:eastAsia="Arial" w:hAnsi="Arial"/>
                <w:sz w:val="20"/>
                <w:szCs w:val="20"/>
                <w:color w:val="auto"/>
              </w:rPr>
              <w:t>Mililani I</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March 31, 2057</w:t>
            </w:r>
          </w:p>
        </w:tc>
        <w:tc>
          <w:tcPr>
            <w:tcW w:w="0" w:type="dxa"/>
            <w:vAlign w:val="bottom"/>
          </w:tcPr>
          <w:p>
            <w:pPr>
              <w:spacing w:after="0"/>
              <w:rPr>
                <w:sz w:val="1"/>
                <w:szCs w:val="1"/>
                <w:color w:val="auto"/>
              </w:rPr>
            </w:pPr>
          </w:p>
        </w:tc>
      </w:tr>
      <w:tr>
        <w:trPr>
          <w:trHeight w:val="307"/>
        </w:trPr>
        <w:tc>
          <w:tcPr>
            <w:tcW w:w="48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 xml:space="preserve">Oahu Solar </w:t>
            </w:r>
            <w:r>
              <w:rPr>
                <w:rFonts w:ascii="Arial" w:cs="Arial" w:eastAsia="Arial" w:hAnsi="Arial"/>
                <w:sz w:val="26"/>
                <w:szCs w:val="26"/>
                <w:color w:val="auto"/>
                <w:vertAlign w:val="superscript"/>
              </w:rPr>
              <w:t>(a)</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w:t>
            </w:r>
          </w:p>
        </w:tc>
        <w:tc>
          <w:tcPr>
            <w:tcW w:w="80" w:type="dxa"/>
            <w:vAlign w:val="bottom"/>
            <w:shd w:val="clear" w:color="auto" w:fill="E6E6E6"/>
          </w:tcPr>
          <w:p>
            <w:pPr>
              <w:spacing w:after="0"/>
              <w:rPr>
                <w:sz w:val="24"/>
                <w:szCs w:val="24"/>
                <w:color w:val="auto"/>
              </w:rPr>
            </w:pPr>
          </w:p>
        </w:tc>
        <w:tc>
          <w:tcPr>
            <w:tcW w:w="1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August 1, 2057</w:t>
            </w:r>
          </w:p>
        </w:tc>
        <w:tc>
          <w:tcPr>
            <w:tcW w:w="0" w:type="dxa"/>
            <w:vAlign w:val="bottom"/>
          </w:tcPr>
          <w:p>
            <w:pPr>
              <w:spacing w:after="0"/>
              <w:rPr>
                <w:sz w:val="1"/>
                <w:szCs w:val="1"/>
                <w:color w:val="auto"/>
              </w:rPr>
            </w:pPr>
          </w:p>
        </w:tc>
      </w:tr>
      <w:tr>
        <w:trPr>
          <w:trHeight w:val="372"/>
        </w:trPr>
        <w:tc>
          <w:tcPr>
            <w:tcW w:w="4860" w:type="dxa"/>
            <w:vAlign w:val="bottom"/>
          </w:tcPr>
          <w:p>
            <w:pPr>
              <w:ind w:left="260"/>
              <w:spacing w:after="0"/>
              <w:rPr>
                <w:sz w:val="20"/>
                <w:szCs w:val="20"/>
                <w:color w:val="auto"/>
              </w:rPr>
            </w:pPr>
            <w:r>
              <w:rPr>
                <w:rFonts w:ascii="Arial" w:cs="Arial" w:eastAsia="Arial" w:hAnsi="Arial"/>
                <w:sz w:val="20"/>
                <w:szCs w:val="20"/>
                <w:color w:val="auto"/>
              </w:rPr>
              <w:t xml:space="preserve">Rosamond Central </w:t>
            </w:r>
            <w:r>
              <w:rPr>
                <w:rFonts w:ascii="Arial" w:cs="Arial" w:eastAsia="Arial" w:hAnsi="Arial"/>
                <w:sz w:val="26"/>
                <w:szCs w:val="26"/>
                <w:color w:val="auto"/>
                <w:vertAlign w:val="superscript"/>
              </w:rPr>
              <w:t>(a)</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March 31, 2056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126682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0">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70" w:lineRule="exact"/>
        <w:rPr>
          <w:sz w:val="20"/>
          <w:szCs w:val="20"/>
          <w:color w:val="auto"/>
        </w:rPr>
      </w:pPr>
    </w:p>
    <w:p>
      <w:pPr>
        <w:ind w:left="300" w:hanging="220"/>
        <w:spacing w:after="0"/>
        <w:tabs>
          <w:tab w:leader="none" w:pos="300" w:val="left"/>
        </w:tabs>
        <w:numPr>
          <w:ilvl w:val="0"/>
          <w:numId w:val="73"/>
        </w:numPr>
        <w:rPr>
          <w:rFonts w:ascii="Arial" w:cs="Arial" w:eastAsia="Arial" w:hAnsi="Arial"/>
          <w:sz w:val="26"/>
          <w:szCs w:val="26"/>
          <w:color w:val="auto"/>
          <w:vertAlign w:val="superscript"/>
        </w:rPr>
      </w:pPr>
      <w:r>
        <w:rPr>
          <w:rFonts w:ascii="Arial" w:cs="Arial" w:eastAsia="Arial" w:hAnsi="Arial"/>
          <w:sz w:val="16"/>
          <w:szCs w:val="16"/>
          <w:color w:val="auto"/>
        </w:rPr>
        <w:t>The Company has the ability to extend each of these leases for two additional five-year periods.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Lessor</w:t>
      </w:r>
    </w:p>
    <w:p>
      <w:pPr>
        <w:spacing w:after="0" w:line="178"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9"/>
          <w:szCs w:val="19"/>
          <w:color w:val="auto"/>
        </w:rPr>
        <w:t>The majority of the Company’s revenue is obtained through PPAs or other contractual agreements that are accounted for as leases. These leases are comprised of both fixed payments and variable payments contingent upon volumes or performance metrics.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amounts of energy, capacity and other revenues are related to the Company’s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78105</wp:posOffset>
            </wp:positionV>
            <wp:extent cx="383857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1">
                      <a:extLst>
                        <a:ext uri="{28A0092B-C50C-407E-A947-70E740481C1C}"/>
                      </a:extLst>
                    </a:blip>
                    <a:srcRect/>
                    <a:stretch>
                      <a:fillRect/>
                    </a:stretch>
                  </pic:blipFill>
                  <pic:spPr bwMode="auto">
                    <a:xfrm>
                      <a:off x="0" y="0"/>
                      <a:ext cx="3838575" cy="1270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w w:val="92"/>
              </w:rPr>
              <w:t>Flexible Generation</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204"/>
              <w:spacing w:after="0"/>
              <w:rPr>
                <w:sz w:val="20"/>
                <w:szCs w:val="20"/>
                <w:color w:val="auto"/>
              </w:rPr>
            </w:pPr>
            <w:r>
              <w:rPr>
                <w:rFonts w:ascii="Arial" w:cs="Arial" w:eastAsia="Arial" w:hAnsi="Arial"/>
                <w:sz w:val="18"/>
                <w:szCs w:val="18"/>
                <w:b w:val="1"/>
                <w:bCs w:val="1"/>
                <w:color w:val="auto"/>
                <w:w w:val="86"/>
              </w:rPr>
              <w:t>Renewables</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b w:val="1"/>
                <w:bCs w:val="1"/>
                <w:color w:val="auto"/>
              </w:rPr>
              <w:t>Total</w:t>
            </w:r>
          </w:p>
        </w:tc>
      </w:tr>
      <w:tr>
        <w:trPr>
          <w:trHeight w:val="268"/>
        </w:trPr>
        <w:tc>
          <w:tcPr>
            <w:tcW w:w="4200" w:type="dxa"/>
            <w:vAlign w:val="bottom"/>
          </w:tcPr>
          <w:p>
            <w:pPr>
              <w:jc w:val="right"/>
              <w:ind w:right="2602"/>
              <w:spacing w:after="0"/>
              <w:rPr>
                <w:sz w:val="20"/>
                <w:szCs w:val="20"/>
                <w:color w:val="auto"/>
              </w:rPr>
            </w:pPr>
            <w:r>
              <w:rPr>
                <w:rFonts w:ascii="Arial" w:cs="Arial" w:eastAsia="Arial" w:hAnsi="Arial"/>
                <w:sz w:val="18"/>
                <w:szCs w:val="18"/>
                <w:b w:val="1"/>
                <w:bCs w:val="1"/>
                <w:color w:val="auto"/>
                <w:w w:val="91"/>
              </w:rPr>
              <w:t>December 31, 2024</w:t>
            </w: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tcPr>
          <w:p>
            <w:pPr>
              <w:jc w:val="center"/>
              <w:ind w:right="244"/>
              <w:spacing w:after="0"/>
              <w:rPr>
                <w:sz w:val="20"/>
                <w:szCs w:val="20"/>
                <w:color w:val="auto"/>
              </w:rPr>
            </w:pPr>
            <w:r>
              <w:rPr>
                <w:rFonts w:ascii="Arial" w:cs="Arial" w:eastAsia="Arial" w:hAnsi="Arial"/>
                <w:sz w:val="18"/>
                <w:szCs w:val="18"/>
                <w:b w:val="1"/>
                <w:bCs w:val="1"/>
                <w:color w:val="auto"/>
                <w:w w:val="93"/>
              </w:rPr>
              <w:t>(In millions)</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307"/>
        </w:trPr>
        <w:tc>
          <w:tcPr>
            <w:tcW w:w="420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4B4B4"/>
                <w:w w:val="91"/>
              </w:rPr>
              <w:t>. . . . . . . . . . . . . . . . . . . . . . . . . . .</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3</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64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817</w:t>
            </w:r>
          </w:p>
        </w:tc>
        <w:tc>
          <w:tcPr>
            <w:tcW w:w="540" w:type="dxa"/>
            <w:vAlign w:val="bottom"/>
            <w:gridSpan w:val="2"/>
            <w:shd w:val="clear" w:color="auto" w:fill="E6E6E6"/>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820</w:t>
            </w:r>
          </w:p>
        </w:tc>
      </w:tr>
      <w:tr>
        <w:trPr>
          <w:trHeight w:val="290"/>
        </w:trPr>
        <w:tc>
          <w:tcPr>
            <w:tcW w:w="4200" w:type="dxa"/>
            <w:vAlign w:val="bottom"/>
            <w:tcBorders>
              <w:bottom w:val="single" w:sz="8" w:color="E6E6E6"/>
            </w:tcBorders>
          </w:tcPr>
          <w:p>
            <w:pPr>
              <w:jc w:val="right"/>
              <w:ind w:right="22"/>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 . . . . . .</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110</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43</w:t>
            </w:r>
          </w:p>
        </w:tc>
        <w:tc>
          <w:tcPr>
            <w:tcW w:w="6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153</w:t>
            </w:r>
          </w:p>
        </w:tc>
      </w:tr>
      <w:tr>
        <w:trPr>
          <w:trHeight w:val="280"/>
        </w:trPr>
        <w:tc>
          <w:tcPr>
            <w:tcW w:w="420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w w:val="94"/>
              </w:rPr>
              <w:t xml:space="preserve">Operating revenues </w:t>
            </w:r>
            <w:r>
              <w:rPr>
                <w:rFonts w:ascii="Arial" w:cs="Arial" w:eastAsia="Arial" w:hAnsi="Arial"/>
                <w:sz w:val="20"/>
                <w:szCs w:val="20"/>
                <w:color w:val="B4B4B4"/>
                <w:w w:val="94"/>
              </w:rPr>
              <w:t>. . . . . . . . . . . . . . . . . . . . . . .</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113</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64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860</w:t>
            </w:r>
          </w:p>
        </w:tc>
        <w:tc>
          <w:tcPr>
            <w:tcW w:w="540" w:type="dxa"/>
            <w:vAlign w:val="bottom"/>
            <w:gridSpan w:val="2"/>
            <w:shd w:val="clear" w:color="auto" w:fill="E6E6E6"/>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973</w:t>
            </w:r>
          </w:p>
        </w:tc>
      </w:tr>
      <w:tr>
        <w:trPr>
          <w:trHeight w:val="20"/>
        </w:trPr>
        <w:tc>
          <w:tcPr>
            <w:tcW w:w="42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4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65"/>
        </w:trPr>
        <w:tc>
          <w:tcPr>
            <w:tcW w:w="4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w w:val="92"/>
              </w:rPr>
              <w:t>Flexible Generation</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244"/>
              <w:spacing w:after="0"/>
              <w:rPr>
                <w:sz w:val="20"/>
                <w:szCs w:val="20"/>
                <w:color w:val="auto"/>
              </w:rPr>
            </w:pPr>
            <w:r>
              <w:rPr>
                <w:rFonts w:ascii="Arial" w:cs="Arial" w:eastAsia="Arial" w:hAnsi="Arial"/>
                <w:sz w:val="18"/>
                <w:szCs w:val="18"/>
                <w:b w:val="1"/>
                <w:bCs w:val="1"/>
                <w:color w:val="auto"/>
                <w:w w:val="86"/>
              </w:rPr>
              <w:t>Renewables</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b w:val="1"/>
                <w:bCs w:val="1"/>
                <w:color w:val="auto"/>
              </w:rPr>
              <w:t>Total</w:t>
            </w:r>
          </w:p>
        </w:tc>
      </w:tr>
      <w:tr>
        <w:trPr>
          <w:trHeight w:val="268"/>
        </w:trPr>
        <w:tc>
          <w:tcPr>
            <w:tcW w:w="4200" w:type="dxa"/>
            <w:vAlign w:val="bottom"/>
          </w:tcPr>
          <w:p>
            <w:pPr>
              <w:jc w:val="right"/>
              <w:ind w:right="2602"/>
              <w:spacing w:after="0"/>
              <w:rPr>
                <w:sz w:val="20"/>
                <w:szCs w:val="20"/>
                <w:color w:val="auto"/>
              </w:rPr>
            </w:pPr>
            <w:r>
              <w:rPr>
                <w:rFonts w:ascii="Arial" w:cs="Arial" w:eastAsia="Arial" w:hAnsi="Arial"/>
                <w:sz w:val="18"/>
                <w:szCs w:val="18"/>
                <w:b w:val="1"/>
                <w:bCs w:val="1"/>
                <w:color w:val="auto"/>
                <w:w w:val="91"/>
              </w:rPr>
              <w:t>December 31, 2023</w:t>
            </w: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tcPr>
          <w:p>
            <w:pPr>
              <w:jc w:val="center"/>
              <w:ind w:right="244"/>
              <w:spacing w:after="0"/>
              <w:rPr>
                <w:sz w:val="20"/>
                <w:szCs w:val="20"/>
                <w:color w:val="auto"/>
              </w:rPr>
            </w:pPr>
            <w:r>
              <w:rPr>
                <w:rFonts w:ascii="Arial" w:cs="Arial" w:eastAsia="Arial" w:hAnsi="Arial"/>
                <w:sz w:val="18"/>
                <w:szCs w:val="18"/>
                <w:b w:val="1"/>
                <w:bCs w:val="1"/>
                <w:color w:val="auto"/>
                <w:w w:val="93"/>
              </w:rPr>
              <w:t>(In millions)</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307"/>
        </w:trPr>
        <w:tc>
          <w:tcPr>
            <w:tcW w:w="420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4B4B4"/>
                <w:w w:val="91"/>
              </w:rPr>
              <w:t>. . . . . . . . . . . . . . . . . . . . . . . . . . .</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4</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64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760</w:t>
            </w:r>
          </w:p>
        </w:tc>
        <w:tc>
          <w:tcPr>
            <w:tcW w:w="540" w:type="dxa"/>
            <w:vAlign w:val="bottom"/>
            <w:gridSpan w:val="2"/>
            <w:shd w:val="clear" w:color="auto" w:fill="E6E6E6"/>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764</w:t>
            </w:r>
          </w:p>
        </w:tc>
      </w:tr>
      <w:tr>
        <w:trPr>
          <w:trHeight w:val="294"/>
        </w:trPr>
        <w:tc>
          <w:tcPr>
            <w:tcW w:w="4200" w:type="dxa"/>
            <w:vAlign w:val="bottom"/>
          </w:tcPr>
          <w:p>
            <w:pPr>
              <w:jc w:val="right"/>
              <w:ind w:right="22"/>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 . . . . . .</w:t>
            </w:r>
          </w:p>
        </w:tc>
        <w:tc>
          <w:tcPr>
            <w:tcW w:w="200" w:type="dxa"/>
            <w:vAlign w:val="bottom"/>
          </w:tcPr>
          <w:p>
            <w:pPr>
              <w:spacing w:after="0"/>
              <w:rPr>
                <w:sz w:val="24"/>
                <w:szCs w:val="24"/>
                <w:color w:val="auto"/>
              </w:rPr>
            </w:pPr>
          </w:p>
        </w:tc>
        <w:tc>
          <w:tcPr>
            <w:tcW w:w="1780" w:type="dxa"/>
            <w:vAlign w:val="bottom"/>
          </w:tcPr>
          <w:p>
            <w:pPr>
              <w:jc w:val="right"/>
              <w:ind w:right="2"/>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jc w:val="right"/>
              <w:ind w:right="4"/>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2"/>
              <w:spacing w:after="0"/>
              <w:rPr>
                <w:sz w:val="20"/>
                <w:szCs w:val="20"/>
                <w:color w:val="auto"/>
              </w:rPr>
            </w:pPr>
            <w:r>
              <w:rPr>
                <w:rFonts w:ascii="Arial" w:cs="Arial" w:eastAsia="Arial" w:hAnsi="Arial"/>
                <w:sz w:val="20"/>
                <w:szCs w:val="20"/>
                <w:color w:val="auto"/>
              </w:rPr>
              <w:t>269</w:t>
            </w:r>
          </w:p>
        </w:tc>
      </w:tr>
      <w:tr>
        <w:trPr>
          <w:trHeight w:val="296"/>
        </w:trPr>
        <w:tc>
          <w:tcPr>
            <w:tcW w:w="4200" w:type="dxa"/>
            <w:vAlign w:val="bottom"/>
            <w:tcBorders>
              <w:bottom w:val="single" w:sz="8" w:color="E6E6E6"/>
            </w:tcBorders>
            <w:shd w:val="clear" w:color="auto" w:fill="E6E6E6"/>
          </w:tcPr>
          <w:p>
            <w:pPr>
              <w:jc w:val="right"/>
              <w:ind w:right="22"/>
              <w:spacing w:after="0" w:line="297" w:lineRule="exact"/>
              <w:rPr>
                <w:sz w:val="20"/>
                <w:szCs w:val="20"/>
                <w:color w:val="auto"/>
              </w:rPr>
            </w:pPr>
            <w:r>
              <w:rPr>
                <w:rFonts w:ascii="Arial" w:cs="Arial" w:eastAsia="Arial" w:hAnsi="Arial"/>
                <w:sz w:val="20"/>
                <w:szCs w:val="20"/>
                <w:color w:val="auto"/>
                <w:w w:val="89"/>
              </w:rPr>
              <w:t xml:space="preserve">Other revenues </w:t>
            </w:r>
            <w:r>
              <w:rPr>
                <w:rFonts w:ascii="Arial" w:cs="Arial" w:eastAsia="Arial" w:hAnsi="Arial"/>
                <w:sz w:val="26"/>
                <w:szCs w:val="26"/>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w:t>
            </w:r>
          </w:p>
        </w:tc>
        <w:tc>
          <w:tcPr>
            <w:tcW w:w="200" w:type="dxa"/>
            <w:vAlign w:val="bottom"/>
            <w:tcBorders>
              <w:bottom w:val="single" w:sz="8" w:color="auto"/>
            </w:tcBorders>
            <w:shd w:val="clear" w:color="auto" w:fill="E6E6E6"/>
          </w:tcPr>
          <w:p>
            <w:pPr>
              <w:spacing w:after="0"/>
              <w:rPr>
                <w:sz w:val="24"/>
                <w:szCs w:val="24"/>
                <w:color w:val="auto"/>
              </w:rPr>
            </w:pPr>
          </w:p>
        </w:tc>
        <w:tc>
          <w:tcPr>
            <w:tcW w:w="178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21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64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21</w:t>
            </w:r>
          </w:p>
        </w:tc>
      </w:tr>
      <w:tr>
        <w:trPr>
          <w:trHeight w:val="260"/>
        </w:trPr>
        <w:tc>
          <w:tcPr>
            <w:tcW w:w="4200" w:type="dxa"/>
            <w:vAlign w:val="bottom"/>
          </w:tcPr>
          <w:p>
            <w:pPr>
              <w:jc w:val="right"/>
              <w:ind w:right="22"/>
              <w:spacing w:after="0"/>
              <w:rPr>
                <w:sz w:val="20"/>
                <w:szCs w:val="20"/>
                <w:color w:val="auto"/>
              </w:rPr>
            </w:pPr>
            <w:r>
              <w:rPr>
                <w:rFonts w:ascii="Arial" w:cs="Arial" w:eastAsia="Arial" w:hAnsi="Arial"/>
                <w:sz w:val="20"/>
                <w:szCs w:val="20"/>
                <w:color w:val="auto"/>
                <w:w w:val="94"/>
              </w:rPr>
              <w:t xml:space="preserve">Operating revenues </w:t>
            </w:r>
            <w:r>
              <w:rPr>
                <w:rFonts w:ascii="Arial" w:cs="Arial" w:eastAsia="Arial" w:hAnsi="Arial"/>
                <w:sz w:val="20"/>
                <w:szCs w:val="20"/>
                <w:color w:val="B4B4B4"/>
                <w:w w:val="94"/>
              </w:rPr>
              <w:t>.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2"/>
              <w:spacing w:after="0"/>
              <w:rPr>
                <w:sz w:val="20"/>
                <w:szCs w:val="20"/>
                <w:color w:val="auto"/>
              </w:rPr>
            </w:pPr>
            <w:r>
              <w:rPr>
                <w:rFonts w:ascii="Arial" w:cs="Arial" w:eastAsia="Arial" w:hAnsi="Arial"/>
                <w:sz w:val="20"/>
                <w:szCs w:val="20"/>
                <w:color w:val="auto"/>
              </w:rPr>
              <w:t>274</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4"/>
              <w:spacing w:after="0"/>
              <w:rPr>
                <w:sz w:val="20"/>
                <w:szCs w:val="20"/>
                <w:color w:val="auto"/>
              </w:rPr>
            </w:pPr>
            <w:r>
              <w:rPr>
                <w:rFonts w:ascii="Arial" w:cs="Arial" w:eastAsia="Arial" w:hAnsi="Arial"/>
                <w:sz w:val="20"/>
                <w:szCs w:val="20"/>
                <w:color w:val="auto"/>
              </w:rPr>
              <w:t>780</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2"/>
              <w:spacing w:after="0"/>
              <w:rPr>
                <w:sz w:val="20"/>
                <w:szCs w:val="20"/>
                <w:color w:val="auto"/>
              </w:rPr>
            </w:pPr>
            <w:r>
              <w:rPr>
                <w:rFonts w:ascii="Arial" w:cs="Arial" w:eastAsia="Arial" w:hAnsi="Arial"/>
                <w:sz w:val="20"/>
                <w:szCs w:val="20"/>
                <w:color w:val="auto"/>
              </w:rPr>
              <w:t>1,054</w:t>
            </w: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-1345565</wp:posOffset>
            </wp:positionV>
            <wp:extent cx="386397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2">
                      <a:extLst>
                        <a:ext uri="{28A0092B-C50C-407E-A947-70E740481C1C}"/>
                      </a:extLst>
                    </a:blip>
                    <a:srcRect/>
                    <a:stretch>
                      <a:fillRect/>
                    </a:stretch>
                  </pic:blipFill>
                  <pic:spPr bwMode="auto">
                    <a:xfrm>
                      <a:off x="0" y="0"/>
                      <a:ext cx="3863975" cy="50800"/>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-43815</wp:posOffset>
            </wp:positionV>
            <wp:extent cx="386397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3">
                      <a:extLst>
                        <a:ext uri="{28A0092B-C50C-407E-A947-70E740481C1C}"/>
                      </a:extLst>
                    </a:blip>
                    <a:srcRect/>
                    <a:stretch>
                      <a:fillRect/>
                    </a:stretch>
                  </pic:blipFill>
                  <pic:spPr bwMode="auto">
                    <a:xfrm>
                      <a:off x="0" y="0"/>
                      <a:ext cx="38639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26682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4">
                      <a:extLst>
                        <a:ext uri="{28A0092B-C50C-407E-A947-70E740481C1C}"/>
                      </a:extLst>
                    </a:blip>
                    <a:srcRect/>
                    <a:stretch>
                      <a:fillRect/>
                    </a:stretch>
                  </pic:blipFill>
                  <pic:spPr bwMode="auto">
                    <a:xfrm>
                      <a:off x="0" y="0"/>
                      <a:ext cx="1266825" cy="12700"/>
                    </a:xfrm>
                    <a:prstGeom prst="rect">
                      <a:avLst/>
                    </a:prstGeom>
                    <a:noFill/>
                  </pic:spPr>
                </pic:pic>
              </a:graphicData>
            </a:graphic>
          </wp:anchor>
        </w:drawing>
      </w:r>
    </w:p>
    <w:p>
      <w:pPr>
        <w:spacing w:after="0" w:line="182" w:lineRule="exact"/>
        <w:rPr>
          <w:sz w:val="20"/>
          <w:szCs w:val="20"/>
          <w:color w:val="auto"/>
        </w:rPr>
      </w:pPr>
    </w:p>
    <w:p>
      <w:pPr>
        <w:jc w:val="both"/>
        <w:ind w:left="80"/>
        <w:spacing w:after="0" w:line="236" w:lineRule="auto"/>
        <w:tabs>
          <w:tab w:leader="none" w:pos="298" w:val="left"/>
        </w:tabs>
        <w:numPr>
          <w:ilvl w:val="0"/>
          <w:numId w:val="74"/>
        </w:numPr>
        <w:rPr>
          <w:rFonts w:ascii="Arial" w:cs="Arial" w:eastAsia="Arial" w:hAnsi="Arial"/>
          <w:sz w:val="26"/>
          <w:szCs w:val="26"/>
          <w:color w:val="auto"/>
          <w:vertAlign w:val="superscript"/>
        </w:rPr>
      </w:pPr>
      <w:r>
        <w:rPr>
          <w:rFonts w:ascii="Arial" w:cs="Arial" w:eastAsia="Arial" w:hAnsi="Arial"/>
          <w:sz w:val="18"/>
          <w:szCs w:val="18"/>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880" w:h="15480" w:orient="portrait"/>
          <w:cols w:equalWidth="0" w:num="1">
            <w:col w:w="10260"/>
          </w:cols>
          <w:pgMar w:left="820" w:top="367" w:right="800" w:bottom="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43"/>
        </w:trPr>
        <w:tc>
          <w:tcPr>
            <w:tcW w:w="4200" w:type="dxa"/>
            <w:vAlign w:val="bottom"/>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Flexible Generation</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b w:val="1"/>
                <w:bCs w:val="1"/>
                <w:color w:val="auto"/>
                <w:w w:val="92"/>
              </w:rPr>
              <w:t>Renewables</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b w:val="1"/>
                <w:bCs w:val="1"/>
                <w:color w:val="auto"/>
              </w:rPr>
              <w:t>Thermal</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Total</w:t>
            </w:r>
          </w:p>
        </w:tc>
      </w:tr>
      <w:tr>
        <w:trPr>
          <w:trHeight w:val="268"/>
        </w:trPr>
        <w:tc>
          <w:tcPr>
            <w:tcW w:w="4200" w:type="dxa"/>
            <w:vAlign w:val="bottom"/>
          </w:tcPr>
          <w:p>
            <w:pPr>
              <w:jc w:val="right"/>
              <w:ind w:right="2603"/>
              <w:spacing w:after="0"/>
              <w:rPr>
                <w:sz w:val="20"/>
                <w:szCs w:val="20"/>
                <w:color w:val="auto"/>
              </w:rPr>
            </w:pPr>
            <w:r>
              <w:rPr>
                <w:rFonts w:ascii="Arial" w:cs="Arial" w:eastAsia="Arial" w:hAnsi="Arial"/>
                <w:sz w:val="18"/>
                <w:szCs w:val="18"/>
                <w:b w:val="1"/>
                <w:bCs w:val="1"/>
                <w:color w:val="auto"/>
                <w:w w:val="91"/>
              </w:rPr>
              <w:t>December 31, 2022</w:t>
            </w: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7"/>
        </w:trPr>
        <w:tc>
          <w:tcPr>
            <w:tcW w:w="4200" w:type="dxa"/>
            <w:vAlign w:val="bottom"/>
            <w:shd w:val="clear" w:color="auto" w:fill="E6E6E6"/>
          </w:tcPr>
          <w:p>
            <w:pPr>
              <w:jc w:val="right"/>
              <w:ind w:right="43"/>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4B4B4"/>
                <w:w w:val="91"/>
              </w:rPr>
              <w:t>. . . . . . . . . . . . . . . . . . . . . . . . . . .</w:t>
            </w:r>
          </w:p>
        </w:tc>
        <w:tc>
          <w:tcPr>
            <w:tcW w:w="740" w:type="dxa"/>
            <w:vAlign w:val="bottom"/>
            <w:shd w:val="clear" w:color="auto" w:fill="E6E6E6"/>
          </w:tcPr>
          <w:p>
            <w:pPr>
              <w:jc w:val="right"/>
              <w:ind w:right="503"/>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w:t>
            </w:r>
          </w:p>
        </w:tc>
        <w:tc>
          <w:tcPr>
            <w:tcW w:w="34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816</w:t>
            </w:r>
          </w:p>
        </w:tc>
      </w:tr>
      <w:tr>
        <w:trPr>
          <w:trHeight w:val="290"/>
        </w:trPr>
        <w:tc>
          <w:tcPr>
            <w:tcW w:w="4200" w:type="dxa"/>
            <w:vAlign w:val="bottom"/>
            <w:tcBorders>
              <w:bottom w:val="single" w:sz="8" w:color="E6E6E6"/>
            </w:tcBorders>
          </w:tcPr>
          <w:p>
            <w:pPr>
              <w:jc w:val="right"/>
              <w:ind w:right="43"/>
              <w:spacing w:after="0"/>
              <w:rPr>
                <w:sz w:val="20"/>
                <w:szCs w:val="20"/>
                <w:color w:val="auto"/>
              </w:rPr>
            </w:pPr>
            <w:r>
              <w:rPr>
                <w:rFonts w:ascii="Arial" w:cs="Arial" w:eastAsia="Arial" w:hAnsi="Arial"/>
                <w:sz w:val="20"/>
                <w:szCs w:val="20"/>
                <w:color w:val="auto"/>
                <w:w w:val="90"/>
              </w:rPr>
              <w:t xml:space="preserve">Capacity revenue </w:t>
            </w:r>
            <w:r>
              <w:rPr>
                <w:rFonts w:ascii="Arial" w:cs="Arial" w:eastAsia="Arial" w:hAnsi="Arial"/>
                <w:sz w:val="20"/>
                <w:szCs w:val="20"/>
                <w:color w:val="B4B4B4"/>
                <w:w w:val="90"/>
              </w:rPr>
              <w:t>. . . . . . . . . . . . . . . . . . . . . . . . . .</w:t>
            </w: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435</w:t>
            </w:r>
          </w:p>
        </w:tc>
      </w:tr>
      <w:tr>
        <w:trPr>
          <w:trHeight w:val="280"/>
        </w:trPr>
        <w:tc>
          <w:tcPr>
            <w:tcW w:w="4200" w:type="dxa"/>
            <w:vAlign w:val="bottom"/>
            <w:shd w:val="clear" w:color="auto" w:fill="E6E6E6"/>
          </w:tcPr>
          <w:p>
            <w:pPr>
              <w:jc w:val="right"/>
              <w:ind w:right="43"/>
              <w:spacing w:after="0"/>
              <w:rPr>
                <w:sz w:val="20"/>
                <w:szCs w:val="20"/>
                <w:color w:val="auto"/>
              </w:rPr>
            </w:pPr>
            <w:r>
              <w:rPr>
                <w:rFonts w:ascii="Arial" w:cs="Arial" w:eastAsia="Arial" w:hAnsi="Arial"/>
                <w:sz w:val="20"/>
                <w:szCs w:val="20"/>
                <w:color w:val="auto"/>
                <w:w w:val="93"/>
              </w:rPr>
              <w:t xml:space="preserve">Operating revenues </w:t>
            </w:r>
            <w:r>
              <w:rPr>
                <w:rFonts w:ascii="Arial" w:cs="Arial" w:eastAsia="Arial" w:hAnsi="Arial"/>
                <w:sz w:val="20"/>
                <w:szCs w:val="20"/>
                <w:color w:val="B4B4B4"/>
                <w:w w:val="93"/>
              </w:rPr>
              <w:t>. . . . . . . . . . . . . . . . . . . . . . .</w:t>
            </w:r>
          </w:p>
        </w:tc>
        <w:tc>
          <w:tcPr>
            <w:tcW w:w="740" w:type="dxa"/>
            <w:vAlign w:val="bottom"/>
            <w:shd w:val="clear" w:color="auto" w:fill="E6E6E6"/>
          </w:tcPr>
          <w:p>
            <w:pPr>
              <w:jc w:val="right"/>
              <w:ind w:right="503"/>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441</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w:t>
            </w:r>
          </w:p>
        </w:tc>
        <w:tc>
          <w:tcPr>
            <w:tcW w:w="34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ind w:right="3"/>
              <w:spacing w:after="0"/>
              <w:rPr>
                <w:sz w:val="20"/>
                <w:szCs w:val="20"/>
                <w:color w:val="auto"/>
              </w:rPr>
            </w:pPr>
            <w:r>
              <w:rPr>
                <w:rFonts w:ascii="Arial" w:cs="Arial" w:eastAsia="Arial" w:hAnsi="Arial"/>
                <w:sz w:val="20"/>
                <w:szCs w:val="20"/>
                <w:color w:val="auto"/>
              </w:rPr>
              <w:t>1,251</w:t>
            </w:r>
          </w:p>
        </w:tc>
      </w:tr>
      <w:tr>
        <w:trPr>
          <w:trHeight w:val="20"/>
        </w:trPr>
        <w:tc>
          <w:tcPr>
            <w:tcW w:w="420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3181350</wp:posOffset>
            </wp:positionH>
            <wp:positionV relativeFrom="page">
              <wp:posOffset>266700</wp:posOffset>
            </wp:positionV>
            <wp:extent cx="3848100"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5">
                      <a:extLst>
                        <a:ext uri="{28A0092B-C50C-407E-A947-70E740481C1C}"/>
                      </a:extLst>
                    </a:blip>
                    <a:srcRect/>
                    <a:stretch>
                      <a:fillRect/>
                    </a:stretch>
                  </pic:blipFill>
                  <pic:spPr bwMode="auto">
                    <a:xfrm>
                      <a:off x="0" y="0"/>
                      <a:ext cx="3848100" cy="12700"/>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-43815</wp:posOffset>
            </wp:positionV>
            <wp:extent cx="387350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6">
                      <a:extLst>
                        <a:ext uri="{28A0092B-C50C-407E-A947-70E740481C1C}"/>
                      </a:extLst>
                    </a:blip>
                    <a:srcRect/>
                    <a:stretch>
                      <a:fillRect/>
                    </a:stretch>
                  </pic:blipFill>
                  <pic:spPr bwMode="auto">
                    <a:xfrm>
                      <a:off x="0" y="0"/>
                      <a:ext cx="3873500" cy="50800"/>
                    </a:xfrm>
                    <a:prstGeom prst="rect">
                      <a:avLst/>
                    </a:prstGeom>
                    <a:noFill/>
                  </pic:spPr>
                </pic:pic>
              </a:graphicData>
            </a:graphic>
          </wp:anchor>
        </w:drawing>
      </w:r>
    </w:p>
    <w:p>
      <w:pPr>
        <w:spacing w:after="0" w:line="16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Minimum future rent payments the Company expects to receive for the remaining periods related to various facility operating leases as of December 31, 2024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6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96"/>
              </w:rPr>
              <w:t>(In millions)</w:t>
            </w:r>
          </w:p>
        </w:tc>
      </w:tr>
      <w:tr>
        <w:trPr>
          <w:trHeight w:val="290"/>
        </w:trPr>
        <w:tc>
          <w:tcPr>
            <w:tcW w:w="876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2025</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168</w:t>
            </w:r>
          </w:p>
        </w:tc>
      </w:tr>
      <w:tr>
        <w:trPr>
          <w:trHeight w:val="293"/>
        </w:trPr>
        <w:tc>
          <w:tcPr>
            <w:tcW w:w="8760" w:type="dxa"/>
            <w:vAlign w:val="bottom"/>
          </w:tcPr>
          <w:p>
            <w:pPr>
              <w:ind w:left="40"/>
              <w:spacing w:after="0"/>
              <w:rPr>
                <w:sz w:val="20"/>
                <w:szCs w:val="20"/>
                <w:color w:val="auto"/>
              </w:rPr>
            </w:pPr>
            <w:r>
              <w:rPr>
                <w:rFonts w:ascii="Arial" w:cs="Arial" w:eastAsia="Arial" w:hAnsi="Arial"/>
                <w:sz w:val="20"/>
                <w:szCs w:val="20"/>
                <w:color w:val="auto"/>
              </w:rPr>
              <w:t>2026</w:t>
            </w:r>
          </w:p>
        </w:tc>
        <w:tc>
          <w:tcPr>
            <w:tcW w:w="22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170</w:t>
            </w:r>
          </w:p>
        </w:tc>
      </w:tr>
      <w:tr>
        <w:trPr>
          <w:trHeight w:val="307"/>
        </w:trPr>
        <w:tc>
          <w:tcPr>
            <w:tcW w:w="876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2027</w:t>
            </w:r>
          </w:p>
        </w:tc>
        <w:tc>
          <w:tcPr>
            <w:tcW w:w="220" w:type="dxa"/>
            <w:vAlign w:val="bottom"/>
            <w:shd w:val="clear" w:color="auto" w:fill="E6E6E6"/>
          </w:tcPr>
          <w:p>
            <w:pPr>
              <w:spacing w:after="0"/>
              <w:rPr>
                <w:sz w:val="24"/>
                <w:szCs w:val="24"/>
                <w:color w:val="auto"/>
              </w:rPr>
            </w:pPr>
          </w:p>
        </w:tc>
        <w:tc>
          <w:tcPr>
            <w:tcW w:w="128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171</w:t>
            </w:r>
          </w:p>
        </w:tc>
      </w:tr>
      <w:tr>
        <w:trPr>
          <w:trHeight w:val="293"/>
        </w:trPr>
        <w:tc>
          <w:tcPr>
            <w:tcW w:w="8760" w:type="dxa"/>
            <w:vAlign w:val="bottom"/>
          </w:tcPr>
          <w:p>
            <w:pPr>
              <w:ind w:left="40"/>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172</w:t>
            </w:r>
          </w:p>
        </w:tc>
      </w:tr>
      <w:tr>
        <w:trPr>
          <w:trHeight w:val="307"/>
        </w:trPr>
        <w:tc>
          <w:tcPr>
            <w:tcW w:w="876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2029</w:t>
            </w:r>
          </w:p>
        </w:tc>
        <w:tc>
          <w:tcPr>
            <w:tcW w:w="220" w:type="dxa"/>
            <w:vAlign w:val="bottom"/>
            <w:shd w:val="clear" w:color="auto" w:fill="E6E6E6"/>
          </w:tcPr>
          <w:p>
            <w:pPr>
              <w:spacing w:after="0"/>
              <w:rPr>
                <w:sz w:val="24"/>
                <w:szCs w:val="24"/>
                <w:color w:val="auto"/>
              </w:rPr>
            </w:pPr>
          </w:p>
        </w:tc>
        <w:tc>
          <w:tcPr>
            <w:tcW w:w="128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173</w:t>
            </w:r>
          </w:p>
        </w:tc>
      </w:tr>
      <w:tr>
        <w:trPr>
          <w:trHeight w:val="290"/>
        </w:trPr>
        <w:tc>
          <w:tcPr>
            <w:tcW w:w="87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1,700</w:t>
            </w:r>
          </w:p>
        </w:tc>
      </w:tr>
      <w:tr>
        <w:trPr>
          <w:trHeight w:val="285"/>
        </w:trPr>
        <w:tc>
          <w:tcPr>
            <w:tcW w:w="876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20"/>
                <w:szCs w:val="20"/>
                <w:b w:val="1"/>
                <w:bCs w:val="1"/>
                <w:color w:val="auto"/>
              </w:rPr>
              <w:t>Total lease payments</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2,554</w:t>
            </w:r>
          </w:p>
        </w:tc>
      </w:tr>
      <w:tr>
        <w:trPr>
          <w:trHeight w:val="20"/>
        </w:trPr>
        <w:tc>
          <w:tcPr>
            <w:tcW w:w="876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28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-43815</wp:posOffset>
            </wp:positionV>
            <wp:extent cx="96837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7">
                      <a:extLst>
                        <a:ext uri="{28A0092B-C50C-407E-A947-70E740481C1C}"/>
                      </a:extLst>
                    </a:blip>
                    <a:srcRect/>
                    <a:stretch>
                      <a:fillRect/>
                    </a:stretch>
                  </pic:blipFill>
                  <pic:spPr bwMode="auto">
                    <a:xfrm>
                      <a:off x="0" y="0"/>
                      <a:ext cx="968375" cy="5080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Property, plant and equipment, net related to the Company’s operating leases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60" w:type="dxa"/>
            <w:vAlign w:val="bottom"/>
            <w:tcBorders>
              <w:bottom w:val="single" w:sz="8" w:color="E6E6E6"/>
            </w:tcBorders>
          </w:tcPr>
          <w:p>
            <w:pPr>
              <w:ind w:left="40"/>
              <w:spacing w:after="0"/>
              <w:rPr>
                <w:sz w:val="20"/>
                <w:szCs w:val="20"/>
                <w:color w:val="auto"/>
              </w:rPr>
            </w:pPr>
            <w:r>
              <w:rPr>
                <w:rFonts w:ascii="Arial" w:cs="Arial" w:eastAsia="Arial" w:hAnsi="Arial"/>
                <w:sz w:val="18"/>
                <w:szCs w:val="18"/>
                <w:b w:val="1"/>
                <w:bCs w:val="1"/>
                <w:color w:val="auto"/>
              </w:rPr>
              <w:t>(In millions)</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December 31, 2024</w:t>
            </w:r>
          </w:p>
        </w:tc>
        <w:tc>
          <w:tcPr>
            <w:tcW w:w="60" w:type="dxa"/>
            <w:vAlign w:val="bottom"/>
            <w:tcBorders>
              <w:bottom w:val="single" w:sz="8" w:color="E6E6E6"/>
            </w:tcBorders>
          </w:tcPr>
          <w:p>
            <w:pPr>
              <w:spacing w:after="0"/>
              <w:rPr>
                <w:sz w:val="21"/>
                <w:szCs w:val="21"/>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December 31, 2023</w:t>
            </w:r>
          </w:p>
        </w:tc>
      </w:tr>
      <w:tr>
        <w:trPr>
          <w:trHeight w:val="290"/>
        </w:trPr>
        <w:tc>
          <w:tcPr>
            <w:tcW w:w="686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600" w:type="dxa"/>
            <w:vAlign w:val="bottom"/>
            <w:shd w:val="clear" w:color="auto" w:fill="E6E6E6"/>
          </w:tcPr>
          <w:p>
            <w:pPr>
              <w:jc w:val="right"/>
              <w:ind w:right="343"/>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6,284</w:t>
            </w:r>
          </w:p>
        </w:tc>
        <w:tc>
          <w:tcPr>
            <w:tcW w:w="680" w:type="dxa"/>
            <w:vAlign w:val="bottom"/>
            <w:gridSpan w:val="2"/>
            <w:shd w:val="clear" w:color="auto" w:fill="E6E6E6"/>
          </w:tcPr>
          <w:p>
            <w:pPr>
              <w:jc w:val="right"/>
              <w:ind w:right="37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5,720</w:t>
            </w:r>
          </w:p>
        </w:tc>
      </w:tr>
      <w:tr>
        <w:trPr>
          <w:trHeight w:val="290"/>
        </w:trPr>
        <w:tc>
          <w:tcPr>
            <w:tcW w:w="68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Accumulated depreciation</w:t>
            </w: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(2,276)</w:t>
            </w:r>
          </w:p>
        </w:tc>
        <w:tc>
          <w:tcPr>
            <w:tcW w:w="60" w:type="dxa"/>
            <w:vAlign w:val="bottom"/>
            <w:tcBorders>
              <w:bottom w:val="single" w:sz="8" w:color="E6E6E6"/>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(1,991)</w:t>
            </w:r>
          </w:p>
        </w:tc>
      </w:tr>
      <w:tr>
        <w:trPr>
          <w:trHeight w:val="280"/>
        </w:trPr>
        <w:tc>
          <w:tcPr>
            <w:tcW w:w="6860" w:type="dxa"/>
            <w:vAlign w:val="bottom"/>
            <w:shd w:val="clear" w:color="auto" w:fill="E6E6E6"/>
          </w:tcPr>
          <w:p>
            <w:pPr>
              <w:ind w:left="140"/>
              <w:spacing w:after="0"/>
              <w:rPr>
                <w:sz w:val="20"/>
                <w:szCs w:val="20"/>
                <w:color w:val="auto"/>
              </w:rPr>
            </w:pPr>
            <w:r>
              <w:rPr>
                <w:rFonts w:ascii="Arial" w:cs="Arial" w:eastAsia="Arial" w:hAnsi="Arial"/>
                <w:sz w:val="20"/>
                <w:szCs w:val="20"/>
                <w:color w:val="auto"/>
                <w:w w:val="91"/>
              </w:rPr>
              <w:t xml:space="preserve">Net property, plant and equipment </w:t>
            </w:r>
            <w:r>
              <w:rPr>
                <w:rFonts w:ascii="Arial" w:cs="Arial" w:eastAsia="Arial" w:hAnsi="Arial"/>
                <w:sz w:val="20"/>
                <w:szCs w:val="20"/>
                <w:color w:val="B4B4B4"/>
                <w:w w:val="91"/>
              </w:rPr>
              <w:t>. . . . . . . . . . . . . . . . . . . . . . . . . . . . . . . . . . . . . . .</w:t>
            </w:r>
          </w:p>
        </w:tc>
        <w:tc>
          <w:tcPr>
            <w:tcW w:w="600" w:type="dxa"/>
            <w:vAlign w:val="bottom"/>
            <w:shd w:val="clear" w:color="auto" w:fill="E6E6E6"/>
          </w:tcPr>
          <w:p>
            <w:pPr>
              <w:jc w:val="right"/>
              <w:ind w:right="343"/>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4,008</w:t>
            </w:r>
          </w:p>
        </w:tc>
        <w:tc>
          <w:tcPr>
            <w:tcW w:w="680" w:type="dxa"/>
            <w:vAlign w:val="bottom"/>
            <w:gridSpan w:val="2"/>
            <w:shd w:val="clear" w:color="auto" w:fill="E6E6E6"/>
          </w:tcPr>
          <w:p>
            <w:pPr>
              <w:jc w:val="right"/>
              <w:ind w:right="37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3,729</w:t>
            </w:r>
          </w:p>
        </w:tc>
      </w:tr>
      <w:tr>
        <w:trPr>
          <w:trHeight w:val="20"/>
        </w:trPr>
        <w:tc>
          <w:tcPr>
            <w:tcW w:w="6860" w:type="dxa"/>
            <w:vAlign w:val="bottom"/>
            <w:tcBorders>
              <w:top w:val="single" w:sz="8" w:color="E6E6E6"/>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-43815</wp:posOffset>
            </wp:positionV>
            <wp:extent cx="2178050"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8">
                      <a:extLst>
                        <a:ext uri="{28A0092B-C50C-407E-A947-70E740481C1C}"/>
                      </a:extLst>
                    </a:blip>
                    <a:srcRect/>
                    <a:stretch>
                      <a:fillRect/>
                    </a:stretch>
                  </pic:blipFill>
                  <pic:spPr bwMode="auto">
                    <a:xfrm>
                      <a:off x="0" y="0"/>
                      <a:ext cx="2178050" cy="50800"/>
                    </a:xfrm>
                    <a:prstGeom prst="rect">
                      <a:avLst/>
                    </a:prstGeom>
                    <a:noFill/>
                  </pic:spPr>
                </pic:pic>
              </a:graphicData>
            </a:graphic>
          </wp:anchor>
        </w:drawing>
      </w:r>
    </w:p>
    <w:p>
      <w:pPr>
        <w:sectPr>
          <w:pgSz w:w="11880" w:h="15480" w:orient="portrait"/>
          <w:cols w:equalWidth="0" w:num="1">
            <w:col w:w="10260"/>
          </w:cols>
          <w:pgMar w:left="820" w:top="46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880" w:h="15480" w:orient="portrait"/>
          <w:cols w:equalWidth="0" w:num="1">
            <w:col w:w="10260"/>
          </w:cols>
          <w:pgMar w:left="820" w:top="461" w:right="800"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65"/>
        </w:trPr>
        <w:tc>
          <w:tcPr>
            <w:tcW w:w="6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3"/>
              </w:rPr>
              <w:t>Schedule I</w:t>
            </w:r>
          </w:p>
        </w:tc>
        <w:tc>
          <w:tcPr>
            <w:tcW w:w="0" w:type="dxa"/>
            <w:vAlign w:val="bottom"/>
          </w:tcPr>
          <w:p>
            <w:pPr>
              <w:spacing w:after="0"/>
              <w:rPr>
                <w:sz w:val="1"/>
                <w:szCs w:val="1"/>
                <w:color w:val="auto"/>
              </w:rPr>
            </w:pPr>
          </w:p>
        </w:tc>
      </w:tr>
      <w:tr>
        <w:trPr>
          <w:trHeight w:val="420"/>
        </w:trPr>
        <w:tc>
          <w:tcPr>
            <w:tcW w:w="65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Clearway Energy, Inc. (Parent)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00" w:type="dxa"/>
            <w:vAlign w:val="bottom"/>
            <w:gridSpan w:val="4"/>
          </w:tcPr>
          <w:p>
            <w:pPr>
              <w:jc w:val="center"/>
              <w:ind w:left="2441"/>
              <w:spacing w:after="0"/>
              <w:rPr>
                <w:sz w:val="20"/>
                <w:szCs w:val="20"/>
                <w:color w:val="auto"/>
              </w:rPr>
            </w:pPr>
            <w:r>
              <w:rPr>
                <w:rFonts w:ascii="Arial" w:cs="Arial" w:eastAsia="Arial" w:hAnsi="Arial"/>
                <w:sz w:val="20"/>
                <w:szCs w:val="20"/>
                <w:b w:val="1"/>
                <w:bCs w:val="1"/>
                <w:color w:val="auto"/>
                <w:w w:val="90"/>
              </w:rPr>
              <w:t>Condensed Financial Information of Registrant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560" w:type="dxa"/>
            <w:vAlign w:val="bottom"/>
            <w:gridSpan w:val="2"/>
          </w:tcPr>
          <w:p>
            <w:pPr>
              <w:jc w:val="center"/>
              <w:ind w:left="3581"/>
              <w:spacing w:after="0"/>
              <w:rPr>
                <w:sz w:val="20"/>
                <w:szCs w:val="20"/>
                <w:color w:val="auto"/>
              </w:rPr>
            </w:pPr>
            <w:r>
              <w:rPr>
                <w:rFonts w:ascii="Arial" w:cs="Arial" w:eastAsia="Arial" w:hAnsi="Arial"/>
                <w:sz w:val="20"/>
                <w:szCs w:val="20"/>
                <w:b w:val="1"/>
                <w:bCs w:val="1"/>
                <w:color w:val="auto"/>
                <w:w w:val="88"/>
              </w:rPr>
              <w:t>Condensed Statements of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520" w:type="dxa"/>
            <w:vAlign w:val="bottom"/>
            <w:tcBorders>
              <w:bottom w:val="single" w:sz="8" w:color="E6E6E6"/>
            </w:tcBorders>
          </w:tcPr>
          <w:p>
            <w:pPr>
              <w:jc w:val="right"/>
              <w:ind w:right="5541"/>
              <w:spacing w:after="0"/>
              <w:rPr>
                <w:sz w:val="20"/>
                <w:szCs w:val="20"/>
                <w:color w:val="auto"/>
              </w:rPr>
            </w:pPr>
            <w:r>
              <w:rPr>
                <w:rFonts w:ascii="Arial" w:cs="Arial" w:eastAsia="Arial" w:hAnsi="Arial"/>
                <w:sz w:val="16"/>
                <w:szCs w:val="16"/>
                <w:b w:val="1"/>
                <w:bCs w:val="1"/>
                <w:color w:val="auto"/>
                <w:w w:val="95"/>
              </w:rPr>
              <w:t>(In millions)</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0"/>
        </w:trPr>
        <w:tc>
          <w:tcPr>
            <w:tcW w:w="6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Total operating costs and expenses </w:t>
            </w:r>
            <w:r>
              <w:rPr>
                <w:rFonts w:ascii="Arial" w:cs="Arial" w:eastAsia="Arial" w:hAnsi="Arial"/>
                <w:sz w:val="20"/>
                <w:szCs w:val="20"/>
                <w:color w:val="B4B4B4"/>
                <w:w w:val="92"/>
              </w:rPr>
              <w:t>. . . . . . . . . . . . . . . . . . . . . . . . . . . . . . . . . .</w:t>
            </w:r>
          </w:p>
        </w:tc>
        <w:tc>
          <w:tcPr>
            <w:tcW w:w="4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40"/>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0"/>
        </w:trPr>
        <w:tc>
          <w:tcPr>
            <w:tcW w:w="65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Equity in (losses) earnings of consolidated subsidiaries  </w:t>
            </w:r>
            <w:r>
              <w:rPr>
                <w:rFonts w:ascii="Arial" w:cs="Arial" w:eastAsia="Arial" w:hAnsi="Arial"/>
                <w:sz w:val="20"/>
                <w:szCs w:val="20"/>
                <w:color w:val="B4B4B4"/>
                <w:w w:val="93"/>
              </w:rPr>
              <w:t>. . . . . . . . . . . . . . . . . .</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10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1,282</w:t>
            </w:r>
          </w:p>
        </w:tc>
        <w:tc>
          <w:tcPr>
            <w:tcW w:w="0" w:type="dxa"/>
            <w:vAlign w:val="bottom"/>
          </w:tcPr>
          <w:p>
            <w:pPr>
              <w:spacing w:after="0"/>
              <w:rPr>
                <w:sz w:val="1"/>
                <w:szCs w:val="1"/>
                <w:color w:val="auto"/>
              </w:rPr>
            </w:pPr>
          </w:p>
        </w:tc>
      </w:tr>
      <w:tr>
        <w:trPr>
          <w:trHeight w:val="280"/>
        </w:trPr>
        <w:tc>
          <w:tcPr>
            <w:tcW w:w="6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Total other (expense) income, net </w:t>
            </w:r>
            <w:r>
              <w:rPr>
                <w:rFonts w:ascii="Arial" w:cs="Arial" w:eastAsia="Arial" w:hAnsi="Arial"/>
                <w:sz w:val="20"/>
                <w:szCs w:val="20"/>
                <w:color w:val="B4B4B4"/>
                <w:w w:val="93"/>
              </w:rPr>
              <w:t>. . . . . . . . . . . . . . . . . . . . . . . . . . . . . . . . . . .</w:t>
            </w:r>
          </w:p>
        </w:tc>
        <w:tc>
          <w:tcPr>
            <w:tcW w:w="4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w:t>
            </w:r>
          </w:p>
        </w:tc>
        <w:tc>
          <w:tcPr>
            <w:tcW w:w="10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1,282</w:t>
            </w:r>
          </w:p>
        </w:tc>
        <w:tc>
          <w:tcPr>
            <w:tcW w:w="0" w:type="dxa"/>
            <w:vAlign w:val="bottom"/>
          </w:tcPr>
          <w:p>
            <w:pPr>
              <w:spacing w:after="0"/>
              <w:rPr>
                <w:sz w:val="1"/>
                <w:szCs w:val="1"/>
                <w:color w:val="auto"/>
              </w:rPr>
            </w:pPr>
          </w:p>
        </w:tc>
      </w:tr>
      <w:tr>
        <w:trPr>
          <w:trHeight w:val="283"/>
        </w:trPr>
        <w:tc>
          <w:tcPr>
            <w:tcW w:w="65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0"/>
              </w:rPr>
              <w:t xml:space="preserve">(Loss) Income Before Income Taxes </w:t>
            </w:r>
            <w:r>
              <w:rPr>
                <w:rFonts w:ascii="Arial" w:cs="Arial" w:eastAsia="Arial" w:hAnsi="Arial"/>
                <w:sz w:val="20"/>
                <w:szCs w:val="20"/>
                <w:b w:val="1"/>
                <w:bCs w:val="1"/>
                <w:color w:val="B4B4B4"/>
                <w:w w:val="90"/>
              </w:rPr>
              <w:t>. . . . . . . . . . . . . . . . . . . . . . . . . . . . . . . . .</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1,280</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Income tax expense  </w:t>
            </w:r>
            <w:r>
              <w:rPr>
                <w:rFonts w:ascii="Arial" w:cs="Arial" w:eastAsia="Arial" w:hAnsi="Arial"/>
                <w:sz w:val="20"/>
                <w:szCs w:val="20"/>
                <w:color w:val="B4B4B4"/>
                <w:w w:val="92"/>
              </w:rPr>
              <w:t>. . . . . . . . . . . . . . . . . . . . . . . . . . . . . . . . . . . . . . . . . . . . . .</w:t>
            </w:r>
          </w:p>
        </w:tc>
        <w:tc>
          <w:tcPr>
            <w:tcW w:w="4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w:t>
            </w:r>
          </w:p>
        </w:tc>
        <w:tc>
          <w:tcPr>
            <w:tcW w:w="10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83"/>
        </w:trPr>
        <w:tc>
          <w:tcPr>
            <w:tcW w:w="65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1"/>
              </w:rPr>
              <w:t xml:space="preserve">Net (Loss) Income </w:t>
            </w:r>
            <w:r>
              <w:rPr>
                <w:rFonts w:ascii="Arial" w:cs="Arial" w:eastAsia="Arial" w:hAnsi="Arial"/>
                <w:sz w:val="20"/>
                <w:szCs w:val="20"/>
                <w:b w:val="1"/>
                <w:bCs w:val="1"/>
                <w:color w:val="B4B4B4"/>
                <w:w w:val="91"/>
              </w:rPr>
              <w:t>. . . . . . . . . . . . . . . . . . . . . . . . . . . . . . . . . . . . . . . . . . . . . . . .</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1,060</w:t>
            </w:r>
          </w:p>
        </w:tc>
        <w:tc>
          <w:tcPr>
            <w:tcW w:w="0" w:type="dxa"/>
            <w:vAlign w:val="bottom"/>
          </w:tcPr>
          <w:p>
            <w:pPr>
              <w:spacing w:after="0"/>
              <w:rPr>
                <w:sz w:val="1"/>
                <w:szCs w:val="1"/>
                <w:color w:val="auto"/>
              </w:rPr>
            </w:pPr>
          </w:p>
        </w:tc>
      </w:tr>
      <w:tr>
        <w:trPr>
          <w:trHeight w:val="228"/>
        </w:trPr>
        <w:tc>
          <w:tcPr>
            <w:tcW w:w="6560" w:type="dxa"/>
            <w:vAlign w:val="bottom"/>
            <w:gridSpan w:val="2"/>
            <w:shd w:val="clear" w:color="auto" w:fill="E6E6E6"/>
          </w:tcPr>
          <w:p>
            <w:pPr>
              <w:ind w:left="180"/>
              <w:spacing w:after="0" w:line="229" w:lineRule="exact"/>
              <w:rPr>
                <w:sz w:val="20"/>
                <w:szCs w:val="20"/>
                <w:color w:val="auto"/>
              </w:rPr>
            </w:pPr>
            <w:r>
              <w:rPr>
                <w:rFonts w:ascii="Arial" w:cs="Arial" w:eastAsia="Arial" w:hAnsi="Arial"/>
                <w:sz w:val="20"/>
                <w:szCs w:val="20"/>
                <w:color w:val="auto"/>
              </w:rPr>
              <w:t>Less: Net (loss) income attributable to noncontrolling interests and</w:t>
            </w:r>
          </w:p>
        </w:tc>
        <w:tc>
          <w:tcPr>
            <w:tcW w:w="240" w:type="dxa"/>
            <w:vAlign w:val="bottom"/>
            <w:shd w:val="clear" w:color="auto" w:fill="E6E6E6"/>
          </w:tcPr>
          <w:p>
            <w:pPr>
              <w:spacing w:after="0"/>
              <w:rPr>
                <w:sz w:val="19"/>
                <w:szCs w:val="19"/>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(151)</w:t>
            </w:r>
          </w:p>
        </w:tc>
        <w:tc>
          <w:tcPr>
            <w:tcW w:w="10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(93)</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60" w:type="dxa"/>
            <w:vAlign w:val="bottom"/>
            <w:vMerge w:val="restart"/>
            <w:shd w:val="clear" w:color="auto" w:fill="E6E6E6"/>
          </w:tcPr>
          <w:p>
            <w:pPr>
              <w:jc w:val="right"/>
              <w:ind w:right="2"/>
              <w:spacing w:after="0"/>
              <w:rPr>
                <w:sz w:val="20"/>
                <w:szCs w:val="20"/>
                <w:color w:val="auto"/>
              </w:rPr>
            </w:pPr>
            <w:r>
              <w:rPr>
                <w:rFonts w:ascii="Arial" w:cs="Arial" w:eastAsia="Arial" w:hAnsi="Arial"/>
                <w:sz w:val="20"/>
                <w:szCs w:val="20"/>
                <w:color w:val="auto"/>
              </w:rPr>
              <w:t>478</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5"/>
              </w:rPr>
              <w:t xml:space="preserve">redeemable noncontrolling interests </w:t>
            </w:r>
            <w:r>
              <w:rPr>
                <w:rFonts w:ascii="Arial" w:cs="Arial" w:eastAsia="Arial" w:hAnsi="Arial"/>
                <w:sz w:val="20"/>
                <w:szCs w:val="20"/>
                <w:color w:val="B4B4B4"/>
                <w:w w:val="95"/>
              </w:rPr>
              <w:t>. . . . . . . . . . . . . . . . . . . . . . . . . . . . . . . .</w:t>
            </w:r>
          </w:p>
        </w:tc>
        <w:tc>
          <w:tcPr>
            <w:tcW w:w="40" w:type="dxa"/>
            <w:vAlign w:val="bottom"/>
            <w:tcBorders>
              <w:bottom w:val="single" w:sz="8" w:color="auto"/>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900" w:type="dxa"/>
            <w:vAlign w:val="bottom"/>
            <w:tcBorders>
              <w:bottom w:val="single" w:sz="8" w:color="auto"/>
            </w:tcBorders>
            <w:vMerge w:val="continue"/>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90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2"/>
              </w:rPr>
              <w:t xml:space="preserve">Net Income Attributable to Clearway Energy, Inc. </w:t>
            </w:r>
            <w:r>
              <w:rPr>
                <w:rFonts w:ascii="Arial" w:cs="Arial" w:eastAsia="Arial" w:hAnsi="Arial"/>
                <w:sz w:val="20"/>
                <w:szCs w:val="20"/>
                <w:b w:val="1"/>
                <w:bCs w:val="1"/>
                <w:color w:val="B4B4B4"/>
                <w:w w:val="92"/>
              </w:rPr>
              <w:t>. . . . . . . . . . . . . . . . . . . . .</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88</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79</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582</w:t>
            </w: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left="3621"/>
              <w:spacing w:after="0"/>
              <w:rPr>
                <w:sz w:val="20"/>
                <w:szCs w:val="20"/>
                <w:color w:val="auto"/>
              </w:rPr>
            </w:pPr>
            <w:r>
              <w:rPr>
                <w:rFonts w:ascii="Arial" w:cs="Arial" w:eastAsia="Arial" w:hAnsi="Arial"/>
                <w:sz w:val="20"/>
                <w:szCs w:val="20"/>
                <w:color w:val="auto"/>
              </w:rPr>
              <w: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52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-214630</wp:posOffset>
            </wp:positionV>
            <wp:extent cx="2397125"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9">
                      <a:extLst>
                        <a:ext uri="{28A0092B-C50C-407E-A947-70E740481C1C}"/>
                      </a:extLst>
                    </a:blip>
                    <a:srcRect/>
                    <a:stretch>
                      <a:fillRect/>
                    </a:stretch>
                  </pic:blipFill>
                  <pic:spPr bwMode="auto">
                    <a:xfrm>
                      <a:off x="0" y="0"/>
                      <a:ext cx="2397125" cy="50800"/>
                    </a:xfrm>
                    <a:prstGeom prst="rect">
                      <a:avLst/>
                    </a:prstGeom>
                    <a:noFill/>
                  </pic:spPr>
                </pic:pic>
              </a:graphicData>
            </a:graphic>
          </wp:anchor>
        </w:drawing>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880" w:h="15480" w:orient="portrait"/>
          <w:cols w:equalWidth="0" w:num="1">
            <w:col w:w="10260"/>
          </w:cols>
          <w:pgMar w:left="820" w:top="360" w:right="800" w:bottom="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Schedule I</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Clearway Energy, Inc. (Parent)</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Balance Sheets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ASSETS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Current Assets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spacing w:after="0" w:line="71"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22225</wp:posOffset>
            </wp:positionV>
            <wp:extent cx="1638300"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0">
                      <a:extLst>
                        <a:ext uri="{28A0092B-C50C-407E-A947-70E740481C1C}"/>
                      </a:extLst>
                    </a:blip>
                    <a:srcRect/>
                    <a:stretch>
                      <a:fillRect/>
                    </a:stretch>
                  </pic:blipFill>
                  <pic:spPr bwMode="auto">
                    <a:xfrm>
                      <a:off x="0" y="0"/>
                      <a:ext cx="1638300" cy="12700"/>
                    </a:xfrm>
                    <a:prstGeom prst="rect">
                      <a:avLst/>
                    </a:prstGeom>
                    <a:noFill/>
                  </pic:spPr>
                </pic:pic>
              </a:graphicData>
            </a:graphic>
          </wp:anchor>
        </w:drawing>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(In millions)</w:t>
      </w:r>
    </w:p>
    <w:p>
      <w:pPr>
        <w:spacing w:after="0" w:line="336" w:lineRule="exact"/>
        <w:rPr>
          <w:sz w:val="20"/>
          <w:szCs w:val="20"/>
          <w:color w:val="auto"/>
        </w:rPr>
      </w:pPr>
    </w:p>
    <w:p>
      <w:pPr>
        <w:sectPr>
          <w:pgSz w:w="11880" w:h="15480" w:orient="portrait"/>
          <w:cols w:equalWidth="0" w:num="2">
            <w:col w:w="7100" w:space="720"/>
            <w:col w:w="2440"/>
          </w:cols>
          <w:pgMar w:left="820" w:top="360" w:right="800" w:bottom="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766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1"/>
              </w:rPr>
              <w:t xml:space="preserve">Accounts receivable — affiliates </w:t>
            </w:r>
            <w:r>
              <w:rPr>
                <w:rFonts w:ascii="Arial" w:cs="Arial" w:eastAsia="Arial" w:hAnsi="Arial"/>
                <w:sz w:val="20"/>
                <w:szCs w:val="20"/>
                <w:color w:val="B4B4B4"/>
                <w:w w:val="91"/>
              </w:rPr>
              <w:t>. . . . . . . . . . . . . . . . . . . . . . . . . . . . . . . . . . . . . . . . . . . . . . . .</w:t>
            </w:r>
          </w:p>
        </w:tc>
        <w:tc>
          <w:tcPr>
            <w:tcW w:w="440" w:type="dxa"/>
            <w:vAlign w:val="bottom"/>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520" w:type="dxa"/>
            <w:vAlign w:val="bottom"/>
            <w:gridSpan w:val="2"/>
            <w:shd w:val="clear" w:color="auto" w:fill="E6E6E6"/>
          </w:tcPr>
          <w:p>
            <w:pPr>
              <w:jc w:val="right"/>
              <w:ind w:right="280"/>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3"/>
        </w:trPr>
        <w:tc>
          <w:tcPr>
            <w:tcW w:w="7660" w:type="dxa"/>
            <w:vAlign w:val="bottom"/>
          </w:tcPr>
          <w:p>
            <w:pPr>
              <w:ind w:left="180"/>
              <w:spacing w:after="0"/>
              <w:rPr>
                <w:sz w:val="20"/>
                <w:szCs w:val="20"/>
                <w:color w:val="auto"/>
              </w:rPr>
            </w:pPr>
            <w:r>
              <w:rPr>
                <w:rFonts w:ascii="Arial" w:cs="Arial" w:eastAsia="Arial" w:hAnsi="Arial"/>
                <w:sz w:val="20"/>
                <w:szCs w:val="20"/>
                <w:color w:val="auto"/>
                <w:w w:val="92"/>
              </w:rPr>
              <w:t xml:space="preserve">Note receivable — Clearway Energy Operating LLC  </w:t>
            </w:r>
            <w:r>
              <w:rPr>
                <w:rFonts w:ascii="Arial" w:cs="Arial" w:eastAsia="Arial" w:hAnsi="Arial"/>
                <w:sz w:val="20"/>
                <w:szCs w:val="20"/>
                <w:color w:val="B4B4B4"/>
                <w:w w:val="92"/>
              </w:rPr>
              <w:t>. . . . . . . . . . . . . . . . . . . . . . . . . . . . . . .</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07"/>
        </w:trPr>
        <w:tc>
          <w:tcPr>
            <w:tcW w:w="766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0"/>
              </w:rPr>
              <w:t xml:space="preserve">Other current assets </w:t>
            </w:r>
            <w:r>
              <w:rPr>
                <w:rFonts w:ascii="Arial" w:cs="Arial" w:eastAsia="Arial" w:hAnsi="Arial"/>
                <w:sz w:val="20"/>
                <w:szCs w:val="20"/>
                <w:color w:val="B4B4B4"/>
                <w:w w:val="90"/>
              </w:rPr>
              <w:t>. . . . . . . . . . . . . . . . . . . . . . . . . . . . . . . . . . . . . . . . . . . . . . . . . . . . . . . . . .</w:t>
            </w: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78"/>
        </w:trPr>
        <w:tc>
          <w:tcPr>
            <w:tcW w:w="7660" w:type="dxa"/>
            <w:vAlign w:val="bottom"/>
          </w:tcPr>
          <w:p>
            <w:pPr>
              <w:ind w:left="60"/>
              <w:spacing w:after="0"/>
              <w:rPr>
                <w:sz w:val="20"/>
                <w:szCs w:val="20"/>
                <w:color w:val="auto"/>
              </w:rPr>
            </w:pPr>
            <w:r>
              <w:rPr>
                <w:rFonts w:ascii="Arial" w:cs="Arial" w:eastAsia="Arial" w:hAnsi="Arial"/>
                <w:sz w:val="20"/>
                <w:szCs w:val="20"/>
                <w:b w:val="1"/>
                <w:bCs w:val="1"/>
                <w:color w:val="auto"/>
              </w:rPr>
              <w:t>Other Assets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w w:val="91"/>
              </w:rPr>
              <w:t xml:space="preserve">Investment in consolidated subsidiaries </w:t>
            </w:r>
            <w:r>
              <w:rPr>
                <w:rFonts w:ascii="Arial" w:cs="Arial" w:eastAsia="Arial" w:hAnsi="Arial"/>
                <w:sz w:val="20"/>
                <w:szCs w:val="20"/>
                <w:color w:val="B4B4B4"/>
                <w:w w:val="91"/>
              </w:rPr>
              <w:t>. . . . . . . . . . . . . . . . . . . . . . . . . . . . . . . . . . . . . . . . . .</w:t>
            </w: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5,642</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5,106</w:t>
            </w:r>
          </w:p>
        </w:tc>
        <w:tc>
          <w:tcPr>
            <w:tcW w:w="0" w:type="dxa"/>
            <w:vAlign w:val="bottom"/>
          </w:tcPr>
          <w:p>
            <w:pPr>
              <w:spacing w:after="0"/>
              <w:rPr>
                <w:sz w:val="1"/>
                <w:szCs w:val="1"/>
                <w:color w:val="auto"/>
              </w:rPr>
            </w:pPr>
          </w:p>
        </w:tc>
      </w:tr>
      <w:tr>
        <w:trPr>
          <w:trHeight w:val="242"/>
        </w:trPr>
        <w:tc>
          <w:tcPr>
            <w:tcW w:w="7660" w:type="dxa"/>
            <w:vAlign w:val="bottom"/>
          </w:tcPr>
          <w:p>
            <w:pPr>
              <w:ind w:left="60"/>
              <w:spacing w:after="0"/>
              <w:rPr>
                <w:sz w:val="20"/>
                <w:szCs w:val="20"/>
                <w:color w:val="auto"/>
              </w:rPr>
            </w:pPr>
            <w:r>
              <w:rPr>
                <w:rFonts w:ascii="Arial" w:cs="Arial" w:eastAsia="Arial" w:hAnsi="Arial"/>
                <w:sz w:val="20"/>
                <w:szCs w:val="20"/>
                <w:b w:val="1"/>
                <w:bCs w:val="1"/>
                <w:color w:val="auto"/>
                <w:w w:val="90"/>
              </w:rPr>
              <w:t xml:space="preserve">Total Assets </w:t>
            </w:r>
            <w:r>
              <w:rPr>
                <w:rFonts w:ascii="Arial" w:cs="Arial" w:eastAsia="Arial" w:hAnsi="Arial"/>
                <w:sz w:val="20"/>
                <w:szCs w:val="20"/>
                <w:b w:val="1"/>
                <w:bCs w:val="1"/>
                <w:color w:val="B4B4B4"/>
                <w:w w:val="90"/>
              </w:rPr>
              <w:t>. . . . . . . . . . . . . . . . . . . . . . . . . . . . . . . . . . . . . . . . . . . . . . . . . . . . . . . . . . . . . . . . .</w:t>
            </w:r>
          </w:p>
        </w:tc>
        <w:tc>
          <w:tcPr>
            <w:tcW w:w="44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5,655</w:t>
            </w:r>
          </w:p>
        </w:tc>
        <w:tc>
          <w:tcPr>
            <w:tcW w:w="5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5,123</w:t>
            </w:r>
          </w:p>
        </w:tc>
        <w:tc>
          <w:tcPr>
            <w:tcW w:w="0" w:type="dxa"/>
            <w:vAlign w:val="bottom"/>
          </w:tcPr>
          <w:p>
            <w:pPr>
              <w:spacing w:after="0"/>
              <w:rPr>
                <w:sz w:val="1"/>
                <w:szCs w:val="1"/>
                <w:color w:val="auto"/>
              </w:rPr>
            </w:pPr>
          </w:p>
        </w:tc>
      </w:tr>
      <w:tr>
        <w:trPr>
          <w:trHeight w:val="20"/>
        </w:trPr>
        <w:tc>
          <w:tcPr>
            <w:tcW w:w="7660" w:type="dxa"/>
            <w:vAlign w:val="bottom"/>
            <w:tcBorders>
              <w:bottom w:val="single" w:sz="8" w:color="E6E6E6"/>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60" w:type="dxa"/>
            <w:vAlign w:val="bottom"/>
            <w:shd w:val="clear" w:color="auto" w:fill="E6E6E6"/>
          </w:tcPr>
          <w:p>
            <w:pPr>
              <w:ind w:left="1660"/>
              <w:spacing w:after="0"/>
              <w:rPr>
                <w:sz w:val="20"/>
                <w:szCs w:val="20"/>
                <w:color w:val="auto"/>
              </w:rPr>
            </w:pPr>
            <w:r>
              <w:rPr>
                <w:rFonts w:ascii="Arial" w:cs="Arial" w:eastAsia="Arial" w:hAnsi="Arial"/>
                <w:sz w:val="20"/>
                <w:szCs w:val="20"/>
                <w:b w:val="1"/>
                <w:bCs w:val="1"/>
                <w:color w:val="auto"/>
              </w:rPr>
              <w:t>LIABILITIES AND STOCKHOLDERS’ EQUITY</w:t>
            </w: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660" w:type="dxa"/>
            <w:vAlign w:val="bottom"/>
          </w:tcPr>
          <w:p>
            <w:pPr>
              <w:ind w:left="60"/>
              <w:spacing w:after="0"/>
              <w:rPr>
                <w:sz w:val="20"/>
                <w:szCs w:val="20"/>
                <w:color w:val="auto"/>
              </w:rPr>
            </w:pPr>
            <w:r>
              <w:rPr>
                <w:rFonts w:ascii="Arial" w:cs="Arial" w:eastAsia="Arial" w:hAnsi="Arial"/>
                <w:sz w:val="20"/>
                <w:szCs w:val="20"/>
                <w:b w:val="1"/>
                <w:bCs w:val="1"/>
                <w:color w:val="auto"/>
              </w:rPr>
              <w:t>Current 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6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Other Liabilities</w:t>
            </w: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660" w:type="dxa"/>
            <w:vAlign w:val="bottom"/>
          </w:tcPr>
          <w:p>
            <w:pPr>
              <w:ind w:left="180"/>
              <w:spacing w:after="0"/>
              <w:rPr>
                <w:sz w:val="20"/>
                <w:szCs w:val="20"/>
                <w:color w:val="auto"/>
              </w:rPr>
            </w:pPr>
            <w:r>
              <w:rPr>
                <w:rFonts w:ascii="Arial" w:cs="Arial" w:eastAsia="Arial" w:hAnsi="Arial"/>
                <w:sz w:val="20"/>
                <w:szCs w:val="20"/>
                <w:color w:val="auto"/>
                <w:w w:val="90"/>
              </w:rPr>
              <w:t xml:space="preserve">Deferred income taxes </w:t>
            </w:r>
            <w:r>
              <w:rPr>
                <w:rFonts w:ascii="Arial" w:cs="Arial" w:eastAsia="Arial" w:hAnsi="Arial"/>
                <w:sz w:val="20"/>
                <w:szCs w:val="20"/>
                <w:color w:val="B4B4B4"/>
                <w:w w:val="90"/>
              </w:rPr>
              <w:t>. . . . . . . . . . . . . . . . . . . . . . . . . . . . . . . . . . . . . . . . . . . . . . . . . . . . . . . .</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315"/>
        </w:trPr>
        <w:tc>
          <w:tcPr>
            <w:tcW w:w="7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w w:val="91"/>
              </w:rPr>
              <w:t xml:space="preserve">Other non-current liabilities  </w:t>
            </w:r>
            <w:r>
              <w:rPr>
                <w:rFonts w:ascii="Arial" w:cs="Arial" w:eastAsia="Arial" w:hAnsi="Arial"/>
                <w:sz w:val="20"/>
                <w:szCs w:val="20"/>
                <w:color w:val="B4B4B4"/>
                <w:w w:val="91"/>
              </w:rPr>
              <w:t>. . . . . . . . . . . . . . . . . . . . . . . . . . . . . . . . . . . . . . . . . . . . . . . . . . .</w:t>
            </w: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2"/>
        </w:trPr>
        <w:tc>
          <w:tcPr>
            <w:tcW w:w="7660" w:type="dxa"/>
            <w:vAlign w:val="bottom"/>
            <w:tcBorders>
              <w:bottom w:val="single" w:sz="8" w:color="E6E6E6"/>
            </w:tcBorders>
          </w:tcPr>
          <w:p>
            <w:pPr>
              <w:ind w:left="60"/>
              <w:spacing w:after="0"/>
              <w:rPr>
                <w:sz w:val="20"/>
                <w:szCs w:val="20"/>
                <w:color w:val="auto"/>
              </w:rPr>
            </w:pPr>
            <w:r>
              <w:rPr>
                <w:rFonts w:ascii="Arial" w:cs="Arial" w:eastAsia="Arial" w:hAnsi="Arial"/>
                <w:sz w:val="20"/>
                <w:szCs w:val="20"/>
                <w:b w:val="1"/>
                <w:bCs w:val="1"/>
                <w:color w:val="auto"/>
                <w:w w:val="90"/>
              </w:rPr>
              <w:t xml:space="preserve">Total Liabilities </w:t>
            </w:r>
            <w:r>
              <w:rPr>
                <w:rFonts w:ascii="Arial" w:cs="Arial" w:eastAsia="Arial" w:hAnsi="Arial"/>
                <w:sz w:val="20"/>
                <w:szCs w:val="20"/>
                <w:b w:val="1"/>
                <w:bCs w:val="1"/>
                <w:color w:val="B4B4B4"/>
                <w:w w:val="90"/>
              </w:rPr>
              <w:t>. . . . . . . . . . . . . . . . . . . . . . . . . . . . . . . . . . . . . . . . . . . . . . . . . . . . . . . . . . . . . .</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80" w:type="dxa"/>
            <w:vAlign w:val="bottom"/>
            <w:tcBorders>
              <w:bottom w:val="single" w:sz="8" w:color="E6E6E6"/>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85"/>
        </w:trPr>
        <w:tc>
          <w:tcPr>
            <w:tcW w:w="7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Commitments and Contingencies</w:t>
            </w:r>
          </w:p>
        </w:tc>
        <w:tc>
          <w:tcPr>
            <w:tcW w:w="44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660" w:type="dxa"/>
            <w:vAlign w:val="bottom"/>
          </w:tcPr>
          <w:p>
            <w:pPr>
              <w:ind w:left="60"/>
              <w:spacing w:after="0"/>
              <w:rPr>
                <w:sz w:val="20"/>
                <w:szCs w:val="20"/>
                <w:color w:val="auto"/>
              </w:rPr>
            </w:pPr>
            <w:r>
              <w:rPr>
                <w:rFonts w:ascii="Arial" w:cs="Arial" w:eastAsia="Arial" w:hAnsi="Arial"/>
                <w:sz w:val="20"/>
                <w:szCs w:val="20"/>
                <w:b w:val="1"/>
                <w:bCs w:val="1"/>
                <w:color w:val="auto"/>
              </w:rPr>
              <w:t>Stockholders’ Equity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660" w:type="dxa"/>
            <w:vAlign w:val="bottom"/>
            <w:shd w:val="clear" w:color="auto" w:fill="E6E6E6"/>
          </w:tcPr>
          <w:p>
            <w:pPr>
              <w:ind w:left="180"/>
              <w:spacing w:after="0"/>
              <w:rPr>
                <w:sz w:val="20"/>
                <w:szCs w:val="20"/>
                <w:color w:val="auto"/>
              </w:rPr>
            </w:pPr>
            <w:r>
              <w:rPr>
                <w:rFonts w:ascii="Arial" w:cs="Arial" w:eastAsia="Arial" w:hAnsi="Arial"/>
                <w:sz w:val="20"/>
                <w:szCs w:val="20"/>
                <w:color w:val="auto"/>
                <w:w w:val="89"/>
              </w:rPr>
              <w:t xml:space="preserve">Preferred stock, $0.01 par value; 10,000,000 shares authorized; none issued  </w:t>
            </w:r>
            <w:r>
              <w:rPr>
                <w:rFonts w:ascii="Arial" w:cs="Arial" w:eastAsia="Arial" w:hAnsi="Arial"/>
                <w:sz w:val="20"/>
                <w:szCs w:val="20"/>
                <w:color w:val="B4B4B4"/>
                <w:w w:val="89"/>
              </w:rPr>
              <w:t>. . . . . . . . . . . . .</w:t>
            </w: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7660" w:type="dxa"/>
            <w:vAlign w:val="bottom"/>
          </w:tcPr>
          <w:p>
            <w:pPr>
              <w:ind w:left="180"/>
              <w:spacing w:after="0"/>
              <w:rPr>
                <w:sz w:val="20"/>
                <w:szCs w:val="20"/>
                <w:color w:val="auto"/>
              </w:rPr>
            </w:pPr>
            <w:r>
              <w:rPr>
                <w:rFonts w:ascii="Arial" w:cs="Arial" w:eastAsia="Arial" w:hAnsi="Arial"/>
                <w:sz w:val="20"/>
                <w:szCs w:val="20"/>
                <w:color w:val="auto"/>
                <w:w w:val="97"/>
              </w:rPr>
              <w:t>Class A, Class B, Class C and Class D common stock, $0.01 par value; 3,000,000,000</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660" w:type="dxa"/>
            <w:vAlign w:val="bottom"/>
          </w:tcPr>
          <w:p>
            <w:pPr>
              <w:ind w:left="180"/>
              <w:spacing w:after="0" w:line="200" w:lineRule="exact"/>
              <w:rPr>
                <w:sz w:val="20"/>
                <w:szCs w:val="20"/>
                <w:color w:val="auto"/>
              </w:rPr>
            </w:pPr>
            <w:r>
              <w:rPr>
                <w:rFonts w:ascii="Arial" w:cs="Arial" w:eastAsia="Arial" w:hAnsi="Arial"/>
                <w:sz w:val="20"/>
                <w:szCs w:val="20"/>
                <w:color w:val="auto"/>
                <w:w w:val="89"/>
              </w:rPr>
              <w:t>shares authorized (Class A 500,000,000, Class B 500,000,000, Class C 1,000,000,000, Class</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60" w:type="dxa"/>
            <w:vAlign w:val="bottom"/>
          </w:tcPr>
          <w:p>
            <w:pPr>
              <w:ind w:left="180"/>
              <w:spacing w:after="0" w:line="200" w:lineRule="exact"/>
              <w:rPr>
                <w:sz w:val="20"/>
                <w:szCs w:val="20"/>
                <w:color w:val="auto"/>
              </w:rPr>
            </w:pPr>
            <w:r>
              <w:rPr>
                <w:rFonts w:ascii="Arial" w:cs="Arial" w:eastAsia="Arial" w:hAnsi="Arial"/>
                <w:sz w:val="20"/>
                <w:szCs w:val="20"/>
                <w:color w:val="auto"/>
                <w:w w:val="90"/>
              </w:rPr>
              <w:t>D 1,000,000,000); 202,147,579 shares issued and outstanding (Class A 34,613,853, Class B</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60" w:type="dxa"/>
            <w:vAlign w:val="bottom"/>
          </w:tcPr>
          <w:p>
            <w:pPr>
              <w:ind w:left="180"/>
              <w:spacing w:after="0" w:line="200" w:lineRule="exact"/>
              <w:rPr>
                <w:sz w:val="20"/>
                <w:szCs w:val="20"/>
                <w:color w:val="auto"/>
              </w:rPr>
            </w:pPr>
            <w:r>
              <w:rPr>
                <w:rFonts w:ascii="Arial" w:cs="Arial" w:eastAsia="Arial" w:hAnsi="Arial"/>
                <w:sz w:val="20"/>
                <w:szCs w:val="20"/>
                <w:color w:val="auto"/>
              </w:rPr>
              <w:t>42,738,750, Class C 82,833,226, Class D 41,961,750) at December 31, 2024 and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60" w:type="dxa"/>
            <w:vAlign w:val="bottom"/>
          </w:tcPr>
          <w:p>
            <w:pPr>
              <w:ind w:left="180"/>
              <w:spacing w:after="0" w:line="200" w:lineRule="exact"/>
              <w:rPr>
                <w:sz w:val="20"/>
                <w:szCs w:val="20"/>
                <w:color w:val="auto"/>
              </w:rPr>
            </w:pPr>
            <w:r>
              <w:rPr>
                <w:rFonts w:ascii="Arial" w:cs="Arial" w:eastAsia="Arial" w:hAnsi="Arial"/>
                <w:sz w:val="20"/>
                <w:szCs w:val="20"/>
                <w:color w:val="auto"/>
                <w:w w:val="90"/>
              </w:rPr>
              <w:t>202,080,794 shares issued and outstanding (Class A 34,613,853, Class B 42,738,750, Class</w:t>
            </w:r>
          </w:p>
        </w:tc>
        <w:tc>
          <w:tcPr>
            <w:tcW w:w="4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67"/>
        </w:trPr>
        <w:tc>
          <w:tcPr>
            <w:tcW w:w="7660" w:type="dxa"/>
            <w:vAlign w:val="bottom"/>
          </w:tcPr>
          <w:p>
            <w:pPr>
              <w:ind w:left="180"/>
              <w:spacing w:after="0"/>
              <w:rPr>
                <w:sz w:val="20"/>
                <w:szCs w:val="20"/>
                <w:color w:val="auto"/>
              </w:rPr>
            </w:pPr>
            <w:r>
              <w:rPr>
                <w:rFonts w:ascii="Arial" w:cs="Arial" w:eastAsia="Arial" w:hAnsi="Arial"/>
                <w:sz w:val="20"/>
                <w:szCs w:val="20"/>
                <w:color w:val="auto"/>
                <w:w w:val="90"/>
              </w:rPr>
              <w:t xml:space="preserve">C 82,391,441, Class D 42,336,750) at December 31, 2023  </w:t>
            </w:r>
            <w:r>
              <w:rPr>
                <w:rFonts w:ascii="Arial" w:cs="Arial" w:eastAsia="Arial" w:hAnsi="Arial"/>
                <w:sz w:val="20"/>
                <w:szCs w:val="20"/>
                <w:color w:val="B4B4B4"/>
                <w:w w:val="90"/>
              </w:rPr>
              <w:t>. . . . . . . . . . . . . . . . . . . . . . . . . . .</w:t>
            </w:r>
          </w:p>
        </w:tc>
        <w:tc>
          <w:tcPr>
            <w:tcW w:w="44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66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2"/>
              </w:rPr>
              <w:t xml:space="preserve">Additional paid-in capital </w:t>
            </w:r>
            <w:r>
              <w:rPr>
                <w:rFonts w:ascii="Arial" w:cs="Arial" w:eastAsia="Arial" w:hAnsi="Arial"/>
                <w:sz w:val="20"/>
                <w:szCs w:val="20"/>
                <w:color w:val="B4B4B4"/>
                <w:w w:val="92"/>
              </w:rPr>
              <w:t>. . . . . . . . . . . . . . . . . . . . . . . . . . . . . . . . . . . . . . . . . . . . . . . . . . . . .</w:t>
            </w: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1,805</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1,732</w:t>
            </w:r>
          </w:p>
        </w:tc>
        <w:tc>
          <w:tcPr>
            <w:tcW w:w="0" w:type="dxa"/>
            <w:vAlign w:val="bottom"/>
          </w:tcPr>
          <w:p>
            <w:pPr>
              <w:spacing w:after="0"/>
              <w:rPr>
                <w:sz w:val="1"/>
                <w:szCs w:val="1"/>
                <w:color w:val="auto"/>
              </w:rPr>
            </w:pPr>
          </w:p>
        </w:tc>
      </w:tr>
      <w:tr>
        <w:trPr>
          <w:trHeight w:val="293"/>
        </w:trPr>
        <w:tc>
          <w:tcPr>
            <w:tcW w:w="7660" w:type="dxa"/>
            <w:vAlign w:val="bottom"/>
          </w:tcPr>
          <w:p>
            <w:pPr>
              <w:ind w:left="180"/>
              <w:spacing w:after="0"/>
              <w:rPr>
                <w:sz w:val="20"/>
                <w:szCs w:val="20"/>
                <w:color w:val="auto"/>
              </w:rPr>
            </w:pPr>
            <w:r>
              <w:rPr>
                <w:rFonts w:ascii="Arial" w:cs="Arial" w:eastAsia="Arial" w:hAnsi="Arial"/>
                <w:sz w:val="20"/>
                <w:szCs w:val="20"/>
                <w:color w:val="auto"/>
                <w:w w:val="90"/>
              </w:rPr>
              <w:t xml:space="preserve">Retained earnings  </w:t>
            </w:r>
            <w:r>
              <w:rPr>
                <w:rFonts w:ascii="Arial" w:cs="Arial" w:eastAsia="Arial" w:hAnsi="Arial"/>
                <w:sz w:val="20"/>
                <w:szCs w:val="20"/>
                <w:color w:val="B4B4B4"/>
                <w:w w:val="90"/>
              </w:rPr>
              <w:t>. . . . . . . . . . . . . . . . . . . . . . . . . . . . . . . . . . . . . . . . . . . . . . . . . . . . . . . . . . .</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361</w:t>
            </w:r>
          </w:p>
        </w:tc>
        <w:tc>
          <w:tcPr>
            <w:tcW w:w="0" w:type="dxa"/>
            <w:vAlign w:val="bottom"/>
          </w:tcPr>
          <w:p>
            <w:pPr>
              <w:spacing w:after="0"/>
              <w:rPr>
                <w:sz w:val="1"/>
                <w:szCs w:val="1"/>
                <w:color w:val="auto"/>
              </w:rPr>
            </w:pPr>
          </w:p>
        </w:tc>
      </w:tr>
      <w:tr>
        <w:trPr>
          <w:trHeight w:val="307"/>
        </w:trPr>
        <w:tc>
          <w:tcPr>
            <w:tcW w:w="766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0"/>
              </w:rPr>
              <w:t xml:space="preserve">Accumulated other comprehensive income </w:t>
            </w:r>
            <w:r>
              <w:rPr>
                <w:rFonts w:ascii="Arial" w:cs="Arial" w:eastAsia="Arial" w:hAnsi="Arial"/>
                <w:sz w:val="20"/>
                <w:szCs w:val="20"/>
                <w:color w:val="B4B4B4"/>
                <w:w w:val="90"/>
              </w:rPr>
              <w:t>. . . . . . . . . . . . . . . . . . . . . . . . . . . . . . . . . . . . . . . .</w:t>
            </w: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0"/>
        </w:trPr>
        <w:tc>
          <w:tcPr>
            <w:tcW w:w="766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w w:val="92"/>
              </w:rPr>
              <w:t xml:space="preserve">Noncontrolling interest </w:t>
            </w:r>
            <w:r>
              <w:rPr>
                <w:rFonts w:ascii="Arial" w:cs="Arial" w:eastAsia="Arial" w:hAnsi="Arial"/>
                <w:sz w:val="20"/>
                <w:szCs w:val="20"/>
                <w:color w:val="B4B4B4"/>
                <w:w w:val="92"/>
              </w:rPr>
              <w:t>. . . . . . . . . . . . . . . . . . . . . . . . . . . . . . . . . . . . . . . . . . . . . . . . . . . . . . .</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3,501</w:t>
            </w:r>
          </w:p>
        </w:tc>
        <w:tc>
          <w:tcPr>
            <w:tcW w:w="8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2,893</w:t>
            </w:r>
          </w:p>
        </w:tc>
        <w:tc>
          <w:tcPr>
            <w:tcW w:w="0" w:type="dxa"/>
            <w:vAlign w:val="bottom"/>
          </w:tcPr>
          <w:p>
            <w:pPr>
              <w:spacing w:after="0"/>
              <w:rPr>
                <w:sz w:val="1"/>
                <w:szCs w:val="1"/>
                <w:color w:val="auto"/>
              </w:rPr>
            </w:pPr>
          </w:p>
        </w:tc>
      </w:tr>
      <w:tr>
        <w:trPr>
          <w:trHeight w:val="298"/>
        </w:trPr>
        <w:tc>
          <w:tcPr>
            <w:tcW w:w="7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w w:val="91"/>
              </w:rPr>
              <w:t xml:space="preserve">Total Stockholders’ Equity </w:t>
            </w:r>
            <w:r>
              <w:rPr>
                <w:rFonts w:ascii="Arial" w:cs="Arial" w:eastAsia="Arial" w:hAnsi="Arial"/>
                <w:sz w:val="20"/>
                <w:szCs w:val="20"/>
                <w:b w:val="1"/>
                <w:bCs w:val="1"/>
                <w:color w:val="B4B4B4"/>
                <w:w w:val="91"/>
              </w:rPr>
              <w:t>. . . . . . . . . . . . . . . . . . . . . . . . . . . . . . . . . . . . . . . . . . . . . . . . . . . .</w:t>
            </w: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5,564</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4,994</w:t>
            </w:r>
          </w:p>
        </w:tc>
        <w:tc>
          <w:tcPr>
            <w:tcW w:w="0" w:type="dxa"/>
            <w:vAlign w:val="bottom"/>
          </w:tcPr>
          <w:p>
            <w:pPr>
              <w:spacing w:after="0"/>
              <w:rPr>
                <w:sz w:val="1"/>
                <w:szCs w:val="1"/>
                <w:color w:val="auto"/>
              </w:rPr>
            </w:pPr>
          </w:p>
        </w:tc>
      </w:tr>
      <w:tr>
        <w:trPr>
          <w:trHeight w:val="242"/>
        </w:trPr>
        <w:tc>
          <w:tcPr>
            <w:tcW w:w="7660" w:type="dxa"/>
            <w:vAlign w:val="bottom"/>
          </w:tcPr>
          <w:p>
            <w:pPr>
              <w:ind w:left="60"/>
              <w:spacing w:after="0"/>
              <w:rPr>
                <w:sz w:val="20"/>
                <w:szCs w:val="20"/>
                <w:color w:val="auto"/>
              </w:rPr>
            </w:pPr>
            <w:r>
              <w:rPr>
                <w:rFonts w:ascii="Arial" w:cs="Arial" w:eastAsia="Arial" w:hAnsi="Arial"/>
                <w:sz w:val="20"/>
                <w:szCs w:val="20"/>
                <w:b w:val="1"/>
                <w:bCs w:val="1"/>
                <w:color w:val="auto"/>
                <w:w w:val="91"/>
              </w:rPr>
              <w:t xml:space="preserve">Total Liabilities and Stockholders’ Equity </w:t>
            </w:r>
            <w:r>
              <w:rPr>
                <w:rFonts w:ascii="Arial" w:cs="Arial" w:eastAsia="Arial" w:hAnsi="Arial"/>
                <w:sz w:val="20"/>
                <w:szCs w:val="20"/>
                <w:b w:val="1"/>
                <w:bCs w:val="1"/>
                <w:color w:val="B4B4B4"/>
                <w:w w:val="91"/>
              </w:rPr>
              <w:t>. . . . . . . . . . . . . . . . . . . . . . . . . . . . . . . . . . . . . . .</w:t>
            </w:r>
          </w:p>
        </w:tc>
        <w:tc>
          <w:tcPr>
            <w:tcW w:w="44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5,655</w:t>
            </w:r>
          </w:p>
        </w:tc>
        <w:tc>
          <w:tcPr>
            <w:tcW w:w="5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5,123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-3701415</wp:posOffset>
            </wp:positionV>
            <wp:extent cx="166370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51">
                      <a:extLst>
                        <a:ext uri="{28A0092B-C50C-407E-A947-70E740481C1C}"/>
                      </a:extLst>
                    </a:blip>
                    <a:srcRect/>
                    <a:stretch>
                      <a:fillRect/>
                    </a:stretch>
                  </pic:blipFill>
                  <pic:spPr bwMode="auto">
                    <a:xfrm>
                      <a:off x="0" y="0"/>
                      <a:ext cx="1663700" cy="5080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-43815</wp:posOffset>
            </wp:positionV>
            <wp:extent cx="1663700"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52">
                      <a:extLst>
                        <a:ext uri="{28A0092B-C50C-407E-A947-70E740481C1C}"/>
                      </a:extLst>
                    </a:blip>
                    <a:srcRect/>
                    <a:stretch>
                      <a:fillRect/>
                    </a:stretch>
                  </pic:blipFill>
                  <pic:spPr bwMode="auto">
                    <a:xfrm>
                      <a:off x="0" y="0"/>
                      <a:ext cx="1663700" cy="5080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260"/>
          </w:cols>
          <w:pgMar w:left="820" w:top="360"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880" w:h="15480" w:orient="portrait"/>
          <w:cols w:equalWidth="0" w:num="1">
            <w:col w:w="10260"/>
          </w:cols>
          <w:pgMar w:left="820" w:top="360" w:right="800" w:bottom="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65"/>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ind w:left="60"/>
              <w:spacing w:after="0"/>
              <w:rPr>
                <w:sz w:val="20"/>
                <w:szCs w:val="20"/>
                <w:color w:val="auto"/>
              </w:rPr>
            </w:pPr>
            <w:r>
              <w:rPr>
                <w:rFonts w:ascii="Arial" w:cs="Arial" w:eastAsia="Arial" w:hAnsi="Arial"/>
                <w:sz w:val="20"/>
                <w:szCs w:val="20"/>
                <w:b w:val="1"/>
                <w:bCs w:val="1"/>
                <w:color w:val="auto"/>
                <w:w w:val="87"/>
              </w:rPr>
              <w:t>Schedule I</w:t>
            </w:r>
          </w:p>
        </w:tc>
      </w:tr>
      <w:tr>
        <w:trPr>
          <w:trHeight w:val="420"/>
        </w:trPr>
        <w:tc>
          <w:tcPr>
            <w:tcW w:w="6540" w:type="dxa"/>
            <w:vAlign w:val="bottom"/>
          </w:tcPr>
          <w:p>
            <w:pPr>
              <w:jc w:val="center"/>
              <w:ind w:left="3600"/>
              <w:spacing w:after="0"/>
              <w:rPr>
                <w:sz w:val="20"/>
                <w:szCs w:val="20"/>
                <w:color w:val="auto"/>
              </w:rPr>
            </w:pPr>
            <w:r>
              <w:rPr>
                <w:rFonts w:ascii="Arial" w:cs="Arial" w:eastAsia="Arial" w:hAnsi="Arial"/>
                <w:sz w:val="20"/>
                <w:szCs w:val="20"/>
                <w:b w:val="1"/>
                <w:bCs w:val="1"/>
                <w:color w:val="auto"/>
                <w:w w:val="93"/>
              </w:rPr>
              <w:t>Clearway Energy, Inc. (Parent)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6840" w:type="dxa"/>
            <w:vAlign w:val="bottom"/>
            <w:gridSpan w:val="2"/>
          </w:tcPr>
          <w:p>
            <w:pPr>
              <w:jc w:val="center"/>
              <w:ind w:left="3300"/>
              <w:spacing w:after="0"/>
              <w:rPr>
                <w:sz w:val="20"/>
                <w:szCs w:val="20"/>
                <w:color w:val="auto"/>
              </w:rPr>
            </w:pPr>
            <w:r>
              <w:rPr>
                <w:rFonts w:ascii="Arial" w:cs="Arial" w:eastAsia="Arial" w:hAnsi="Arial"/>
                <w:sz w:val="20"/>
                <w:szCs w:val="20"/>
                <w:b w:val="1"/>
                <w:bCs w:val="1"/>
                <w:color w:val="auto"/>
                <w:w w:val="88"/>
              </w:rPr>
              <w:t>Condensed Statements of Cash Flows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6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523"/>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0"/>
                <w:szCs w:val="20"/>
                <w:color w:val="auto"/>
              </w:rPr>
            </w:pPr>
          </w:p>
        </w:tc>
      </w:tr>
      <w:tr>
        <w:trPr>
          <w:trHeight w:val="282"/>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83"/>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654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1"/>
              </w:rPr>
              <w:t xml:space="preserve">Net Cash Used in Operating Activities </w:t>
            </w:r>
            <w:r>
              <w:rPr>
                <w:rFonts w:ascii="Arial" w:cs="Arial" w:eastAsia="Arial" w:hAnsi="Arial"/>
                <w:sz w:val="20"/>
                <w:szCs w:val="20"/>
                <w:b w:val="1"/>
                <w:bCs w:val="1"/>
                <w:color w:val="B4B4B4"/>
                <w:w w:val="91"/>
              </w:rPr>
              <w:t>. . . . . . . . . . . . . . . . . . . . . . . . . . . . . . .</w:t>
            </w:r>
          </w:p>
        </w:tc>
        <w:tc>
          <w:tcPr>
            <w:tcW w:w="300" w:type="dxa"/>
            <w:vAlign w:val="bottom"/>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w:t>
            </w:r>
          </w:p>
        </w:tc>
        <w:tc>
          <w:tcPr>
            <w:tcW w:w="20" w:type="dxa"/>
            <w:vAlign w:val="bottom"/>
          </w:tcPr>
          <w:p>
            <w:pPr>
              <w:spacing w:after="0"/>
              <w:rPr>
                <w:sz w:val="24"/>
                <w:szCs w:val="24"/>
                <w:color w:val="auto"/>
              </w:rPr>
            </w:pPr>
          </w:p>
        </w:tc>
      </w:tr>
      <w:tr>
        <w:trPr>
          <w:trHeight w:val="278"/>
        </w:trPr>
        <w:tc>
          <w:tcPr>
            <w:tcW w:w="6540" w:type="dxa"/>
            <w:vAlign w:val="bottom"/>
          </w:tcPr>
          <w:p>
            <w:pPr>
              <w:ind w:left="60"/>
              <w:spacing w:after="0"/>
              <w:rPr>
                <w:sz w:val="20"/>
                <w:szCs w:val="20"/>
                <w:color w:val="auto"/>
              </w:rPr>
            </w:pPr>
            <w:r>
              <w:rPr>
                <w:rFonts w:ascii="Arial" w:cs="Arial" w:eastAsia="Arial" w:hAnsi="Arial"/>
                <w:sz w:val="20"/>
                <w:szCs w:val="20"/>
                <w:b w:val="1"/>
                <w:bCs w:val="1"/>
                <w:color w:val="auto"/>
              </w:rPr>
              <w:t>Cash Flows from Investing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5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5"/>
              </w:rPr>
              <w:t xml:space="preserve">Cash advances for notes receivable — affiliate </w:t>
            </w:r>
            <w:r>
              <w:rPr>
                <w:rFonts w:ascii="Arial" w:cs="Arial" w:eastAsia="Arial" w:hAnsi="Arial"/>
                <w:sz w:val="20"/>
                <w:szCs w:val="20"/>
                <w:color w:val="B4B4B4"/>
                <w:w w:val="95"/>
              </w:rPr>
              <w:t>. . . . . . . . . . . . . . . . . . . . . . . .</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4"/>
                <w:szCs w:val="24"/>
                <w:color w:val="auto"/>
              </w:rPr>
            </w:pPr>
          </w:p>
        </w:tc>
      </w:tr>
      <w:tr>
        <w:trPr>
          <w:trHeight w:val="275"/>
        </w:trPr>
        <w:tc>
          <w:tcPr>
            <w:tcW w:w="65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5"/>
              </w:rPr>
              <w:t xml:space="preserve">Cash received from notes receivable — affiliate </w:t>
            </w:r>
            <w:r>
              <w:rPr>
                <w:rFonts w:ascii="Arial" w:cs="Arial" w:eastAsia="Arial" w:hAnsi="Arial"/>
                <w:sz w:val="20"/>
                <w:szCs w:val="20"/>
                <w:color w:val="B4B4B4"/>
                <w:w w:val="95"/>
              </w:rPr>
              <w:t>. . . . . . . . . . . . . . . . . . . . . . .</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3"/>
                <w:szCs w:val="23"/>
                <w:color w:val="auto"/>
              </w:rPr>
            </w:pPr>
          </w:p>
        </w:tc>
      </w:tr>
      <w:tr>
        <w:trPr>
          <w:trHeight w:val="275"/>
        </w:trPr>
        <w:tc>
          <w:tcPr>
            <w:tcW w:w="654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7"/>
              </w:rPr>
              <w:t>. . . . . . . . . . . . . . . . . . . .</w:t>
            </w:r>
            <w:r>
              <w:rPr>
                <w:rFonts w:ascii="Arial" w:cs="Arial" w:eastAsia="Arial" w:hAnsi="Arial"/>
                <w:sz w:val="20"/>
                <w:szCs w:val="20"/>
                <w:b w:val="1"/>
                <w:bCs w:val="1"/>
                <w:color w:val="000000"/>
                <w:w w:val="97"/>
              </w:rPr>
              <w:t>NetCashProvidedby(Usedin)InvestingActivities</w:t>
            </w:r>
          </w:p>
        </w:tc>
        <w:tc>
          <w:tcPr>
            <w:tcW w:w="30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3"/>
                <w:szCs w:val="23"/>
                <w:color w:val="auto"/>
              </w:rPr>
            </w:pPr>
          </w:p>
        </w:tc>
      </w:tr>
      <w:tr>
        <w:trPr>
          <w:trHeight w:val="278"/>
        </w:trPr>
        <w:tc>
          <w:tcPr>
            <w:tcW w:w="6540" w:type="dxa"/>
            <w:vAlign w:val="bottom"/>
          </w:tcPr>
          <w:p>
            <w:pPr>
              <w:ind w:left="60"/>
              <w:spacing w:after="0"/>
              <w:rPr>
                <w:sz w:val="20"/>
                <w:szCs w:val="20"/>
                <w:color w:val="auto"/>
              </w:rPr>
            </w:pPr>
            <w:r>
              <w:rPr>
                <w:rFonts w:ascii="Arial" w:cs="Arial" w:eastAsia="Arial" w:hAnsi="Arial"/>
                <w:sz w:val="20"/>
                <w:szCs w:val="20"/>
                <w:b w:val="1"/>
                <w:bCs w:val="1"/>
                <w:color w:val="auto"/>
              </w:rPr>
              <w:t>Cash Flows from Financing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5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 xml:space="preserve">Cash received from Clearway Energy LLC for tax-related distributions </w:t>
            </w:r>
            <w:r>
              <w:rPr>
                <w:rFonts w:ascii="Arial" w:cs="Arial" w:eastAsia="Arial" w:hAnsi="Arial"/>
                <w:sz w:val="20"/>
                <w:szCs w:val="20"/>
                <w:color w:val="B4B4B4"/>
                <w:w w:val="96"/>
              </w:rPr>
              <w:t>. . . . .</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4"/>
                <w:szCs w:val="24"/>
                <w:color w:val="auto"/>
              </w:rPr>
            </w:pPr>
          </w:p>
        </w:tc>
      </w:tr>
      <w:tr>
        <w:trPr>
          <w:trHeight w:val="279"/>
        </w:trPr>
        <w:tc>
          <w:tcPr>
            <w:tcW w:w="6540" w:type="dxa"/>
            <w:vAlign w:val="bottom"/>
          </w:tcPr>
          <w:p>
            <w:pPr>
              <w:jc w:val="right"/>
              <w:spacing w:after="0"/>
              <w:rPr>
                <w:sz w:val="20"/>
                <w:szCs w:val="20"/>
                <w:color w:val="auto"/>
              </w:rPr>
            </w:pPr>
            <w:r>
              <w:rPr>
                <w:rFonts w:ascii="Arial" w:cs="Arial" w:eastAsia="Arial" w:hAnsi="Arial"/>
                <w:sz w:val="20"/>
                <w:szCs w:val="20"/>
                <w:color w:val="auto"/>
                <w:w w:val="96"/>
              </w:rPr>
              <w:t xml:space="preserve">Cash received from Clearway Energy LLC for the payment of dividends  </w:t>
            </w:r>
            <w:r>
              <w:rPr>
                <w:rFonts w:ascii="Arial" w:cs="Arial" w:eastAsia="Arial" w:hAnsi="Arial"/>
                <w:sz w:val="20"/>
                <w:szCs w:val="20"/>
                <w:color w:val="B4B4B4"/>
                <w:w w:val="96"/>
              </w:rPr>
              <w:t>.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167</w:t>
            </w:r>
          </w:p>
        </w:tc>
        <w:tc>
          <w:tcPr>
            <w:tcW w:w="20" w:type="dxa"/>
            <w:vAlign w:val="bottom"/>
          </w:tcPr>
          <w:p>
            <w:pPr>
              <w:spacing w:after="0"/>
              <w:rPr>
                <w:sz w:val="24"/>
                <w:szCs w:val="24"/>
                <w:color w:val="auto"/>
              </w:rPr>
            </w:pPr>
          </w:p>
        </w:tc>
      </w:tr>
      <w:tr>
        <w:trPr>
          <w:trHeight w:val="300"/>
        </w:trPr>
        <w:tc>
          <w:tcPr>
            <w:tcW w:w="6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4"/>
              </w:rPr>
              <w:t xml:space="preserve">Payment of dividends </w:t>
            </w:r>
            <w:r>
              <w:rPr>
                <w:rFonts w:ascii="Arial" w:cs="Arial" w:eastAsia="Arial" w:hAnsi="Arial"/>
                <w:sz w:val="20"/>
                <w:szCs w:val="20"/>
                <w:color w:val="B4B4B4"/>
                <w:w w:val="94"/>
              </w:rPr>
              <w:t>. . . . . . . . . . . . . . . . . . . . . . . . . . . . . . . . . . . . . . . . . . . .</w:t>
            </w:r>
          </w:p>
        </w:tc>
        <w:tc>
          <w:tcPr>
            <w:tcW w:w="3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(194)</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(180)</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(167)</w:t>
            </w:r>
          </w:p>
        </w:tc>
        <w:tc>
          <w:tcPr>
            <w:tcW w:w="20" w:type="dxa"/>
            <w:vAlign w:val="bottom"/>
          </w:tcPr>
          <w:p>
            <w:pPr>
              <w:spacing w:after="0"/>
              <w:rPr>
                <w:sz w:val="24"/>
                <w:szCs w:val="24"/>
                <w:color w:val="auto"/>
              </w:rPr>
            </w:pPr>
          </w:p>
        </w:tc>
      </w:tr>
      <w:tr>
        <w:trPr>
          <w:trHeight w:val="250"/>
        </w:trPr>
        <w:tc>
          <w:tcPr>
            <w:tcW w:w="6540" w:type="dxa"/>
            <w:vAlign w:val="bottom"/>
          </w:tcPr>
          <w:p>
            <w:pPr>
              <w:jc w:val="right"/>
              <w:spacing w:after="0"/>
              <w:rPr>
                <w:sz w:val="20"/>
                <w:szCs w:val="20"/>
                <w:color w:val="auto"/>
              </w:rPr>
            </w:pPr>
            <w:r>
              <w:rPr>
                <w:rFonts w:ascii="Arial" w:cs="Arial" w:eastAsia="Arial" w:hAnsi="Arial"/>
                <w:sz w:val="20"/>
                <w:szCs w:val="20"/>
                <w:b w:val="1"/>
                <w:bCs w:val="1"/>
                <w:color w:val="B4B4B4"/>
                <w:w w:val="96"/>
              </w:rPr>
              <w:t>. . . . . . . . . . . . . . . . . . . . . . . . . . .</w:t>
            </w:r>
            <w:r>
              <w:rPr>
                <w:rFonts w:ascii="Arial" w:cs="Arial" w:eastAsia="Arial" w:hAnsi="Arial"/>
                <w:sz w:val="20"/>
                <w:szCs w:val="20"/>
                <w:b w:val="1"/>
                <w:bCs w:val="1"/>
                <w:color w:val="000000"/>
                <w:w w:val="96"/>
              </w:rPr>
              <w:t>NetCashProvidedbyFinancingActivities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1"/>
                <w:szCs w:val="21"/>
                <w:color w:val="auto"/>
              </w:rPr>
            </w:pPr>
          </w:p>
        </w:tc>
      </w:tr>
      <w:tr>
        <w:trPr>
          <w:trHeight w:val="291"/>
        </w:trPr>
        <w:tc>
          <w:tcPr>
            <w:tcW w:w="654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0"/>
              </w:rPr>
              <w:t xml:space="preserve">Net Change in Cash </w:t>
            </w:r>
            <w:r>
              <w:rPr>
                <w:rFonts w:ascii="Arial" w:cs="Arial" w:eastAsia="Arial" w:hAnsi="Arial"/>
                <w:sz w:val="20"/>
                <w:szCs w:val="20"/>
                <w:b w:val="1"/>
                <w:bCs w:val="1"/>
                <w:color w:val="B4B4B4"/>
                <w:w w:val="90"/>
              </w:rPr>
              <w:t>. . . . . . . . . . . . . . . . . . . . . . . . . . . . . . . . . . . . . . . . . . . . . . .</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275"/>
        </w:trPr>
        <w:tc>
          <w:tcPr>
            <w:tcW w:w="654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auto"/>
                <w:w w:val="90"/>
              </w:rPr>
              <w:t xml:space="preserve">Cash at Beginning of Period </w:t>
            </w:r>
            <w:r>
              <w:rPr>
                <w:rFonts w:ascii="Arial" w:cs="Arial" w:eastAsia="Arial" w:hAnsi="Arial"/>
                <w:sz w:val="20"/>
                <w:szCs w:val="20"/>
                <w:b w:val="1"/>
                <w:bCs w:val="1"/>
                <w:color w:val="B4B4B4"/>
                <w:w w:val="90"/>
              </w:rPr>
              <w:t>. . . . . . . . . . . . . . . . . . . . . . . . . . . . . . . . . . . . . . . .</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r>
      <w:tr>
        <w:trPr>
          <w:trHeight w:val="265"/>
        </w:trPr>
        <w:tc>
          <w:tcPr>
            <w:tcW w:w="654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4B4B4"/>
                <w:w w:val="94"/>
              </w:rPr>
              <w:t>. . . . . . . . . . . . . . . . . . . . . . . . . . . . . . . . . . . . . . . . . . . . .</w:t>
            </w:r>
            <w:r>
              <w:rPr>
                <w:rFonts w:ascii="Arial" w:cs="Arial" w:eastAsia="Arial" w:hAnsi="Arial"/>
                <w:sz w:val="20"/>
                <w:szCs w:val="20"/>
                <w:b w:val="1"/>
                <w:bCs w:val="1"/>
                <w:color w:val="000000"/>
                <w:w w:val="94"/>
              </w:rPr>
              <w:t>CashatEndofPeriod</w:t>
            </w:r>
          </w:p>
        </w:tc>
        <w:tc>
          <w:tcPr>
            <w:tcW w:w="300" w:type="dxa"/>
            <w:vAlign w:val="bottom"/>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r>
      <w:tr>
        <w:trPr>
          <w:trHeight w:val="20"/>
        </w:trPr>
        <w:tc>
          <w:tcPr>
            <w:tcW w:w="654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-43815</wp:posOffset>
            </wp:positionV>
            <wp:extent cx="237807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3">
                      <a:extLst>
                        <a:ext uri="{28A0092B-C50C-407E-A947-70E740481C1C}"/>
                      </a:extLst>
                    </a:blip>
                    <a:srcRect/>
                    <a:stretch>
                      <a:fillRect/>
                    </a:stretch>
                  </pic:blipFill>
                  <pic:spPr bwMode="auto">
                    <a:xfrm>
                      <a:off x="0" y="0"/>
                      <a:ext cx="2378075" cy="5080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880" w:h="15480" w:orient="portrait"/>
          <w:cols w:equalWidth="0" w:num="1">
            <w:col w:w="10260"/>
          </w:cols>
          <w:pgMar w:left="820" w:top="360" w:right="800" w:bottom="0" w:gutter="0" w:footer="0" w:header="0"/>
          <w:type w:val="continuous"/>
        </w:sectPr>
      </w:pPr>
    </w:p>
    <w:bookmarkStart w:id="132" w:name="page133"/>
    <w:bookmarkEnd w:id="132"/>
    <w:p>
      <w:pPr>
        <w:ind w:left="9360"/>
        <w:spacing w:after="0"/>
        <w:rPr>
          <w:sz w:val="20"/>
          <w:szCs w:val="20"/>
          <w:color w:val="auto"/>
        </w:rPr>
      </w:pPr>
      <w:r>
        <w:rPr>
          <w:rFonts w:ascii="Arial" w:cs="Arial" w:eastAsia="Arial" w:hAnsi="Arial"/>
          <w:sz w:val="17"/>
          <w:szCs w:val="17"/>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Clearway Energy, Inc. (Parent)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Background and 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Background</w:t>
      </w:r>
    </w:p>
    <w:p>
      <w:pPr>
        <w:spacing w:after="0" w:line="198"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144"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8"/>
          <w:szCs w:val="18"/>
          <w:color w:val="auto"/>
        </w:rPr>
        <w:t>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w:t>
      </w:r>
    </w:p>
    <w:p>
      <w:pPr>
        <w:spacing w:after="0" w:line="121" w:lineRule="exact"/>
        <w:rPr>
          <w:sz w:val="20"/>
          <w:szCs w:val="20"/>
          <w:color w:val="auto"/>
        </w:rPr>
      </w:pPr>
    </w:p>
    <w:p>
      <w:pPr>
        <w:jc w:val="both"/>
        <w:ind w:right="20" w:firstLine="450"/>
        <w:spacing w:after="0" w:line="258" w:lineRule="auto"/>
        <w:rPr>
          <w:sz w:val="20"/>
          <w:szCs w:val="20"/>
          <w:color w:val="auto"/>
        </w:rPr>
      </w:pPr>
      <w:r>
        <w:rPr>
          <w:rFonts w:ascii="Arial" w:cs="Arial" w:eastAsia="Arial" w:hAnsi="Arial"/>
          <w:sz w:val="20"/>
          <w:szCs w:val="20"/>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44"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As of December 31, 2024, the Company owned 58.10% of the economic interests of Clearway Energy LLC, with CEG owning 41.90% of the economic interests of Clearway Energy LLC.</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98" w:lineRule="exact"/>
        <w:rPr>
          <w:sz w:val="20"/>
          <w:szCs w:val="20"/>
          <w:color w:val="auto"/>
        </w:rPr>
      </w:pPr>
    </w:p>
    <w:p>
      <w:pPr>
        <w:jc w:val="both"/>
        <w:ind w:right="20" w:firstLine="450"/>
        <w:spacing w:after="0" w:line="275" w:lineRule="auto"/>
        <w:rPr>
          <w:sz w:val="20"/>
          <w:szCs w:val="20"/>
          <w:color w:val="auto"/>
        </w:rPr>
      </w:pPr>
      <w:r>
        <w:rPr>
          <w:rFonts w:ascii="Arial" w:cs="Arial" w:eastAsia="Arial" w:hAnsi="Arial"/>
          <w:sz w:val="19"/>
          <w:szCs w:val="19"/>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Long-Term Debt</w:t>
      </w:r>
    </w:p>
    <w:p>
      <w:pPr>
        <w:spacing w:after="0" w:line="194" w:lineRule="exact"/>
        <w:rPr>
          <w:sz w:val="20"/>
          <w:szCs w:val="20"/>
          <w:color w:val="auto"/>
        </w:rPr>
      </w:pPr>
    </w:p>
    <w:p>
      <w:pPr>
        <w:jc w:val="both"/>
        <w:ind w:right="20" w:firstLine="450"/>
        <w:spacing w:after="0" w:line="286" w:lineRule="auto"/>
        <w:rPr>
          <w:sz w:val="20"/>
          <w:szCs w:val="20"/>
          <w:color w:val="auto"/>
        </w:rPr>
      </w:pPr>
      <w:r>
        <w:rPr>
          <w:rFonts w:ascii="Arial" w:cs="Arial" w:eastAsia="Arial" w:hAnsi="Arial"/>
          <w:sz w:val="20"/>
          <w:szCs w:val="20"/>
          <w:color w:val="auto"/>
        </w:rPr>
        <w:t xml:space="preserve">For a discussion of Clearway Energy, Inc.’s financing arrangements, see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xml:space="preserve"> to the Company’s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Commitments, Contingencies and Guarantees</w:t>
      </w:r>
    </w:p>
    <w:p>
      <w:pPr>
        <w:spacing w:after="0" w:line="194" w:lineRule="exact"/>
        <w:rPr>
          <w:sz w:val="20"/>
          <w:szCs w:val="20"/>
          <w:color w:val="auto"/>
        </w:rPr>
      </w:pPr>
    </w:p>
    <w:p>
      <w:pPr>
        <w:jc w:val="both"/>
        <w:ind w:right="20" w:firstLine="450"/>
        <w:spacing w:after="0" w:line="314" w:lineRule="auto"/>
        <w:rPr>
          <w:sz w:val="20"/>
          <w:szCs w:val="20"/>
          <w:color w:val="auto"/>
        </w:rPr>
      </w:pPr>
      <w:r>
        <w:rPr>
          <w:rFonts w:ascii="Arial" w:cs="Arial" w:eastAsia="Arial" w:hAnsi="Arial"/>
          <w:sz w:val="19"/>
          <w:szCs w:val="19"/>
          <w:color w:val="auto"/>
        </w:rPr>
        <w:t xml:space="preserve">See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xml:space="preserve"> and Note 16, </w:t>
      </w: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 xml:space="preserve"> to the Company’s consolidated financial statements for a detailed discussion of Clearway Energy, Inc.’s commitments and contingencies.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Dividends</w:t>
      </w:r>
    </w:p>
    <w:p>
      <w:pPr>
        <w:spacing w:after="0" w:line="197" w:lineRule="exact"/>
        <w:rPr>
          <w:sz w:val="20"/>
          <w:szCs w:val="20"/>
          <w:color w:val="auto"/>
        </w:rPr>
      </w:pPr>
    </w:p>
    <w:p>
      <w:pPr>
        <w:jc w:val="both"/>
        <w:ind w:right="20" w:firstLine="450"/>
        <w:spacing w:after="0" w:line="283" w:lineRule="auto"/>
        <w:rPr>
          <w:sz w:val="20"/>
          <w:szCs w:val="20"/>
          <w:color w:val="auto"/>
        </w:rPr>
      </w:pPr>
      <w:r>
        <w:rPr>
          <w:rFonts w:ascii="Arial" w:cs="Arial" w:eastAsia="Arial" w:hAnsi="Arial"/>
          <w:sz w:val="20"/>
          <w:szCs w:val="20"/>
          <w:color w:val="auto"/>
        </w:rPr>
        <w:t>Cash distributions paid to Clearway Energy, Inc. by its subsidiary, Clearway Energy LLC, were $194 million, $180 million and $167 million for the years ended December 31, 2024, 2023, and 2022, respectively.</w:t>
      </w: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880" w:h="15480" w:orient="portrait"/>
          <w:cols w:equalWidth="0" w:num="1">
            <w:col w:w="10260"/>
          </w:cols>
          <w:pgMar w:left="820" w:top="360" w:right="800" w:bottom="0" w:gutter="0" w:footer="0" w:header="0"/>
          <w:type w:val="continuous"/>
        </w:sectPr>
      </w:pPr>
    </w:p>
    <w:bookmarkStart w:id="133" w:name="page134"/>
    <w:bookmarkEnd w:id="133"/>
    <w:p>
      <w:pPr>
        <w:jc w:val="center"/>
        <w:ind w:right="20"/>
        <w:spacing w:after="0"/>
        <w:rPr>
          <w:sz w:val="20"/>
          <w:szCs w:val="20"/>
          <w:color w:val="auto"/>
        </w:rPr>
      </w:pPr>
      <w:r>
        <w:rPr>
          <w:rFonts w:ascii="Arial" w:cs="Arial" w:eastAsia="Arial" w:hAnsi="Arial"/>
          <w:sz w:val="20"/>
          <w:szCs w:val="20"/>
          <w:b w:val="1"/>
          <w:bCs w:val="1"/>
          <w:color w:val="auto"/>
        </w:rPr>
        <w:t>SCHEDULE II. VALUATION AND QUALIFYING ACCOUNTS</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 the Years Ended December 31, 2024, 2023, and 2022</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Balance at</w:t>
            </w:r>
          </w:p>
        </w:tc>
        <w:tc>
          <w:tcPr>
            <w:tcW w:w="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Charged to</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auto"/>
                <w:w w:val="89"/>
              </w:rPr>
              <w:t>Charged to</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60"/>
        </w:trPr>
        <w:tc>
          <w:tcPr>
            <w:tcW w:w="5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0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87"/>
              </w:rPr>
              <w:t>Beginning 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4"/>
              <w:spacing w:after="0" w:line="160" w:lineRule="exact"/>
              <w:rPr>
                <w:sz w:val="20"/>
                <w:szCs w:val="20"/>
                <w:color w:val="auto"/>
              </w:rPr>
            </w:pPr>
            <w:r>
              <w:rPr>
                <w:rFonts w:ascii="Arial" w:cs="Arial" w:eastAsia="Arial" w:hAnsi="Arial"/>
                <w:sz w:val="16"/>
                <w:szCs w:val="16"/>
                <w:b w:val="1"/>
                <w:bCs w:val="1"/>
                <w:color w:val="auto"/>
                <w:w w:val="87"/>
              </w:rPr>
              <w:t>Costs and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560" w:type="dxa"/>
            <w:vAlign w:val="bottom"/>
            <w:tcBorders>
              <w:bottom w:val="single" w:sz="8" w:color="E6E6E6"/>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Expenses</w:t>
            </w:r>
          </w:p>
        </w:tc>
        <w:tc>
          <w:tcPr>
            <w:tcW w:w="8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Other Accounts</w:t>
            </w:r>
          </w:p>
        </w:tc>
        <w:tc>
          <w:tcPr>
            <w:tcW w:w="80" w:type="dxa"/>
            <w:vAlign w:val="bottom"/>
            <w:tcBorders>
              <w:bottom w:val="single" w:sz="8" w:color="E6E6E6"/>
            </w:tcBorders>
          </w:tcPr>
          <w:p>
            <w:pPr>
              <w:spacing w:after="0"/>
              <w:rPr>
                <w:sz w:val="18"/>
                <w:szCs w:val="18"/>
                <w:color w:val="auto"/>
              </w:rPr>
            </w:pPr>
          </w:p>
        </w:tc>
        <w:tc>
          <w:tcPr>
            <w:tcW w:w="1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6"/>
                <w:szCs w:val="16"/>
                <w:b w:val="1"/>
                <w:bCs w:val="1"/>
                <w:color w:val="auto"/>
                <w:w w:val="98"/>
              </w:rPr>
              <w:t>End of Period</w:t>
            </w:r>
          </w:p>
        </w:tc>
        <w:tc>
          <w:tcPr>
            <w:tcW w:w="0" w:type="dxa"/>
            <w:vAlign w:val="bottom"/>
          </w:tcPr>
          <w:p>
            <w:pPr>
              <w:spacing w:after="0"/>
              <w:rPr>
                <w:sz w:val="1"/>
                <w:szCs w:val="1"/>
                <w:color w:val="auto"/>
              </w:rPr>
            </w:pPr>
          </w:p>
        </w:tc>
      </w:tr>
      <w:tr>
        <w:trPr>
          <w:trHeight w:val="275"/>
        </w:trPr>
        <w:tc>
          <w:tcPr>
            <w:tcW w:w="55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w w:val="95"/>
              </w:rPr>
              <w:t>Income tax valuation allowance, deducted from deferred tax assets</w:t>
            </w:r>
          </w:p>
        </w:tc>
        <w:tc>
          <w:tcPr>
            <w:tcW w:w="140" w:type="dxa"/>
            <w:vAlign w:val="bottom"/>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0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560" w:type="dxa"/>
            <w:vAlign w:val="bottom"/>
          </w:tcPr>
          <w:p>
            <w:pPr>
              <w:ind w:left="40"/>
              <w:spacing w:after="0"/>
              <w:rPr>
                <w:sz w:val="20"/>
                <w:szCs w:val="20"/>
                <w:color w:val="auto"/>
              </w:rPr>
            </w:pPr>
            <w:r>
              <w:rPr>
                <w:rFonts w:ascii="Arial" w:cs="Arial" w:eastAsia="Arial" w:hAnsi="Arial"/>
                <w:sz w:val="18"/>
                <w:szCs w:val="18"/>
                <w:color w:val="auto"/>
                <w:w w:val="91"/>
              </w:rPr>
              <w:t xml:space="preserve">Year Ended December 31, 2024  </w:t>
            </w:r>
            <w:r>
              <w:rPr>
                <w:rFonts w:ascii="Arial" w:cs="Arial" w:eastAsia="Arial" w:hAnsi="Arial"/>
                <w:sz w:val="18"/>
                <w:szCs w:val="18"/>
                <w:color w:val="B4B4B4"/>
                <w:w w:val="91"/>
              </w:rPr>
              <w:t>. . . . . . . . . . . . . . . . . . . . . . . . . . . . . . . . .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7"/>
        </w:trPr>
        <w:tc>
          <w:tcPr>
            <w:tcW w:w="5560" w:type="dxa"/>
            <w:vAlign w:val="bottom"/>
            <w:shd w:val="clear" w:color="auto" w:fill="E6E6E6"/>
          </w:tcPr>
          <w:p>
            <w:pPr>
              <w:ind w:left="40"/>
              <w:spacing w:after="0"/>
              <w:rPr>
                <w:sz w:val="20"/>
                <w:szCs w:val="20"/>
                <w:color w:val="auto"/>
              </w:rPr>
            </w:pPr>
            <w:r>
              <w:rPr>
                <w:rFonts w:ascii="Arial" w:cs="Arial" w:eastAsia="Arial" w:hAnsi="Arial"/>
                <w:sz w:val="18"/>
                <w:szCs w:val="18"/>
                <w:color w:val="auto"/>
                <w:w w:val="91"/>
              </w:rPr>
              <w:t xml:space="preserve">Year Ended December 31, 2023  </w:t>
            </w:r>
            <w:r>
              <w:rPr>
                <w:rFonts w:ascii="Arial" w:cs="Arial" w:eastAsia="Arial" w:hAnsi="Arial"/>
                <w:sz w:val="18"/>
                <w:szCs w:val="18"/>
                <w:color w:val="B4B4B4"/>
                <w:w w:val="91"/>
              </w:rPr>
              <w:t>. . . . . . . . . . . . . . . . . . . . . . . . . . . . . . . . . .</w:t>
            </w:r>
          </w:p>
        </w:tc>
        <w:tc>
          <w:tcPr>
            <w:tcW w:w="14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5"/>
        </w:trPr>
        <w:tc>
          <w:tcPr>
            <w:tcW w:w="5560" w:type="dxa"/>
            <w:vAlign w:val="bottom"/>
          </w:tcPr>
          <w:p>
            <w:pPr>
              <w:ind w:left="40"/>
              <w:spacing w:after="0"/>
              <w:rPr>
                <w:sz w:val="20"/>
                <w:szCs w:val="20"/>
                <w:color w:val="auto"/>
              </w:rPr>
            </w:pPr>
            <w:r>
              <w:rPr>
                <w:rFonts w:ascii="Arial" w:cs="Arial" w:eastAsia="Arial" w:hAnsi="Arial"/>
                <w:sz w:val="18"/>
                <w:szCs w:val="18"/>
                <w:color w:val="auto"/>
                <w:w w:val="91"/>
              </w:rPr>
              <w:t xml:space="preserve">Year Ended December 31, 2022  </w:t>
            </w:r>
            <w:r>
              <w:rPr>
                <w:rFonts w:ascii="Arial" w:cs="Arial" w:eastAsia="Arial" w:hAnsi="Arial"/>
                <w:sz w:val="18"/>
                <w:szCs w:val="18"/>
                <w:color w:val="B4B4B4"/>
                <w:w w:val="91"/>
              </w:rPr>
              <w:t>. . . . . . . . . . . . . . . . . . . . . . . . . . . . . . . . . .</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880" w:h="15480" w:orient="portrait"/>
          <w:cols w:equalWidth="0" w:num="1">
            <w:col w:w="10260"/>
          </w:cols>
          <w:pgMar w:left="820" w:top="360" w:right="80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65"/>
        </w:trPr>
        <w:tc>
          <w:tcPr>
            <w:tcW w:w="780" w:type="dxa"/>
            <w:vAlign w:val="bottom"/>
          </w:tcPr>
          <w:p>
            <w:pPr>
              <w:spacing w:after="0"/>
              <w:rPr>
                <w:sz w:val="23"/>
                <w:szCs w:val="23"/>
                <w:color w:val="auto"/>
              </w:rPr>
            </w:pPr>
          </w:p>
        </w:tc>
        <w:tc>
          <w:tcPr>
            <w:tcW w:w="5320" w:type="dxa"/>
            <w:vAlign w:val="bottom"/>
          </w:tcPr>
          <w:p>
            <w:pPr>
              <w:ind w:left="3500"/>
              <w:spacing w:after="0"/>
              <w:rPr>
                <w:sz w:val="20"/>
                <w:szCs w:val="20"/>
                <w:color w:val="auto"/>
              </w:rPr>
            </w:pPr>
            <w:r>
              <w:rPr>
                <w:rFonts w:ascii="Arial" w:cs="Arial" w:eastAsia="Arial" w:hAnsi="Arial"/>
                <w:sz w:val="20"/>
                <w:szCs w:val="20"/>
                <w:b w:val="1"/>
                <w:bCs w:val="1"/>
                <w:color w:val="auto"/>
              </w:rPr>
              <w:t>EXHIBIT INDEX</w:t>
            </w:r>
          </w:p>
        </w:tc>
      </w:tr>
      <w:tr>
        <w:trPr>
          <w:trHeight w:val="294"/>
        </w:trPr>
        <w:tc>
          <w:tcPr>
            <w:tcW w:w="7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32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5320" w:type="dxa"/>
            <w:vAlign w:val="bottom"/>
          </w:tcPr>
          <w:p>
            <w:pPr>
              <w:ind w:left="140"/>
              <w:spacing w:after="0"/>
              <w:rPr>
                <w:sz w:val="20"/>
                <w:szCs w:val="20"/>
                <w:color w:val="auto"/>
              </w:rPr>
            </w:pPr>
            <w:r>
              <w:rPr>
                <w:rFonts w:ascii="Arial" w:cs="Arial" w:eastAsia="Arial" w:hAnsi="Arial"/>
                <w:sz w:val="18"/>
                <w:szCs w:val="18"/>
                <w:color w:val="auto"/>
                <w:w w:val="95"/>
              </w:rPr>
              <w:t>Amended  and  Restated  Certificate  of  Incorporation  of  Clearway</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Energy, Inc.</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Fourth Amended and Restated Bylaws of Clearway Energy, Inc., dated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August 31, 2018.</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Fourth Amended and Restated Limited Liability Company Agreement</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2"/>
              </w:rPr>
              <w:t>of NRG Yield LLC, dated as of August 31, 2018, by and between NRG</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Yield, Inc. and Zephyr Renewables LLC.</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5320" w:type="dxa"/>
            <w:vAlign w:val="bottom"/>
          </w:tcPr>
          <w:p>
            <w:pPr>
              <w:ind w:left="140"/>
              <w:spacing w:after="0"/>
              <w:rPr>
                <w:sz w:val="20"/>
                <w:szCs w:val="20"/>
                <w:color w:val="auto"/>
              </w:rPr>
            </w:pPr>
            <w:r>
              <w:rPr>
                <w:rFonts w:ascii="Arial" w:cs="Arial" w:eastAsia="Arial" w:hAnsi="Arial"/>
                <w:sz w:val="18"/>
                <w:szCs w:val="18"/>
                <w:color w:val="auto"/>
              </w:rPr>
              <w:t>Specimen Class A Common Stock Certificate.</w:t>
            </w:r>
          </w:p>
        </w:tc>
      </w:tr>
      <w:tr>
        <w:trPr>
          <w:trHeight w:val="645"/>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5320" w:type="dxa"/>
            <w:vAlign w:val="bottom"/>
          </w:tcPr>
          <w:p>
            <w:pPr>
              <w:ind w:left="140"/>
              <w:spacing w:after="0"/>
              <w:rPr>
                <w:sz w:val="20"/>
                <w:szCs w:val="20"/>
                <w:color w:val="auto"/>
              </w:rPr>
            </w:pPr>
            <w:r>
              <w:rPr>
                <w:rFonts w:ascii="Arial" w:cs="Arial" w:eastAsia="Arial" w:hAnsi="Arial"/>
                <w:sz w:val="18"/>
                <w:szCs w:val="18"/>
                <w:color w:val="auto"/>
              </w:rPr>
              <w:t>Specimen Class C Common Stock Certificate.</w:t>
            </w:r>
          </w:p>
        </w:tc>
      </w:tr>
      <w:tr>
        <w:trPr>
          <w:trHeight w:val="591"/>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Indenture,  dated  December  11,  2019,  among  Clearway  Energy</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8"/>
              </w:rPr>
              <w:t>Operating LLC, the guarantors named therein and Delaware Trust</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Company, as trustee.</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5320" w:type="dxa"/>
            <w:vAlign w:val="bottom"/>
          </w:tcPr>
          <w:p>
            <w:pPr>
              <w:ind w:left="140"/>
              <w:spacing w:after="0"/>
              <w:rPr>
                <w:sz w:val="20"/>
                <w:szCs w:val="20"/>
                <w:color w:val="auto"/>
              </w:rPr>
            </w:pPr>
            <w:r>
              <w:rPr>
                <w:rFonts w:ascii="Arial" w:cs="Arial" w:eastAsia="Arial" w:hAnsi="Arial"/>
                <w:sz w:val="18"/>
                <w:szCs w:val="18"/>
                <w:color w:val="auto"/>
              </w:rPr>
              <w:t>Form of 4.750% Senior Notes due 2028.</w:t>
            </w:r>
          </w:p>
        </w:tc>
      </w:tr>
      <w:tr>
        <w:trPr>
          <w:trHeight w:val="591"/>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5320" w:type="dxa"/>
            <w:vAlign w:val="bottom"/>
          </w:tcPr>
          <w:p>
            <w:pPr>
              <w:ind w:left="140"/>
              <w:spacing w:after="0"/>
              <w:rPr>
                <w:sz w:val="20"/>
                <w:szCs w:val="20"/>
                <w:color w:val="auto"/>
              </w:rPr>
            </w:pPr>
            <w:r>
              <w:rPr>
                <w:rFonts w:ascii="Arial" w:cs="Arial" w:eastAsia="Arial" w:hAnsi="Arial"/>
                <w:sz w:val="18"/>
                <w:szCs w:val="18"/>
                <w:color w:val="auto"/>
                <w:w w:val="97"/>
              </w:rPr>
              <w:t>First Supplemental Indenture, dated as of January 6, 2020,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5320" w:type="dxa"/>
            <w:vAlign w:val="bottom"/>
          </w:tcPr>
          <w:p>
            <w:pPr>
              <w:ind w:left="140"/>
              <w:spacing w:after="0"/>
              <w:rPr>
                <w:sz w:val="20"/>
                <w:szCs w:val="20"/>
                <w:color w:val="auto"/>
              </w:rPr>
            </w:pPr>
            <w:r>
              <w:rPr>
                <w:rFonts w:ascii="Arial" w:cs="Arial" w:eastAsia="Arial" w:hAnsi="Arial"/>
                <w:sz w:val="18"/>
                <w:szCs w:val="18"/>
                <w:color w:val="auto"/>
                <w:w w:val="89"/>
              </w:rPr>
              <w:t>Second Supplemental Indenture, dated as of February 26, 2020,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5320" w:type="dxa"/>
            <w:vAlign w:val="bottom"/>
          </w:tcPr>
          <w:p>
            <w:pPr>
              <w:ind w:left="140"/>
              <w:spacing w:after="0"/>
              <w:rPr>
                <w:sz w:val="20"/>
                <w:szCs w:val="20"/>
                <w:color w:val="auto"/>
              </w:rPr>
            </w:pPr>
            <w:r>
              <w:rPr>
                <w:rFonts w:ascii="Arial" w:cs="Arial" w:eastAsia="Arial" w:hAnsi="Arial"/>
                <w:sz w:val="18"/>
                <w:szCs w:val="18"/>
                <w:color w:val="auto"/>
              </w:rPr>
              <w:t>Third Supplemental Indenture, dated as of July 17, 2020,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Fourth Supplemental Indenture, dated as of August 17, 2020,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4.10</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Fifth Supplemental Indenture, dated as of November 18, 2020,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4.11</w:t>
            </w: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Sixth Supplemental Indenture, dated as of December 1, 2020,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4.12</w:t>
            </w:r>
          </w:p>
        </w:tc>
        <w:tc>
          <w:tcPr>
            <w:tcW w:w="5320" w:type="dxa"/>
            <w:vAlign w:val="bottom"/>
          </w:tcPr>
          <w:p>
            <w:pPr>
              <w:ind w:left="140"/>
              <w:spacing w:after="0"/>
              <w:rPr>
                <w:sz w:val="20"/>
                <w:szCs w:val="20"/>
                <w:color w:val="auto"/>
              </w:rPr>
            </w:pPr>
            <w:r>
              <w:rPr>
                <w:rFonts w:ascii="Arial" w:cs="Arial" w:eastAsia="Arial" w:hAnsi="Arial"/>
                <w:sz w:val="18"/>
                <w:szCs w:val="18"/>
                <w:color w:val="auto"/>
                <w:w w:val="97"/>
              </w:rPr>
              <w:t>Seventh Supplemental Indenture, dated as of December 23, 2020,</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1"/>
              </w:rPr>
              <w:t>among Clearway Energy Operating LLC, the guarantors named therein</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and 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4.13</w:t>
            </w: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Eighth Supplemental Indenture, dated as of February 3, 2021,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4.14</w:t>
            </w:r>
          </w:p>
        </w:tc>
        <w:tc>
          <w:tcPr>
            <w:tcW w:w="5320" w:type="dxa"/>
            <w:vAlign w:val="bottom"/>
          </w:tcPr>
          <w:p>
            <w:pPr>
              <w:ind w:left="120"/>
              <w:spacing w:after="0"/>
              <w:rPr>
                <w:sz w:val="20"/>
                <w:szCs w:val="20"/>
                <w:color w:val="auto"/>
              </w:rPr>
            </w:pPr>
            <w:r>
              <w:rPr>
                <w:rFonts w:ascii="Arial" w:cs="Arial" w:eastAsia="Arial" w:hAnsi="Arial"/>
                <w:sz w:val="18"/>
                <w:szCs w:val="18"/>
                <w:color w:val="auto"/>
                <w:w w:val="95"/>
              </w:rPr>
              <w:t>Indenture, dated March 9, 2021, among Clearway Energy Operating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3"/>
              </w:rPr>
              <w:t>LLC, the guarantors named therein and Delaware Trust Company, as</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trustee.</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4.15</w:t>
            </w:r>
          </w:p>
        </w:tc>
        <w:tc>
          <w:tcPr>
            <w:tcW w:w="5320" w:type="dxa"/>
            <w:vAlign w:val="bottom"/>
          </w:tcPr>
          <w:p>
            <w:pPr>
              <w:ind w:left="120"/>
              <w:spacing w:after="0"/>
              <w:rPr>
                <w:sz w:val="20"/>
                <w:szCs w:val="20"/>
                <w:color w:val="auto"/>
              </w:rPr>
            </w:pPr>
            <w:r>
              <w:rPr>
                <w:rFonts w:ascii="Arial" w:cs="Arial" w:eastAsia="Arial" w:hAnsi="Arial"/>
                <w:sz w:val="18"/>
                <w:szCs w:val="18"/>
                <w:color w:val="auto"/>
              </w:rPr>
              <w:t>Form of 3.750% Senior Notes due 2031.</w:t>
            </w:r>
          </w:p>
        </w:tc>
      </w:tr>
      <w:tr>
        <w:trPr>
          <w:trHeight w:val="591"/>
        </w:trPr>
        <w:tc>
          <w:tcPr>
            <w:tcW w:w="780" w:type="dxa"/>
            <w:vAlign w:val="bottom"/>
          </w:tcPr>
          <w:p>
            <w:pPr>
              <w:spacing w:after="0"/>
              <w:rPr>
                <w:sz w:val="20"/>
                <w:szCs w:val="20"/>
                <w:color w:val="auto"/>
              </w:rPr>
            </w:pPr>
            <w:r>
              <w:rPr>
                <w:rFonts w:ascii="Arial" w:cs="Arial" w:eastAsia="Arial" w:hAnsi="Arial"/>
                <w:sz w:val="18"/>
                <w:szCs w:val="18"/>
                <w:color w:val="auto"/>
              </w:rPr>
              <w:t>4.16</w:t>
            </w:r>
          </w:p>
        </w:tc>
        <w:tc>
          <w:tcPr>
            <w:tcW w:w="5320" w:type="dxa"/>
            <w:vAlign w:val="bottom"/>
          </w:tcPr>
          <w:p>
            <w:pPr>
              <w:ind w:left="120"/>
              <w:spacing w:after="0"/>
              <w:rPr>
                <w:sz w:val="20"/>
                <w:szCs w:val="20"/>
                <w:color w:val="auto"/>
              </w:rPr>
            </w:pPr>
            <w:r>
              <w:rPr>
                <w:rFonts w:ascii="Arial" w:cs="Arial" w:eastAsia="Arial" w:hAnsi="Arial"/>
                <w:sz w:val="18"/>
                <w:szCs w:val="18"/>
                <w:color w:val="auto"/>
              </w:rPr>
              <w:t>Ninth Supplemental Indenture, dated as of May 14, 2021, among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4.17</w:t>
            </w:r>
          </w:p>
        </w:tc>
        <w:tc>
          <w:tcPr>
            <w:tcW w:w="5320" w:type="dxa"/>
            <w:vAlign w:val="bottom"/>
          </w:tcPr>
          <w:p>
            <w:pPr>
              <w:ind w:left="120"/>
              <w:spacing w:after="0"/>
              <w:rPr>
                <w:sz w:val="20"/>
                <w:szCs w:val="20"/>
                <w:color w:val="auto"/>
              </w:rPr>
            </w:pPr>
            <w:r>
              <w:rPr>
                <w:rFonts w:ascii="Arial" w:cs="Arial" w:eastAsia="Arial" w:hAnsi="Arial"/>
                <w:sz w:val="18"/>
                <w:szCs w:val="18"/>
                <w:color w:val="auto"/>
              </w:rPr>
              <w:t>First Supplemental Indenture, dated as of May 14, 2021, among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4.18</w:t>
            </w:r>
          </w:p>
        </w:tc>
        <w:tc>
          <w:tcPr>
            <w:tcW w:w="5320" w:type="dxa"/>
            <w:vAlign w:val="bottom"/>
          </w:tcPr>
          <w:p>
            <w:pPr>
              <w:ind w:left="120"/>
              <w:spacing w:after="0"/>
              <w:rPr>
                <w:sz w:val="20"/>
                <w:szCs w:val="20"/>
                <w:color w:val="auto"/>
              </w:rPr>
            </w:pPr>
            <w:r>
              <w:rPr>
                <w:rFonts w:ascii="Arial" w:cs="Arial" w:eastAsia="Arial" w:hAnsi="Arial"/>
                <w:sz w:val="18"/>
                <w:szCs w:val="18"/>
                <w:color w:val="auto"/>
                <w:w w:val="93"/>
              </w:rPr>
              <w:t>Indenture, dated October 1, 2021, among Clearway Energy Operating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3"/>
              </w:rPr>
              <w:t>LLC, the guarantors named therein and Delaware Trust Company, as</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trustee.</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4.19</w:t>
            </w:r>
          </w:p>
        </w:tc>
        <w:tc>
          <w:tcPr>
            <w:tcW w:w="5320" w:type="dxa"/>
            <w:vAlign w:val="bottom"/>
          </w:tcPr>
          <w:p>
            <w:pPr>
              <w:ind w:left="120"/>
              <w:spacing w:after="0"/>
              <w:rPr>
                <w:sz w:val="20"/>
                <w:szCs w:val="20"/>
                <w:color w:val="auto"/>
              </w:rPr>
            </w:pPr>
            <w:r>
              <w:rPr>
                <w:rFonts w:ascii="Arial" w:cs="Arial" w:eastAsia="Arial" w:hAnsi="Arial"/>
                <w:sz w:val="18"/>
                <w:szCs w:val="18"/>
                <w:color w:val="auto"/>
              </w:rPr>
              <w:t>Form of 3.750% Senior Notes due 2032.</w:t>
            </w: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Filing</w:t>
      </w:r>
    </w:p>
    <w:p>
      <w:pPr>
        <w:spacing w:after="0" w:line="8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3.1 to the Company’s Current Report on Form 10-Q filed on May 4,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3.2 to the Company’s Current Report on Form 8-K filed on September 5, 2018.</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10.6 to the Company’s Current Report on Form 8-K filed on September 5, 2018.</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4.13 to the Company’s Annual Report on Form 10-K filed on February 28,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4.14 to the Company’s Annual Report on Form 10-K filed on February 28,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 to the Company’s Current Report on Form 8-K filed on December 12,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December 12,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January 8,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March 3,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July 21,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August 20,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November 19,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December 4,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December 29,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February 5,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 to the Company’s Current Report on Form 8-K filed on March 9,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March 9,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May 19,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May 19,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 to the Company’s Current Report on Form 8-K filed on October 1,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October 1, 2021.</w:t>
      </w:r>
    </w:p>
    <w:p>
      <w:pPr>
        <w:spacing w:after="0" w:line="200" w:lineRule="exact"/>
        <w:rPr>
          <w:sz w:val="20"/>
          <w:szCs w:val="20"/>
          <w:color w:val="auto"/>
        </w:rPr>
      </w:pPr>
    </w:p>
    <w:p>
      <w:pPr>
        <w:sectPr>
          <w:pgSz w:w="11880" w:h="15480" w:orient="portrait"/>
          <w:cols w:equalWidth="0" w:num="2">
            <w:col w:w="6100" w:space="180"/>
            <w:col w:w="3840"/>
          </w:cols>
          <w:pgMar w:left="880" w:top="360" w:right="880" w:bottom="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880" w:h="15480" w:orient="portrait"/>
          <w:cols w:equalWidth="0" w:num="1">
            <w:col w:w="10120"/>
          </w:cols>
          <w:pgMar w:left="880" w:top="360" w:right="880"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32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4.20</w:t>
            </w:r>
          </w:p>
        </w:tc>
        <w:tc>
          <w:tcPr>
            <w:tcW w:w="5320" w:type="dxa"/>
            <w:vAlign w:val="bottom"/>
          </w:tcPr>
          <w:p>
            <w:pPr>
              <w:ind w:left="140"/>
              <w:spacing w:after="0"/>
              <w:rPr>
                <w:sz w:val="20"/>
                <w:szCs w:val="20"/>
                <w:color w:val="auto"/>
              </w:rPr>
            </w:pPr>
            <w:r>
              <w:rPr>
                <w:rFonts w:ascii="Arial" w:cs="Arial" w:eastAsia="Arial" w:hAnsi="Arial"/>
                <w:sz w:val="18"/>
                <w:szCs w:val="18"/>
                <w:color w:val="auto"/>
                <w:w w:val="95"/>
              </w:rPr>
              <w:t>Tenth Supplemental Indenture, dated as of October 7, 2021,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4.21</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Second Supplemental Indenture, dated as of October 7, 2021,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4.22</w:t>
            </w:r>
          </w:p>
        </w:tc>
        <w:tc>
          <w:tcPr>
            <w:tcW w:w="5320" w:type="dxa"/>
            <w:vAlign w:val="bottom"/>
          </w:tcPr>
          <w:p>
            <w:pPr>
              <w:ind w:left="140"/>
              <w:spacing w:after="0"/>
              <w:rPr>
                <w:sz w:val="20"/>
                <w:szCs w:val="20"/>
                <w:color w:val="auto"/>
              </w:rPr>
            </w:pPr>
            <w:r>
              <w:rPr>
                <w:rFonts w:ascii="Arial" w:cs="Arial" w:eastAsia="Arial" w:hAnsi="Arial"/>
                <w:sz w:val="18"/>
                <w:szCs w:val="18"/>
                <w:color w:val="auto"/>
                <w:w w:val="97"/>
              </w:rPr>
              <w:t>First Supplemental Indenture, dated as of October 7, 2021,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4.23</w:t>
            </w: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Eleventh Supplemental Indenture, dated as of May 25, 2022,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4.24</w:t>
            </w:r>
          </w:p>
        </w:tc>
        <w:tc>
          <w:tcPr>
            <w:tcW w:w="5320" w:type="dxa"/>
            <w:vAlign w:val="bottom"/>
          </w:tcPr>
          <w:p>
            <w:pPr>
              <w:ind w:left="140"/>
              <w:spacing w:after="0"/>
              <w:rPr>
                <w:sz w:val="20"/>
                <w:szCs w:val="20"/>
                <w:color w:val="auto"/>
              </w:rPr>
            </w:pPr>
            <w:r>
              <w:rPr>
                <w:rFonts w:ascii="Arial" w:cs="Arial" w:eastAsia="Arial" w:hAnsi="Arial"/>
                <w:sz w:val="18"/>
                <w:szCs w:val="18"/>
                <w:color w:val="auto"/>
              </w:rPr>
              <w:t>Third Supplemental Indenture, dated as of May 25, 2022,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4.25</w:t>
            </w: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Second Supplemental Indenture, dated as of May 25, 2022,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4.26</w:t>
            </w: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Twelfth Supplemental Indenture, dated as of February 14, 2023,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4.27</w:t>
            </w: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Fourth Supplemental Indenture, dated as of February 14, 2023,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4.28</w:t>
            </w: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Third Supplemental Indenture, dated as of February 14, 2023,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4.29</w:t>
            </w:r>
          </w:p>
        </w:tc>
        <w:tc>
          <w:tcPr>
            <w:tcW w:w="5320" w:type="dxa"/>
            <w:vAlign w:val="bottom"/>
          </w:tcPr>
          <w:p>
            <w:pPr>
              <w:ind w:left="140"/>
              <w:spacing w:after="0"/>
              <w:rPr>
                <w:sz w:val="20"/>
                <w:szCs w:val="20"/>
                <w:color w:val="auto"/>
              </w:rPr>
            </w:pPr>
            <w:r>
              <w:rPr>
                <w:rFonts w:ascii="Arial" w:cs="Arial" w:eastAsia="Arial" w:hAnsi="Arial"/>
                <w:sz w:val="18"/>
                <w:szCs w:val="18"/>
                <w:color w:val="auto"/>
              </w:rPr>
              <w:t>Description of Securities.</w:t>
            </w:r>
          </w:p>
        </w:tc>
      </w:tr>
      <w:tr>
        <w:trPr>
          <w:trHeight w:val="231"/>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Zephyr Voting and Governance Agreement, dated as of August 31,</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2018, by and between NRG Yield, Inc. and Zephyr Renewables LLC.</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5320" w:type="dxa"/>
            <w:vAlign w:val="bottom"/>
          </w:tcPr>
          <w:p>
            <w:pPr>
              <w:ind w:left="140"/>
              <w:spacing w:after="0"/>
              <w:rPr>
                <w:sz w:val="20"/>
                <w:szCs w:val="20"/>
                <w:color w:val="auto"/>
              </w:rPr>
            </w:pPr>
            <w:r>
              <w:rPr>
                <w:rFonts w:ascii="Arial" w:cs="Arial" w:eastAsia="Arial" w:hAnsi="Arial"/>
                <w:sz w:val="18"/>
                <w:szCs w:val="18"/>
                <w:color w:val="auto"/>
                <w:w w:val="89"/>
              </w:rPr>
              <w:t>Transition Services Agreement, dated August 31, 2018, by and between</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NRG Yield, Inc. and NRG Energy, Inc.</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Termination Agreement, dated as of August 31, 2018, by and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rPr>
              <w:t>NRG Yield, Inc., NRG Yield LLC, NRG Yield Operating LLC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NRG Energy, Inc.</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5320" w:type="dxa"/>
            <w:vAlign w:val="bottom"/>
          </w:tcPr>
          <w:p>
            <w:pPr>
              <w:ind w:left="140"/>
              <w:spacing w:after="0"/>
              <w:rPr>
                <w:sz w:val="20"/>
                <w:szCs w:val="20"/>
                <w:color w:val="auto"/>
              </w:rPr>
            </w:pPr>
            <w:r>
              <w:rPr>
                <w:rFonts w:ascii="Arial" w:cs="Arial" w:eastAsia="Arial" w:hAnsi="Arial"/>
                <w:sz w:val="18"/>
                <w:szCs w:val="18"/>
                <w:color w:val="auto"/>
              </w:rPr>
              <w:t>Form of Indemnification Agreement.</w:t>
            </w:r>
          </w:p>
        </w:tc>
      </w:tr>
      <w:tr>
        <w:trPr>
          <w:trHeight w:val="591"/>
        </w:trPr>
        <w:tc>
          <w:tcPr>
            <w:tcW w:w="780" w:type="dxa"/>
            <w:vAlign w:val="bottom"/>
          </w:tcPr>
          <w:p>
            <w:pPr>
              <w:spacing w:after="0"/>
              <w:rPr>
                <w:sz w:val="20"/>
                <w:szCs w:val="20"/>
                <w:color w:val="auto"/>
              </w:rPr>
            </w:pPr>
            <w:r>
              <w:rPr>
                <w:rFonts w:ascii="Arial" w:cs="Arial" w:eastAsia="Arial" w:hAnsi="Arial"/>
                <w:sz w:val="18"/>
                <w:szCs w:val="18"/>
                <w:color w:val="auto"/>
              </w:rPr>
              <w:t>10.5.1</w:t>
            </w: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Amended and Restated Credit Agreement, dated April 25, 2014, by and</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8"/>
              </w:rPr>
              <w:t>among NRG Yield Operating LLC, NRG Yield LLC, Royal Bank of</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0"/>
              </w:rPr>
              <w:t>Canada, as Administrative Agent, the lenders party thereto, Royal Bank</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2"/>
              </w:rPr>
              <w:t>of Canada, Goldman Sachs Bank USA and Bank of America, N.A., as</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3"/>
              </w:rPr>
              <w:t>L/C Issuers and RBC Capital Markets as Sole Left Lead Arranger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Sole Left Lead Book Runner.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10.5.2</w:t>
            </w:r>
          </w:p>
        </w:tc>
        <w:tc>
          <w:tcPr>
            <w:tcW w:w="5320" w:type="dxa"/>
            <w:vAlign w:val="bottom"/>
          </w:tcPr>
          <w:p>
            <w:pPr>
              <w:ind w:left="120"/>
              <w:spacing w:after="0"/>
              <w:rPr>
                <w:sz w:val="20"/>
                <w:szCs w:val="20"/>
                <w:color w:val="auto"/>
              </w:rPr>
            </w:pPr>
            <w:r>
              <w:rPr>
                <w:rFonts w:ascii="Arial" w:cs="Arial" w:eastAsia="Arial" w:hAnsi="Arial"/>
                <w:sz w:val="18"/>
                <w:szCs w:val="18"/>
                <w:color w:val="auto"/>
                <w:w w:val="96"/>
              </w:rPr>
              <w:t>First Amendment to Amended &amp; Restated Credit Agreement, dated</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4"/>
              </w:rPr>
              <w:t>June 26, 2015, by and among NRG Yield Operating LLC, NRG Yield</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LLC, Royal Bank of Canada and the Lenders party thereto.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10.5.3</w:t>
            </w:r>
          </w:p>
        </w:tc>
        <w:tc>
          <w:tcPr>
            <w:tcW w:w="5320" w:type="dxa"/>
            <w:vAlign w:val="bottom"/>
          </w:tcPr>
          <w:p>
            <w:pPr>
              <w:ind w:left="120"/>
              <w:spacing w:after="0"/>
              <w:rPr>
                <w:sz w:val="20"/>
                <w:szCs w:val="20"/>
                <w:color w:val="auto"/>
              </w:rPr>
            </w:pPr>
            <w:r>
              <w:rPr>
                <w:rFonts w:ascii="Arial" w:cs="Arial" w:eastAsia="Arial" w:hAnsi="Arial"/>
                <w:sz w:val="18"/>
                <w:szCs w:val="18"/>
                <w:color w:val="auto"/>
                <w:w w:val="92"/>
              </w:rPr>
              <w:t>Second Amendment to Amended &amp; Restated Credit Agreement, dated</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8"/>
              </w:rPr>
              <w:t>February 6, 2018, by and among NRG Yield Operating LLC, NRG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7"/>
              </w:rPr>
              <w:t>Yield LLC, the guarantors party thereto, Royal Bank of Canada, as</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Administrative Agent, and the lenders party thereto.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10.5.4</w:t>
            </w:r>
          </w:p>
        </w:tc>
        <w:tc>
          <w:tcPr>
            <w:tcW w:w="5320" w:type="dxa"/>
            <w:vAlign w:val="bottom"/>
          </w:tcPr>
          <w:p>
            <w:pPr>
              <w:ind w:left="120"/>
              <w:spacing w:after="0"/>
              <w:rPr>
                <w:sz w:val="20"/>
                <w:szCs w:val="20"/>
                <w:color w:val="auto"/>
              </w:rPr>
            </w:pPr>
            <w:r>
              <w:rPr>
                <w:rFonts w:ascii="Arial" w:cs="Arial" w:eastAsia="Arial" w:hAnsi="Arial"/>
                <w:sz w:val="18"/>
                <w:szCs w:val="18"/>
                <w:color w:val="auto"/>
                <w:w w:val="96"/>
              </w:rPr>
              <w:t>Third Amendment to Amended and Restated Credit Agreement and</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3"/>
              </w:rPr>
              <w:t>Administrative Agent Resignation and Appointment Agreement, dated</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5"/>
              </w:rPr>
              <w:t>as of April 30, 2018, by and among NRG Yield Operating LLC, NRG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7"/>
              </w:rPr>
              <w:t>Yield LLC, the guarantors party thereto, Royal Bank of Canada, as</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9"/>
              </w:rPr>
              <w:t>Resigning Administrative Agent, JPMorgan Chase Bank, N.A., as</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Successor Administrative Agent, and the lenders party thereto.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10.5.5</w:t>
            </w:r>
          </w:p>
        </w:tc>
        <w:tc>
          <w:tcPr>
            <w:tcW w:w="5320" w:type="dxa"/>
            <w:vAlign w:val="bottom"/>
          </w:tcPr>
          <w:p>
            <w:pPr>
              <w:ind w:left="120"/>
              <w:spacing w:after="0"/>
              <w:rPr>
                <w:sz w:val="20"/>
                <w:szCs w:val="20"/>
                <w:color w:val="auto"/>
              </w:rPr>
            </w:pPr>
            <w:r>
              <w:rPr>
                <w:rFonts w:ascii="Arial" w:cs="Arial" w:eastAsia="Arial" w:hAnsi="Arial"/>
                <w:sz w:val="18"/>
                <w:szCs w:val="18"/>
                <w:color w:val="auto"/>
                <w:w w:val="90"/>
              </w:rPr>
              <w:t>Fourth Amendment to Amended and Restated Credit Agreement, dated</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3"/>
              </w:rPr>
              <w:t>as of November 30, 2018, by and among Clearway Energy Operating</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5"/>
              </w:rPr>
              <w:t>LLC, Clearway Energy LLC, the guarantors party thereto, JPMorgan</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rPr>
              <w:t>Chase Bank, N.A., as administrative agent, and the lenders party</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thereto.</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8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October 8,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October 8,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4.4 to the Company’s Current Report on Form 8-K filed on October 8,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 to the Company’s Current Report on Form 8-K filed on June 1,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June 1,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June 1,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4.1 to the Company’s Current Report on Form 8-K filed on February 21, 2023.</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4.2 to the Company’s Current Report on Form 8-K filed on February 21, 2023.</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4.3 to the Company’s Current Report on Form 8-K filed on February 21, 2023.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10.4 to the Company’s Current Report on Form 8-K filed on September 5, 2018.</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10.7 to the Company’s Current Report on Form 8-K filed on September 5, 2018.</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10.9 to the Company’s Current Report on Form 8-K filed on September 5, 2018.</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10.10 to the Company’s Annual Report on Form 10-K filed on February 28, 2019.</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28, 2014.</w:t>
      </w:r>
    </w:p>
    <w:p>
      <w:pPr>
        <w:spacing w:after="0" w:line="200" w:lineRule="exact"/>
        <w:rPr>
          <w:sz w:val="20"/>
          <w:szCs w:val="20"/>
          <w:color w:val="auto"/>
        </w:rPr>
      </w:pPr>
    </w:p>
    <w:p>
      <w:pPr>
        <w:spacing w:after="0" w:line="33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10.9 to the Company’s Quarterly Report on Form 10-Q filed on August 4, 2015.</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February 12, 2018.</w:t>
      </w:r>
    </w:p>
    <w:p>
      <w:pPr>
        <w:spacing w:after="0" w:line="23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39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6, 2018.</w:t>
      </w:r>
    </w:p>
    <w:p>
      <w:pPr>
        <w:spacing w:after="0" w:line="561" w:lineRule="exact"/>
        <w:rPr>
          <w:sz w:val="20"/>
          <w:szCs w:val="20"/>
          <w:color w:val="auto"/>
        </w:rPr>
      </w:pPr>
    </w:p>
    <w:p>
      <w:pPr>
        <w:sectPr>
          <w:pgSz w:w="11880" w:h="15480" w:orient="portrait"/>
          <w:cols w:equalWidth="0" w:num="2">
            <w:col w:w="6100" w:space="180"/>
            <w:col w:w="3840"/>
          </w:cols>
          <w:pgMar w:left="880" w:top="441" w:right="88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880" w:h="15480" w:orient="portrait"/>
          <w:cols w:equalWidth="0" w:num="1">
            <w:col w:w="10120"/>
          </w:cols>
          <w:pgMar w:left="880" w:top="441" w:right="880" w:bottom="0" w:gutter="0" w:footer="0" w:header="0"/>
          <w:type w:val="continuous"/>
        </w:sectPr>
      </w:pPr>
    </w:p>
    <w:bookmarkStart w:id="136" w:name="page137"/>
    <w:bookmarkEnd w:id="136"/>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85" w:lineRule="exact"/>
        <w:rPr>
          <w:sz w:val="20"/>
          <w:szCs w:val="20"/>
          <w:color w:val="auto"/>
        </w:rPr>
      </w:pPr>
    </w:p>
    <w:p>
      <w:pPr>
        <w:jc w:val="both"/>
        <w:ind w:left="920" w:hanging="914"/>
        <w:spacing w:after="0" w:line="221" w:lineRule="auto"/>
        <w:tabs>
          <w:tab w:leader="none" w:pos="90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Fifth Amendment to Amended and Restated Credit Agreement, dated as of December 20, 2019, by and among Clearway Energy Operating LLC, Clearway Energy LLC, the guarantors party thereto, JPMorgan Chase Bank, N.A., as administrative agent, and the lenders party thereto.</w:t>
      </w:r>
    </w:p>
    <w:p>
      <w:pPr>
        <w:spacing w:after="0" w:line="52" w:lineRule="exact"/>
        <w:rPr>
          <w:sz w:val="20"/>
          <w:szCs w:val="20"/>
          <w:color w:val="auto"/>
        </w:rPr>
      </w:pPr>
    </w:p>
    <w:p>
      <w:pPr>
        <w:jc w:val="both"/>
        <w:ind w:left="920" w:hanging="914"/>
        <w:spacing w:after="0" w:line="221" w:lineRule="auto"/>
        <w:tabs>
          <w:tab w:leader="none" w:pos="90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8"/>
          <w:szCs w:val="18"/>
          <w:color w:val="auto"/>
        </w:rPr>
        <w:t>Sixth Amendment to Amended and Restated Credit Agreement, effective as of November 30, 2021, by and among Clearway Energy Operating LLC, Clearway Energy LLC, the guarantors party thereto, JPMorgan Chase Bank, N.A., as administrative agent, and the lenders party thereto.</w:t>
      </w:r>
    </w:p>
    <w:p>
      <w:pPr>
        <w:spacing w:after="0" w:line="52" w:lineRule="exact"/>
        <w:rPr>
          <w:sz w:val="20"/>
          <w:szCs w:val="20"/>
          <w:color w:val="auto"/>
        </w:rPr>
      </w:pPr>
    </w:p>
    <w:p>
      <w:pPr>
        <w:jc w:val="both"/>
        <w:ind w:left="920" w:hanging="914"/>
        <w:spacing w:after="0" w:line="221" w:lineRule="auto"/>
        <w:tabs>
          <w:tab w:leader="none" w:pos="90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8"/>
          <w:szCs w:val="18"/>
          <w:color w:val="auto"/>
        </w:rPr>
        <w:t>Seventh Amendment to Amended and Restated Credit Agreement, entered into as of August 15, 2022, by and among Clearway Energy Operating LLC, Clearway Energy LLC, the guarantors party thereto, JPMorgan Chase Bank, N.A., as administrative agent, and the lenders party thereto.</w:t>
      </w:r>
    </w:p>
    <w:p>
      <w:pPr>
        <w:spacing w:after="0" w:line="52" w:lineRule="exact"/>
        <w:rPr>
          <w:sz w:val="20"/>
          <w:szCs w:val="20"/>
          <w:color w:val="auto"/>
        </w:rPr>
      </w:pPr>
    </w:p>
    <w:p>
      <w:pPr>
        <w:jc w:val="both"/>
        <w:ind w:left="920" w:hanging="914"/>
        <w:spacing w:after="0" w:line="221" w:lineRule="auto"/>
        <w:tabs>
          <w:tab w:leader="none" w:pos="90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8"/>
          <w:szCs w:val="18"/>
          <w:color w:val="auto"/>
        </w:rPr>
        <w:t>Eighth Amendment to Amended and Restated Credit Agreement, entered into as of March 15, 2023, by and among Clearway Energy Operating LLC, Clearway Energy LLC, the guarantors party thereto, JPMorgan Chase Bank, N.A., as administrative agent, and the lenders party thereto.</w:t>
      </w:r>
    </w:p>
    <w:p>
      <w:pPr>
        <w:spacing w:after="0" w:line="52" w:lineRule="exact"/>
        <w:rPr>
          <w:sz w:val="20"/>
          <w:szCs w:val="20"/>
          <w:color w:val="auto"/>
        </w:rPr>
      </w:pPr>
    </w:p>
    <w:p>
      <w:pPr>
        <w:jc w:val="both"/>
        <w:ind w:left="920" w:hanging="914"/>
        <w:spacing w:after="0" w:line="241"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Clearway Energy, Inc. 2013 Equity Incentive Plan Restricted Stock Unit Agreement for Officers.</w:t>
      </w:r>
    </w:p>
    <w:p>
      <w:pPr>
        <w:spacing w:after="0" w:line="229" w:lineRule="exact"/>
        <w:rPr>
          <w:sz w:val="20"/>
          <w:szCs w:val="20"/>
          <w:color w:val="auto"/>
        </w:rPr>
      </w:pPr>
    </w:p>
    <w:p>
      <w:pPr>
        <w:jc w:val="both"/>
        <w:ind w:left="920" w:hanging="914"/>
        <w:spacing w:after="0" w:line="241"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Clearway Energy, Inc. 2013 Equity Incentive Plan Restricted Stock Unit Agreement for Non-officers.</w:t>
      </w:r>
    </w:p>
    <w:p>
      <w:pPr>
        <w:spacing w:after="0" w:line="229" w:lineRule="exact"/>
        <w:rPr>
          <w:sz w:val="20"/>
          <w:szCs w:val="20"/>
          <w:color w:val="auto"/>
        </w:rPr>
      </w:pPr>
    </w:p>
    <w:p>
      <w:pPr>
        <w:jc w:val="both"/>
        <w:ind w:left="920" w:hanging="914"/>
        <w:spacing w:after="0" w:line="241"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Clearway Energy, Inc. 2013 Equity Incentive Plan Relative Performance Stock Unit Agreement.</w:t>
      </w:r>
    </w:p>
    <w:p>
      <w:pPr>
        <w:spacing w:after="0" w:line="229" w:lineRule="exact"/>
        <w:rPr>
          <w:sz w:val="20"/>
          <w:szCs w:val="20"/>
          <w:color w:val="auto"/>
        </w:rPr>
      </w:pPr>
    </w:p>
    <w:p>
      <w:pPr>
        <w:jc w:val="both"/>
        <w:ind w:left="920" w:hanging="914"/>
        <w:spacing w:after="0" w:line="221"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Consent and Indemnity Agreement, dated as of February 6, 2018, by and among NRG Energy, Inc., NRG Repowering Holdings LLC, NRG Yield, Inc., and GIP III Zephyr Acquisition Partners, L.P., and NRG Yield Operating LLC (solely with respect to Sections E.5, E.6 and G.12).</w:t>
      </w:r>
    </w:p>
    <w:p>
      <w:pPr>
        <w:spacing w:after="0" w:line="52" w:lineRule="exact"/>
        <w:rPr>
          <w:sz w:val="20"/>
          <w:szCs w:val="20"/>
          <w:color w:val="auto"/>
        </w:rPr>
      </w:pPr>
    </w:p>
    <w:p>
      <w:pPr>
        <w:jc w:val="both"/>
        <w:ind w:left="920" w:hanging="914"/>
        <w:spacing w:after="0" w:line="224"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Amended and Restated Registration Rights Agreement, dated as of May 14, 2015, by and between NRG Energy, Inc. and NRG Yield, Inc. and, pursuant to a joinder thereto, dated as of August 31, 2018, Zephyr Renewables LLC.</w:t>
      </w:r>
    </w:p>
    <w:p>
      <w:pPr>
        <w:spacing w:after="0" w:line="52" w:lineRule="exact"/>
        <w:rPr>
          <w:sz w:val="20"/>
          <w:szCs w:val="20"/>
          <w:color w:val="auto"/>
        </w:rPr>
      </w:pPr>
    </w:p>
    <w:p>
      <w:pPr>
        <w:jc w:val="both"/>
        <w:ind w:left="920" w:hanging="914"/>
        <w:spacing w:after="0" w:line="301"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Purchase and Sale Agreement, dated as of April 17, 2020, by and between Clearway Energy Operating LLC and Clearway Renew LLC.</w:t>
      </w:r>
    </w:p>
    <w:p>
      <w:pPr>
        <w:spacing w:after="0" w:line="183" w:lineRule="exact"/>
        <w:rPr>
          <w:sz w:val="20"/>
          <w:szCs w:val="20"/>
          <w:color w:val="auto"/>
        </w:rPr>
      </w:pPr>
    </w:p>
    <w:p>
      <w:pPr>
        <w:jc w:val="both"/>
        <w:ind w:left="920" w:hanging="914"/>
        <w:spacing w:after="0" w:line="230"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Membership Interest Purchase Agreement, dated as of April 17, 2020, by and between Clearway Energy Operating LLC and SP Wind Holdings, LLC.</w:t>
      </w:r>
    </w:p>
    <w:p>
      <w:pPr>
        <w:spacing w:after="0" w:line="50" w:lineRule="exact"/>
        <w:rPr>
          <w:sz w:val="20"/>
          <w:szCs w:val="20"/>
          <w:color w:val="auto"/>
        </w:rPr>
      </w:pPr>
    </w:p>
    <w:p>
      <w:pPr>
        <w:jc w:val="both"/>
        <w:ind w:left="920" w:hanging="914"/>
        <w:spacing w:after="0" w:line="230"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Membership Interest Purchase Agreement, dated as of April 17, 2020, by and between CWSP Wildorado Elbow Holding LLC and Wind TE Holdco LLC.</w:t>
      </w:r>
    </w:p>
    <w:p>
      <w:pPr>
        <w:spacing w:after="0" w:line="50" w:lineRule="exact"/>
        <w:rPr>
          <w:sz w:val="20"/>
          <w:szCs w:val="20"/>
          <w:color w:val="auto"/>
        </w:rPr>
      </w:pPr>
    </w:p>
    <w:p>
      <w:pPr>
        <w:jc w:val="both"/>
        <w:ind w:left="920" w:hanging="914"/>
        <w:spacing w:after="0" w:line="230"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Membership Interest Purchase Agreement, dated as of December 21, 2020, by and between Renew Development HoldCo LLC and Rosamond Solar Investment LLC.</w:t>
      </w:r>
    </w:p>
    <w:p>
      <w:pPr>
        <w:spacing w:after="0" w:line="50" w:lineRule="exact"/>
        <w:rPr>
          <w:sz w:val="20"/>
          <w:szCs w:val="20"/>
          <w:color w:val="auto"/>
        </w:rPr>
      </w:pPr>
    </w:p>
    <w:p>
      <w:pPr>
        <w:jc w:val="both"/>
        <w:ind w:left="920" w:hanging="914"/>
        <w:spacing w:after="0" w:line="230"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Membership Interest Purchase Agreement, dated as of December 21, 2020, by and between Clearway Renew LLC and Lighthouse Renewable Class A LLC.</w:t>
      </w:r>
    </w:p>
    <w:p>
      <w:pPr>
        <w:spacing w:after="0" w:line="50" w:lineRule="exact"/>
        <w:rPr>
          <w:sz w:val="20"/>
          <w:szCs w:val="20"/>
          <w:color w:val="auto"/>
        </w:rPr>
      </w:pPr>
    </w:p>
    <w:p>
      <w:pPr>
        <w:jc w:val="both"/>
        <w:ind w:left="920" w:hanging="914"/>
        <w:spacing w:after="0" w:line="230"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Membership Interest Purchase Agreement, dated as of December 21, 2020, by and between Clearway Renew LLC and Lighthouse Renewable Class A LLC.</w:t>
      </w:r>
    </w:p>
    <w:p>
      <w:pPr>
        <w:spacing w:after="0" w:line="50" w:lineRule="exact"/>
        <w:rPr>
          <w:sz w:val="20"/>
          <w:szCs w:val="20"/>
          <w:color w:val="auto"/>
        </w:rPr>
      </w:pPr>
    </w:p>
    <w:p>
      <w:pPr>
        <w:jc w:val="both"/>
        <w:ind w:left="900" w:hanging="914"/>
        <w:spacing w:after="0" w:line="230" w:lineRule="auto"/>
        <w:tabs>
          <w:tab w:leader="none" w:pos="8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Second Amended and Restated Limited Liability Company Agreement of Pinnacle Repowering Partnership LLC, dated as of February 26, 2021.</w:t>
      </w:r>
    </w:p>
    <w:p>
      <w:pPr>
        <w:spacing w:after="0" w:line="80" w:lineRule="exact"/>
        <w:rPr>
          <w:sz w:val="20"/>
          <w:szCs w:val="20"/>
          <w:color w:val="auto"/>
        </w:rPr>
      </w:pPr>
    </w:p>
    <w:p>
      <w:pPr>
        <w:jc w:val="both"/>
        <w:ind w:left="900" w:hanging="914"/>
        <w:spacing w:after="0" w:line="230" w:lineRule="auto"/>
        <w:tabs>
          <w:tab w:leader="none" w:pos="8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Purchase and Sale Agreement, dated as of August 20, 2021, by and between Dominion Solar Projects III, Inc. and Utah Solar Holdings II LLC.</w:t>
      </w:r>
    </w:p>
    <w:p>
      <w:pPr>
        <w:spacing w:after="0" w:line="50" w:lineRule="exact"/>
        <w:rPr>
          <w:sz w:val="20"/>
          <w:szCs w:val="20"/>
          <w:color w:val="auto"/>
        </w:rPr>
      </w:pPr>
    </w:p>
    <w:p>
      <w:pPr>
        <w:jc w:val="both"/>
        <w:ind w:left="900" w:hanging="914"/>
        <w:spacing w:after="0" w:line="230" w:lineRule="auto"/>
        <w:tabs>
          <w:tab w:leader="none" w:pos="8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Membership Interest Purchase Agreement, dated as of October 22, 2021, by and between Clearway Energy Operating LLC and KKR Thor Bidco,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8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23, 2019.</w:t>
      </w: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1, 2021.</w:t>
      </w:r>
    </w:p>
    <w:p>
      <w:pPr>
        <w:spacing w:after="0" w:line="3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August 19, 2022.</w:t>
      </w:r>
    </w:p>
    <w:p>
      <w:pPr>
        <w:spacing w:after="0" w:line="35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March 20, 2023.</w:t>
      </w:r>
    </w:p>
    <w:p>
      <w:pPr>
        <w:spacing w:after="0" w:line="200" w:lineRule="exact"/>
        <w:rPr>
          <w:sz w:val="20"/>
          <w:szCs w:val="20"/>
          <w:color w:val="auto"/>
        </w:rPr>
      </w:pP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10.22 to the Company’s Annual Report on Form 10-K filed on February 28,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10.23 to the Company’s Annual Report on Form 10-K filed on February 28,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10.24 to the Company’s Annual Report on Form 10-K filed on February 28, 2019.</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by reference to Exhibit 10.34 to the Company’s Annual Report on Form 10-K, filed on March 1, 2018.</w:t>
      </w:r>
    </w:p>
    <w:p>
      <w:pPr>
        <w:spacing w:after="0" w:line="200" w:lineRule="exact"/>
        <w:rPr>
          <w:sz w:val="20"/>
          <w:szCs w:val="20"/>
          <w:color w:val="auto"/>
        </w:rPr>
      </w:pP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May 15, 2015.</w:t>
      </w:r>
    </w:p>
    <w:p>
      <w:pPr>
        <w:spacing w:after="0" w:line="23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20,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April 20,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10.3 to the Company’s Current Report on Form 8-K filed on April 20,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22,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December 22, 2020.</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10.3 to the Company’s Current Report on Form 8-K filed on December 22, 2020.</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Incorporated by reference to Exhibit 10.31 to the Company’s Annual Report on Form 10-K, filed on March 1, 2021.</w:t>
      </w: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by reference to Exhibit 10.1 to the Company’s Current Report on Form 8-K, filed on August 23, 2021.</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by reference to Exhibit 10.1 to the Company’s Current Report on Form 8-K, filed on October 26, 2021.</w:t>
      </w:r>
    </w:p>
    <w:p>
      <w:pPr>
        <w:spacing w:after="0" w:line="200" w:lineRule="exact"/>
        <w:rPr>
          <w:sz w:val="20"/>
          <w:szCs w:val="20"/>
          <w:color w:val="auto"/>
        </w:rPr>
      </w:pPr>
    </w:p>
    <w:p>
      <w:pPr>
        <w:sectPr>
          <w:pgSz w:w="11880" w:h="15480" w:orient="portrait"/>
          <w:cols w:equalWidth="0" w:num="2">
            <w:col w:w="6100" w:space="180"/>
            <w:col w:w="3840"/>
          </w:cols>
          <w:pgMar w:left="880" w:top="441" w:right="880" w:bottom="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880" w:h="15480" w:orient="portrait"/>
          <w:cols w:equalWidth="0" w:num="1">
            <w:col w:w="10120"/>
          </w:cols>
          <w:pgMar w:left="880" w:top="441" w:right="880"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32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Senior Secured Bridge Credit Agreement, dated as of November 30,</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rPr>
              <w:t>2021, by and among Clearway Energy Operating LLC, Clearway</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4"/>
              </w:rPr>
              <w:t>Energy LLC, the guarantors party thereto, Bank of America, N.A., as</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administrative agent, and the lenders party thereto.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First Amendment to Membership Interest Purchase Agreement, dated</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1"/>
              </w:rPr>
              <w:t>as of December 17, 2021, by and among Lighthouse Renewable Class</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5"/>
              </w:rPr>
              <w:t>A LLC, Clearway Renew LLC and Clearway Energy Operating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First Amendment to Membership Interest Purchase Agreement, dated</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1"/>
              </w:rPr>
              <w:t>as of December 29, 2021, by and among Lighthouse Renewable Class</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 LLC and Clearway Renew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5320" w:type="dxa"/>
            <w:vAlign w:val="bottom"/>
          </w:tcPr>
          <w:p>
            <w:pPr>
              <w:ind w:left="140"/>
              <w:spacing w:after="0"/>
              <w:rPr>
                <w:sz w:val="20"/>
                <w:szCs w:val="20"/>
                <w:color w:val="auto"/>
              </w:rPr>
            </w:pPr>
            <w:r>
              <w:rPr>
                <w:rFonts w:ascii="Arial" w:cs="Arial" w:eastAsia="Arial" w:hAnsi="Arial"/>
                <w:sz w:val="18"/>
                <w:szCs w:val="18"/>
                <w:color w:val="auto"/>
                <w:w w:val="98"/>
              </w:rPr>
              <w:t>Clearway Energy, Inc. Involuntary Severance Plan, effective as of</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January 1, 2022.</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5320" w:type="dxa"/>
            <w:vAlign w:val="bottom"/>
          </w:tcPr>
          <w:p>
            <w:pPr>
              <w:ind w:left="140"/>
              <w:spacing w:after="0"/>
              <w:rPr>
                <w:sz w:val="20"/>
                <w:szCs w:val="20"/>
                <w:color w:val="auto"/>
              </w:rPr>
            </w:pPr>
            <w:r>
              <w:rPr>
                <w:rFonts w:ascii="Arial" w:cs="Arial" w:eastAsia="Arial" w:hAnsi="Arial"/>
                <w:sz w:val="18"/>
                <w:szCs w:val="18"/>
                <w:color w:val="auto"/>
                <w:w w:val="95"/>
              </w:rPr>
              <w:t>Clearway  Energy,  Inc.  Key  Management  Change-in-Control  and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General Severance Plan, effective as of January 1, 2022.</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Clearway  Energy,  Inc.  Executive  Change-in-Control  and  General</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Severance Plan, effective as of January 1, 2022.</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10.26*^</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Membership Interest Purchase Agreement, dated as of December 23,</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2022, by and between VP-Arica CE Seller LLC and VP-Arica Parent</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Holdco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Membership Interest Purchase Agreement, dated as of May 19, 2023,</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4"/>
              </w:rPr>
              <w:t>by and between Renew Development HoldCo LLC and Cedar Creek</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Wind Holdco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10.28†</w:t>
            </w: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Clearway Energy, Inc. Amended and Restated 2013 Equity Incentive</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Plan, as amended and restated effective January 1, 2024.</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10.29†</w:t>
            </w: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Clearway Energy, Inc. Annual Incentive Plan, as amended and restated</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effective January 1, 2024.</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10.30</w:t>
            </w:r>
          </w:p>
        </w:tc>
        <w:tc>
          <w:tcPr>
            <w:tcW w:w="5320" w:type="dxa"/>
            <w:vAlign w:val="bottom"/>
          </w:tcPr>
          <w:p>
            <w:pPr>
              <w:ind w:left="140"/>
              <w:spacing w:after="0"/>
              <w:rPr>
                <w:sz w:val="20"/>
                <w:szCs w:val="20"/>
                <w:color w:val="auto"/>
              </w:rPr>
            </w:pPr>
            <w:r>
              <w:rPr>
                <w:rFonts w:ascii="Arial" w:cs="Arial" w:eastAsia="Arial" w:hAnsi="Arial"/>
                <w:sz w:val="18"/>
                <w:szCs w:val="18"/>
                <w:color w:val="auto"/>
                <w:w w:val="89"/>
              </w:rPr>
              <w:t>Separation Agreement and General Release, dated as of April 30, 2024,</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by and between Clearway Energy, Inc. and Christopher Sotos.</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Amended and Restated Employment Agreement, dated as of April 30,</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1"/>
              </w:rPr>
              <w:t>2024, by and between Clearway Energy Group LLC, Clearway Energy,</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3"/>
              </w:rPr>
              <w:t>Inc., GIP III Zephyr Management Partners, L.P., GIP III Zephyr Midco</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Holdings, L.P. and Craig Cornelius.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Third Amended and Restated Master Services Agreement and Payroll</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7"/>
              </w:rPr>
              <w:t>Sharing Agreement, dated as of February 13, 2025, by and among</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4"/>
              </w:rPr>
              <w:t>Clearway  Energy,  Inc.,  Clearway  Energy  Finance  Inc.,  Clearway</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5"/>
              </w:rPr>
              <w:t>Energy LLC, Clearway Energy Operating LLC and Clearway Energy</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Group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Consulting Agreement, dated as of June 20, 2024, by and between</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Clearway Energy, Inc. and Christopher Sotos.</w:t>
            </w:r>
          </w:p>
        </w:tc>
      </w:tr>
      <w:tr>
        <w:trPr>
          <w:trHeight w:val="410"/>
        </w:trPr>
        <w:tc>
          <w:tcPr>
            <w:tcW w:w="780" w:type="dxa"/>
            <w:vAlign w:val="bottom"/>
          </w:tcPr>
          <w:p>
            <w:pPr>
              <w:spacing w:after="0"/>
              <w:rPr>
                <w:sz w:val="20"/>
                <w:szCs w:val="20"/>
                <w:color w:val="auto"/>
              </w:rPr>
            </w:pPr>
            <w:r>
              <w:rPr>
                <w:rFonts w:ascii="Arial" w:cs="Arial" w:eastAsia="Arial" w:hAnsi="Arial"/>
                <w:sz w:val="18"/>
                <w:szCs w:val="18"/>
                <w:color w:val="auto"/>
              </w:rPr>
              <w:t>10.34*^</w:t>
            </w: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Membership Interest Purchase Agreement, dated as of June 27, 2024,</w:t>
            </w:r>
          </w:p>
        </w:tc>
      </w:tr>
      <w:tr>
        <w:trPr>
          <w:trHeight w:val="180"/>
        </w:trPr>
        <w:tc>
          <w:tcPr>
            <w:tcW w:w="780" w:type="dxa"/>
            <w:vAlign w:val="bottom"/>
          </w:tcPr>
          <w:p>
            <w:pPr>
              <w:spacing w:after="0"/>
              <w:rPr>
                <w:sz w:val="15"/>
                <w:szCs w:val="15"/>
                <w:color w:val="auto"/>
              </w:rPr>
            </w:pPr>
          </w:p>
        </w:tc>
        <w:tc>
          <w:tcPr>
            <w:tcW w:w="5320" w:type="dxa"/>
            <w:vAlign w:val="bottom"/>
          </w:tcPr>
          <w:p>
            <w:pPr>
              <w:ind w:left="140"/>
              <w:spacing w:after="0" w:line="180" w:lineRule="exact"/>
              <w:rPr>
                <w:sz w:val="20"/>
                <w:szCs w:val="20"/>
                <w:color w:val="auto"/>
              </w:rPr>
            </w:pPr>
            <w:r>
              <w:rPr>
                <w:rFonts w:ascii="Arial" w:cs="Arial" w:eastAsia="Arial" w:hAnsi="Arial"/>
                <w:sz w:val="18"/>
                <w:szCs w:val="18"/>
                <w:color w:val="auto"/>
                <w:w w:val="93"/>
              </w:rPr>
              <w:t>by and between D1-LV CE Seller LLC and LV-Daggett Parent Holdco</w:t>
            </w:r>
          </w:p>
        </w:tc>
      </w:tr>
      <w:tr>
        <w:trPr>
          <w:trHeight w:val="235"/>
        </w:trPr>
        <w:tc>
          <w:tcPr>
            <w:tcW w:w="78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10.35</w:t>
            </w:r>
          </w:p>
        </w:tc>
        <w:tc>
          <w:tcPr>
            <w:tcW w:w="5320" w:type="dxa"/>
            <w:vAlign w:val="bottom"/>
          </w:tcPr>
          <w:p>
            <w:pPr>
              <w:ind w:left="120"/>
              <w:spacing w:after="0"/>
              <w:rPr>
                <w:sz w:val="20"/>
                <w:szCs w:val="20"/>
                <w:color w:val="auto"/>
              </w:rPr>
            </w:pPr>
            <w:r>
              <w:rPr>
                <w:rFonts w:ascii="Arial" w:cs="Arial" w:eastAsia="Arial" w:hAnsi="Arial"/>
                <w:sz w:val="18"/>
                <w:szCs w:val="18"/>
                <w:color w:val="auto"/>
                <w:w w:val="97"/>
              </w:rPr>
              <w:t>Second Amended and Restated Exchange Agreement, dated as of</w:t>
            </w:r>
          </w:p>
        </w:tc>
      </w:tr>
      <w:tr>
        <w:trPr>
          <w:trHeight w:val="180"/>
        </w:trPr>
        <w:tc>
          <w:tcPr>
            <w:tcW w:w="780" w:type="dxa"/>
            <w:vAlign w:val="bottom"/>
          </w:tcPr>
          <w:p>
            <w:pPr>
              <w:spacing w:after="0"/>
              <w:rPr>
                <w:sz w:val="15"/>
                <w:szCs w:val="15"/>
                <w:color w:val="auto"/>
              </w:rPr>
            </w:pPr>
          </w:p>
        </w:tc>
        <w:tc>
          <w:tcPr>
            <w:tcW w:w="5320" w:type="dxa"/>
            <w:vAlign w:val="bottom"/>
          </w:tcPr>
          <w:p>
            <w:pPr>
              <w:ind w:left="120"/>
              <w:spacing w:after="0" w:line="180" w:lineRule="exact"/>
              <w:rPr>
                <w:sz w:val="20"/>
                <w:szCs w:val="20"/>
                <w:color w:val="auto"/>
              </w:rPr>
            </w:pPr>
            <w:r>
              <w:rPr>
                <w:rFonts w:ascii="Arial" w:cs="Arial" w:eastAsia="Arial" w:hAnsi="Arial"/>
                <w:sz w:val="18"/>
                <w:szCs w:val="18"/>
                <w:color w:val="auto"/>
                <w:w w:val="97"/>
              </w:rPr>
              <w:t>October 28, 2024, by and among Clearway Energy, Inc., Clearway</w:t>
            </w:r>
          </w:p>
        </w:tc>
      </w:tr>
      <w:tr>
        <w:trPr>
          <w:trHeight w:val="235"/>
        </w:trPr>
        <w:tc>
          <w:tcPr>
            <w:tcW w:w="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Energy LLC and Clearway Energy Group LLC.</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16.1</w:t>
            </w:r>
          </w:p>
        </w:tc>
        <w:tc>
          <w:tcPr>
            <w:tcW w:w="5320" w:type="dxa"/>
            <w:vAlign w:val="bottom"/>
          </w:tcPr>
          <w:p>
            <w:pPr>
              <w:ind w:left="120"/>
              <w:spacing w:after="0"/>
              <w:rPr>
                <w:sz w:val="20"/>
                <w:szCs w:val="20"/>
                <w:color w:val="auto"/>
              </w:rPr>
            </w:pPr>
            <w:r>
              <w:rPr>
                <w:rFonts w:ascii="Arial" w:cs="Arial" w:eastAsia="Arial" w:hAnsi="Arial"/>
                <w:sz w:val="18"/>
                <w:szCs w:val="18"/>
                <w:color w:val="auto"/>
              </w:rPr>
              <w:t>Letter from Ernst &amp; Young LLP, dated May 10, 2024.</w:t>
            </w:r>
          </w:p>
        </w:tc>
      </w:tr>
      <w:tr>
        <w:trPr>
          <w:trHeight w:val="645"/>
        </w:trPr>
        <w:tc>
          <w:tcPr>
            <w:tcW w:w="780" w:type="dxa"/>
            <w:vAlign w:val="bottom"/>
          </w:tcPr>
          <w:p>
            <w:pPr>
              <w:spacing w:after="0"/>
              <w:rPr>
                <w:sz w:val="20"/>
                <w:szCs w:val="20"/>
                <w:color w:val="auto"/>
              </w:rPr>
            </w:pPr>
            <w:r>
              <w:rPr>
                <w:rFonts w:ascii="Arial" w:cs="Arial" w:eastAsia="Arial" w:hAnsi="Arial"/>
                <w:sz w:val="18"/>
                <w:szCs w:val="18"/>
                <w:color w:val="auto"/>
              </w:rPr>
              <w:t>19.1</w:t>
            </w:r>
          </w:p>
        </w:tc>
        <w:tc>
          <w:tcPr>
            <w:tcW w:w="5320" w:type="dxa"/>
            <w:vAlign w:val="bottom"/>
          </w:tcPr>
          <w:p>
            <w:pPr>
              <w:ind w:left="120"/>
              <w:spacing w:after="0"/>
              <w:rPr>
                <w:sz w:val="20"/>
                <w:szCs w:val="20"/>
                <w:color w:val="auto"/>
              </w:rPr>
            </w:pPr>
            <w:r>
              <w:rPr>
                <w:rFonts w:ascii="Arial" w:cs="Arial" w:eastAsia="Arial" w:hAnsi="Arial"/>
                <w:sz w:val="18"/>
                <w:szCs w:val="18"/>
                <w:color w:val="auto"/>
                <w:w w:val="96"/>
              </w:rPr>
              <w:t>Clearway Energy, Inc. Securities Trading and Nondisclosure Policy.</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5320" w:type="dxa"/>
            <w:vAlign w:val="bottom"/>
          </w:tcPr>
          <w:p>
            <w:pPr>
              <w:ind w:left="120"/>
              <w:spacing w:after="0"/>
              <w:rPr>
                <w:sz w:val="20"/>
                <w:szCs w:val="20"/>
                <w:color w:val="auto"/>
              </w:rPr>
            </w:pPr>
            <w:r>
              <w:rPr>
                <w:rFonts w:ascii="Arial" w:cs="Arial" w:eastAsia="Arial" w:hAnsi="Arial"/>
                <w:sz w:val="18"/>
                <w:szCs w:val="18"/>
                <w:color w:val="auto"/>
              </w:rPr>
              <w:t>Subsidiaries of Clearway Energy, Inc.</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5320" w:type="dxa"/>
            <w:vAlign w:val="bottom"/>
          </w:tcPr>
          <w:p>
            <w:pPr>
              <w:ind w:left="120"/>
              <w:spacing w:after="0"/>
              <w:rPr>
                <w:sz w:val="20"/>
                <w:szCs w:val="20"/>
                <w:color w:val="auto"/>
              </w:rPr>
            </w:pPr>
            <w:r>
              <w:rPr>
                <w:rFonts w:ascii="Arial" w:cs="Arial" w:eastAsia="Arial" w:hAnsi="Arial"/>
                <w:sz w:val="18"/>
                <w:szCs w:val="18"/>
                <w:color w:val="auto"/>
              </w:rPr>
              <w:t>Consent of PricewaterhouseCoopers LLP.</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5320" w:type="dxa"/>
            <w:vAlign w:val="bottom"/>
          </w:tcPr>
          <w:p>
            <w:pPr>
              <w:ind w:left="120"/>
              <w:spacing w:after="0"/>
              <w:rPr>
                <w:sz w:val="20"/>
                <w:szCs w:val="20"/>
                <w:color w:val="auto"/>
              </w:rPr>
            </w:pPr>
            <w:r>
              <w:rPr>
                <w:rFonts w:ascii="Arial" w:cs="Arial" w:eastAsia="Arial" w:hAnsi="Arial"/>
                <w:sz w:val="18"/>
                <w:szCs w:val="18"/>
                <w:color w:val="auto"/>
              </w:rPr>
              <w:t>Consent of Ernst &amp; Young LLP.</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5320" w:type="dxa"/>
            <w:vAlign w:val="bottom"/>
          </w:tcPr>
          <w:p>
            <w:pPr>
              <w:ind w:left="120"/>
              <w:spacing w:after="0"/>
              <w:rPr>
                <w:sz w:val="20"/>
                <w:szCs w:val="20"/>
                <w:color w:val="auto"/>
              </w:rPr>
            </w:pPr>
            <w:r>
              <w:rPr>
                <w:rFonts w:ascii="Arial" w:cs="Arial" w:eastAsia="Arial" w:hAnsi="Arial"/>
                <w:sz w:val="18"/>
                <w:szCs w:val="18"/>
                <w:color w:val="auto"/>
              </w:rPr>
              <w:t>Power of Attorney</w:t>
            </w:r>
          </w:p>
        </w:tc>
      </w:tr>
      <w:tr>
        <w:trPr>
          <w:trHeight w:val="465"/>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5320" w:type="dxa"/>
            <w:vAlign w:val="bottom"/>
          </w:tcPr>
          <w:p>
            <w:pPr>
              <w:ind w:left="120"/>
              <w:spacing w:after="0"/>
              <w:rPr>
                <w:sz w:val="20"/>
                <w:szCs w:val="20"/>
                <w:color w:val="auto"/>
              </w:rPr>
            </w:pPr>
            <w:r>
              <w:rPr>
                <w:rFonts w:ascii="Arial" w:cs="Arial" w:eastAsia="Arial" w:hAnsi="Arial"/>
                <w:sz w:val="18"/>
                <w:szCs w:val="18"/>
                <w:color w:val="auto"/>
              </w:rPr>
              <w:t>Rule 13a-14(a)/15d-14(a) certification of Craig Cornelius.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8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by reference to Exhibit 10.2 to the Company’s Current Report on Form 8-K, filed on December 1, 2021.</w:t>
      </w:r>
    </w:p>
    <w:p>
      <w:pPr>
        <w:spacing w:after="0" w:line="23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January 18,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January 18,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10.5 to the Company’s Quarterly Report on Form 10-Q filed on May 5,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10.6 to the Company’s Quarterly Report on Form 10-Q filed on May 5,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10.7 to the Company’s Quarterly Report on Form 10-Q filed on May 5,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29, 2022.</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May 24, 2023.</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10.33 to the Company’s Annual Report on Form 10-K filed on February 22, 2024.</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10.34 to the Company’s Annual Report on Form 10-K filed on February 22, 2024.</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30, 2024.</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April 30, 2024.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June 25, 2024.</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July 3, 2024.</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10.2 to the Company’s Quarterly Report on Form 10-Q filed on October 30, 2024.</w:t>
      </w:r>
    </w:p>
    <w:p>
      <w:pPr>
        <w:spacing w:after="0" w:line="5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Incorporated herein by reference to Exhibit 16.1 to the Company’s Current Report on Form 8-K filed on May 10, 2024.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Included on the signature page of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8" w:lineRule="exact"/>
        <w:rPr>
          <w:sz w:val="20"/>
          <w:szCs w:val="20"/>
          <w:color w:val="auto"/>
        </w:rPr>
      </w:pPr>
    </w:p>
    <w:p>
      <w:pPr>
        <w:sectPr>
          <w:pgSz w:w="11880" w:h="15480" w:orient="portrait"/>
          <w:cols w:equalWidth="0" w:num="2">
            <w:col w:w="6100" w:space="180"/>
            <w:col w:w="3840"/>
          </w:cols>
          <w:pgMar w:left="880" w:top="441" w:right="88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880" w:h="15480" w:orient="portrait"/>
          <w:cols w:equalWidth="0" w:num="1">
            <w:col w:w="10120"/>
          </w:cols>
          <w:pgMar w:left="880" w:top="441" w:right="880" w:bottom="0" w:gutter="0" w:footer="0" w:header="0"/>
          <w:type w:val="continuous"/>
        </w:sectPr>
      </w:pPr>
    </w:p>
    <w:bookmarkStart w:id="138" w:name="page139"/>
    <w:bookmarkEnd w:id="138"/>
    <w:tbl>
      <w:tblPr>
        <w:tblLayout w:type="fixed"/>
        <w:tblInd w:w="19" w:type="dxa"/>
        <w:tblCellMar>
          <w:top w:w="0" w:type="dxa"/>
          <w:left w:w="0" w:type="dxa"/>
          <w:bottom w:w="0" w:type="dxa"/>
          <w:right w:w="0" w:type="dxa"/>
        </w:tblCellMar>
      </w:tblPr>
      <w:tr>
        <w:trPr>
          <w:trHeight w:val="239"/>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4780" w:type="dxa"/>
            <w:vAlign w:val="bottom"/>
          </w:tcPr>
          <w:p>
            <w:pPr>
              <w:ind w:left="940"/>
              <w:spacing w:after="0"/>
              <w:rPr>
                <w:sz w:val="20"/>
                <w:szCs w:val="20"/>
                <w:color w:val="auto"/>
              </w:rPr>
            </w:pPr>
            <w:r>
              <w:rPr>
                <w:rFonts w:ascii="Arial" w:cs="Arial" w:eastAsia="Arial" w:hAnsi="Arial"/>
                <w:sz w:val="18"/>
                <w:szCs w:val="18"/>
                <w:b w:val="1"/>
                <w:bCs w:val="1"/>
                <w:color w:val="auto"/>
              </w:rPr>
              <w:t>Method of Filing</w:t>
            </w:r>
          </w:p>
        </w:tc>
      </w:tr>
      <w:tr>
        <w:trPr>
          <w:trHeight w:val="289"/>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48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w w:val="92"/>
              </w:rPr>
              <w:t>Rule 13a-14(a)/15d-14(a) certification of Sarah Rubenstein.</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r>
        <w:trPr>
          <w:trHeight w:val="285"/>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Section 1350 Certification.</w:t>
            </w:r>
          </w:p>
        </w:tc>
        <w:tc>
          <w:tcPr>
            <w:tcW w:w="4780" w:type="dxa"/>
            <w:vAlign w:val="bottom"/>
          </w:tcPr>
          <w:p>
            <w:pPr>
              <w:ind w:left="940"/>
              <w:spacing w:after="0"/>
              <w:rPr>
                <w:sz w:val="20"/>
                <w:szCs w:val="20"/>
                <w:color w:val="auto"/>
              </w:rPr>
            </w:pPr>
            <w:r>
              <w:rPr>
                <w:rFonts w:ascii="Arial" w:cs="Arial" w:eastAsia="Arial" w:hAnsi="Arial"/>
                <w:sz w:val="18"/>
                <w:szCs w:val="18"/>
                <w:color w:val="auto"/>
              </w:rPr>
              <w:t>Furnished herewith.</w:t>
            </w:r>
          </w:p>
        </w:tc>
      </w:tr>
      <w:tr>
        <w:trPr>
          <w:trHeight w:val="231"/>
        </w:trPr>
        <w:tc>
          <w:tcPr>
            <w:tcW w:w="320" w:type="dxa"/>
            <w:vAlign w:val="bottom"/>
          </w:tcPr>
          <w:p>
            <w:pPr>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Clearway  Energy,  Inc.  Policy  on  Recoupment  of</w:t>
            </w:r>
          </w:p>
        </w:tc>
        <w:tc>
          <w:tcPr>
            <w:tcW w:w="4780" w:type="dxa"/>
            <w:vAlign w:val="bottom"/>
          </w:tcPr>
          <w:p>
            <w:pPr>
              <w:ind w:left="100"/>
              <w:spacing w:after="0"/>
              <w:rPr>
                <w:sz w:val="20"/>
                <w:szCs w:val="20"/>
                <w:color w:val="auto"/>
              </w:rPr>
            </w:pPr>
            <w:r>
              <w:rPr>
                <w:rFonts w:ascii="Arial" w:cs="Arial" w:eastAsia="Arial" w:hAnsi="Arial"/>
                <w:sz w:val="18"/>
                <w:szCs w:val="18"/>
                <w:color w:val="auto"/>
                <w:w w:val="93"/>
              </w:rPr>
              <w:t>Incentive  Incorporated herein by reference to Exhibit 97 to the</w:t>
            </w:r>
          </w:p>
        </w:tc>
      </w:tr>
      <w:tr>
        <w:trPr>
          <w:trHeight w:val="180"/>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540" w:type="dxa"/>
            <w:vAlign w:val="bottom"/>
          </w:tcPr>
          <w:p>
            <w:pPr>
              <w:ind w:left="120"/>
              <w:spacing w:after="0" w:line="180" w:lineRule="exact"/>
              <w:rPr>
                <w:sz w:val="20"/>
                <w:szCs w:val="20"/>
                <w:color w:val="auto"/>
              </w:rPr>
            </w:pPr>
            <w:r>
              <w:rPr>
                <w:rFonts w:ascii="Arial" w:cs="Arial" w:eastAsia="Arial" w:hAnsi="Arial"/>
                <w:sz w:val="18"/>
                <w:szCs w:val="18"/>
                <w:color w:val="auto"/>
              </w:rPr>
              <w:t>Compensation.</w:t>
            </w:r>
          </w:p>
        </w:tc>
        <w:tc>
          <w:tcPr>
            <w:tcW w:w="4780" w:type="dxa"/>
            <w:vAlign w:val="bottom"/>
          </w:tcPr>
          <w:p>
            <w:pPr>
              <w:ind w:left="940"/>
              <w:spacing w:after="0" w:line="180" w:lineRule="exact"/>
              <w:rPr>
                <w:sz w:val="20"/>
                <w:szCs w:val="20"/>
                <w:color w:val="auto"/>
              </w:rPr>
            </w:pPr>
            <w:r>
              <w:rPr>
                <w:rFonts w:ascii="Arial" w:cs="Arial" w:eastAsia="Arial" w:hAnsi="Arial"/>
                <w:sz w:val="18"/>
                <w:szCs w:val="18"/>
                <w:color w:val="auto"/>
                <w:w w:val="98"/>
              </w:rPr>
              <w:t>Company’s Annual Report on Form 10-K filed on</w:t>
            </w:r>
          </w:p>
        </w:tc>
      </w:tr>
      <w:tr>
        <w:trPr>
          <w:trHeight w:val="235"/>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780" w:type="dxa"/>
            <w:vAlign w:val="bottom"/>
          </w:tcPr>
          <w:p>
            <w:pPr>
              <w:ind w:left="940"/>
              <w:spacing w:after="0"/>
              <w:rPr>
                <w:sz w:val="20"/>
                <w:szCs w:val="20"/>
                <w:color w:val="auto"/>
              </w:rPr>
            </w:pPr>
            <w:r>
              <w:rPr>
                <w:rFonts w:ascii="Arial" w:cs="Arial" w:eastAsia="Arial" w:hAnsi="Arial"/>
                <w:sz w:val="18"/>
                <w:szCs w:val="18"/>
                <w:color w:val="auto"/>
              </w:rPr>
              <w:t>February 22, 2024.</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INS</w:t>
            </w:r>
          </w:p>
        </w:tc>
        <w:tc>
          <w:tcPr>
            <w:tcW w:w="4540" w:type="dxa"/>
            <w:vAlign w:val="bottom"/>
          </w:tcPr>
          <w:p>
            <w:pPr>
              <w:ind w:left="120"/>
              <w:spacing w:after="0"/>
              <w:rPr>
                <w:sz w:val="20"/>
                <w:szCs w:val="20"/>
                <w:color w:val="auto"/>
              </w:rPr>
            </w:pPr>
            <w:r>
              <w:rPr>
                <w:rFonts w:ascii="Arial" w:cs="Arial" w:eastAsia="Arial" w:hAnsi="Arial"/>
                <w:sz w:val="18"/>
                <w:szCs w:val="18"/>
                <w:color w:val="auto"/>
              </w:rPr>
              <w:t>Inline XBRL Instance Document.</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r>
        <w:trPr>
          <w:trHeight w:val="2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SCH</w:t>
            </w:r>
          </w:p>
        </w:tc>
        <w:tc>
          <w:tcPr>
            <w:tcW w:w="4540" w:type="dxa"/>
            <w:vAlign w:val="bottom"/>
          </w:tcPr>
          <w:p>
            <w:pPr>
              <w:ind w:left="120"/>
              <w:spacing w:after="0"/>
              <w:rPr>
                <w:sz w:val="20"/>
                <w:szCs w:val="20"/>
                <w:color w:val="auto"/>
              </w:rPr>
            </w:pPr>
            <w:r>
              <w:rPr>
                <w:rFonts w:ascii="Arial" w:cs="Arial" w:eastAsia="Arial" w:hAnsi="Arial"/>
                <w:sz w:val="18"/>
                <w:szCs w:val="18"/>
                <w:color w:val="auto"/>
              </w:rPr>
              <w:t>Inline XBRL Taxonomy Extension Schema.</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r>
        <w:trPr>
          <w:trHeight w:val="2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CAL</w:t>
            </w:r>
          </w:p>
        </w:tc>
        <w:tc>
          <w:tcPr>
            <w:tcW w:w="4540" w:type="dxa"/>
            <w:vAlign w:val="bottom"/>
          </w:tcPr>
          <w:p>
            <w:pPr>
              <w:ind w:left="120"/>
              <w:spacing w:after="0"/>
              <w:rPr>
                <w:sz w:val="20"/>
                <w:szCs w:val="20"/>
                <w:color w:val="auto"/>
              </w:rPr>
            </w:pPr>
            <w:r>
              <w:rPr>
                <w:rFonts w:ascii="Arial" w:cs="Arial" w:eastAsia="Arial" w:hAnsi="Arial"/>
                <w:sz w:val="18"/>
                <w:szCs w:val="18"/>
                <w:color w:val="auto"/>
                <w:w w:val="99"/>
              </w:rPr>
              <w:t>Inline XBRL Taxonomy Extension Calculation Linkbase.</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r>
        <w:trPr>
          <w:trHeight w:val="2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DEF</w:t>
            </w:r>
          </w:p>
        </w:tc>
        <w:tc>
          <w:tcPr>
            <w:tcW w:w="454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r>
        <w:trPr>
          <w:trHeight w:val="2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LAB</w:t>
            </w:r>
          </w:p>
        </w:tc>
        <w:tc>
          <w:tcPr>
            <w:tcW w:w="454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r>
        <w:trPr>
          <w:trHeight w:val="2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PRE</w:t>
            </w:r>
          </w:p>
        </w:tc>
        <w:tc>
          <w:tcPr>
            <w:tcW w:w="4540" w:type="dxa"/>
            <w:vAlign w:val="bottom"/>
          </w:tcPr>
          <w:p>
            <w:pPr>
              <w:ind w:left="120"/>
              <w:spacing w:after="0"/>
              <w:rPr>
                <w:sz w:val="20"/>
                <w:szCs w:val="20"/>
                <w:color w:val="auto"/>
              </w:rPr>
            </w:pPr>
            <w:r>
              <w:rPr>
                <w:rFonts w:ascii="Arial" w:cs="Arial" w:eastAsia="Arial" w:hAnsi="Arial"/>
                <w:sz w:val="18"/>
                <w:szCs w:val="18"/>
                <w:color w:val="auto"/>
                <w:w w:val="96"/>
              </w:rPr>
              <w:t>Inline XBRL Taxonomy Extension Presentation Linkbase.</w:t>
            </w:r>
          </w:p>
        </w:tc>
        <w:tc>
          <w:tcPr>
            <w:tcW w:w="4780" w:type="dxa"/>
            <w:vAlign w:val="bottom"/>
          </w:tcPr>
          <w:p>
            <w:pPr>
              <w:ind w:left="940"/>
              <w:spacing w:after="0"/>
              <w:rPr>
                <w:sz w:val="20"/>
                <w:szCs w:val="20"/>
                <w:color w:val="auto"/>
              </w:rPr>
            </w:pPr>
            <w:r>
              <w:rPr>
                <w:rFonts w:ascii="Arial" w:cs="Arial" w:eastAsia="Arial" w:hAnsi="Arial"/>
                <w:sz w:val="18"/>
                <w:szCs w:val="18"/>
                <w:color w:val="auto"/>
              </w:rPr>
              <w:t>Filed herewith.</w:t>
            </w:r>
          </w:p>
        </w:tc>
      </w:tr>
    </w:tbl>
    <w:p>
      <w:pPr>
        <w:spacing w:after="0" w:line="50" w:lineRule="exact"/>
        <w:rPr>
          <w:sz w:val="20"/>
          <w:szCs w:val="20"/>
          <w:color w:val="auto"/>
        </w:rPr>
      </w:pPr>
    </w:p>
    <w:p>
      <w:pPr>
        <w:jc w:val="both"/>
        <w:ind w:left="939" w:right="4020" w:hanging="924"/>
        <w:spacing w:after="0" w:line="230" w:lineRule="auto"/>
        <w:tabs>
          <w:tab w:leader="none" w:pos="939"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Exhibit 104 because its Inline XBRL tags are embedded within the Inline XBRL document)</w:t>
      </w:r>
    </w:p>
    <w:p>
      <w:pPr>
        <w:spacing w:after="0" w:line="209" w:lineRule="exact"/>
        <w:rPr>
          <w:rFonts w:ascii="Arial" w:cs="Arial" w:eastAsia="Arial" w:hAnsi="Arial"/>
          <w:sz w:val="18"/>
          <w:szCs w:val="18"/>
          <w:color w:val="auto"/>
        </w:rPr>
      </w:pPr>
    </w:p>
    <w:p>
      <w:pPr>
        <w:ind w:left="599" w:hanging="599"/>
        <w:spacing w:after="0"/>
        <w:tabs>
          <w:tab w:leader="none" w:pos="5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exhibits that constitute compensatory plans or arrangements.</w:t>
      </w:r>
    </w:p>
    <w:p>
      <w:pPr>
        <w:spacing w:after="0" w:line="78" w:lineRule="exact"/>
        <w:rPr>
          <w:sz w:val="20"/>
          <w:szCs w:val="20"/>
          <w:color w:val="auto"/>
        </w:rPr>
      </w:pPr>
    </w:p>
    <w:p>
      <w:pPr>
        <w:ind w:left="599" w:right="200" w:hanging="599"/>
        <w:spacing w:after="0" w:line="269" w:lineRule="auto"/>
        <w:tabs>
          <w:tab w:leader="none" w:pos="599"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filing excludes schedules or similar attachments pursuant to Item 601(a)(5) of Regulation S-K, which the registrant agrees to furnish supplementary to the Securities and Exchange Commission upon request by the Commission.</w:t>
      </w:r>
    </w:p>
    <w:p>
      <w:pPr>
        <w:spacing w:after="0" w:line="162" w:lineRule="exact"/>
        <w:rPr>
          <w:sz w:val="20"/>
          <w:szCs w:val="20"/>
          <w:color w:val="auto"/>
        </w:rPr>
      </w:pPr>
    </w:p>
    <w:p>
      <w:pPr>
        <w:ind w:left="599" w:right="180" w:hanging="599"/>
        <w:spacing w:after="0" w:line="230" w:lineRule="auto"/>
        <w:tabs>
          <w:tab w:leader="none" w:pos="5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because it (i) is not material and (ii) would likely cause competitive harm to the Registrant if disclosed. The registrant agrees to furnish supplementary an unredacted copy of this exhibit to the Securities and Exchange Commission upon request.</w:t>
      </w:r>
    </w:p>
    <w:p>
      <w:pPr>
        <w:sectPr>
          <w:pgSz w:w="11880" w:h="15480" w:orient="portrait"/>
          <w:cols w:equalWidth="0" w:num="1">
            <w:col w:w="10139"/>
          </w:cols>
          <w:pgMar w:left="861" w:top="44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137</w:t>
      </w:r>
    </w:p>
    <w:p>
      <w:pPr>
        <w:sectPr>
          <w:pgSz w:w="11880" w:h="15480" w:orient="portrait"/>
          <w:cols w:equalWidth="0" w:num="1">
            <w:col w:w="10139"/>
          </w:cols>
          <w:pgMar w:left="861" w:top="441" w:right="880"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16 — Form 10-K Summary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620"/>
          </w:cols>
          <w:pgMar w:left="820" w:top="3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138</w:t>
      </w:r>
    </w:p>
    <w:p>
      <w:pPr>
        <w:sectPr>
          <w:pgSz w:w="11880" w:h="15480" w:orient="portrait"/>
          <w:cols w:equalWidth="0" w:num="1">
            <w:col w:w="9620"/>
          </w:cols>
          <w:pgMar w:left="820" w:top="360" w:right="1440" w:bottom="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SIGNATURES</w:t>
      </w:r>
    </w:p>
    <w:p>
      <w:pPr>
        <w:spacing w:after="0" w:line="197" w:lineRule="exact"/>
        <w:rPr>
          <w:sz w:val="20"/>
          <w:szCs w:val="20"/>
          <w:color w:val="auto"/>
        </w:rPr>
      </w:pPr>
    </w:p>
    <w:p>
      <w:pPr>
        <w:ind w:firstLine="315"/>
        <w:spacing w:after="0" w:line="283"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51"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CLEARWAY ENERGY, INC.</w:t>
      </w:r>
    </w:p>
    <w:p>
      <w:pPr>
        <w:ind w:left="6520"/>
        <w:spacing w:after="0"/>
        <w:rPr>
          <w:sz w:val="20"/>
          <w:szCs w:val="20"/>
          <w:color w:val="auto"/>
        </w:rPr>
      </w:pPr>
      <w:r>
        <w:rPr>
          <w:rFonts w:ascii="Arial" w:cs="Arial" w:eastAsia="Arial" w:hAnsi="Arial"/>
          <w:sz w:val="20"/>
          <w:szCs w:val="20"/>
          <w:color w:val="auto"/>
        </w:rPr>
        <w:t>(Registrant)</w:t>
      </w:r>
    </w:p>
    <w:p>
      <w:pPr>
        <w:spacing w:after="0" w:line="340"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21590</wp:posOffset>
            </wp:positionV>
            <wp:extent cx="1905000"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4">
                      <a:extLst>
                        <a:ext uri="{28A0092B-C50C-407E-A947-70E740481C1C}"/>
                      </a:extLst>
                    </a:blip>
                    <a:srcRect/>
                    <a:stretch>
                      <a:fillRect/>
                    </a:stretch>
                  </pic:blipFill>
                  <pic:spPr bwMode="auto">
                    <a:xfrm>
                      <a:off x="0" y="0"/>
                      <a:ext cx="1905000" cy="12700"/>
                    </a:xfrm>
                    <a:prstGeom prst="rect">
                      <a:avLst/>
                    </a:prstGeom>
                    <a:noFill/>
                  </pic:spPr>
                </pic:pic>
              </a:graphicData>
            </a:graphic>
          </wp:anchor>
        </w:drawing>
      </w:r>
    </w:p>
    <w:p>
      <w:pPr>
        <w:spacing w:after="0" w:line="35"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Craig Cornelius</w:t>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20"/>
          <w:szCs w:val="20"/>
          <w:b w:val="1"/>
          <w:bCs w:val="1"/>
          <w:i w:val="1"/>
          <w:iCs w:val="1"/>
          <w:color w:val="auto"/>
        </w:rPr>
        <w:t>Chief Executive Officer</w:t>
      </w:r>
    </w:p>
    <w:p>
      <w:pPr>
        <w:ind w:left="652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200" w:lineRule="exact"/>
        <w:rPr>
          <w:sz w:val="20"/>
          <w:szCs w:val="20"/>
          <w:color w:val="auto"/>
        </w:rPr>
      </w:pPr>
    </w:p>
    <w:p>
      <w:pPr>
        <w:spacing w:after="0" w:line="3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Date: February 24, 2025</w:t>
      </w:r>
    </w:p>
    <w:p>
      <w:pPr>
        <w:sectPr>
          <w:pgSz w:w="11880" w:h="15480" w:orient="portrait"/>
          <w:cols w:equalWidth="0" w:num="1">
            <w:col w:w="10240"/>
          </w:cols>
          <w:pgMar w:left="820" w:top="3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880" w:h="15480" w:orient="portrait"/>
          <w:cols w:equalWidth="0" w:num="1">
            <w:col w:w="10240"/>
          </w:cols>
          <w:pgMar w:left="820" w:top="360" w:right="820" w:bottom="0" w:gutter="0" w:footer="0" w:header="0"/>
          <w:type w:val="continuous"/>
        </w:sectPr>
      </w:pPr>
    </w:p>
    <w:bookmarkStart w:id="141" w:name="page142"/>
    <w:bookmarkEnd w:id="141"/>
    <w:p>
      <w:pPr>
        <w:jc w:val="center"/>
        <w:ind w:right="20"/>
        <w:spacing w:after="0"/>
        <w:rPr>
          <w:sz w:val="20"/>
          <w:szCs w:val="20"/>
          <w:color w:val="auto"/>
        </w:rPr>
      </w:pPr>
      <w:r>
        <w:rPr>
          <w:rFonts w:ascii="Arial" w:cs="Arial" w:eastAsia="Arial" w:hAnsi="Arial"/>
          <w:sz w:val="20"/>
          <w:szCs w:val="20"/>
          <w:b w:val="1"/>
          <w:bCs w:val="1"/>
          <w:color w:val="auto"/>
        </w:rPr>
        <w:t>POWER OF ATTORNEY</w:t>
      </w:r>
    </w:p>
    <w:p>
      <w:pPr>
        <w:spacing w:after="0" w:line="177"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8"/>
          <w:szCs w:val="18"/>
          <w:color w:val="auto"/>
        </w:rPr>
        <w:t>Each person whose signature appears below constitutes and appoints Craig Cornelius,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20" w:lineRule="exact"/>
        <w:rPr>
          <w:sz w:val="20"/>
          <w:szCs w:val="20"/>
          <w:color w:val="auto"/>
        </w:rPr>
      </w:pPr>
    </w:p>
    <w:p>
      <w:pPr>
        <w:jc w:val="both"/>
        <w:ind w:right="20" w:firstLine="495"/>
        <w:spacing w:after="0" w:line="283"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10260"/>
          </w:cols>
          <w:pgMar w:left="820" w:top="360" w:right="800" w:bottom="0" w:gutter="0" w:footer="0" w:header="0"/>
        </w:sectPr>
      </w:pPr>
    </w:p>
    <w:p>
      <w:pPr>
        <w:spacing w:after="0" w:line="202"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206692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5">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6">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Craig Cornelius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7">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7"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Sarah Rubenstein</w:t>
      </w:r>
    </w:p>
    <w:p>
      <w:pPr>
        <w:spacing w:after="0" w:line="200" w:lineRule="exact"/>
        <w:rPr>
          <w:sz w:val="20"/>
          <w:szCs w:val="20"/>
          <w:color w:val="auto"/>
        </w:rPr>
      </w:pPr>
    </w:p>
    <w:p>
      <w:pPr>
        <w:spacing w:after="0" w:line="21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8">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Jonathan Bram</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19"/>
          <w:szCs w:val="19"/>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06692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9">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47"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Nathaniel Anschuetz</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0">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Brian Ford</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1">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Bruce MacLennan</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2">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Daniel B. More</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63">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E. Stanley O’Neal</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4">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Jennifer Lowry</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EMMANUEL BARROIS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5">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Emmanuel Barrois</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19"/>
          <w:szCs w:val="19"/>
          <w:color w:val="auto"/>
        </w:rPr>
        <w:t>/s/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06692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6">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47"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Marc-Antoine Pignon</w:t>
      </w:r>
    </w:p>
    <w:p>
      <w:pPr>
        <w:spacing w:after="0" w:line="20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OLIVIER JOUNY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06692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7">
                      <a:extLst>
                        <a:ext uri="{28A0092B-C50C-407E-A947-70E740481C1C}"/>
                      </a:extLst>
                    </a:blip>
                    <a:srcRect/>
                    <a:stretch>
                      <a:fillRect/>
                    </a:stretch>
                  </pic:blipFill>
                  <pic:spPr bwMode="auto">
                    <a:xfrm>
                      <a:off x="0" y="0"/>
                      <a:ext cx="2066925" cy="12700"/>
                    </a:xfrm>
                    <a:prstGeom prst="rect">
                      <a:avLst/>
                    </a:prstGeom>
                    <a:noFill/>
                  </pic:spPr>
                </pic:pic>
              </a:graphicData>
            </a:graphic>
          </wp:anchor>
        </w:drawing>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Olivier Jouny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Title</w:t>
            </w:r>
          </w:p>
        </w:tc>
        <w:tc>
          <w:tcPr>
            <w:tcW w:w="80" w:type="dxa"/>
            <w:vAlign w:val="bottom"/>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412"/>
        </w:trPr>
        <w:tc>
          <w:tcPr>
            <w:tcW w:w="4860" w:type="dxa"/>
            <w:vAlign w:val="bottom"/>
          </w:tcPr>
          <w:p>
            <w:pPr>
              <w:jc w:val="center"/>
              <w:spacing w:after="0"/>
              <w:rPr>
                <w:sz w:val="20"/>
                <w:szCs w:val="20"/>
                <w:color w:val="auto"/>
              </w:rPr>
            </w:pPr>
            <w:r>
              <w:rPr>
                <w:rFonts w:ascii="Arial" w:cs="Arial" w:eastAsia="Arial" w:hAnsi="Arial"/>
                <w:sz w:val="20"/>
                <w:szCs w:val="20"/>
                <w:color w:val="auto"/>
                <w:w w:val="92"/>
              </w:rPr>
              <w:t>President, Chief Executive Officer and Director</w:t>
            </w:r>
          </w:p>
        </w:tc>
        <w:tc>
          <w:tcPr>
            <w:tcW w:w="80" w:type="dxa"/>
            <w:vAlign w:val="bottom"/>
          </w:tcPr>
          <w:p>
            <w:pPr>
              <w:spacing w:after="0"/>
              <w:rPr>
                <w:sz w:val="24"/>
                <w:szCs w:val="24"/>
                <w:color w:val="auto"/>
              </w:rPr>
            </w:pPr>
          </w:p>
        </w:tc>
        <w:tc>
          <w:tcPr>
            <w:tcW w:w="2000" w:type="dxa"/>
            <w:vAlign w:val="bottom"/>
            <w:vMerge w:val="restart"/>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6"/>
        </w:trPr>
        <w:tc>
          <w:tcPr>
            <w:tcW w:w="4860" w:type="dxa"/>
            <w:vAlign w:val="bottom"/>
            <w:vMerge w:val="restart"/>
          </w:tcPr>
          <w:p>
            <w:pPr>
              <w:jc w:val="center"/>
              <w:spacing w:after="0"/>
              <w:rPr>
                <w:sz w:val="20"/>
                <w:szCs w:val="20"/>
                <w:color w:val="auto"/>
              </w:rPr>
            </w:pPr>
            <w:r>
              <w:rPr>
                <w:rFonts w:ascii="Arial" w:cs="Arial" w:eastAsia="Arial" w:hAnsi="Arial"/>
                <w:sz w:val="20"/>
                <w:szCs w:val="20"/>
                <w:color w:val="auto"/>
                <w:w w:val="94"/>
              </w:rPr>
              <w:t>(Principal Executive Officer)</w:t>
            </w:r>
          </w:p>
        </w:tc>
        <w:tc>
          <w:tcPr>
            <w:tcW w:w="8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860" w:type="dxa"/>
            <w:vAlign w:val="bottom"/>
          </w:tcPr>
          <w:p>
            <w:pPr>
              <w:jc w:val="center"/>
              <w:spacing w:after="0"/>
              <w:rPr>
                <w:sz w:val="20"/>
                <w:szCs w:val="20"/>
                <w:color w:val="auto"/>
              </w:rPr>
            </w:pPr>
            <w:r>
              <w:rPr>
                <w:rFonts w:ascii="Arial" w:cs="Arial" w:eastAsia="Arial" w:hAnsi="Arial"/>
                <w:sz w:val="20"/>
                <w:szCs w:val="20"/>
                <w:color w:val="auto"/>
                <w:w w:val="92"/>
              </w:rPr>
              <w:t>Executive Vice President and Chief Financial Officer</w:t>
            </w:r>
          </w:p>
        </w:tc>
        <w:tc>
          <w:tcPr>
            <w:tcW w:w="80" w:type="dxa"/>
            <w:vAlign w:val="bottom"/>
          </w:tcPr>
          <w:p>
            <w:pPr>
              <w:spacing w:after="0"/>
              <w:rPr>
                <w:sz w:val="24"/>
                <w:szCs w:val="24"/>
                <w:color w:val="auto"/>
              </w:rPr>
            </w:pPr>
          </w:p>
        </w:tc>
        <w:tc>
          <w:tcPr>
            <w:tcW w:w="2000" w:type="dxa"/>
            <w:vAlign w:val="bottom"/>
            <w:vMerge w:val="restart"/>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173"/>
        </w:trPr>
        <w:tc>
          <w:tcPr>
            <w:tcW w:w="4860" w:type="dxa"/>
            <w:vAlign w:val="bottom"/>
            <w:vMerge w:val="restart"/>
          </w:tcPr>
          <w:p>
            <w:pPr>
              <w:jc w:val="center"/>
              <w:spacing w:after="0"/>
              <w:rPr>
                <w:sz w:val="20"/>
                <w:szCs w:val="20"/>
                <w:color w:val="auto"/>
              </w:rPr>
            </w:pPr>
            <w:r>
              <w:rPr>
                <w:rFonts w:ascii="Arial" w:cs="Arial" w:eastAsia="Arial" w:hAnsi="Arial"/>
                <w:sz w:val="20"/>
                <w:szCs w:val="20"/>
                <w:color w:val="auto"/>
                <w:w w:val="93"/>
              </w:rPr>
              <w:t>(Principal Financial Officer and</w:t>
            </w:r>
          </w:p>
        </w:tc>
        <w:tc>
          <w:tcPr>
            <w:tcW w:w="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48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4860" w:type="dxa"/>
            <w:vAlign w:val="bottom"/>
          </w:tcPr>
          <w:p>
            <w:pPr>
              <w:jc w:val="center"/>
              <w:spacing w:after="0"/>
              <w:rPr>
                <w:sz w:val="20"/>
                <w:szCs w:val="20"/>
                <w:color w:val="auto"/>
              </w:rPr>
            </w:pPr>
            <w:r>
              <w:rPr>
                <w:rFonts w:ascii="Arial" w:cs="Arial" w:eastAsia="Arial" w:hAnsi="Arial"/>
                <w:sz w:val="20"/>
                <w:szCs w:val="20"/>
                <w:color w:val="auto"/>
                <w:w w:val="94"/>
              </w:rPr>
              <w:t>Principal Accounting Officer)</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2"/>
        </w:trPr>
        <w:tc>
          <w:tcPr>
            <w:tcW w:w="4860" w:type="dxa"/>
            <w:vAlign w:val="bottom"/>
          </w:tcPr>
          <w:p>
            <w:pPr>
              <w:jc w:val="center"/>
              <w:spacing w:after="0"/>
              <w:rPr>
                <w:sz w:val="20"/>
                <w:szCs w:val="20"/>
                <w:color w:val="auto"/>
              </w:rPr>
            </w:pPr>
            <w:r>
              <w:rPr>
                <w:rFonts w:ascii="Arial" w:cs="Arial" w:eastAsia="Arial" w:hAnsi="Arial"/>
                <w:sz w:val="20"/>
                <w:szCs w:val="20"/>
                <w:color w:val="auto"/>
                <w:w w:val="90"/>
              </w:rPr>
              <w:t>Chairman of the Board</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r>
        <w:trPr>
          <w:trHeight w:val="720"/>
        </w:trPr>
        <w:tc>
          <w:tcPr>
            <w:tcW w:w="486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February 24, 2025</w:t>
            </w:r>
          </w:p>
        </w:tc>
        <w:tc>
          <w:tcPr>
            <w:tcW w:w="0" w:type="dxa"/>
            <w:vAlign w:val="bottom"/>
          </w:tcPr>
          <w:p>
            <w:pPr>
              <w:spacing w:after="0"/>
              <w:rPr>
                <w:sz w:val="1"/>
                <w:szCs w:val="1"/>
                <w:color w:val="auto"/>
              </w:rPr>
            </w:pPr>
          </w:p>
        </w:tc>
      </w:tr>
    </w:tbl>
    <w:p>
      <w:pPr>
        <w:spacing w:after="0" w:line="385" w:lineRule="exact"/>
        <w:rPr>
          <w:sz w:val="20"/>
          <w:szCs w:val="20"/>
          <w:color w:val="auto"/>
        </w:rPr>
      </w:pPr>
    </w:p>
    <w:p>
      <w:pPr>
        <w:sectPr>
          <w:pgSz w:w="11880" w:h="15480" w:orient="portrait"/>
          <w:cols w:equalWidth="0" w:num="2">
            <w:col w:w="2940" w:space="380"/>
            <w:col w:w="6940"/>
          </w:cols>
          <w:pgMar w:left="820" w:top="360"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880" w:h="15480" w:orient="portrait"/>
          <w:cols w:equalWidth="0" w:num="1">
            <w:col w:w="10260"/>
          </w:cols>
          <w:pgMar w:left="820" w:top="360" w:right="800" w:bottom="0" w:gutter="0" w:footer="0" w:header="0"/>
          <w:type w:val="continuous"/>
        </w:sectPr>
      </w:pPr>
    </w:p>
    <w:bookmarkStart w:id="142" w:name="page143"/>
    <w:bookmarkEnd w:id="14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321310</wp:posOffset>
            </wp:positionH>
            <wp:positionV relativeFrom="page">
              <wp:posOffset>3992880</wp:posOffset>
            </wp:positionV>
            <wp:extent cx="2760345" cy="365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8">
                      <a:extLst>
                        <a:ext uri="{28A0092B-C50C-407E-A947-70E740481C1C}"/>
                      </a:extLst>
                    </a:blip>
                    <a:srcRect/>
                    <a:stretch>
                      <a:fillRect/>
                    </a:stretch>
                  </pic:blipFill>
                  <pic:spPr bwMode="auto">
                    <a:xfrm>
                      <a:off x="0" y="0"/>
                      <a:ext cx="276034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b w:val="1"/>
          <w:bCs w:val="1"/>
          <w:color w:val="001B77"/>
        </w:rPr>
        <w:t>Clearway Energy, Inc.</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001B77"/>
        </w:rPr>
        <w:t>300 Carnegie Center</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001B77"/>
        </w:rPr>
        <w:t>Suite 300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001B77"/>
        </w:rPr>
        <w:t>Princeton, NJ</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001B77"/>
        </w:rPr>
        <w:t>08540-6213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1B77"/>
        </w:rPr>
        <w:t>clearwayenergy.com</w:t>
      </w:r>
    </w:p>
    <w:sectPr>
      <w:pgSz w:w="11880" w:h="15480" w:orient="portrait"/>
      <w:cols w:equalWidth="0" w:num="1">
        <w:col w:w="9640"/>
      </w:cols>
      <w:pgMar w:left="8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lowerLetter"/>
      <w:start w:val="1"/>
    </w:lvl>
  </w:abstractNum>
  <w:abstractNum w:abstractNumId="3">
    <w:nsid w:val="580BD78F"/>
    <w:multiLevelType w:val="hybridMultilevel"/>
    <w:lvl w:ilvl="0">
      <w:lvlJc w:val="left"/>
      <w:lvlText w:val="(%1)"/>
      <w:numFmt w:val="lowerLetter"/>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lowerRoman"/>
      <w:start w:val="2"/>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lowerRoman"/>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lowerLetter"/>
      <w:start w:val="2"/>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2"/>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lowerLetter"/>
      <w:start w:val="1"/>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emdash "/>
      <w:numFmt w:val="bullet"/>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Roman"/>
      <w:start w:val="2"/>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
      <w:numFmt w:val="bullet"/>
      <w:start w:val="1"/>
    </w:lvl>
    <w:lvl w:ilvl="1">
      <w:lvlJc w:val="left"/>
      <w:lvlText w:val="%2"/>
      <w:numFmt w:val="decimal"/>
      <w:start w:val="104"/>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2025-03-15T00:33:03Z</dcterms:created>
  <dcterms:modified xsi:type="dcterms:W3CDTF">2025-03-15T00:33:03Z</dcterms:modified>
</cp:coreProperties>
</file>