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Lowry Jennifer Elaine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ind w:left="120"/>
              <w:spacing w:after="0"/>
              <w:rPr>
                <w:sz w:val="20"/>
                <w:szCs w:val="20"/>
                <w:color w:val="auto"/>
              </w:rPr>
            </w:pPr>
            <w:r>
              <w:rPr>
                <w:rFonts w:ascii="Arial" w:cs="Arial" w:eastAsia="Arial" w:hAnsi="Arial"/>
                <w:sz w:val="14"/>
                <w:szCs w:val="14"/>
                <w:color w:val="auto"/>
              </w:rPr>
              <w:t>(First)</w:t>
            </w:r>
          </w:p>
        </w:tc>
        <w:tc>
          <w:tcPr>
            <w:tcW w:w="144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0000FF"/>
              </w:rPr>
              <w:t>300 CARNEGIE CENTER</w:t>
            </w:r>
          </w:p>
        </w:tc>
        <w:tc>
          <w:tcPr>
            <w:tcW w:w="14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SUITE 300</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PRINCETON</w:t>
            </w:r>
          </w:p>
        </w:tc>
        <w:tc>
          <w:tcPr>
            <w:tcW w:w="1080" w:type="dxa"/>
            <w:vAlign w:val="bottom"/>
          </w:tcPr>
          <w:p>
            <w:pPr>
              <w:ind w:left="120"/>
              <w:spacing w:after="0"/>
              <w:rPr>
                <w:sz w:val="20"/>
                <w:szCs w:val="20"/>
                <w:color w:val="auto"/>
              </w:rPr>
            </w:pPr>
            <w:r>
              <w:rPr>
                <w:rFonts w:ascii="Arial" w:cs="Arial" w:eastAsia="Arial" w:hAnsi="Arial"/>
                <w:sz w:val="18"/>
                <w:szCs w:val="18"/>
                <w:color w:val="0000FF"/>
              </w:rPr>
              <w:t>NJ</w:t>
            </w:r>
          </w:p>
        </w:tc>
        <w:tc>
          <w:tcPr>
            <w:tcW w:w="1440" w:type="dxa"/>
            <w:vAlign w:val="bottom"/>
          </w:tcPr>
          <w:p>
            <w:pPr>
              <w:ind w:left="26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20"/>
              <w:spacing w:after="0"/>
              <w:rPr>
                <w:sz w:val="20"/>
                <w:szCs w:val="20"/>
                <w:color w:val="auto"/>
              </w:rPr>
            </w:pPr>
            <w:r>
              <w:rPr>
                <w:rFonts w:ascii="Arial" w:cs="Arial" w:eastAsia="Arial" w:hAnsi="Arial"/>
                <w:sz w:val="14"/>
                <w:szCs w:val="14"/>
                <w:color w:val="auto"/>
              </w:rPr>
              <w:t>(State)</w:t>
            </w:r>
          </w:p>
        </w:tc>
        <w:tc>
          <w:tcPr>
            <w:tcW w:w="144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11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4,646</w:t>
            </w:r>
            <w:r>
              <w:rPr>
                <w:rFonts w:ascii="Arial" w:cs="Arial" w:eastAsia="Arial" w:hAnsi="Arial"/>
                <w:sz w:val="22"/>
                <w:szCs w:val="22"/>
                <w:color w:val="008000"/>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22"/>
                <w:szCs w:val="22"/>
                <w:color w:val="auto"/>
              </w:rPr>
            </w:pPr>
          </w:p>
        </w:tc>
        <w:tc>
          <w:tcPr>
            <w:tcW w:w="118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9,212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11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0000FF"/>
              </w:rPr>
              <w:t>110</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22"/>
                <w:szCs w:val="22"/>
                <w:color w:val="auto"/>
              </w:rPr>
            </w:pPr>
          </w:p>
        </w:tc>
        <w:tc>
          <w:tcPr>
            <w:tcW w:w="118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rPr>
              <w:t>9,322</w:t>
            </w:r>
            <w:r>
              <w:rPr>
                <w:rFonts w:ascii="Arial" w:cs="Arial" w:eastAsia="Arial" w:hAnsi="Arial"/>
                <w:sz w:val="22"/>
                <w:szCs w:val="22"/>
                <w:color w:val="008000"/>
                <w:vertAlign w:val="superscript"/>
              </w:rPr>
              <w:t>(4)</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40" w:type="dxa"/>
            <w:vAlign w:val="bottom"/>
            <w:gridSpan w:val="10"/>
          </w:tcPr>
          <w:p>
            <w:pPr>
              <w:jc w:val="center"/>
              <w:ind w:right="9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4,646 Deferred Stock Units issued to the Reporting Person by Clearway Energy, Inc. under Clearway Energy, Inc.'s Amended and Restated 2013 Equity Incentive Plan.</w:t>
      </w:r>
    </w:p>
    <w:p>
      <w:pPr>
        <w:spacing w:after="0" w:line="64" w:lineRule="exact"/>
        <w:rPr>
          <w:rFonts w:ascii="Arial" w:cs="Arial" w:eastAsia="Arial" w:hAnsi="Arial"/>
          <w:sz w:val="12"/>
          <w:szCs w:val="12"/>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Deferred Stock Unit is equivalent to one share of Clearway Energy, Inc.'s Class C Common Stock, par value $.01 per share. The reporting person will receive from Clearway Energy, Inc. one such share of Class C Common Stock for each Deferred Stock Unit she owns upon termination of her service on Clearway Energy, Inc.'s Board of Directors or change in ownership or effective control of Clearway Energy, Inc.</w:t>
      </w:r>
    </w:p>
    <w:p>
      <w:pPr>
        <w:spacing w:after="0" w:line="3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265 dividend equivalent rights that may only be settled in Class C Common Stock.</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Kevin P. Malcarney,</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06/05/2023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vMerge w:val="restart"/>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837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2023-06-05T15:54:58Z</dcterms:created>
  <dcterms:modified xsi:type="dcterms:W3CDTF">2023-06-05T15:54:58Z</dcterms:modified>
</cp:coreProperties>
</file>