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Sotos Christopher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NRG YIELD,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804 CARNEGIE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NRG Yield,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NYLD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PRINCETON</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08540</w:t>
            </w: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30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2"/>
            <w:vMerge w:val="restart"/>
          </w:tcPr>
          <w:p>
            <w:pPr>
              <w:jc w:val="right"/>
              <w:ind w:right="99"/>
              <w:spacing w:after="0"/>
              <w:rPr>
                <w:sz w:val="20"/>
                <w:szCs w:val="20"/>
                <w:color w:val="auto"/>
              </w:rPr>
            </w:pPr>
            <w:r>
              <w:rPr>
                <w:rFonts w:ascii="Arial" w:cs="Arial" w:eastAsia="Arial" w:hAnsi="Arial"/>
                <w:sz w:val="18"/>
                <w:szCs w:val="18"/>
                <w:color w:val="0000FF"/>
              </w:rPr>
              <w:t>01/03/2018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vMerge w:val="restart"/>
          </w:tcPr>
          <w:p>
            <w:pPr>
              <w:ind w:left="180"/>
              <w:spacing w:after="0"/>
              <w:rPr>
                <w:sz w:val="20"/>
                <w:szCs w:val="20"/>
                <w:color w:val="auto"/>
              </w:rPr>
            </w:pPr>
            <w:r>
              <w:rPr>
                <w:rFonts w:ascii="Arial" w:cs="Arial" w:eastAsia="Arial" w:hAnsi="Arial"/>
                <w:sz w:val="14"/>
                <w:szCs w:val="14"/>
                <w:color w:val="0000FF"/>
              </w:rPr>
              <w:t>F</w:t>
            </w:r>
          </w:p>
        </w:tc>
        <w:tc>
          <w:tcPr>
            <w:tcW w:w="180" w:type="dxa"/>
            <w:vAlign w:val="bottom"/>
          </w:tcPr>
          <w:p>
            <w:pPr>
              <w:spacing w:after="0"/>
              <w:rPr>
                <w:sz w:val="22"/>
                <w:szCs w:val="22"/>
                <w:color w:val="auto"/>
              </w:rPr>
            </w:pPr>
          </w:p>
        </w:tc>
        <w:tc>
          <w:tcPr>
            <w:tcW w:w="600" w:type="dxa"/>
            <w:vAlign w:val="bottom"/>
            <w:vMerge w:val="restart"/>
          </w:tcPr>
          <w:p>
            <w:pPr>
              <w:ind w:left="180"/>
              <w:spacing w:after="0"/>
              <w:rPr>
                <w:sz w:val="20"/>
                <w:szCs w:val="20"/>
                <w:color w:val="auto"/>
              </w:rPr>
            </w:pPr>
            <w:r>
              <w:rPr>
                <w:rFonts w:ascii="Arial" w:cs="Arial" w:eastAsia="Arial" w:hAnsi="Arial"/>
                <w:sz w:val="18"/>
                <w:szCs w:val="18"/>
                <w:color w:val="0000FF"/>
                <w:w w:val="88"/>
              </w:rPr>
              <w:t>4,546</w:t>
            </w:r>
          </w:p>
        </w:tc>
        <w:tc>
          <w:tcPr>
            <w:tcW w:w="72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240" w:type="dxa"/>
            <w:vAlign w:val="bottom"/>
          </w:tcPr>
          <w:p>
            <w:pPr>
              <w:spacing w:after="0"/>
              <w:rPr>
                <w:sz w:val="22"/>
                <w:szCs w:val="22"/>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1"/>
                <w:szCs w:val="11"/>
                <w:color w:val="008000"/>
                <w:w w:val="88"/>
              </w:rPr>
              <w:t>(1)</w:t>
            </w:r>
          </w:p>
        </w:tc>
        <w:tc>
          <w:tcPr>
            <w:tcW w:w="1500" w:type="dxa"/>
            <w:vAlign w:val="bottom"/>
            <w:gridSpan w:val="3"/>
            <w:vMerge w:val="restart"/>
          </w:tcPr>
          <w:p>
            <w:pPr>
              <w:ind w:left="500"/>
              <w:spacing w:after="0"/>
              <w:rPr>
                <w:sz w:val="20"/>
                <w:szCs w:val="20"/>
                <w:color w:val="auto"/>
              </w:rPr>
            </w:pPr>
            <w:r>
              <w:rPr>
                <w:rFonts w:ascii="Arial" w:cs="Arial" w:eastAsia="Arial" w:hAnsi="Arial"/>
                <w:sz w:val="18"/>
                <w:szCs w:val="18"/>
                <w:color w:val="0000FF"/>
              </w:rPr>
              <w:t>128,721</w:t>
            </w:r>
            <w:r>
              <w:rPr>
                <w:rFonts w:ascii="Arial" w:cs="Arial" w:eastAsia="Arial" w:hAnsi="Arial"/>
                <w:sz w:val="22"/>
                <w:szCs w:val="22"/>
                <w:color w:val="008000"/>
                <w:vertAlign w:val="superscript"/>
              </w:rPr>
              <w:t>(2)</w:t>
            </w:r>
          </w:p>
        </w:tc>
        <w:tc>
          <w:tcPr>
            <w:tcW w:w="92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vMerge w:val="restart"/>
          </w:tcPr>
          <w:p>
            <w:pPr>
              <w:ind w:left="60"/>
              <w:spacing w:after="0"/>
              <w:rPr>
                <w:sz w:val="20"/>
                <w:szCs w:val="20"/>
                <w:color w:val="auto"/>
              </w:rPr>
            </w:pPr>
            <w:r>
              <w:rPr>
                <w:rFonts w:ascii="Arial" w:cs="Arial" w:eastAsia="Arial" w:hAnsi="Arial"/>
                <w:sz w:val="18"/>
                <w:szCs w:val="18"/>
                <w:color w:val="0000FF"/>
              </w:rPr>
              <w:t>share</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80" w:type="dxa"/>
            <w:vAlign w:val="bottom"/>
            <w:gridSpan w:val="12"/>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gridSpan w:val="2"/>
          </w:tcPr>
          <w:p>
            <w:pPr>
              <w:ind w:left="4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8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2017, Mr. Sotos was issued 26,274 Restricted Stock Units ("RSUs") by NRG Yield, Inc. under NRG Yield, Inc.'s Equity Incentive Plan. These RSUs vest ratably over a three year period beginning on the first anniversary of the date of the grant. Each RSU is equivalent in value to one share of Class C Common Stock of NRG Yield, Inc., par value $.01 per share. On January 3, 2018, 8,749 shares vested. Mr. Sotos elected to satisfy his tax obligation upon the exchange of common stock for RSUs having a value on the date of the exchange equal to the withholding obligation. This form reflects the surrender of 4,546 shares of Class C Common Stock to satisfy the grantee's tax withholding obligation.</w:t>
      </w:r>
    </w:p>
    <w:p>
      <w:pPr>
        <w:spacing w:after="0" w:line="31" w:lineRule="exact"/>
        <w:rPr>
          <w:rFonts w:ascii="Arial" w:cs="Arial" w:eastAsia="Arial" w:hAnsi="Arial"/>
          <w:sz w:val="14"/>
          <w:szCs w:val="14"/>
          <w:color w:val="008000"/>
        </w:rPr>
      </w:pPr>
    </w:p>
    <w:p>
      <w:pPr>
        <w:ind w:left="40" w:right="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 connection with the vesting of the RSUs described above, 538 dividend equivalent rights converted to Class C Common Stock, resulting in the reporting person holding 9,780 dividend equivalent rights that may only be settled in Class C Common Stock. Dividend equivalent rights accrue on the reporting person's restricted stock units, which become exercisable proportionately with the restricted stock units to which they relate and may only be settled in NRG Yield, Inc. Class C Common Stock. Each dividend equivalent right is the economic equivalent of one share of NRG Yield, Inc. Class C Common Stock.</w:t>
      </w:r>
    </w:p>
    <w:p>
      <w:pPr>
        <w:spacing w:after="0" w:line="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7"/>
              </w:rPr>
              <w:t>/s/ Brian Curci,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01/05/2018</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4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4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99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2019-12-08T05:42:15Z</dcterms:created>
  <dcterms:modified xsi:type="dcterms:W3CDTF">2019-12-08T05:42:15Z</dcterms:modified>
</cp:coreProperties>
</file>