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Sotos Christopher 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Clearway Energy,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12/02/2019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3"/>
        <w:spacing w:after="0"/>
        <w:rPr>
          <w:sz w:val="20"/>
          <w:szCs w:val="20"/>
          <w:color w:val="auto"/>
        </w:rPr>
      </w:pPr>
      <w:r>
        <w:rPr>
          <w:rFonts w:ascii="Times New Roman" w:cs="Times New Roman" w:eastAsia="Times New Roman" w:hAnsi="Times New Roman"/>
          <w:sz w:val="18"/>
          <w:szCs w:val="18"/>
          <w:color w:val="0000FF"/>
        </w:rPr>
        <w:t>President and CEO</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PRINCETON</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NJ</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w w:val="98"/>
              </w:rPr>
              <w:t>2,113</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8000"/>
                <w:w w:val="93"/>
              </w:rPr>
              <w:t>(1)</w:t>
            </w: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0000FF"/>
              </w:rPr>
              <w:t>135,083</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27" w:lineRule="exact"/>
        <w:rPr>
          <w:rFonts w:ascii="Times New Roman" w:cs="Times New Roman" w:eastAsia="Times New Roman" w:hAnsi="Times New Roman"/>
          <w:sz w:val="14"/>
          <w:szCs w:val="14"/>
          <w:color w:val="008000"/>
        </w:rPr>
      </w:pPr>
    </w:p>
    <w:p>
      <w:pPr>
        <w:ind w:left="40" w:right="2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20,197 dividend equivalent rights that may only be settled in Class C Common Stock. There has been a de minimus adjustment of 1 share to the number of dividend equivalent rights as a result of rounding fractional shares.</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2019-12-04T16:11:38Z</dcterms:created>
  <dcterms:modified xsi:type="dcterms:W3CDTF">2019-12-04T16:11:38Z</dcterms:modified>
</cp:coreProperties>
</file>